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FAF1E42">
      <w:pPr>
        <w:adjustRightInd w:val="0"/>
        <w:snapToGrid w:val="0"/>
        <w:jc w:val="center"/>
        <w:rPr>
          <w:rFonts w:hint="eastAsia" w:ascii="宋体" w:hAnsi="宋体" w:cs="宋体"/>
          <w:sz w:val="56"/>
          <w:szCs w:val="56"/>
          <w:highlight w:val="none"/>
        </w:rPr>
      </w:pPr>
      <w:bookmarkStart w:id="0" w:name="_Hlk41115775"/>
    </w:p>
    <w:p w14:paraId="0701C3F6">
      <w:pPr>
        <w:keepNext w:val="0"/>
        <w:keepLines w:val="0"/>
        <w:widowControl/>
        <w:suppressLineNumbers w:val="0"/>
        <w:jc w:val="center"/>
        <w:rPr>
          <w:rFonts w:hint="default" w:ascii="宋体" w:hAnsi="宋体" w:eastAsia="宋体" w:cs="宋体"/>
          <w:b/>
          <w:bCs/>
          <w:color w:val="000000"/>
          <w:kern w:val="0"/>
          <w:sz w:val="48"/>
          <w:szCs w:val="48"/>
          <w:lang w:val="en-US" w:eastAsia="zh-CN" w:bidi="ar"/>
        </w:rPr>
      </w:pPr>
      <w:r>
        <w:rPr>
          <w:rFonts w:hint="eastAsia" w:ascii="宋体" w:hAnsi="宋体" w:eastAsia="宋体" w:cs="宋体"/>
          <w:b/>
          <w:bCs/>
          <w:color w:val="000000"/>
          <w:kern w:val="0"/>
          <w:sz w:val="48"/>
          <w:szCs w:val="48"/>
          <w:lang w:val="en-US" w:eastAsia="zh-CN" w:bidi="ar"/>
        </w:rPr>
        <w:t>2025年汽开区绿化养护管理服务</w:t>
      </w:r>
      <w:r>
        <w:rPr>
          <w:rFonts w:hint="eastAsia" w:ascii="宋体" w:hAnsi="宋体" w:cs="宋体"/>
          <w:b/>
          <w:bCs/>
          <w:color w:val="000000"/>
          <w:kern w:val="0"/>
          <w:sz w:val="48"/>
          <w:szCs w:val="48"/>
          <w:lang w:val="en-US" w:eastAsia="zh-CN" w:bidi="ar"/>
        </w:rPr>
        <w:t>四标段</w:t>
      </w:r>
    </w:p>
    <w:p w14:paraId="0AC8A827">
      <w:pPr>
        <w:pStyle w:val="73"/>
        <w:rPr>
          <w:rFonts w:hint="eastAsia" w:eastAsia="宋体"/>
          <w:b/>
          <w:bCs/>
          <w:sz w:val="44"/>
          <w:szCs w:val="44"/>
          <w:highlight w:val="none"/>
        </w:rPr>
      </w:pPr>
    </w:p>
    <w:p w14:paraId="1AACB535">
      <w:pPr>
        <w:pStyle w:val="73"/>
        <w:rPr>
          <w:rFonts w:hint="eastAsia" w:eastAsia="宋体"/>
          <w:b/>
          <w:bCs/>
          <w:sz w:val="44"/>
          <w:szCs w:val="44"/>
          <w:highlight w:val="none"/>
        </w:rPr>
      </w:pPr>
    </w:p>
    <w:p w14:paraId="11F27BF0">
      <w:pPr>
        <w:pStyle w:val="73"/>
        <w:rPr>
          <w:rFonts w:hint="eastAsia" w:eastAsia="宋体"/>
          <w:b/>
          <w:bCs/>
          <w:sz w:val="44"/>
          <w:szCs w:val="44"/>
          <w:highlight w:val="none"/>
        </w:rPr>
      </w:pPr>
    </w:p>
    <w:p w14:paraId="00B45022">
      <w:pPr>
        <w:pStyle w:val="73"/>
        <w:rPr>
          <w:rFonts w:hint="eastAsia" w:eastAsia="宋体"/>
          <w:b/>
          <w:bCs/>
          <w:sz w:val="44"/>
          <w:szCs w:val="44"/>
          <w:highlight w:val="none"/>
        </w:rPr>
      </w:pPr>
    </w:p>
    <w:p w14:paraId="4E46A780">
      <w:pPr>
        <w:pStyle w:val="73"/>
        <w:rPr>
          <w:rFonts w:hint="eastAsia" w:eastAsia="宋体"/>
          <w:b/>
          <w:bCs/>
          <w:sz w:val="44"/>
          <w:szCs w:val="44"/>
          <w:highlight w:val="none"/>
        </w:rPr>
      </w:pPr>
    </w:p>
    <w:p w14:paraId="1E2BDE76">
      <w:pPr>
        <w:pStyle w:val="73"/>
        <w:rPr>
          <w:rFonts w:hint="eastAsia" w:eastAsia="宋体"/>
          <w:b/>
          <w:bCs/>
          <w:sz w:val="44"/>
          <w:szCs w:val="44"/>
          <w:highlight w:val="none"/>
        </w:rPr>
      </w:pPr>
    </w:p>
    <w:p w14:paraId="2055546E">
      <w:pPr>
        <w:adjustRightInd w:val="0"/>
        <w:snapToGrid w:val="0"/>
        <w:jc w:val="center"/>
        <w:rPr>
          <w:rFonts w:hint="eastAsia" w:ascii="宋体" w:hAnsi="宋体" w:cs="宋体"/>
          <w:sz w:val="96"/>
          <w:szCs w:val="96"/>
          <w:highlight w:val="none"/>
        </w:rPr>
      </w:pPr>
      <w:r>
        <w:rPr>
          <w:rFonts w:hint="eastAsia" w:ascii="宋体" w:hAnsi="宋体" w:cs="宋体"/>
          <w:b/>
          <w:bCs/>
          <w:sz w:val="96"/>
          <w:szCs w:val="96"/>
          <w:highlight w:val="none"/>
        </w:rPr>
        <w:t>招 标 文 件</w:t>
      </w:r>
    </w:p>
    <w:p w14:paraId="00F598FE">
      <w:pPr>
        <w:rPr>
          <w:rFonts w:hint="eastAsia" w:ascii="宋体" w:hAnsi="宋体" w:cs="宋体"/>
          <w:sz w:val="24"/>
          <w:highlight w:val="none"/>
        </w:rPr>
      </w:pPr>
    </w:p>
    <w:p w14:paraId="2788AF84">
      <w:pPr>
        <w:jc w:val="center"/>
        <w:rPr>
          <w:rFonts w:hint="default" w:ascii="宋体" w:hAnsi="宋体" w:eastAsia="宋体" w:cs="宋体"/>
          <w:sz w:val="28"/>
          <w:highlight w:val="none"/>
          <w:lang w:val="en-US" w:eastAsia="zh-CN"/>
        </w:rPr>
      </w:pPr>
      <w:r>
        <w:rPr>
          <w:rFonts w:hint="eastAsia" w:ascii="宋体" w:hAnsi="宋体" w:cs="宋体"/>
          <w:sz w:val="28"/>
          <w:highlight w:val="none"/>
        </w:rPr>
        <w:t>项目编号：</w:t>
      </w:r>
      <w:r>
        <w:rPr>
          <w:rFonts w:hint="eastAsia" w:ascii="宋体" w:hAnsi="宋体" w:cs="宋体"/>
          <w:sz w:val="28"/>
          <w:highlight w:val="none"/>
          <w:lang w:val="en-US" w:eastAsia="zh-CN"/>
        </w:rPr>
        <w:t>采购项目-【2025】-00198号-4</w:t>
      </w:r>
    </w:p>
    <w:p w14:paraId="6C5375DE">
      <w:pPr>
        <w:jc w:val="center"/>
        <w:rPr>
          <w:rFonts w:hint="default" w:ascii="宋体" w:hAnsi="宋体" w:eastAsia="宋体" w:cs="宋体"/>
          <w:sz w:val="28"/>
          <w:highlight w:val="none"/>
          <w:lang w:val="en-US" w:eastAsia="zh-CN"/>
        </w:rPr>
      </w:pPr>
    </w:p>
    <w:p w14:paraId="0B267C98">
      <w:pPr>
        <w:jc w:val="center"/>
        <w:rPr>
          <w:rFonts w:hint="eastAsia" w:ascii="宋体" w:hAnsi="宋体" w:cs="宋体"/>
          <w:sz w:val="32"/>
          <w:highlight w:val="none"/>
        </w:rPr>
      </w:pPr>
    </w:p>
    <w:p w14:paraId="79D94302">
      <w:pPr>
        <w:jc w:val="center"/>
        <w:rPr>
          <w:rFonts w:hint="eastAsia" w:ascii="宋体" w:hAnsi="宋体" w:cs="宋体"/>
          <w:sz w:val="32"/>
          <w:highlight w:val="none"/>
        </w:rPr>
      </w:pPr>
    </w:p>
    <w:p w14:paraId="44BFD5A3">
      <w:pPr>
        <w:jc w:val="center"/>
        <w:rPr>
          <w:rFonts w:hint="eastAsia" w:ascii="宋体" w:hAnsi="宋体" w:cs="宋体"/>
          <w:sz w:val="32"/>
          <w:highlight w:val="none"/>
        </w:rPr>
      </w:pPr>
    </w:p>
    <w:p w14:paraId="4E5B26AC">
      <w:pPr>
        <w:pStyle w:val="73"/>
        <w:rPr>
          <w:rFonts w:hint="eastAsia" w:eastAsia="宋体"/>
          <w:sz w:val="32"/>
          <w:highlight w:val="none"/>
        </w:rPr>
      </w:pPr>
    </w:p>
    <w:p w14:paraId="4B0B18FE">
      <w:pPr>
        <w:pStyle w:val="73"/>
        <w:rPr>
          <w:rFonts w:hint="eastAsia" w:eastAsia="宋体"/>
          <w:sz w:val="32"/>
          <w:highlight w:val="none"/>
        </w:rPr>
      </w:pPr>
    </w:p>
    <w:p w14:paraId="689C9D1B">
      <w:pPr>
        <w:pStyle w:val="73"/>
        <w:rPr>
          <w:rFonts w:hint="eastAsia" w:eastAsia="宋体"/>
          <w:sz w:val="32"/>
          <w:highlight w:val="none"/>
        </w:rPr>
      </w:pPr>
    </w:p>
    <w:p w14:paraId="21328B9F">
      <w:pPr>
        <w:pStyle w:val="73"/>
        <w:rPr>
          <w:rFonts w:hint="eastAsia" w:eastAsia="宋体"/>
          <w:sz w:val="32"/>
          <w:highlight w:val="none"/>
        </w:rPr>
      </w:pPr>
    </w:p>
    <w:p w14:paraId="74494AE8">
      <w:pPr>
        <w:pStyle w:val="73"/>
        <w:rPr>
          <w:rFonts w:hint="eastAsia" w:eastAsia="宋体"/>
          <w:sz w:val="32"/>
          <w:highlight w:val="none"/>
        </w:rPr>
      </w:pPr>
    </w:p>
    <w:p w14:paraId="1D385AD1">
      <w:pPr>
        <w:rPr>
          <w:rFonts w:hint="eastAsia" w:ascii="宋体" w:hAnsi="宋体" w:cs="宋体"/>
          <w:sz w:val="32"/>
          <w:highlight w:val="none"/>
        </w:rPr>
      </w:pPr>
    </w:p>
    <w:p w14:paraId="51FC0F7D">
      <w:pPr>
        <w:jc w:val="center"/>
        <w:rPr>
          <w:rFonts w:hint="eastAsia" w:ascii="宋体" w:hAnsi="宋体" w:cs="宋体"/>
          <w:sz w:val="32"/>
          <w:highlight w:val="none"/>
        </w:rPr>
      </w:pPr>
    </w:p>
    <w:p w14:paraId="009BF914">
      <w:pPr>
        <w:pStyle w:val="73"/>
        <w:rPr>
          <w:rFonts w:hint="eastAsia" w:ascii="宋体" w:hAnsi="宋体" w:cs="宋体"/>
          <w:b/>
          <w:bCs/>
          <w:sz w:val="30"/>
          <w:szCs w:val="30"/>
          <w:highlight w:val="none"/>
        </w:rPr>
      </w:pPr>
      <w:r>
        <w:rPr>
          <w:rFonts w:hint="eastAsia" w:ascii="宋体" w:hAnsi="宋体" w:cs="宋体"/>
          <w:b/>
          <w:bCs/>
          <w:sz w:val="30"/>
          <w:szCs w:val="30"/>
          <w:highlight w:val="none"/>
        </w:rPr>
        <w:t>采购人：</w:t>
      </w:r>
      <w:r>
        <w:rPr>
          <w:rFonts w:hint="eastAsia" w:ascii="宋体" w:hAnsi="宋体" w:cs="宋体"/>
          <w:b/>
          <w:bCs/>
          <w:sz w:val="30"/>
          <w:szCs w:val="30"/>
          <w:highlight w:val="none"/>
          <w:lang w:val="en-US" w:eastAsia="zh-CN"/>
        </w:rPr>
        <w:t>长春汽车经济技术开发区住房保障和房屋管理局</w:t>
      </w:r>
    </w:p>
    <w:p w14:paraId="487CF6BC">
      <w:pPr>
        <w:snapToGrid w:val="0"/>
        <w:rPr>
          <w:rFonts w:hint="eastAsia" w:ascii="宋体" w:hAnsi="宋体" w:cs="宋体"/>
          <w:b/>
          <w:bCs/>
          <w:sz w:val="30"/>
          <w:szCs w:val="30"/>
          <w:highlight w:val="none"/>
        </w:rPr>
      </w:pPr>
    </w:p>
    <w:p w14:paraId="5D1EE2F7">
      <w:pPr>
        <w:snapToGrid w:val="0"/>
        <w:rPr>
          <w:rFonts w:hint="default" w:ascii="宋体" w:hAnsi="宋体" w:eastAsia="宋体" w:cs="宋体"/>
          <w:b/>
          <w:bCs/>
          <w:sz w:val="30"/>
          <w:szCs w:val="30"/>
          <w:highlight w:val="none"/>
          <w:lang w:val="en-US" w:eastAsia="zh-CN"/>
        </w:rPr>
      </w:pPr>
      <w:r>
        <w:rPr>
          <w:rFonts w:hint="eastAsia" w:ascii="宋体" w:hAnsi="宋体" w:cs="宋体"/>
          <w:b/>
          <w:bCs/>
          <w:sz w:val="30"/>
          <w:szCs w:val="30"/>
          <w:highlight w:val="none"/>
        </w:rPr>
        <w:t>采购代理机构：</w:t>
      </w:r>
      <w:r>
        <w:rPr>
          <w:rFonts w:hint="eastAsia" w:ascii="宋体" w:hAnsi="宋体" w:cs="宋体"/>
          <w:b/>
          <w:bCs/>
          <w:sz w:val="30"/>
          <w:szCs w:val="30"/>
          <w:highlight w:val="none"/>
          <w:lang w:eastAsia="zh-CN"/>
        </w:rPr>
        <w:t>吉林省</w:t>
      </w:r>
      <w:r>
        <w:rPr>
          <w:rFonts w:hint="eastAsia" w:ascii="宋体" w:hAnsi="宋体" w:cs="宋体"/>
          <w:b/>
          <w:bCs/>
          <w:sz w:val="30"/>
          <w:szCs w:val="30"/>
          <w:highlight w:val="none"/>
          <w:lang w:val="en-US" w:eastAsia="zh-CN"/>
        </w:rPr>
        <w:t>驰茗项目管理咨询有限公司</w:t>
      </w:r>
    </w:p>
    <w:p w14:paraId="6A2FF994">
      <w:pPr>
        <w:jc w:val="center"/>
        <w:rPr>
          <w:rFonts w:hint="eastAsia" w:ascii="宋体" w:hAnsi="宋体" w:cs="宋体"/>
          <w:b/>
          <w:bCs/>
          <w:sz w:val="24"/>
          <w:highlight w:val="none"/>
        </w:rPr>
      </w:pPr>
    </w:p>
    <w:p w14:paraId="3D9A7F5D">
      <w:pPr>
        <w:adjustRightInd w:val="0"/>
        <w:snapToGrid w:val="0"/>
        <w:jc w:val="center"/>
        <w:rPr>
          <w:rFonts w:hint="eastAsia" w:ascii="宋体" w:hAnsi="宋体" w:cs="宋体"/>
          <w:b/>
          <w:bCs/>
          <w:sz w:val="24"/>
          <w:highlight w:val="none"/>
        </w:rPr>
      </w:pPr>
    </w:p>
    <w:p w14:paraId="3E592F9C">
      <w:pPr>
        <w:adjustRightInd w:val="0"/>
        <w:snapToGrid w:val="0"/>
        <w:jc w:val="center"/>
        <w:rPr>
          <w:rFonts w:hint="default" w:ascii="宋体" w:hAnsi="宋体" w:eastAsia="宋体" w:cs="宋体"/>
          <w:sz w:val="36"/>
          <w:szCs w:val="36"/>
          <w:highlight w:val="none"/>
          <w:lang w:val="en-US" w:eastAsia="zh-CN"/>
        </w:rPr>
        <w:sectPr>
          <w:footerReference r:id="rId4" w:type="default"/>
          <w:headerReference r:id="rId3" w:type="even"/>
          <w:footerReference r:id="rId5" w:type="even"/>
          <w:pgSz w:w="11907" w:h="16840"/>
          <w:pgMar w:top="1440" w:right="1797" w:bottom="1440" w:left="1797" w:header="1304" w:footer="992" w:gutter="0"/>
          <w:pgNumType w:start="1"/>
          <w:cols w:space="720" w:num="1"/>
          <w:docGrid w:linePitch="312" w:charSpace="0"/>
        </w:sectPr>
      </w:pPr>
      <w:r>
        <w:rPr>
          <w:rFonts w:hint="eastAsia" w:ascii="宋体" w:hAnsi="宋体" w:cs="宋体"/>
          <w:b/>
          <w:bCs/>
          <w:sz w:val="30"/>
          <w:szCs w:val="30"/>
          <w:highlight w:val="none"/>
        </w:rPr>
        <w:t>日期：202</w:t>
      </w:r>
      <w:r>
        <w:rPr>
          <w:rFonts w:hint="eastAsia" w:ascii="宋体" w:hAnsi="宋体" w:cs="宋体"/>
          <w:b/>
          <w:bCs/>
          <w:sz w:val="30"/>
          <w:szCs w:val="30"/>
          <w:highlight w:val="none"/>
          <w:lang w:val="en-US" w:eastAsia="zh-CN"/>
        </w:rPr>
        <w:t>5年07月</w:t>
      </w:r>
    </w:p>
    <w:p w14:paraId="6147BACA">
      <w:pPr>
        <w:snapToGrid w:val="0"/>
        <w:jc w:val="both"/>
        <w:rPr>
          <w:rFonts w:hint="eastAsia" w:ascii="宋体" w:hAnsi="宋体" w:cs="宋体"/>
          <w:b/>
          <w:bCs/>
          <w:sz w:val="18"/>
          <w:szCs w:val="18"/>
          <w:highlight w:val="none"/>
        </w:rPr>
      </w:pPr>
    </w:p>
    <w:bookmarkEnd w:id="0"/>
    <w:p w14:paraId="7D305257">
      <w:pPr>
        <w:pStyle w:val="31"/>
        <w:tabs>
          <w:tab w:val="right" w:leader="dot" w:pos="8392"/>
        </w:tabs>
        <w:ind w:left="0"/>
        <w:jc w:val="center"/>
        <w:rPr>
          <w:rFonts w:hint="eastAsia" w:ascii="宋体" w:hAnsi="宋体" w:cs="宋体"/>
          <w:b/>
          <w:bCs/>
          <w:color w:val="000000"/>
          <w:kern w:val="0"/>
          <w:sz w:val="52"/>
          <w:szCs w:val="52"/>
          <w:highlight w:val="none"/>
        </w:rPr>
      </w:pPr>
      <w:r>
        <w:rPr>
          <w:rFonts w:hint="eastAsia" w:ascii="宋体" w:hAnsi="宋体" w:cs="宋体"/>
          <w:b/>
          <w:bCs/>
          <w:color w:val="000000"/>
          <w:kern w:val="0"/>
          <w:sz w:val="52"/>
          <w:szCs w:val="52"/>
          <w:highlight w:val="none"/>
        </w:rPr>
        <w:t>目   录</w:t>
      </w:r>
    </w:p>
    <w:p w14:paraId="1A4F2A7B">
      <w:pPr>
        <w:pStyle w:val="31"/>
        <w:tabs>
          <w:tab w:val="right" w:leader="dot" w:pos="8392"/>
        </w:tabs>
        <w:spacing w:line="480" w:lineRule="auto"/>
        <w:rPr>
          <w:rFonts w:hint="eastAsia" w:ascii="宋体" w:hAnsi="宋体" w:cs="宋体"/>
          <w:b/>
          <w:bCs/>
          <w:color w:val="000000"/>
          <w:kern w:val="0"/>
          <w:sz w:val="32"/>
          <w:szCs w:val="36"/>
          <w:highlight w:val="none"/>
        </w:rPr>
      </w:pPr>
    </w:p>
    <w:p w14:paraId="5CF42164">
      <w:pPr>
        <w:pStyle w:val="26"/>
        <w:keepNext w:val="0"/>
        <w:keepLines w:val="0"/>
        <w:pageBreakBefore w:val="0"/>
        <w:widowControl w:val="0"/>
        <w:tabs>
          <w:tab w:val="right" w:leader="dot" w:pos="8357"/>
          <w:tab w:val="clear" w:pos="9061"/>
        </w:tabs>
        <w:kinsoku/>
        <w:wordWrap/>
        <w:overflowPunct/>
        <w:topLinePunct w:val="0"/>
        <w:autoSpaceDE/>
        <w:autoSpaceDN/>
        <w:bidi w:val="0"/>
        <w:adjustRightInd/>
        <w:snapToGrid/>
        <w:spacing w:line="360" w:lineRule="auto"/>
        <w:ind w:left="210" w:leftChars="100" w:firstLine="482" w:firstLineChars="100"/>
        <w:jc w:val="both"/>
        <w:textAlignment w:val="auto"/>
        <w:rPr>
          <w:b/>
          <w:bCs/>
          <w:sz w:val="36"/>
          <w:szCs w:val="36"/>
          <w:highlight w:val="none"/>
        </w:rPr>
      </w:pPr>
      <w:r>
        <w:rPr>
          <w:rFonts w:hint="eastAsia" w:ascii="宋体" w:hAnsi="宋体" w:cs="宋体"/>
          <w:b/>
          <w:bCs/>
          <w:color w:val="000000"/>
          <w:kern w:val="0"/>
          <w:sz w:val="48"/>
          <w:szCs w:val="48"/>
          <w:highlight w:val="none"/>
        </w:rPr>
        <w:fldChar w:fldCharType="begin"/>
      </w:r>
      <w:r>
        <w:rPr>
          <w:rFonts w:hint="eastAsia" w:ascii="宋体" w:hAnsi="宋体" w:cs="宋体"/>
          <w:b/>
          <w:bCs/>
          <w:color w:val="000000"/>
          <w:kern w:val="0"/>
          <w:sz w:val="48"/>
          <w:szCs w:val="48"/>
          <w:highlight w:val="none"/>
        </w:rPr>
        <w:instrText xml:space="preserve"> TOC \o "1-3" \h \z \u </w:instrText>
      </w:r>
      <w:r>
        <w:rPr>
          <w:rFonts w:hint="eastAsia" w:ascii="宋体" w:hAnsi="宋体" w:cs="宋体"/>
          <w:b/>
          <w:bCs/>
          <w:color w:val="000000"/>
          <w:kern w:val="0"/>
          <w:sz w:val="48"/>
          <w:szCs w:val="48"/>
          <w:highlight w:val="none"/>
        </w:rPr>
        <w:fldChar w:fldCharType="separate"/>
      </w:r>
      <w:r>
        <w:rPr>
          <w:rFonts w:hint="eastAsia" w:ascii="宋体" w:hAnsi="宋体" w:eastAsia="宋体" w:cs="宋体"/>
          <w:b/>
          <w:bCs/>
          <w:caps/>
          <w:sz w:val="36"/>
          <w:szCs w:val="56"/>
          <w:highlight w:val="none"/>
          <w:lang w:val="en-US" w:eastAsia="zh-CN"/>
        </w:rPr>
        <w:fldChar w:fldCharType="begin"/>
      </w:r>
      <w:r>
        <w:rPr>
          <w:rFonts w:hint="eastAsia" w:ascii="宋体" w:hAnsi="宋体" w:eastAsia="宋体" w:cs="宋体"/>
          <w:b/>
          <w:bCs/>
          <w:caps/>
          <w:sz w:val="36"/>
          <w:szCs w:val="56"/>
          <w:highlight w:val="none"/>
          <w:lang w:val="en-US" w:eastAsia="zh-CN"/>
        </w:rPr>
        <w:instrText xml:space="preserve"> HYPERLINK \l _Toc298 </w:instrText>
      </w:r>
      <w:r>
        <w:rPr>
          <w:rFonts w:hint="eastAsia" w:ascii="宋体" w:hAnsi="宋体" w:eastAsia="宋体" w:cs="宋体"/>
          <w:b/>
          <w:bCs/>
          <w:caps/>
          <w:sz w:val="36"/>
          <w:szCs w:val="56"/>
          <w:highlight w:val="none"/>
          <w:lang w:val="en-US" w:eastAsia="zh-CN"/>
        </w:rPr>
        <w:fldChar w:fldCharType="separate"/>
      </w:r>
      <w:r>
        <w:rPr>
          <w:rFonts w:hint="eastAsia" w:ascii="宋体" w:hAnsi="宋体" w:eastAsia="宋体" w:cs="宋体"/>
          <w:b/>
          <w:bCs/>
          <w:caps/>
          <w:sz w:val="36"/>
          <w:szCs w:val="56"/>
          <w:highlight w:val="none"/>
          <w:lang w:val="en-US" w:eastAsia="zh-CN"/>
        </w:rPr>
        <w:t>第一章 招标公告</w:t>
      </w:r>
      <w:r>
        <w:rPr>
          <w:rFonts w:hint="eastAsia" w:ascii="宋体" w:hAnsi="宋体" w:eastAsia="宋体" w:cs="宋体"/>
          <w:b/>
          <w:bCs/>
          <w:caps/>
          <w:sz w:val="36"/>
          <w:szCs w:val="56"/>
          <w:highlight w:val="none"/>
          <w:lang w:val="en-US" w:eastAsia="zh-CN"/>
        </w:rPr>
        <w:tab/>
      </w:r>
      <w:r>
        <w:rPr>
          <w:rFonts w:hint="eastAsia" w:ascii="宋体" w:hAnsi="宋体" w:eastAsia="宋体" w:cs="宋体"/>
          <w:b/>
          <w:bCs/>
          <w:caps/>
          <w:sz w:val="36"/>
          <w:szCs w:val="56"/>
          <w:highlight w:val="none"/>
          <w:lang w:val="en-US" w:eastAsia="zh-CN"/>
        </w:rPr>
        <w:fldChar w:fldCharType="begin"/>
      </w:r>
      <w:r>
        <w:rPr>
          <w:rFonts w:hint="eastAsia" w:ascii="宋体" w:hAnsi="宋体" w:eastAsia="宋体" w:cs="宋体"/>
          <w:b/>
          <w:bCs/>
          <w:caps/>
          <w:sz w:val="36"/>
          <w:szCs w:val="56"/>
          <w:highlight w:val="none"/>
          <w:lang w:val="en-US" w:eastAsia="zh-CN"/>
        </w:rPr>
        <w:instrText xml:space="preserve"> PAGEREF _Toc298 \h </w:instrText>
      </w:r>
      <w:r>
        <w:rPr>
          <w:rFonts w:hint="eastAsia" w:ascii="宋体" w:hAnsi="宋体" w:eastAsia="宋体" w:cs="宋体"/>
          <w:b/>
          <w:bCs/>
          <w:caps/>
          <w:sz w:val="36"/>
          <w:szCs w:val="56"/>
          <w:highlight w:val="none"/>
          <w:lang w:val="en-US" w:eastAsia="zh-CN"/>
        </w:rPr>
        <w:fldChar w:fldCharType="separate"/>
      </w:r>
      <w:r>
        <w:rPr>
          <w:rFonts w:hint="eastAsia" w:ascii="宋体" w:hAnsi="宋体" w:eastAsia="宋体" w:cs="宋体"/>
          <w:b/>
          <w:bCs/>
          <w:caps/>
          <w:sz w:val="36"/>
          <w:szCs w:val="56"/>
          <w:highlight w:val="none"/>
          <w:lang w:val="en-US" w:eastAsia="zh-CN"/>
        </w:rPr>
        <w:t>3</w:t>
      </w:r>
      <w:r>
        <w:rPr>
          <w:rFonts w:hint="eastAsia" w:ascii="宋体" w:hAnsi="宋体" w:eastAsia="宋体" w:cs="宋体"/>
          <w:b/>
          <w:bCs/>
          <w:caps/>
          <w:sz w:val="36"/>
          <w:szCs w:val="56"/>
          <w:highlight w:val="none"/>
          <w:lang w:val="en-US" w:eastAsia="zh-CN"/>
        </w:rPr>
        <w:fldChar w:fldCharType="end"/>
      </w:r>
      <w:r>
        <w:rPr>
          <w:rFonts w:hint="eastAsia" w:ascii="宋体" w:hAnsi="宋体" w:eastAsia="宋体" w:cs="宋体"/>
          <w:b/>
          <w:bCs/>
          <w:caps/>
          <w:sz w:val="36"/>
          <w:szCs w:val="56"/>
          <w:highlight w:val="none"/>
          <w:lang w:val="en-US" w:eastAsia="zh-CN"/>
        </w:rPr>
        <w:fldChar w:fldCharType="end"/>
      </w:r>
    </w:p>
    <w:p w14:paraId="01D24A0B">
      <w:pPr>
        <w:pStyle w:val="26"/>
        <w:keepNext w:val="0"/>
        <w:keepLines w:val="0"/>
        <w:pageBreakBefore w:val="0"/>
        <w:widowControl w:val="0"/>
        <w:tabs>
          <w:tab w:val="right" w:leader="dot" w:pos="8357"/>
          <w:tab w:val="clear" w:pos="9061"/>
        </w:tabs>
        <w:kinsoku/>
        <w:wordWrap/>
        <w:overflowPunct/>
        <w:topLinePunct w:val="0"/>
        <w:autoSpaceDE/>
        <w:autoSpaceDN/>
        <w:bidi w:val="0"/>
        <w:adjustRightInd/>
        <w:snapToGrid/>
        <w:spacing w:line="360" w:lineRule="auto"/>
        <w:textAlignment w:val="auto"/>
        <w:rPr>
          <w:b/>
          <w:bCs/>
          <w:sz w:val="36"/>
          <w:szCs w:val="36"/>
          <w:highlight w:val="none"/>
        </w:rPr>
      </w:pPr>
      <w:r>
        <w:rPr>
          <w:rFonts w:hint="eastAsia" w:ascii="宋体" w:hAnsi="宋体" w:cs="宋体"/>
          <w:b/>
          <w:bCs/>
          <w:color w:val="000000"/>
          <w:kern w:val="0"/>
          <w:sz w:val="36"/>
          <w:szCs w:val="48"/>
          <w:highlight w:val="none"/>
        </w:rPr>
        <w:fldChar w:fldCharType="begin"/>
      </w:r>
      <w:r>
        <w:rPr>
          <w:rFonts w:hint="eastAsia" w:ascii="宋体" w:hAnsi="宋体" w:cs="宋体"/>
          <w:b/>
          <w:bCs/>
          <w:kern w:val="0"/>
          <w:sz w:val="36"/>
          <w:szCs w:val="48"/>
          <w:highlight w:val="none"/>
        </w:rPr>
        <w:instrText xml:space="preserve"> HYPERLINK \l _Toc31586 </w:instrText>
      </w:r>
      <w:r>
        <w:rPr>
          <w:rFonts w:hint="eastAsia" w:ascii="宋体" w:hAnsi="宋体" w:cs="宋体"/>
          <w:b/>
          <w:bCs/>
          <w:kern w:val="0"/>
          <w:sz w:val="36"/>
          <w:szCs w:val="48"/>
          <w:highlight w:val="none"/>
        </w:rPr>
        <w:fldChar w:fldCharType="separate"/>
      </w:r>
      <w:r>
        <w:rPr>
          <w:rFonts w:hint="eastAsia" w:ascii="宋体" w:hAnsi="宋体" w:eastAsia="宋体" w:cs="宋体"/>
          <w:b/>
          <w:bCs/>
          <w:sz w:val="36"/>
          <w:szCs w:val="56"/>
          <w:highlight w:val="none"/>
        </w:rPr>
        <w:t>第二章 投标人须知</w:t>
      </w:r>
      <w:r>
        <w:rPr>
          <w:b/>
          <w:bCs/>
          <w:sz w:val="36"/>
          <w:szCs w:val="36"/>
          <w:highlight w:val="none"/>
        </w:rPr>
        <w:tab/>
      </w:r>
      <w:r>
        <w:rPr>
          <w:b/>
          <w:bCs/>
          <w:sz w:val="36"/>
          <w:szCs w:val="36"/>
          <w:highlight w:val="none"/>
        </w:rPr>
        <w:fldChar w:fldCharType="begin"/>
      </w:r>
      <w:r>
        <w:rPr>
          <w:b/>
          <w:bCs/>
          <w:sz w:val="36"/>
          <w:szCs w:val="36"/>
          <w:highlight w:val="none"/>
        </w:rPr>
        <w:instrText xml:space="preserve"> PAGEREF _Toc31586 \h </w:instrText>
      </w:r>
      <w:r>
        <w:rPr>
          <w:b/>
          <w:bCs/>
          <w:sz w:val="36"/>
          <w:szCs w:val="36"/>
          <w:highlight w:val="none"/>
        </w:rPr>
        <w:fldChar w:fldCharType="separate"/>
      </w:r>
      <w:r>
        <w:rPr>
          <w:b/>
          <w:bCs/>
          <w:sz w:val="36"/>
          <w:szCs w:val="36"/>
          <w:highlight w:val="none"/>
        </w:rPr>
        <w:t>7</w:t>
      </w:r>
      <w:r>
        <w:rPr>
          <w:b/>
          <w:bCs/>
          <w:sz w:val="36"/>
          <w:szCs w:val="36"/>
          <w:highlight w:val="none"/>
        </w:rPr>
        <w:fldChar w:fldCharType="end"/>
      </w:r>
      <w:r>
        <w:rPr>
          <w:rFonts w:hint="eastAsia" w:ascii="宋体" w:hAnsi="宋体" w:cs="宋体"/>
          <w:b/>
          <w:bCs/>
          <w:color w:val="000000"/>
          <w:kern w:val="0"/>
          <w:sz w:val="36"/>
          <w:szCs w:val="48"/>
          <w:highlight w:val="none"/>
        </w:rPr>
        <w:fldChar w:fldCharType="end"/>
      </w:r>
    </w:p>
    <w:p w14:paraId="5A412FD3">
      <w:pPr>
        <w:pStyle w:val="26"/>
        <w:keepNext w:val="0"/>
        <w:keepLines w:val="0"/>
        <w:pageBreakBefore w:val="0"/>
        <w:widowControl w:val="0"/>
        <w:tabs>
          <w:tab w:val="right" w:leader="dot" w:pos="8357"/>
          <w:tab w:val="clear" w:pos="9061"/>
        </w:tabs>
        <w:kinsoku/>
        <w:wordWrap/>
        <w:overflowPunct/>
        <w:topLinePunct w:val="0"/>
        <w:autoSpaceDE/>
        <w:autoSpaceDN/>
        <w:bidi w:val="0"/>
        <w:adjustRightInd/>
        <w:snapToGrid/>
        <w:spacing w:line="360" w:lineRule="auto"/>
        <w:textAlignment w:val="auto"/>
        <w:rPr>
          <w:b/>
          <w:bCs/>
          <w:sz w:val="36"/>
          <w:szCs w:val="36"/>
          <w:highlight w:val="none"/>
        </w:rPr>
      </w:pPr>
      <w:r>
        <w:rPr>
          <w:rFonts w:hint="eastAsia" w:ascii="宋体" w:hAnsi="宋体" w:cs="宋体"/>
          <w:b/>
          <w:bCs/>
          <w:color w:val="000000"/>
          <w:kern w:val="0"/>
          <w:sz w:val="36"/>
          <w:szCs w:val="48"/>
          <w:highlight w:val="none"/>
        </w:rPr>
        <w:fldChar w:fldCharType="begin"/>
      </w:r>
      <w:r>
        <w:rPr>
          <w:rFonts w:hint="eastAsia" w:ascii="宋体" w:hAnsi="宋体" w:cs="宋体"/>
          <w:b/>
          <w:bCs/>
          <w:kern w:val="0"/>
          <w:sz w:val="36"/>
          <w:szCs w:val="48"/>
          <w:highlight w:val="none"/>
        </w:rPr>
        <w:instrText xml:space="preserve"> HYPERLINK \l _Toc27551 </w:instrText>
      </w:r>
      <w:r>
        <w:rPr>
          <w:rFonts w:hint="eastAsia" w:ascii="宋体" w:hAnsi="宋体" w:cs="宋体"/>
          <w:b/>
          <w:bCs/>
          <w:kern w:val="0"/>
          <w:sz w:val="36"/>
          <w:szCs w:val="48"/>
          <w:highlight w:val="none"/>
        </w:rPr>
        <w:fldChar w:fldCharType="separate"/>
      </w:r>
      <w:r>
        <w:rPr>
          <w:rFonts w:hint="eastAsia" w:ascii="宋体" w:hAnsi="宋体" w:eastAsia="宋体" w:cs="宋体"/>
          <w:b/>
          <w:bCs/>
          <w:sz w:val="36"/>
          <w:szCs w:val="22"/>
          <w:highlight w:val="none"/>
          <w:lang w:val="en-US" w:eastAsia="zh-CN"/>
        </w:rPr>
        <w:t xml:space="preserve">第三章 </w:t>
      </w:r>
      <w:r>
        <w:rPr>
          <w:rFonts w:hint="eastAsia" w:ascii="宋体" w:hAnsi="宋体" w:eastAsia="宋体" w:cs="宋体"/>
          <w:b/>
          <w:bCs/>
          <w:sz w:val="36"/>
          <w:szCs w:val="22"/>
          <w:highlight w:val="none"/>
        </w:rPr>
        <w:t>评标办法（综合评分法）</w:t>
      </w:r>
      <w:r>
        <w:rPr>
          <w:b/>
          <w:bCs/>
          <w:sz w:val="36"/>
          <w:szCs w:val="36"/>
          <w:highlight w:val="none"/>
        </w:rPr>
        <w:tab/>
      </w:r>
      <w:r>
        <w:rPr>
          <w:b/>
          <w:bCs/>
          <w:sz w:val="36"/>
          <w:szCs w:val="36"/>
          <w:highlight w:val="none"/>
        </w:rPr>
        <w:fldChar w:fldCharType="begin"/>
      </w:r>
      <w:r>
        <w:rPr>
          <w:b/>
          <w:bCs/>
          <w:sz w:val="36"/>
          <w:szCs w:val="36"/>
          <w:highlight w:val="none"/>
        </w:rPr>
        <w:instrText xml:space="preserve"> PAGEREF _Toc27551 \h </w:instrText>
      </w:r>
      <w:r>
        <w:rPr>
          <w:b/>
          <w:bCs/>
          <w:sz w:val="36"/>
          <w:szCs w:val="36"/>
          <w:highlight w:val="none"/>
        </w:rPr>
        <w:fldChar w:fldCharType="separate"/>
      </w:r>
      <w:r>
        <w:rPr>
          <w:b/>
          <w:bCs/>
          <w:sz w:val="36"/>
          <w:szCs w:val="36"/>
          <w:highlight w:val="none"/>
        </w:rPr>
        <w:t>19</w:t>
      </w:r>
      <w:r>
        <w:rPr>
          <w:b/>
          <w:bCs/>
          <w:sz w:val="36"/>
          <w:szCs w:val="36"/>
          <w:highlight w:val="none"/>
        </w:rPr>
        <w:fldChar w:fldCharType="end"/>
      </w:r>
      <w:r>
        <w:rPr>
          <w:rFonts w:hint="eastAsia" w:ascii="宋体" w:hAnsi="宋体" w:cs="宋体"/>
          <w:b/>
          <w:bCs/>
          <w:color w:val="000000"/>
          <w:kern w:val="0"/>
          <w:sz w:val="36"/>
          <w:szCs w:val="48"/>
          <w:highlight w:val="none"/>
        </w:rPr>
        <w:fldChar w:fldCharType="end"/>
      </w:r>
    </w:p>
    <w:p w14:paraId="03958713">
      <w:pPr>
        <w:pStyle w:val="26"/>
        <w:keepNext w:val="0"/>
        <w:keepLines w:val="0"/>
        <w:pageBreakBefore w:val="0"/>
        <w:widowControl w:val="0"/>
        <w:tabs>
          <w:tab w:val="right" w:leader="dot" w:pos="8357"/>
          <w:tab w:val="clear" w:pos="9061"/>
        </w:tabs>
        <w:kinsoku/>
        <w:wordWrap/>
        <w:overflowPunct/>
        <w:topLinePunct w:val="0"/>
        <w:autoSpaceDE/>
        <w:autoSpaceDN/>
        <w:bidi w:val="0"/>
        <w:adjustRightInd/>
        <w:snapToGrid/>
        <w:spacing w:line="360" w:lineRule="auto"/>
        <w:textAlignment w:val="auto"/>
        <w:rPr>
          <w:b/>
          <w:bCs/>
          <w:sz w:val="36"/>
          <w:szCs w:val="36"/>
          <w:highlight w:val="none"/>
        </w:rPr>
      </w:pPr>
      <w:r>
        <w:rPr>
          <w:rFonts w:hint="eastAsia" w:ascii="宋体" w:hAnsi="宋体" w:cs="宋体"/>
          <w:b/>
          <w:bCs/>
          <w:color w:val="000000"/>
          <w:kern w:val="0"/>
          <w:sz w:val="36"/>
          <w:szCs w:val="48"/>
          <w:highlight w:val="none"/>
        </w:rPr>
        <w:fldChar w:fldCharType="begin"/>
      </w:r>
      <w:r>
        <w:rPr>
          <w:rFonts w:hint="eastAsia" w:ascii="宋体" w:hAnsi="宋体" w:cs="宋体"/>
          <w:b/>
          <w:bCs/>
          <w:kern w:val="0"/>
          <w:sz w:val="36"/>
          <w:szCs w:val="48"/>
          <w:highlight w:val="none"/>
        </w:rPr>
        <w:instrText xml:space="preserve"> HYPERLINK \l _Toc22736 </w:instrText>
      </w:r>
      <w:r>
        <w:rPr>
          <w:rFonts w:hint="eastAsia" w:ascii="宋体" w:hAnsi="宋体" w:cs="宋体"/>
          <w:b/>
          <w:bCs/>
          <w:kern w:val="0"/>
          <w:sz w:val="36"/>
          <w:szCs w:val="48"/>
          <w:highlight w:val="none"/>
        </w:rPr>
        <w:fldChar w:fldCharType="separate"/>
      </w:r>
      <w:r>
        <w:rPr>
          <w:rFonts w:hint="eastAsia" w:ascii="宋体" w:hAnsi="宋体" w:eastAsia="宋体" w:cs="宋体"/>
          <w:b/>
          <w:bCs/>
          <w:sz w:val="36"/>
          <w:szCs w:val="24"/>
          <w:highlight w:val="none"/>
        </w:rPr>
        <w:t>第四章 合同条款及格式</w:t>
      </w:r>
      <w:r>
        <w:rPr>
          <w:b/>
          <w:bCs/>
          <w:sz w:val="36"/>
          <w:szCs w:val="36"/>
          <w:highlight w:val="none"/>
        </w:rPr>
        <w:tab/>
      </w:r>
      <w:r>
        <w:rPr>
          <w:b/>
          <w:bCs/>
          <w:sz w:val="36"/>
          <w:szCs w:val="36"/>
          <w:highlight w:val="none"/>
        </w:rPr>
        <w:fldChar w:fldCharType="begin"/>
      </w:r>
      <w:r>
        <w:rPr>
          <w:b/>
          <w:bCs/>
          <w:sz w:val="36"/>
          <w:szCs w:val="36"/>
          <w:highlight w:val="none"/>
        </w:rPr>
        <w:instrText xml:space="preserve"> PAGEREF _Toc22736 \h </w:instrText>
      </w:r>
      <w:r>
        <w:rPr>
          <w:b/>
          <w:bCs/>
          <w:sz w:val="36"/>
          <w:szCs w:val="36"/>
          <w:highlight w:val="none"/>
        </w:rPr>
        <w:fldChar w:fldCharType="separate"/>
      </w:r>
      <w:r>
        <w:rPr>
          <w:b/>
          <w:bCs/>
          <w:sz w:val="36"/>
          <w:szCs w:val="36"/>
          <w:highlight w:val="none"/>
        </w:rPr>
        <w:t>27</w:t>
      </w:r>
      <w:r>
        <w:rPr>
          <w:b/>
          <w:bCs/>
          <w:sz w:val="36"/>
          <w:szCs w:val="36"/>
          <w:highlight w:val="none"/>
        </w:rPr>
        <w:fldChar w:fldCharType="end"/>
      </w:r>
      <w:r>
        <w:rPr>
          <w:rFonts w:hint="eastAsia" w:ascii="宋体" w:hAnsi="宋体" w:cs="宋体"/>
          <w:b/>
          <w:bCs/>
          <w:color w:val="000000"/>
          <w:kern w:val="0"/>
          <w:sz w:val="36"/>
          <w:szCs w:val="48"/>
          <w:highlight w:val="none"/>
        </w:rPr>
        <w:fldChar w:fldCharType="end"/>
      </w:r>
    </w:p>
    <w:p w14:paraId="51CBA765">
      <w:pPr>
        <w:pStyle w:val="26"/>
        <w:keepNext w:val="0"/>
        <w:keepLines w:val="0"/>
        <w:pageBreakBefore w:val="0"/>
        <w:widowControl w:val="0"/>
        <w:tabs>
          <w:tab w:val="right" w:leader="dot" w:pos="8357"/>
          <w:tab w:val="clear" w:pos="9061"/>
        </w:tabs>
        <w:kinsoku/>
        <w:wordWrap/>
        <w:overflowPunct/>
        <w:topLinePunct w:val="0"/>
        <w:autoSpaceDE/>
        <w:autoSpaceDN/>
        <w:bidi w:val="0"/>
        <w:adjustRightInd/>
        <w:snapToGrid/>
        <w:spacing w:line="360" w:lineRule="auto"/>
        <w:textAlignment w:val="auto"/>
        <w:rPr>
          <w:b/>
          <w:bCs/>
          <w:sz w:val="36"/>
          <w:szCs w:val="36"/>
          <w:highlight w:val="none"/>
        </w:rPr>
      </w:pPr>
      <w:r>
        <w:rPr>
          <w:rFonts w:hint="eastAsia" w:ascii="宋体" w:hAnsi="宋体" w:cs="宋体"/>
          <w:b/>
          <w:bCs/>
          <w:color w:val="000000"/>
          <w:kern w:val="0"/>
          <w:sz w:val="36"/>
          <w:szCs w:val="48"/>
          <w:highlight w:val="none"/>
        </w:rPr>
        <w:fldChar w:fldCharType="begin"/>
      </w:r>
      <w:r>
        <w:rPr>
          <w:rFonts w:hint="eastAsia" w:ascii="宋体" w:hAnsi="宋体" w:cs="宋体"/>
          <w:b/>
          <w:bCs/>
          <w:kern w:val="0"/>
          <w:sz w:val="36"/>
          <w:szCs w:val="48"/>
          <w:highlight w:val="none"/>
        </w:rPr>
        <w:instrText xml:space="preserve"> HYPERLINK \l _Toc4167 </w:instrText>
      </w:r>
      <w:r>
        <w:rPr>
          <w:rFonts w:hint="eastAsia" w:ascii="宋体" w:hAnsi="宋体" w:cs="宋体"/>
          <w:b/>
          <w:bCs/>
          <w:kern w:val="0"/>
          <w:sz w:val="36"/>
          <w:szCs w:val="48"/>
          <w:highlight w:val="none"/>
        </w:rPr>
        <w:fldChar w:fldCharType="separate"/>
      </w:r>
      <w:r>
        <w:rPr>
          <w:rFonts w:hint="eastAsia" w:ascii="宋体" w:hAnsi="宋体" w:eastAsia="宋体" w:cs="宋体"/>
          <w:b/>
          <w:bCs/>
          <w:sz w:val="36"/>
          <w:szCs w:val="22"/>
          <w:highlight w:val="none"/>
        </w:rPr>
        <w:t>第五章 采购需求（服务要求）</w:t>
      </w:r>
      <w:r>
        <w:rPr>
          <w:b/>
          <w:bCs/>
          <w:sz w:val="36"/>
          <w:szCs w:val="36"/>
          <w:highlight w:val="none"/>
        </w:rPr>
        <w:tab/>
      </w:r>
      <w:r>
        <w:rPr>
          <w:rFonts w:hint="eastAsia"/>
          <w:b/>
          <w:bCs/>
          <w:sz w:val="36"/>
          <w:szCs w:val="36"/>
          <w:highlight w:val="none"/>
          <w:lang w:val="en-US" w:eastAsia="zh-CN"/>
        </w:rPr>
        <w:t>28</w:t>
      </w:r>
      <w:r>
        <w:rPr>
          <w:rFonts w:hint="eastAsia" w:ascii="宋体" w:hAnsi="宋体" w:cs="宋体"/>
          <w:b/>
          <w:bCs/>
          <w:color w:val="000000"/>
          <w:kern w:val="0"/>
          <w:sz w:val="36"/>
          <w:szCs w:val="48"/>
          <w:highlight w:val="none"/>
        </w:rPr>
        <w:fldChar w:fldCharType="end"/>
      </w:r>
    </w:p>
    <w:p w14:paraId="07A0ABDB">
      <w:pPr>
        <w:pStyle w:val="26"/>
        <w:keepNext w:val="0"/>
        <w:keepLines w:val="0"/>
        <w:pageBreakBefore w:val="0"/>
        <w:widowControl w:val="0"/>
        <w:tabs>
          <w:tab w:val="right" w:leader="dot" w:pos="8357"/>
          <w:tab w:val="clear" w:pos="9061"/>
        </w:tabs>
        <w:kinsoku/>
        <w:wordWrap/>
        <w:overflowPunct/>
        <w:topLinePunct w:val="0"/>
        <w:autoSpaceDE/>
        <w:autoSpaceDN/>
        <w:bidi w:val="0"/>
        <w:adjustRightInd/>
        <w:snapToGrid/>
        <w:spacing w:line="360" w:lineRule="auto"/>
        <w:textAlignment w:val="auto"/>
        <w:rPr>
          <w:rFonts w:hint="eastAsia" w:eastAsia="宋体"/>
          <w:b/>
          <w:bCs/>
          <w:sz w:val="36"/>
          <w:szCs w:val="36"/>
          <w:highlight w:val="none"/>
          <w:lang w:val="en-US" w:eastAsia="zh-CN"/>
        </w:rPr>
      </w:pPr>
      <w:r>
        <w:rPr>
          <w:rFonts w:hint="eastAsia" w:ascii="宋体" w:hAnsi="宋体" w:cs="宋体"/>
          <w:b/>
          <w:bCs/>
          <w:color w:val="000000"/>
          <w:kern w:val="0"/>
          <w:sz w:val="36"/>
          <w:szCs w:val="48"/>
          <w:highlight w:val="none"/>
        </w:rPr>
        <w:fldChar w:fldCharType="begin"/>
      </w:r>
      <w:r>
        <w:rPr>
          <w:rFonts w:hint="eastAsia" w:ascii="宋体" w:hAnsi="宋体" w:cs="宋体"/>
          <w:b/>
          <w:bCs/>
          <w:kern w:val="0"/>
          <w:sz w:val="36"/>
          <w:szCs w:val="48"/>
          <w:highlight w:val="none"/>
        </w:rPr>
        <w:instrText xml:space="preserve"> HYPERLINK \l _Toc25373 </w:instrText>
      </w:r>
      <w:r>
        <w:rPr>
          <w:rFonts w:hint="eastAsia" w:ascii="宋体" w:hAnsi="宋体" w:cs="宋体"/>
          <w:b/>
          <w:bCs/>
          <w:kern w:val="0"/>
          <w:sz w:val="36"/>
          <w:szCs w:val="48"/>
          <w:highlight w:val="none"/>
        </w:rPr>
        <w:fldChar w:fldCharType="separate"/>
      </w:r>
      <w:r>
        <w:rPr>
          <w:rFonts w:hint="eastAsia"/>
          <w:b/>
          <w:bCs/>
          <w:sz w:val="36"/>
          <w:szCs w:val="24"/>
          <w:highlight w:val="none"/>
        </w:rPr>
        <w:t>第六章 投标文件格式</w:t>
      </w:r>
      <w:r>
        <w:rPr>
          <w:b/>
          <w:bCs/>
          <w:sz w:val="36"/>
          <w:szCs w:val="36"/>
          <w:highlight w:val="none"/>
        </w:rPr>
        <w:tab/>
      </w:r>
      <w:r>
        <w:rPr>
          <w:rFonts w:hint="eastAsia"/>
          <w:b/>
          <w:bCs/>
          <w:sz w:val="36"/>
          <w:szCs w:val="36"/>
          <w:highlight w:val="none"/>
          <w:lang w:val="en-US" w:eastAsia="zh-CN"/>
        </w:rPr>
        <w:t>4</w:t>
      </w:r>
      <w:r>
        <w:rPr>
          <w:rFonts w:hint="eastAsia" w:ascii="宋体" w:hAnsi="宋体" w:cs="宋体"/>
          <w:b/>
          <w:bCs/>
          <w:color w:val="000000"/>
          <w:kern w:val="0"/>
          <w:sz w:val="36"/>
          <w:szCs w:val="48"/>
          <w:highlight w:val="none"/>
        </w:rPr>
        <w:fldChar w:fldCharType="end"/>
      </w:r>
      <w:r>
        <w:rPr>
          <w:rFonts w:hint="eastAsia" w:cs="宋体"/>
          <w:b/>
          <w:bCs/>
          <w:color w:val="000000"/>
          <w:kern w:val="0"/>
          <w:sz w:val="36"/>
          <w:szCs w:val="48"/>
          <w:highlight w:val="none"/>
          <w:lang w:val="en-US" w:eastAsia="zh-CN"/>
        </w:rPr>
        <w:t>2</w:t>
      </w:r>
    </w:p>
    <w:p w14:paraId="273B4CC2">
      <w:pPr>
        <w:pStyle w:val="31"/>
        <w:keepNext w:val="0"/>
        <w:keepLines w:val="0"/>
        <w:pageBreakBefore w:val="0"/>
        <w:widowControl w:val="0"/>
        <w:tabs>
          <w:tab w:val="right" w:leader="dot" w:pos="8392"/>
        </w:tabs>
        <w:kinsoku/>
        <w:wordWrap/>
        <w:overflowPunct/>
        <w:topLinePunct w:val="0"/>
        <w:autoSpaceDE/>
        <w:autoSpaceDN/>
        <w:bidi w:val="0"/>
        <w:adjustRightInd/>
        <w:snapToGrid/>
        <w:spacing w:line="360" w:lineRule="auto"/>
        <w:jc w:val="center"/>
        <w:textAlignment w:val="auto"/>
        <w:rPr>
          <w:rFonts w:hint="eastAsia" w:ascii="宋体" w:hAnsi="宋体" w:cs="宋体"/>
          <w:color w:val="000000"/>
          <w:kern w:val="0"/>
          <w:sz w:val="32"/>
          <w:szCs w:val="32"/>
          <w:highlight w:val="none"/>
        </w:rPr>
      </w:pPr>
      <w:r>
        <w:rPr>
          <w:rFonts w:hint="eastAsia" w:ascii="宋体" w:hAnsi="宋体" w:cs="宋体"/>
          <w:b/>
          <w:bCs/>
          <w:color w:val="000000"/>
          <w:kern w:val="0"/>
          <w:sz w:val="32"/>
          <w:szCs w:val="48"/>
          <w:highlight w:val="none"/>
        </w:rPr>
        <w:fldChar w:fldCharType="end"/>
      </w:r>
    </w:p>
    <w:p w14:paraId="7EE0F065">
      <w:pPr>
        <w:autoSpaceDE w:val="0"/>
        <w:autoSpaceDN w:val="0"/>
        <w:adjustRightInd w:val="0"/>
        <w:jc w:val="left"/>
        <w:rPr>
          <w:rFonts w:hint="eastAsia" w:ascii="宋体" w:hAnsi="宋体" w:cs="宋体"/>
          <w:color w:val="000000"/>
          <w:kern w:val="0"/>
          <w:sz w:val="32"/>
          <w:szCs w:val="32"/>
          <w:highlight w:val="none"/>
        </w:rPr>
      </w:pPr>
    </w:p>
    <w:p w14:paraId="40CD32CD">
      <w:pPr>
        <w:autoSpaceDE w:val="0"/>
        <w:autoSpaceDN w:val="0"/>
        <w:adjustRightInd w:val="0"/>
        <w:jc w:val="left"/>
        <w:rPr>
          <w:rFonts w:hint="eastAsia" w:ascii="宋体" w:hAnsi="宋体" w:cs="宋体"/>
          <w:color w:val="000000"/>
          <w:kern w:val="0"/>
          <w:sz w:val="32"/>
          <w:szCs w:val="32"/>
          <w:highlight w:val="none"/>
        </w:rPr>
      </w:pPr>
    </w:p>
    <w:p w14:paraId="0614AA72">
      <w:pPr>
        <w:autoSpaceDE w:val="0"/>
        <w:autoSpaceDN w:val="0"/>
        <w:adjustRightInd w:val="0"/>
        <w:jc w:val="left"/>
        <w:rPr>
          <w:rFonts w:hint="eastAsia" w:ascii="宋体" w:hAnsi="宋体" w:cs="宋体"/>
          <w:color w:val="000000"/>
          <w:kern w:val="0"/>
          <w:sz w:val="32"/>
          <w:szCs w:val="32"/>
          <w:highlight w:val="none"/>
        </w:rPr>
      </w:pPr>
    </w:p>
    <w:p w14:paraId="71B66742">
      <w:pPr>
        <w:autoSpaceDE w:val="0"/>
        <w:autoSpaceDN w:val="0"/>
        <w:adjustRightInd w:val="0"/>
        <w:jc w:val="left"/>
        <w:rPr>
          <w:rFonts w:hint="eastAsia" w:ascii="宋体" w:hAnsi="宋体" w:cs="宋体"/>
          <w:color w:val="000000"/>
          <w:kern w:val="0"/>
          <w:sz w:val="32"/>
          <w:szCs w:val="32"/>
          <w:highlight w:val="none"/>
        </w:rPr>
      </w:pPr>
    </w:p>
    <w:p w14:paraId="032EFCF4">
      <w:pPr>
        <w:autoSpaceDE w:val="0"/>
        <w:autoSpaceDN w:val="0"/>
        <w:adjustRightInd w:val="0"/>
        <w:jc w:val="left"/>
        <w:rPr>
          <w:rFonts w:hint="eastAsia" w:ascii="宋体" w:hAnsi="宋体" w:cs="宋体"/>
          <w:color w:val="000000"/>
          <w:kern w:val="0"/>
          <w:sz w:val="32"/>
          <w:szCs w:val="32"/>
          <w:highlight w:val="none"/>
        </w:rPr>
      </w:pPr>
    </w:p>
    <w:p w14:paraId="506849DF">
      <w:pPr>
        <w:autoSpaceDE w:val="0"/>
        <w:autoSpaceDN w:val="0"/>
        <w:adjustRightInd w:val="0"/>
        <w:jc w:val="left"/>
        <w:rPr>
          <w:rFonts w:hint="eastAsia" w:ascii="宋体" w:hAnsi="宋体" w:cs="宋体"/>
          <w:color w:val="000000"/>
          <w:kern w:val="0"/>
          <w:sz w:val="32"/>
          <w:szCs w:val="32"/>
          <w:highlight w:val="none"/>
        </w:rPr>
      </w:pPr>
    </w:p>
    <w:p w14:paraId="18F97E8D">
      <w:pPr>
        <w:autoSpaceDE w:val="0"/>
        <w:autoSpaceDN w:val="0"/>
        <w:adjustRightInd w:val="0"/>
        <w:jc w:val="left"/>
        <w:rPr>
          <w:rFonts w:hint="eastAsia" w:ascii="宋体" w:hAnsi="宋体" w:cs="宋体"/>
          <w:color w:val="000000"/>
          <w:kern w:val="0"/>
          <w:sz w:val="32"/>
          <w:szCs w:val="32"/>
          <w:highlight w:val="none"/>
        </w:rPr>
      </w:pPr>
    </w:p>
    <w:p w14:paraId="191CE8C0">
      <w:pPr>
        <w:autoSpaceDE w:val="0"/>
        <w:autoSpaceDN w:val="0"/>
        <w:adjustRightInd w:val="0"/>
        <w:jc w:val="left"/>
        <w:rPr>
          <w:rFonts w:hint="eastAsia" w:ascii="宋体" w:hAnsi="宋体" w:cs="宋体"/>
          <w:color w:val="000000"/>
          <w:kern w:val="0"/>
          <w:sz w:val="32"/>
          <w:szCs w:val="32"/>
          <w:highlight w:val="none"/>
        </w:rPr>
      </w:pPr>
    </w:p>
    <w:p w14:paraId="6BB54409">
      <w:pPr>
        <w:autoSpaceDE w:val="0"/>
        <w:autoSpaceDN w:val="0"/>
        <w:adjustRightInd w:val="0"/>
        <w:jc w:val="left"/>
        <w:rPr>
          <w:rFonts w:hint="eastAsia" w:ascii="宋体" w:hAnsi="宋体" w:cs="宋体"/>
          <w:color w:val="000000"/>
          <w:kern w:val="0"/>
          <w:sz w:val="32"/>
          <w:szCs w:val="32"/>
          <w:highlight w:val="none"/>
        </w:rPr>
      </w:pPr>
    </w:p>
    <w:p w14:paraId="17854466">
      <w:pPr>
        <w:autoSpaceDE w:val="0"/>
        <w:autoSpaceDN w:val="0"/>
        <w:adjustRightInd w:val="0"/>
        <w:jc w:val="left"/>
        <w:rPr>
          <w:rFonts w:hint="eastAsia" w:ascii="宋体" w:hAnsi="宋体" w:cs="宋体"/>
          <w:color w:val="000000"/>
          <w:kern w:val="0"/>
          <w:sz w:val="32"/>
          <w:szCs w:val="32"/>
          <w:highlight w:val="none"/>
        </w:rPr>
      </w:pPr>
    </w:p>
    <w:p w14:paraId="2441AB0B">
      <w:pPr>
        <w:autoSpaceDE w:val="0"/>
        <w:autoSpaceDN w:val="0"/>
        <w:adjustRightInd w:val="0"/>
        <w:jc w:val="left"/>
        <w:rPr>
          <w:rFonts w:hint="eastAsia" w:ascii="宋体" w:hAnsi="宋体" w:cs="宋体"/>
          <w:color w:val="000000"/>
          <w:kern w:val="0"/>
          <w:sz w:val="32"/>
          <w:szCs w:val="32"/>
          <w:highlight w:val="none"/>
        </w:rPr>
      </w:pPr>
    </w:p>
    <w:p w14:paraId="08BDD897">
      <w:pPr>
        <w:autoSpaceDE w:val="0"/>
        <w:autoSpaceDN w:val="0"/>
        <w:adjustRightInd w:val="0"/>
        <w:jc w:val="left"/>
        <w:rPr>
          <w:rFonts w:hint="eastAsia" w:ascii="宋体" w:hAnsi="宋体" w:cs="宋体"/>
          <w:color w:val="000000"/>
          <w:kern w:val="0"/>
          <w:sz w:val="32"/>
          <w:szCs w:val="32"/>
          <w:highlight w:val="none"/>
        </w:rPr>
      </w:pPr>
    </w:p>
    <w:p w14:paraId="201B2AF6">
      <w:pPr>
        <w:autoSpaceDE w:val="0"/>
        <w:autoSpaceDN w:val="0"/>
        <w:adjustRightInd w:val="0"/>
        <w:jc w:val="left"/>
        <w:rPr>
          <w:rFonts w:hint="eastAsia" w:ascii="宋体" w:hAnsi="宋体" w:cs="宋体"/>
          <w:color w:val="000000"/>
          <w:kern w:val="0"/>
          <w:sz w:val="32"/>
          <w:szCs w:val="32"/>
          <w:highlight w:val="none"/>
        </w:rPr>
      </w:pPr>
    </w:p>
    <w:p w14:paraId="6D958813">
      <w:pPr>
        <w:autoSpaceDE w:val="0"/>
        <w:autoSpaceDN w:val="0"/>
        <w:adjustRightInd w:val="0"/>
        <w:jc w:val="left"/>
        <w:rPr>
          <w:rFonts w:hint="eastAsia" w:ascii="宋体" w:hAnsi="宋体" w:cs="宋体"/>
          <w:color w:val="000000"/>
          <w:kern w:val="0"/>
          <w:sz w:val="32"/>
          <w:szCs w:val="32"/>
          <w:highlight w:val="none"/>
        </w:rPr>
      </w:pPr>
    </w:p>
    <w:p w14:paraId="519BD094">
      <w:pPr>
        <w:autoSpaceDE w:val="0"/>
        <w:autoSpaceDN w:val="0"/>
        <w:adjustRightInd w:val="0"/>
        <w:jc w:val="left"/>
        <w:rPr>
          <w:rFonts w:hint="eastAsia" w:ascii="宋体" w:hAnsi="宋体" w:cs="宋体"/>
          <w:color w:val="000000"/>
          <w:kern w:val="0"/>
          <w:sz w:val="32"/>
          <w:szCs w:val="32"/>
          <w:highlight w:val="none"/>
        </w:rPr>
      </w:pPr>
    </w:p>
    <w:p w14:paraId="7F2ADDD8">
      <w:pPr>
        <w:pStyle w:val="2"/>
        <w:bidi w:val="0"/>
        <w:jc w:val="center"/>
        <w:rPr>
          <w:rFonts w:hint="eastAsia" w:ascii="宋体" w:hAnsi="宋体" w:eastAsia="宋体" w:cs="宋体"/>
          <w:b/>
          <w:bCs/>
          <w:sz w:val="32"/>
          <w:szCs w:val="32"/>
          <w:highlight w:val="none"/>
        </w:rPr>
      </w:pPr>
      <w:bookmarkStart w:id="1" w:name="_Toc298"/>
      <w:bookmarkStart w:id="2" w:name="_Toc230599439"/>
      <w:r>
        <w:rPr>
          <w:rFonts w:hint="eastAsia" w:ascii="宋体" w:hAnsi="宋体" w:eastAsia="宋体" w:cs="宋体"/>
          <w:b/>
          <w:bCs/>
          <w:sz w:val="32"/>
          <w:szCs w:val="32"/>
          <w:highlight w:val="none"/>
          <w:lang w:val="en-US" w:eastAsia="zh-CN"/>
        </w:rPr>
        <w:t>第一章</w:t>
      </w:r>
      <w:r>
        <w:rPr>
          <w:rFonts w:hint="eastAsia" w:ascii="宋体" w:hAnsi="宋体" w:eastAsia="宋体" w:cs="宋体"/>
          <w:b/>
          <w:bCs/>
          <w:sz w:val="32"/>
          <w:szCs w:val="32"/>
          <w:highlight w:val="none"/>
        </w:rPr>
        <w:t xml:space="preserve"> 招标公告</w:t>
      </w:r>
      <w:bookmarkEnd w:id="1"/>
      <w:r>
        <w:rPr>
          <w:rFonts w:hint="eastAsia" w:ascii="宋体" w:hAnsi="宋体" w:eastAsia="宋体" w:cs="宋体"/>
          <w:b/>
          <w:bCs/>
          <w:sz w:val="32"/>
          <w:szCs w:val="32"/>
          <w:highlight w:val="none"/>
          <w:lang w:eastAsia="zh-CN"/>
        </w:rPr>
        <w:t>（</w:t>
      </w:r>
      <w:r>
        <w:rPr>
          <w:rFonts w:hint="eastAsia" w:ascii="宋体" w:hAnsi="宋体" w:eastAsia="宋体" w:cs="宋体"/>
          <w:b/>
          <w:bCs/>
          <w:sz w:val="32"/>
          <w:szCs w:val="32"/>
          <w:highlight w:val="none"/>
          <w:lang w:val="en-US" w:eastAsia="zh-CN"/>
        </w:rPr>
        <w:t>资格后审）</w:t>
      </w:r>
    </w:p>
    <w:p w14:paraId="395E2730">
      <w:pPr>
        <w:rPr>
          <w:rFonts w:hint="eastAsia"/>
          <w:highlight w:val="none"/>
        </w:rPr>
      </w:pPr>
    </w:p>
    <w:p w14:paraId="24549A90">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sz w:val="24"/>
          <w:highlight w:val="none"/>
        </w:rPr>
      </w:pPr>
      <w:r>
        <w:rPr>
          <w:rFonts w:hint="eastAsia" w:ascii="宋体" w:hAnsi="宋体"/>
          <w:sz w:val="24"/>
          <w:highlight w:val="none"/>
        </w:rPr>
        <w:t>项目概况</w:t>
      </w:r>
    </w:p>
    <w:p w14:paraId="1F7C6349">
      <w:pPr>
        <w:pBdr>
          <w:top w:val="single" w:color="auto" w:sz="4" w:space="1"/>
          <w:left w:val="single" w:color="auto" w:sz="4" w:space="4"/>
          <w:bottom w:val="single" w:color="auto" w:sz="4" w:space="1"/>
          <w:right w:val="single" w:color="auto" w:sz="4" w:space="4"/>
        </w:pBdr>
        <w:spacing w:line="360" w:lineRule="auto"/>
        <w:ind w:firstLine="480" w:firstLineChars="200"/>
        <w:jc w:val="left"/>
        <w:rPr>
          <w:rFonts w:ascii="宋体" w:hAnsi="宋体"/>
          <w:sz w:val="24"/>
          <w:highlight w:val="none"/>
        </w:rPr>
      </w:pPr>
      <w:r>
        <w:rPr>
          <w:rFonts w:hint="eastAsia" w:ascii="宋体" w:hAnsi="宋体" w:cs="Times New Roman"/>
          <w:bCs/>
          <w:sz w:val="24"/>
          <w:highlight w:val="none"/>
          <w:lang w:val="en-US" w:eastAsia="zh-CN"/>
        </w:rPr>
        <w:t>2025年汽开区绿化养护管理服务项目</w:t>
      </w:r>
      <w:r>
        <w:rPr>
          <w:rFonts w:hint="eastAsia" w:ascii="宋体" w:hAnsi="宋体"/>
          <w:sz w:val="24"/>
          <w:highlight w:val="none"/>
        </w:rPr>
        <w:t>的</w:t>
      </w:r>
      <w:r>
        <w:rPr>
          <w:rFonts w:hint="eastAsia" w:ascii="宋体" w:hAnsi="宋体"/>
          <w:bCs/>
          <w:sz w:val="24"/>
          <w:highlight w:val="none"/>
        </w:rPr>
        <w:t>潜在投标人应自行登录政府采购云平台（网址：http:// www.zcygov.cn）</w:t>
      </w:r>
      <w:r>
        <w:rPr>
          <w:rFonts w:hint="eastAsia" w:ascii="宋体" w:hAnsi="宋体" w:cs="宋体"/>
          <w:color w:val="000000"/>
          <w:sz w:val="24"/>
          <w:highlight w:val="none"/>
        </w:rPr>
        <w:t>获取（下载）采购文件</w:t>
      </w:r>
      <w:r>
        <w:rPr>
          <w:rFonts w:hint="eastAsia" w:ascii="宋体" w:hAnsi="宋体"/>
          <w:bCs/>
          <w:sz w:val="24"/>
          <w:highlight w:val="none"/>
        </w:rPr>
        <w:t>，并于</w:t>
      </w:r>
      <w:r>
        <w:rPr>
          <w:rFonts w:hint="eastAsia" w:ascii="宋体" w:hAnsi="宋体"/>
          <w:bCs/>
          <w:color w:val="FF0000"/>
          <w:sz w:val="24"/>
          <w:highlight w:val="none"/>
          <w:u w:val="single"/>
          <w:lang w:eastAsia="zh-CN"/>
        </w:rPr>
        <w:t>2025年</w:t>
      </w:r>
      <w:r>
        <w:rPr>
          <w:rFonts w:hint="eastAsia" w:ascii="宋体" w:hAnsi="宋体"/>
          <w:bCs/>
          <w:color w:val="FF0000"/>
          <w:sz w:val="24"/>
          <w:highlight w:val="none"/>
          <w:u w:val="single"/>
          <w:lang w:val="en-US" w:eastAsia="zh-CN"/>
        </w:rPr>
        <w:t>7</w:t>
      </w:r>
      <w:r>
        <w:rPr>
          <w:rFonts w:hint="eastAsia" w:ascii="宋体" w:hAnsi="宋体"/>
          <w:bCs/>
          <w:color w:val="FF0000"/>
          <w:sz w:val="24"/>
          <w:highlight w:val="none"/>
          <w:u w:val="single"/>
          <w:lang w:eastAsia="zh-CN"/>
        </w:rPr>
        <w:t>月</w:t>
      </w:r>
      <w:r>
        <w:rPr>
          <w:rFonts w:hint="eastAsia" w:ascii="宋体" w:hAnsi="宋体"/>
          <w:bCs/>
          <w:color w:val="FF0000"/>
          <w:sz w:val="24"/>
          <w:highlight w:val="none"/>
          <w:u w:val="single"/>
          <w:lang w:val="en-US" w:eastAsia="zh-CN"/>
        </w:rPr>
        <w:t>28</w:t>
      </w:r>
      <w:r>
        <w:rPr>
          <w:rFonts w:hint="eastAsia" w:ascii="宋体" w:hAnsi="宋体"/>
          <w:bCs/>
          <w:color w:val="FF0000"/>
          <w:sz w:val="24"/>
          <w:highlight w:val="none"/>
          <w:u w:val="single"/>
          <w:lang w:eastAsia="zh-CN"/>
        </w:rPr>
        <w:t>日</w:t>
      </w:r>
      <w:r>
        <w:rPr>
          <w:rFonts w:hint="eastAsia" w:ascii="宋体" w:hAnsi="宋体"/>
          <w:bCs/>
          <w:color w:val="FF0000"/>
          <w:sz w:val="24"/>
          <w:highlight w:val="none"/>
          <w:u w:val="single"/>
          <w:lang w:val="en-US" w:eastAsia="zh-CN"/>
        </w:rPr>
        <w:t>9</w:t>
      </w:r>
      <w:r>
        <w:rPr>
          <w:rFonts w:hint="eastAsia" w:ascii="宋体" w:hAnsi="宋体"/>
          <w:bCs/>
          <w:color w:val="FF0000"/>
          <w:sz w:val="24"/>
          <w:highlight w:val="none"/>
          <w:u w:val="single"/>
          <w:lang w:eastAsia="zh-CN"/>
        </w:rPr>
        <w:t>时30分</w:t>
      </w:r>
      <w:r>
        <w:rPr>
          <w:rFonts w:hint="eastAsia" w:ascii="宋体" w:hAnsi="宋体"/>
          <w:bCs/>
          <w:sz w:val="24"/>
          <w:highlight w:val="none"/>
          <w:u w:val="single"/>
          <w:lang w:eastAsia="zh-CN"/>
        </w:rPr>
        <w:t>（北京时间</w:t>
      </w:r>
      <w:r>
        <w:rPr>
          <w:rFonts w:hint="eastAsia" w:ascii="宋体" w:hAnsi="宋体"/>
          <w:bCs/>
          <w:sz w:val="24"/>
          <w:highlight w:val="none"/>
          <w:u w:val="single"/>
          <w:lang w:eastAsia="zh-CN"/>
        </w:rPr>
        <w:t>）</w:t>
      </w:r>
      <w:r>
        <w:rPr>
          <w:rFonts w:hint="eastAsia" w:ascii="宋体" w:hAnsi="宋体"/>
          <w:bCs/>
          <w:sz w:val="24"/>
          <w:highlight w:val="none"/>
        </w:rPr>
        <w:t>前提交投标文件。</w:t>
      </w:r>
    </w:p>
    <w:p w14:paraId="22A21E22">
      <w:pPr>
        <w:rPr>
          <w:rFonts w:hint="eastAsia"/>
          <w:highlight w:val="none"/>
        </w:rPr>
      </w:pPr>
    </w:p>
    <w:p w14:paraId="53BF505D">
      <w:pPr>
        <w:pStyle w:val="35"/>
        <w:shd w:val="clear" w:color="auto" w:fill="FFFFFF"/>
        <w:spacing w:before="0" w:beforeAutospacing="0" w:after="0" w:afterAutospacing="0" w:line="360" w:lineRule="auto"/>
        <w:ind w:firstLine="420"/>
        <w:jc w:val="both"/>
        <w:rPr>
          <w:rFonts w:cs="宋体"/>
          <w:szCs w:val="24"/>
          <w:highlight w:val="none"/>
        </w:rPr>
      </w:pPr>
      <w:r>
        <w:rPr>
          <w:rFonts w:cs="宋体"/>
          <w:szCs w:val="24"/>
          <w:highlight w:val="none"/>
          <w:shd w:val="clear" w:color="auto" w:fill="FFFFFF"/>
        </w:rPr>
        <w:t>一、项目基本情况</w:t>
      </w:r>
    </w:p>
    <w:p w14:paraId="5A2EA268">
      <w:pPr>
        <w:pStyle w:val="35"/>
        <w:shd w:val="clear" w:color="auto" w:fill="FFFFFF"/>
        <w:spacing w:before="0" w:beforeAutospacing="0" w:after="0" w:afterAutospacing="0" w:line="360" w:lineRule="auto"/>
        <w:ind w:firstLine="420"/>
        <w:jc w:val="both"/>
        <w:rPr>
          <w:rFonts w:hint="default" w:cs="宋体"/>
          <w:kern w:val="2"/>
          <w:szCs w:val="24"/>
          <w:highlight w:val="none"/>
          <w:lang w:val="en-US" w:eastAsia="zh-CN"/>
        </w:rPr>
      </w:pPr>
      <w:r>
        <w:rPr>
          <w:rFonts w:cs="宋体"/>
          <w:kern w:val="2"/>
          <w:szCs w:val="24"/>
          <w:highlight w:val="none"/>
        </w:rPr>
        <w:t>1.项目编号：</w:t>
      </w:r>
      <w:r>
        <w:rPr>
          <w:rFonts w:hint="eastAsia" w:cs="宋体"/>
          <w:kern w:val="2"/>
          <w:szCs w:val="24"/>
          <w:highlight w:val="none"/>
          <w:lang w:val="en-US" w:eastAsia="zh-CN"/>
        </w:rPr>
        <w:t>采购项目-【2025】-00198号</w:t>
      </w:r>
    </w:p>
    <w:p w14:paraId="4CA0080B">
      <w:pPr>
        <w:pStyle w:val="35"/>
        <w:shd w:val="clear" w:color="auto" w:fill="FFFFFF"/>
        <w:spacing w:before="0" w:beforeAutospacing="0" w:after="0" w:afterAutospacing="0" w:line="360" w:lineRule="auto"/>
        <w:ind w:firstLine="420"/>
        <w:jc w:val="both"/>
        <w:rPr>
          <w:rFonts w:hint="eastAsia" w:cs="宋体"/>
          <w:kern w:val="2"/>
          <w:szCs w:val="24"/>
          <w:highlight w:val="none"/>
          <w:lang w:val="en-US" w:eastAsia="zh-CN"/>
        </w:rPr>
      </w:pPr>
      <w:r>
        <w:rPr>
          <w:rFonts w:cs="宋体"/>
          <w:kern w:val="2"/>
          <w:szCs w:val="24"/>
          <w:highlight w:val="none"/>
        </w:rPr>
        <w:t>2.项目名称：</w:t>
      </w:r>
      <w:r>
        <w:rPr>
          <w:rFonts w:hint="eastAsia" w:cs="宋体"/>
          <w:kern w:val="2"/>
          <w:szCs w:val="24"/>
          <w:highlight w:val="none"/>
          <w:lang w:val="en-US" w:eastAsia="zh-CN"/>
        </w:rPr>
        <w:t>2025年汽开区绿化养护管理服务</w:t>
      </w:r>
    </w:p>
    <w:p w14:paraId="12A719D4">
      <w:pPr>
        <w:pStyle w:val="35"/>
        <w:shd w:val="clear" w:color="auto" w:fill="FFFFFF"/>
        <w:spacing w:before="0" w:beforeAutospacing="0" w:after="0" w:afterAutospacing="0" w:line="360" w:lineRule="auto"/>
        <w:ind w:firstLine="420"/>
        <w:jc w:val="both"/>
        <w:rPr>
          <w:rFonts w:hint="default" w:cs="宋体"/>
          <w:kern w:val="2"/>
          <w:szCs w:val="24"/>
          <w:highlight w:val="none"/>
          <w:lang w:val="en-US" w:eastAsia="zh-CN"/>
        </w:rPr>
      </w:pPr>
      <w:r>
        <w:rPr>
          <w:rFonts w:hint="eastAsia" w:cs="宋体"/>
          <w:kern w:val="2"/>
          <w:szCs w:val="24"/>
          <w:highlight w:val="none"/>
          <w:lang w:val="en-US" w:eastAsia="zh-CN"/>
        </w:rPr>
        <w:t>3.标段划分：本项目六个标段</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5"/>
        <w:gridCol w:w="1440"/>
        <w:gridCol w:w="2275"/>
        <w:gridCol w:w="1536"/>
        <w:gridCol w:w="1536"/>
      </w:tblGrid>
      <w:tr w14:paraId="7F015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5" w:type="dxa"/>
            <w:vAlign w:val="center"/>
          </w:tcPr>
          <w:p w14:paraId="6DE5392B">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vertAlign w:val="baseline"/>
                <w:lang w:val="en-US" w:eastAsia="zh-CN"/>
              </w:rPr>
              <w:t>标段名称</w:t>
            </w:r>
          </w:p>
        </w:tc>
        <w:tc>
          <w:tcPr>
            <w:tcW w:w="1440" w:type="dxa"/>
            <w:vAlign w:val="center"/>
          </w:tcPr>
          <w:p w14:paraId="79ED6EE1">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vertAlign w:val="baseline"/>
                <w:lang w:val="en-US" w:eastAsia="zh-CN"/>
              </w:rPr>
              <w:t>标段编号</w:t>
            </w:r>
          </w:p>
        </w:tc>
        <w:tc>
          <w:tcPr>
            <w:tcW w:w="2275" w:type="dxa"/>
            <w:vAlign w:val="center"/>
          </w:tcPr>
          <w:p w14:paraId="563F79F3">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vertAlign w:val="baseline"/>
                <w:lang w:val="en-US" w:eastAsia="zh-CN"/>
              </w:rPr>
              <w:t>服务要求</w:t>
            </w:r>
          </w:p>
        </w:tc>
        <w:tc>
          <w:tcPr>
            <w:tcW w:w="1536" w:type="dxa"/>
            <w:vAlign w:val="center"/>
          </w:tcPr>
          <w:p w14:paraId="713F5075">
            <w:pPr>
              <w:pStyle w:val="35"/>
              <w:keepNext w:val="0"/>
              <w:keepLines w:val="0"/>
              <w:suppressLineNumbers w:val="0"/>
              <w:spacing w:before="0" w:beforeAutospacing="0" w:after="0" w:afterAutospacing="0" w:line="360" w:lineRule="auto"/>
              <w:ind w:left="0" w:right="0"/>
              <w:jc w:val="center"/>
              <w:rPr>
                <w:rFonts w:hint="eastAsia" w:cs="宋体"/>
                <w:kern w:val="2"/>
                <w:sz w:val="21"/>
                <w:szCs w:val="21"/>
                <w:highlight w:val="none"/>
                <w:lang w:val="en-US" w:eastAsia="zh-CN"/>
              </w:rPr>
            </w:pPr>
            <w:r>
              <w:rPr>
                <w:rFonts w:hint="eastAsia" w:cs="宋体"/>
                <w:kern w:val="2"/>
                <w:sz w:val="21"/>
                <w:szCs w:val="21"/>
                <w:highlight w:val="none"/>
                <w:lang w:val="en-US" w:eastAsia="zh-CN"/>
              </w:rPr>
              <w:t xml:space="preserve">预算金额 </w:t>
            </w:r>
          </w:p>
          <w:p w14:paraId="6C2C5B66">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（万元）</w:t>
            </w:r>
          </w:p>
        </w:tc>
        <w:tc>
          <w:tcPr>
            <w:tcW w:w="1536" w:type="dxa"/>
            <w:vAlign w:val="center"/>
          </w:tcPr>
          <w:p w14:paraId="3FCCF4F3">
            <w:pPr>
              <w:pStyle w:val="35"/>
              <w:keepNext w:val="0"/>
              <w:keepLines w:val="0"/>
              <w:suppressLineNumbers w:val="0"/>
              <w:spacing w:before="0" w:beforeAutospacing="0" w:after="0" w:afterAutospacing="0" w:line="360" w:lineRule="auto"/>
              <w:ind w:left="0" w:right="0"/>
              <w:jc w:val="center"/>
              <w:rPr>
                <w:rFonts w:hint="eastAsia" w:cs="宋体"/>
                <w:kern w:val="2"/>
                <w:sz w:val="21"/>
                <w:szCs w:val="21"/>
                <w:highlight w:val="none"/>
                <w:lang w:val="en-US" w:eastAsia="zh-CN"/>
              </w:rPr>
            </w:pPr>
            <w:r>
              <w:rPr>
                <w:rFonts w:hint="eastAsia" w:cs="宋体"/>
                <w:kern w:val="2"/>
                <w:sz w:val="21"/>
                <w:szCs w:val="21"/>
                <w:highlight w:val="none"/>
                <w:lang w:val="en-US" w:eastAsia="zh-CN"/>
              </w:rPr>
              <w:t>最高限价</w:t>
            </w:r>
          </w:p>
          <w:p w14:paraId="0166DF2D">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（万元）</w:t>
            </w:r>
          </w:p>
        </w:tc>
      </w:tr>
      <w:tr w14:paraId="7D326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5" w:type="dxa"/>
            <w:vAlign w:val="center"/>
          </w:tcPr>
          <w:p w14:paraId="23171D2A">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2025年汽开区绿化养护管理服务一标段</w:t>
            </w:r>
          </w:p>
        </w:tc>
        <w:tc>
          <w:tcPr>
            <w:tcW w:w="1440" w:type="dxa"/>
            <w:vAlign w:val="center"/>
          </w:tcPr>
          <w:p w14:paraId="7AED009C">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default" w:cs="宋体"/>
                <w:kern w:val="2"/>
                <w:sz w:val="21"/>
                <w:szCs w:val="21"/>
                <w:highlight w:val="none"/>
                <w:vertAlign w:val="baseline"/>
                <w:lang w:val="en-US" w:eastAsia="zh-CN"/>
              </w:rPr>
              <w:t>采购项目-【2025】-00198号</w:t>
            </w:r>
            <w:r>
              <w:rPr>
                <w:rFonts w:hint="eastAsia" w:cs="宋体"/>
                <w:kern w:val="2"/>
                <w:sz w:val="21"/>
                <w:szCs w:val="21"/>
                <w:highlight w:val="none"/>
                <w:vertAlign w:val="baseline"/>
                <w:lang w:val="en-US" w:eastAsia="zh-CN"/>
              </w:rPr>
              <w:t>-1</w:t>
            </w:r>
          </w:p>
        </w:tc>
        <w:tc>
          <w:tcPr>
            <w:tcW w:w="2275" w:type="dxa"/>
            <w:vAlign w:val="center"/>
          </w:tcPr>
          <w:p w14:paraId="1C557B00">
            <w:pPr>
              <w:keepNext w:val="0"/>
              <w:keepLines w:val="0"/>
              <w:suppressLineNumbers w:val="0"/>
              <w:spacing w:before="0" w:beforeAutospacing="0" w:after="0" w:afterAutospacing="0"/>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丰采街、星宇街、丰硕路、首善大路、建达路（含22年工程）、前程路（含建设局工程）、丰发街（含22年工程）、华展街（含22年工程）、丰富路、安庆路（含马拉松）、锦程大街、杨柳大街、飞跃路（含马拉松）、安顺路、长沈路、奔驰路、革新路、东锦路、振兴路、安康路、50街区绿地、丰越大路（含建设局工程）、大众路、东风南街、明鑫路、老警备路。</w:t>
            </w:r>
          </w:p>
        </w:tc>
        <w:tc>
          <w:tcPr>
            <w:tcW w:w="1536" w:type="dxa"/>
            <w:vAlign w:val="center"/>
          </w:tcPr>
          <w:p w14:paraId="1B9BEE8C">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941.170223</w:t>
            </w:r>
          </w:p>
        </w:tc>
        <w:tc>
          <w:tcPr>
            <w:tcW w:w="1536" w:type="dxa"/>
            <w:vAlign w:val="center"/>
          </w:tcPr>
          <w:p w14:paraId="5C9C56E5">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941.170223</w:t>
            </w:r>
          </w:p>
        </w:tc>
      </w:tr>
      <w:tr w14:paraId="1186A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5" w:type="dxa"/>
            <w:vAlign w:val="center"/>
          </w:tcPr>
          <w:p w14:paraId="0E06FE86">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2025年汽开区绿化养护管理服务二标段</w:t>
            </w:r>
          </w:p>
        </w:tc>
        <w:tc>
          <w:tcPr>
            <w:tcW w:w="1440" w:type="dxa"/>
            <w:vAlign w:val="center"/>
          </w:tcPr>
          <w:p w14:paraId="18995887">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default" w:cs="宋体"/>
                <w:kern w:val="2"/>
                <w:sz w:val="21"/>
                <w:szCs w:val="21"/>
                <w:highlight w:val="none"/>
                <w:vertAlign w:val="baseline"/>
                <w:lang w:val="en-US" w:eastAsia="zh-CN"/>
              </w:rPr>
              <w:t>采购项目-【2025】-00198号</w:t>
            </w:r>
            <w:r>
              <w:rPr>
                <w:rFonts w:hint="eastAsia" w:cs="宋体"/>
                <w:kern w:val="2"/>
                <w:sz w:val="21"/>
                <w:szCs w:val="21"/>
                <w:highlight w:val="none"/>
                <w:vertAlign w:val="baseline"/>
                <w:lang w:val="en-US" w:eastAsia="zh-CN"/>
              </w:rPr>
              <w:t>-2</w:t>
            </w:r>
          </w:p>
        </w:tc>
        <w:tc>
          <w:tcPr>
            <w:tcW w:w="2275" w:type="dxa"/>
            <w:shd w:val="clear" w:color="auto" w:fill="auto"/>
            <w:vAlign w:val="center"/>
          </w:tcPr>
          <w:p w14:paraId="61B1E8E2">
            <w:pPr>
              <w:keepNext w:val="0"/>
              <w:keepLines w:val="0"/>
              <w:suppressLineNumbers w:val="0"/>
              <w:spacing w:before="0" w:beforeAutospacing="0" w:after="0" w:afterAutospacing="0"/>
              <w:ind w:left="0" w:right="0"/>
              <w:jc w:val="center"/>
              <w:rPr>
                <w:rFonts w:hint="default" w:ascii="Times New Roman" w:hAnsi="Times New Roman" w:eastAsia="宋体" w:cs="宋体"/>
                <w:kern w:val="2"/>
                <w:sz w:val="21"/>
                <w:szCs w:val="21"/>
                <w:highlight w:val="none"/>
                <w:lang w:val="en-US" w:eastAsia="zh-CN" w:bidi="ar-SA"/>
              </w:rPr>
            </w:pPr>
            <w:r>
              <w:rPr>
                <w:rFonts w:hint="eastAsia" w:cs="宋体"/>
                <w:kern w:val="2"/>
                <w:sz w:val="21"/>
                <w:szCs w:val="21"/>
                <w:highlight w:val="none"/>
                <w:lang w:val="en-US" w:eastAsia="zh-CN"/>
              </w:rPr>
              <w:t>乙七街（建设局-中铁城西侧师大附中西湖学校门口）、大众街、三角广场、昆仑一路、昆仑二路、文光路、文明路、迎春路、迎春南路、迎春北路、长青路（含马拉松）、日新路、春城大街、创业大街（含马拉松、国税局绿化工程）、正阳街、支农大街、九院胡同、香苑路、大桥南广场、恒信路、春光路、越野路（含马拉松）、西环城路、正阳广场（含马拉松）、开平街、佳森街、森雅路（含建设局工程、22年工程）、佳宝路、乙三路、和谐大街、景阳大路、南阳路、红领巾路、高力北路、高力中路、高力南路、速腾路、洛阳路、康泰街、康宁路、自立街、和平大街、四联大街、四联一路、洛阳西街、自兴路、二十二北路、教育广场。</w:t>
            </w:r>
          </w:p>
        </w:tc>
        <w:tc>
          <w:tcPr>
            <w:tcW w:w="1536" w:type="dxa"/>
            <w:vAlign w:val="center"/>
          </w:tcPr>
          <w:p w14:paraId="48F77817">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975.241323</w:t>
            </w:r>
          </w:p>
        </w:tc>
        <w:tc>
          <w:tcPr>
            <w:tcW w:w="1536" w:type="dxa"/>
            <w:vAlign w:val="center"/>
          </w:tcPr>
          <w:p w14:paraId="6DD6EDAE">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975.241323</w:t>
            </w:r>
          </w:p>
        </w:tc>
      </w:tr>
      <w:tr w14:paraId="2DE57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5" w:type="dxa"/>
            <w:vAlign w:val="center"/>
          </w:tcPr>
          <w:p w14:paraId="30C11950">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2025年汽开区绿化养护管理服务三标段</w:t>
            </w:r>
          </w:p>
        </w:tc>
        <w:tc>
          <w:tcPr>
            <w:tcW w:w="1440" w:type="dxa"/>
            <w:vAlign w:val="center"/>
          </w:tcPr>
          <w:p w14:paraId="74A38E38">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default" w:cs="宋体"/>
                <w:kern w:val="2"/>
                <w:sz w:val="21"/>
                <w:szCs w:val="21"/>
                <w:highlight w:val="none"/>
                <w:vertAlign w:val="baseline"/>
                <w:lang w:val="en-US" w:eastAsia="zh-CN"/>
              </w:rPr>
              <w:t>采购项目-【2025】-00198号</w:t>
            </w:r>
            <w:r>
              <w:rPr>
                <w:rFonts w:hint="eastAsia" w:cs="宋体"/>
                <w:kern w:val="2"/>
                <w:sz w:val="21"/>
                <w:szCs w:val="21"/>
                <w:highlight w:val="none"/>
                <w:vertAlign w:val="baseline"/>
                <w:lang w:val="en-US" w:eastAsia="zh-CN"/>
              </w:rPr>
              <w:t>-3</w:t>
            </w:r>
          </w:p>
        </w:tc>
        <w:tc>
          <w:tcPr>
            <w:tcW w:w="2275" w:type="dxa"/>
            <w:vAlign w:val="center"/>
          </w:tcPr>
          <w:p w14:paraId="389917F4">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骏派街（东风大街-丙二十六路）、丙二十六路（丙五街至乙三街）、丙二十六路(乙三街至前场路）、丙二十九路（丙五街至乙三街）、丙二十九路（乙三街至前程路)、丙二十六路至东风大街、乙三街（丙二十六路-东风大街）、乙十路、俊派街、丙三十五路（富学路）、东风大街、兴安路（含马拉松）、红旗广场、椰林公园、丙三街、丙五路、丙六街、丙七街、垃圾转运站、污水处理厂辅路、丙三十七路、富奥大路、乙一路。</w:t>
            </w:r>
          </w:p>
        </w:tc>
        <w:tc>
          <w:tcPr>
            <w:tcW w:w="1536" w:type="dxa"/>
            <w:vAlign w:val="center"/>
          </w:tcPr>
          <w:p w14:paraId="1F1DE809">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1252.723331</w:t>
            </w:r>
          </w:p>
        </w:tc>
        <w:tc>
          <w:tcPr>
            <w:tcW w:w="1536" w:type="dxa"/>
            <w:vAlign w:val="center"/>
          </w:tcPr>
          <w:p w14:paraId="7FCDA847">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1252.723331</w:t>
            </w:r>
          </w:p>
        </w:tc>
      </w:tr>
      <w:tr w14:paraId="0D48B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5" w:type="dxa"/>
            <w:vAlign w:val="center"/>
          </w:tcPr>
          <w:p w14:paraId="782C0135">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2025年汽开区绿化养护管理服务四标段</w:t>
            </w:r>
          </w:p>
        </w:tc>
        <w:tc>
          <w:tcPr>
            <w:tcW w:w="1440" w:type="dxa"/>
            <w:vAlign w:val="center"/>
          </w:tcPr>
          <w:p w14:paraId="3347DCA3">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default" w:cs="宋体"/>
                <w:kern w:val="2"/>
                <w:sz w:val="21"/>
                <w:szCs w:val="21"/>
                <w:highlight w:val="none"/>
                <w:vertAlign w:val="baseline"/>
                <w:lang w:val="en-US" w:eastAsia="zh-CN"/>
              </w:rPr>
              <w:t>采购项目-【2025】-00198号</w:t>
            </w:r>
            <w:r>
              <w:rPr>
                <w:rFonts w:hint="eastAsia" w:cs="宋体"/>
                <w:kern w:val="2"/>
                <w:sz w:val="21"/>
                <w:szCs w:val="21"/>
                <w:highlight w:val="none"/>
                <w:vertAlign w:val="baseline"/>
                <w:lang w:val="en-US" w:eastAsia="zh-CN"/>
              </w:rPr>
              <w:t>-4</w:t>
            </w:r>
          </w:p>
        </w:tc>
        <w:tc>
          <w:tcPr>
            <w:tcW w:w="2275" w:type="dxa"/>
            <w:vAlign w:val="center"/>
          </w:tcPr>
          <w:p w14:paraId="329F78EA">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西湖大路（含马拉松）、兴达路、大洲广场、无名路（奔腾瑞马单位北墙）、腾飞南路、宝来街、明达路、高尔夫路、凯达南街、兴顺路、河滨北路、迈腾街、奔腾街、丙二十一街、锦绣公园、锦程公园。</w:t>
            </w:r>
          </w:p>
        </w:tc>
        <w:tc>
          <w:tcPr>
            <w:tcW w:w="1536" w:type="dxa"/>
            <w:vAlign w:val="center"/>
          </w:tcPr>
          <w:p w14:paraId="102E785E">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991.991305</w:t>
            </w:r>
          </w:p>
        </w:tc>
        <w:tc>
          <w:tcPr>
            <w:tcW w:w="1536" w:type="dxa"/>
            <w:vAlign w:val="center"/>
          </w:tcPr>
          <w:p w14:paraId="50F3FD05">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991.991305</w:t>
            </w:r>
          </w:p>
        </w:tc>
      </w:tr>
      <w:tr w14:paraId="212E6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5" w:type="dxa"/>
            <w:vAlign w:val="center"/>
          </w:tcPr>
          <w:p w14:paraId="27864C76">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2025年汽开区绿化养护管理服务五标段</w:t>
            </w:r>
          </w:p>
        </w:tc>
        <w:tc>
          <w:tcPr>
            <w:tcW w:w="1440" w:type="dxa"/>
            <w:vAlign w:val="center"/>
          </w:tcPr>
          <w:p w14:paraId="516A62C1">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default" w:cs="宋体"/>
                <w:kern w:val="2"/>
                <w:sz w:val="21"/>
                <w:szCs w:val="21"/>
                <w:highlight w:val="none"/>
                <w:vertAlign w:val="baseline"/>
                <w:lang w:val="en-US" w:eastAsia="zh-CN"/>
              </w:rPr>
              <w:t>采购项目-【2025】-00198号</w:t>
            </w:r>
            <w:r>
              <w:rPr>
                <w:rFonts w:hint="eastAsia" w:cs="宋体"/>
                <w:kern w:val="2"/>
                <w:sz w:val="21"/>
                <w:szCs w:val="21"/>
                <w:highlight w:val="none"/>
                <w:vertAlign w:val="baseline"/>
                <w:lang w:val="en-US" w:eastAsia="zh-CN"/>
              </w:rPr>
              <w:t>-5</w:t>
            </w:r>
          </w:p>
        </w:tc>
        <w:tc>
          <w:tcPr>
            <w:tcW w:w="2275" w:type="dxa"/>
            <w:vAlign w:val="center"/>
          </w:tcPr>
          <w:p w14:paraId="02995DB9">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汽车大路、万达周边、万达广场、香缇路、薇姿街、威乐路、西昌路（含马拉松）、汽车公园周边、管委会周边、管委会东侧华航绿化彩化、管委会北侧绿化彩化、河滨东街。</w:t>
            </w:r>
          </w:p>
        </w:tc>
        <w:tc>
          <w:tcPr>
            <w:tcW w:w="1536" w:type="dxa"/>
            <w:vAlign w:val="center"/>
          </w:tcPr>
          <w:p w14:paraId="71E5CE06">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1066.161698</w:t>
            </w:r>
          </w:p>
        </w:tc>
        <w:tc>
          <w:tcPr>
            <w:tcW w:w="1536" w:type="dxa"/>
            <w:vAlign w:val="center"/>
          </w:tcPr>
          <w:p w14:paraId="3796FF12">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1066.161698</w:t>
            </w:r>
          </w:p>
        </w:tc>
      </w:tr>
      <w:tr w14:paraId="72B8F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5" w:type="dxa"/>
            <w:vAlign w:val="center"/>
          </w:tcPr>
          <w:p w14:paraId="72678329">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2025年汽开区绿化养护管理服务六标段</w:t>
            </w:r>
          </w:p>
        </w:tc>
        <w:tc>
          <w:tcPr>
            <w:tcW w:w="1440" w:type="dxa"/>
            <w:vAlign w:val="center"/>
          </w:tcPr>
          <w:p w14:paraId="17AFC089">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default" w:cs="宋体"/>
                <w:kern w:val="2"/>
                <w:sz w:val="21"/>
                <w:szCs w:val="21"/>
                <w:highlight w:val="none"/>
                <w:vertAlign w:val="baseline"/>
                <w:lang w:val="en-US" w:eastAsia="zh-CN"/>
              </w:rPr>
              <w:t>采购项目-【2025】-00198号</w:t>
            </w:r>
            <w:r>
              <w:rPr>
                <w:rFonts w:hint="eastAsia" w:cs="宋体"/>
                <w:kern w:val="2"/>
                <w:sz w:val="21"/>
                <w:szCs w:val="21"/>
                <w:highlight w:val="none"/>
                <w:vertAlign w:val="baseline"/>
                <w:lang w:val="en-US" w:eastAsia="zh-CN"/>
              </w:rPr>
              <w:t>-6</w:t>
            </w:r>
          </w:p>
        </w:tc>
        <w:tc>
          <w:tcPr>
            <w:tcW w:w="2275" w:type="dxa"/>
            <w:vAlign w:val="center"/>
          </w:tcPr>
          <w:p w14:paraId="46842370">
            <w:pPr>
              <w:keepNext w:val="0"/>
              <w:keepLines w:val="0"/>
              <w:suppressLineNumbers w:val="0"/>
              <w:spacing w:before="0" w:beforeAutospacing="0" w:after="0" w:afterAutospacing="0"/>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富民大街、通达路（含建设局工程）、岱山公园、共青团花园、西新大街、自主大路、自达大街（含22年工程）、夏利路（含22年工程）、常富街（含22年工程）、长虹大路、首创大路（含马拉松）、威驰街（含22年工程）、常兴街、凯达北街（含22年工程）、捷达大路、捷达广场（含22年工程）。</w:t>
            </w:r>
          </w:p>
        </w:tc>
        <w:tc>
          <w:tcPr>
            <w:tcW w:w="1536" w:type="dxa"/>
            <w:vAlign w:val="center"/>
          </w:tcPr>
          <w:p w14:paraId="436423C5">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1082.557538</w:t>
            </w:r>
          </w:p>
        </w:tc>
        <w:tc>
          <w:tcPr>
            <w:tcW w:w="1536" w:type="dxa"/>
            <w:vAlign w:val="center"/>
          </w:tcPr>
          <w:p w14:paraId="785758D7">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lang w:val="en-US" w:eastAsia="zh-CN"/>
              </w:rPr>
              <w:t>1082.557538</w:t>
            </w:r>
          </w:p>
        </w:tc>
      </w:tr>
      <w:tr w14:paraId="6F2B7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tcPr>
          <w:p w14:paraId="705A8444">
            <w:pPr>
              <w:pStyle w:val="35"/>
              <w:keepNext w:val="0"/>
              <w:keepLines w:val="0"/>
              <w:suppressLineNumbers w:val="0"/>
              <w:spacing w:before="0" w:beforeAutospacing="0" w:after="0" w:afterAutospacing="0" w:line="360" w:lineRule="auto"/>
              <w:ind w:left="0" w:right="0"/>
              <w:jc w:val="center"/>
              <w:rPr>
                <w:rFonts w:hint="default" w:cs="宋体"/>
                <w:kern w:val="2"/>
                <w:sz w:val="21"/>
                <w:szCs w:val="21"/>
                <w:highlight w:val="none"/>
                <w:vertAlign w:val="baseline"/>
                <w:lang w:val="en-US" w:eastAsia="zh-CN"/>
              </w:rPr>
            </w:pPr>
            <w:r>
              <w:rPr>
                <w:rFonts w:hint="eastAsia" w:cs="宋体"/>
                <w:kern w:val="2"/>
                <w:sz w:val="21"/>
                <w:szCs w:val="21"/>
                <w:highlight w:val="none"/>
                <w:vertAlign w:val="baseline"/>
                <w:lang w:val="en-US" w:eastAsia="zh-CN"/>
              </w:rPr>
              <w:t>以上六个标段服务内容，具体详见工程量清单。</w:t>
            </w:r>
          </w:p>
        </w:tc>
      </w:tr>
    </w:tbl>
    <w:p w14:paraId="5D185A15">
      <w:pPr>
        <w:pStyle w:val="35"/>
        <w:shd w:val="clear" w:color="auto" w:fill="FFFFFF"/>
        <w:spacing w:before="0" w:beforeAutospacing="0" w:after="0" w:afterAutospacing="0" w:line="360" w:lineRule="auto"/>
        <w:ind w:firstLine="420"/>
        <w:jc w:val="both"/>
        <w:rPr>
          <w:rFonts w:hint="default" w:cs="宋体"/>
          <w:kern w:val="2"/>
          <w:szCs w:val="24"/>
          <w:highlight w:val="none"/>
          <w:lang w:val="en-US" w:eastAsia="zh-CN"/>
        </w:rPr>
      </w:pPr>
    </w:p>
    <w:p w14:paraId="58A809C0">
      <w:pPr>
        <w:pStyle w:val="35"/>
        <w:shd w:val="clear" w:color="auto" w:fill="FFFFFF"/>
        <w:spacing w:before="0" w:beforeAutospacing="0" w:after="0" w:afterAutospacing="0" w:line="360" w:lineRule="auto"/>
        <w:ind w:firstLine="420"/>
        <w:jc w:val="both"/>
        <w:rPr>
          <w:rFonts w:cs="宋体"/>
          <w:kern w:val="2"/>
          <w:szCs w:val="24"/>
          <w:highlight w:val="none"/>
        </w:rPr>
      </w:pPr>
      <w:r>
        <w:rPr>
          <w:rFonts w:hint="eastAsia" w:cs="宋体"/>
          <w:kern w:val="2"/>
          <w:szCs w:val="24"/>
          <w:highlight w:val="none"/>
          <w:lang w:val="en-US" w:eastAsia="zh-CN"/>
        </w:rPr>
        <w:t>4</w:t>
      </w:r>
      <w:r>
        <w:rPr>
          <w:rFonts w:cs="宋体"/>
          <w:kern w:val="2"/>
          <w:szCs w:val="24"/>
          <w:highlight w:val="none"/>
        </w:rPr>
        <w:t>.合同履行期限：</w:t>
      </w:r>
      <w:r>
        <w:rPr>
          <w:rFonts w:hint="eastAsia" w:ascii="宋体" w:hAnsi="宋体"/>
          <w:b w:val="0"/>
          <w:bCs/>
          <w:sz w:val="24"/>
          <w:szCs w:val="24"/>
          <w:highlight w:val="none"/>
        </w:rPr>
        <w:t>自合同签订之日起一年</w:t>
      </w:r>
    </w:p>
    <w:p w14:paraId="6EF8A85A">
      <w:pPr>
        <w:pStyle w:val="35"/>
        <w:shd w:val="clear" w:color="auto" w:fill="FFFFFF"/>
        <w:spacing w:before="0" w:beforeAutospacing="0" w:after="0" w:afterAutospacing="0" w:line="360" w:lineRule="auto"/>
        <w:ind w:firstLine="420"/>
        <w:jc w:val="both"/>
        <w:rPr>
          <w:rFonts w:cs="宋体"/>
          <w:color w:val="auto"/>
          <w:kern w:val="2"/>
          <w:szCs w:val="24"/>
          <w:highlight w:val="none"/>
        </w:rPr>
      </w:pPr>
      <w:r>
        <w:rPr>
          <w:rFonts w:hint="eastAsia" w:cs="宋体"/>
          <w:color w:val="auto"/>
          <w:kern w:val="2"/>
          <w:szCs w:val="24"/>
          <w:highlight w:val="none"/>
          <w:lang w:val="en-US" w:eastAsia="zh-CN"/>
        </w:rPr>
        <w:t>5</w:t>
      </w:r>
      <w:r>
        <w:rPr>
          <w:rFonts w:cs="宋体"/>
          <w:color w:val="auto"/>
          <w:kern w:val="2"/>
          <w:szCs w:val="24"/>
          <w:highlight w:val="none"/>
        </w:rPr>
        <w:t>.服务地点：采购人指定</w:t>
      </w:r>
      <w:r>
        <w:rPr>
          <w:rFonts w:hint="eastAsia" w:cs="宋体"/>
          <w:color w:val="auto"/>
          <w:kern w:val="2"/>
          <w:szCs w:val="24"/>
          <w:highlight w:val="none"/>
          <w:lang w:val="en-US" w:eastAsia="zh-CN"/>
        </w:rPr>
        <w:t>地点</w:t>
      </w:r>
      <w:r>
        <w:rPr>
          <w:rFonts w:cs="宋体"/>
          <w:color w:val="auto"/>
          <w:kern w:val="2"/>
          <w:szCs w:val="24"/>
          <w:highlight w:val="none"/>
        </w:rPr>
        <w:t>。</w:t>
      </w:r>
    </w:p>
    <w:p w14:paraId="4CC9D2AD">
      <w:pPr>
        <w:pStyle w:val="35"/>
        <w:shd w:val="clear" w:color="auto" w:fill="FFFFFF"/>
        <w:spacing w:before="0" w:beforeAutospacing="0" w:after="0" w:afterAutospacing="0" w:line="360" w:lineRule="auto"/>
        <w:ind w:firstLine="420"/>
        <w:jc w:val="both"/>
        <w:rPr>
          <w:rFonts w:cs="宋体"/>
          <w:color w:val="auto"/>
          <w:kern w:val="2"/>
          <w:szCs w:val="24"/>
          <w:highlight w:val="none"/>
        </w:rPr>
      </w:pPr>
      <w:r>
        <w:rPr>
          <w:rFonts w:hint="eastAsia" w:cs="宋体"/>
          <w:color w:val="auto"/>
          <w:kern w:val="2"/>
          <w:szCs w:val="24"/>
          <w:highlight w:val="none"/>
          <w:lang w:val="en-US" w:eastAsia="zh-CN"/>
        </w:rPr>
        <w:t>6</w:t>
      </w:r>
      <w:r>
        <w:rPr>
          <w:rFonts w:cs="宋体"/>
          <w:color w:val="auto"/>
          <w:kern w:val="2"/>
          <w:szCs w:val="24"/>
          <w:highlight w:val="none"/>
        </w:rPr>
        <w:t>.</w:t>
      </w:r>
      <w:r>
        <w:rPr>
          <w:rFonts w:hint="eastAsia" w:ascii="宋体" w:hAnsi="宋体" w:cs="宋体"/>
          <w:szCs w:val="21"/>
          <w:highlight w:val="none"/>
        </w:rPr>
        <w:t>服务质量</w:t>
      </w:r>
      <w:r>
        <w:rPr>
          <w:rFonts w:cs="宋体"/>
          <w:color w:val="auto"/>
          <w:kern w:val="2"/>
          <w:szCs w:val="24"/>
          <w:highlight w:val="none"/>
        </w:rPr>
        <w:t>：</w:t>
      </w:r>
      <w:r>
        <w:rPr>
          <w:rFonts w:hint="eastAsia" w:cs="宋体"/>
          <w:color w:val="auto"/>
          <w:kern w:val="2"/>
          <w:szCs w:val="24"/>
          <w:highlight w:val="none"/>
          <w:lang w:val="en-US" w:eastAsia="zh-CN"/>
        </w:rPr>
        <w:t>绿化养护一级标准</w:t>
      </w:r>
      <w:r>
        <w:rPr>
          <w:rFonts w:cs="宋体"/>
          <w:color w:val="auto"/>
          <w:kern w:val="2"/>
          <w:szCs w:val="24"/>
          <w:highlight w:val="none"/>
        </w:rPr>
        <w:t>。</w:t>
      </w:r>
    </w:p>
    <w:p w14:paraId="18AE801A">
      <w:pPr>
        <w:pStyle w:val="35"/>
        <w:shd w:val="clear" w:color="auto" w:fill="FFFFFF"/>
        <w:spacing w:before="0" w:beforeAutospacing="0" w:after="0" w:afterAutospacing="0" w:line="360" w:lineRule="auto"/>
        <w:ind w:firstLine="420"/>
        <w:jc w:val="both"/>
        <w:rPr>
          <w:rFonts w:hint="eastAsia" w:cs="宋体"/>
          <w:kern w:val="2"/>
          <w:szCs w:val="24"/>
          <w:highlight w:val="none"/>
          <w:lang w:eastAsia="zh-CN"/>
        </w:rPr>
      </w:pPr>
      <w:r>
        <w:rPr>
          <w:rFonts w:hint="eastAsia" w:cs="宋体"/>
          <w:kern w:val="2"/>
          <w:szCs w:val="24"/>
          <w:highlight w:val="none"/>
          <w:lang w:val="en-US" w:eastAsia="zh-CN"/>
        </w:rPr>
        <w:t>7</w:t>
      </w:r>
      <w:r>
        <w:rPr>
          <w:rFonts w:cs="宋体"/>
          <w:kern w:val="2"/>
          <w:szCs w:val="24"/>
          <w:highlight w:val="none"/>
        </w:rPr>
        <w:t>.本项目</w:t>
      </w:r>
      <w:r>
        <w:rPr>
          <w:rFonts w:cs="宋体"/>
          <w:kern w:val="2"/>
          <w:szCs w:val="24"/>
          <w:highlight w:val="none"/>
          <w:u w:val="single"/>
        </w:rPr>
        <w:t>不接受</w:t>
      </w:r>
      <w:r>
        <w:rPr>
          <w:rFonts w:cs="宋体"/>
          <w:kern w:val="2"/>
          <w:szCs w:val="24"/>
          <w:highlight w:val="none"/>
        </w:rPr>
        <w:t>联合体投标</w:t>
      </w:r>
      <w:r>
        <w:rPr>
          <w:rFonts w:hint="eastAsia" w:cs="宋体"/>
          <w:kern w:val="2"/>
          <w:szCs w:val="24"/>
          <w:highlight w:val="none"/>
          <w:lang w:eastAsia="zh-CN"/>
        </w:rPr>
        <w:t>。</w:t>
      </w:r>
    </w:p>
    <w:p w14:paraId="3BE61D24">
      <w:pPr>
        <w:pStyle w:val="35"/>
        <w:shd w:val="clear" w:color="auto" w:fill="FFFFFF"/>
        <w:spacing w:before="0" w:beforeAutospacing="0" w:after="0" w:afterAutospacing="0" w:line="360" w:lineRule="auto"/>
        <w:ind w:firstLine="420"/>
        <w:jc w:val="both"/>
        <w:rPr>
          <w:rFonts w:hint="eastAsia" w:cs="宋体"/>
          <w:kern w:val="2"/>
          <w:szCs w:val="24"/>
          <w:highlight w:val="none"/>
          <w:lang w:eastAsia="zh-CN"/>
        </w:rPr>
      </w:pPr>
      <w:r>
        <w:rPr>
          <w:rFonts w:hint="eastAsia" w:ascii="宋体" w:hAnsi="宋体" w:eastAsia="宋体" w:cs="宋体"/>
          <w:szCs w:val="21"/>
          <w:highlight w:val="none"/>
          <w:lang w:val="en-US" w:eastAsia="zh-CN"/>
        </w:rPr>
        <w:t>8.本项目可兼投不可兼中。</w:t>
      </w:r>
    </w:p>
    <w:p w14:paraId="4A3DC0C8">
      <w:pPr>
        <w:pStyle w:val="35"/>
        <w:shd w:val="clear" w:color="auto" w:fill="FFFFFF"/>
        <w:spacing w:before="0" w:beforeAutospacing="0" w:after="0" w:afterAutospacing="0" w:line="360" w:lineRule="auto"/>
        <w:ind w:firstLine="420"/>
        <w:jc w:val="both"/>
        <w:rPr>
          <w:rFonts w:cs="宋体"/>
          <w:kern w:val="2"/>
          <w:szCs w:val="24"/>
          <w:highlight w:val="none"/>
        </w:rPr>
      </w:pPr>
      <w:r>
        <w:rPr>
          <w:rFonts w:cs="宋体"/>
          <w:kern w:val="2"/>
          <w:szCs w:val="24"/>
          <w:highlight w:val="none"/>
        </w:rPr>
        <w:t>二、申请人的资格要求：</w:t>
      </w:r>
    </w:p>
    <w:p w14:paraId="0C040783">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1.满足《中华人民共和国政府采购法》第二十二条规定。</w:t>
      </w:r>
    </w:p>
    <w:p w14:paraId="51ED532A">
      <w:pPr>
        <w:autoSpaceDE w:val="0"/>
        <w:autoSpaceDN w:val="0"/>
        <w:adjustRightInd w:val="0"/>
        <w:snapToGrid w:val="0"/>
        <w:spacing w:line="360" w:lineRule="auto"/>
        <w:ind w:left="479" w:leftChars="228"/>
        <w:jc w:val="left"/>
        <w:rPr>
          <w:rFonts w:hint="eastAsia" w:ascii="宋体" w:hAnsi="宋体" w:cs="宋体"/>
          <w:sz w:val="24"/>
          <w:highlight w:val="none"/>
        </w:rPr>
      </w:pPr>
      <w:r>
        <w:rPr>
          <w:rFonts w:hint="eastAsia" w:ascii="宋体" w:hAnsi="宋体" w:cs="宋体"/>
          <w:sz w:val="24"/>
          <w:highlight w:val="none"/>
        </w:rPr>
        <w:t>2.落实政府采购政策需满足的资格要求：本项目</w:t>
      </w:r>
      <w:r>
        <w:rPr>
          <w:rFonts w:hint="eastAsia" w:ascii="宋体" w:hAnsi="宋体" w:cs="宋体"/>
          <w:sz w:val="24"/>
          <w:highlight w:val="none"/>
          <w:lang w:val="en-US" w:eastAsia="zh-CN"/>
        </w:rPr>
        <w:t>一标段和二标段专门面向小微企业采购，三标段、四标段、五标段、六标段</w:t>
      </w:r>
      <w:r>
        <w:rPr>
          <w:rFonts w:hint="eastAsia" w:ascii="宋体" w:hAnsi="宋体" w:cs="宋体"/>
          <w:sz w:val="24"/>
          <w:highlight w:val="none"/>
        </w:rPr>
        <w:t>专门面向中小企业采购；</w:t>
      </w:r>
    </w:p>
    <w:p w14:paraId="034E6BD3">
      <w:pPr>
        <w:autoSpaceDE w:val="0"/>
        <w:autoSpaceDN w:val="0"/>
        <w:adjustRightInd w:val="0"/>
        <w:snapToGrid w:val="0"/>
        <w:spacing w:line="360" w:lineRule="auto"/>
        <w:ind w:left="479" w:leftChars="228"/>
        <w:jc w:val="left"/>
        <w:rPr>
          <w:rFonts w:hint="eastAsia" w:ascii="宋体" w:hAnsi="宋体" w:cs="宋体"/>
          <w:bCs/>
          <w:color w:val="000000"/>
          <w:sz w:val="24"/>
          <w:highlight w:val="none"/>
          <w:lang w:val="zh-CN"/>
        </w:rPr>
      </w:pPr>
      <w:r>
        <w:rPr>
          <w:rFonts w:ascii="宋体" w:hAnsi="宋体" w:cs="宋体"/>
          <w:sz w:val="24"/>
          <w:highlight w:val="none"/>
        </w:rPr>
        <w:t xml:space="preserve"> </w:t>
      </w:r>
      <w:r>
        <w:rPr>
          <w:rFonts w:hint="eastAsia" w:ascii="宋体" w:hAnsi="宋体" w:cs="宋体"/>
          <w:bCs/>
          <w:color w:val="000000"/>
          <w:sz w:val="24"/>
          <w:highlight w:val="none"/>
        </w:rPr>
        <w:t>2.1</w:t>
      </w:r>
      <w:r>
        <w:rPr>
          <w:rFonts w:hint="eastAsia" w:ascii="宋体" w:hAnsi="宋体" w:cs="宋体"/>
          <w:bCs/>
          <w:color w:val="000000"/>
          <w:sz w:val="24"/>
          <w:highlight w:val="none"/>
          <w:lang w:val="zh-CN"/>
        </w:rPr>
        <w:t>《政府采购促进中小企业发展管理办法》（财库[2020]46号）；</w:t>
      </w:r>
    </w:p>
    <w:p w14:paraId="537CF87A">
      <w:pPr>
        <w:autoSpaceDE w:val="0"/>
        <w:autoSpaceDN w:val="0"/>
        <w:adjustRightInd w:val="0"/>
        <w:snapToGrid w:val="0"/>
        <w:spacing w:line="360" w:lineRule="auto"/>
        <w:ind w:firstLine="480" w:firstLineChars="200"/>
        <w:jc w:val="left"/>
        <w:rPr>
          <w:rFonts w:hint="eastAsia" w:ascii="宋体" w:hAnsi="宋体" w:cs="宋体"/>
          <w:bCs/>
          <w:color w:val="000000"/>
          <w:sz w:val="24"/>
          <w:highlight w:val="none"/>
          <w:lang w:val="zh-CN"/>
        </w:rPr>
      </w:pPr>
      <w:r>
        <w:rPr>
          <w:rFonts w:hint="eastAsia" w:ascii="宋体" w:hAnsi="宋体" w:cs="宋体"/>
          <w:bCs/>
          <w:color w:val="000000"/>
          <w:sz w:val="24"/>
          <w:highlight w:val="none"/>
        </w:rPr>
        <w:t>2.2</w:t>
      </w:r>
      <w:r>
        <w:rPr>
          <w:rFonts w:hint="eastAsia" w:ascii="宋体" w:hAnsi="宋体" w:cs="宋体"/>
          <w:bCs/>
          <w:color w:val="000000"/>
          <w:sz w:val="24"/>
          <w:highlight w:val="none"/>
          <w:lang w:val="zh-CN"/>
        </w:rPr>
        <w:t>《财政部司法部关于政府采购支持监狱企业发展有关问题的通知》（财库[2014]68号）；</w:t>
      </w:r>
    </w:p>
    <w:p w14:paraId="26AA8CDC">
      <w:pPr>
        <w:autoSpaceDE w:val="0"/>
        <w:autoSpaceDN w:val="0"/>
        <w:adjustRightInd w:val="0"/>
        <w:snapToGrid w:val="0"/>
        <w:spacing w:line="360" w:lineRule="auto"/>
        <w:ind w:firstLine="480" w:firstLineChars="200"/>
        <w:jc w:val="left"/>
        <w:rPr>
          <w:rFonts w:hint="eastAsia" w:ascii="宋体" w:hAnsi="宋体" w:cs="宋体"/>
          <w:bCs/>
          <w:color w:val="000000"/>
          <w:sz w:val="24"/>
          <w:highlight w:val="none"/>
          <w:lang w:val="zh-CN"/>
        </w:rPr>
      </w:pPr>
      <w:r>
        <w:rPr>
          <w:rFonts w:hint="eastAsia" w:ascii="宋体" w:hAnsi="宋体" w:cs="宋体"/>
          <w:bCs/>
          <w:color w:val="000000"/>
          <w:sz w:val="24"/>
          <w:highlight w:val="none"/>
        </w:rPr>
        <w:t>2.3</w:t>
      </w:r>
      <w:r>
        <w:rPr>
          <w:rFonts w:hint="eastAsia" w:ascii="宋体" w:hAnsi="宋体" w:cs="宋体"/>
          <w:bCs/>
          <w:color w:val="000000"/>
          <w:sz w:val="24"/>
          <w:highlight w:val="none"/>
          <w:lang w:val="zh-CN"/>
        </w:rPr>
        <w:t>《关于促进残疾人就业政府采购政策的通知》（财库〔2017〕141号）；</w:t>
      </w:r>
    </w:p>
    <w:p w14:paraId="5EBC26A1">
      <w:pPr>
        <w:autoSpaceDE w:val="0"/>
        <w:autoSpaceDN w:val="0"/>
        <w:adjustRightInd w:val="0"/>
        <w:snapToGrid w:val="0"/>
        <w:spacing w:line="360" w:lineRule="auto"/>
        <w:ind w:firstLine="480" w:firstLineChars="200"/>
        <w:jc w:val="left"/>
        <w:rPr>
          <w:rFonts w:hint="eastAsia" w:ascii="宋体" w:hAnsi="宋体" w:cs="宋体"/>
          <w:bCs/>
          <w:color w:val="000000"/>
          <w:sz w:val="24"/>
          <w:highlight w:val="none"/>
          <w:lang w:val="zh-CN"/>
        </w:rPr>
      </w:pPr>
      <w:r>
        <w:rPr>
          <w:rFonts w:hint="eastAsia" w:ascii="宋体" w:hAnsi="宋体" w:cs="宋体"/>
          <w:bCs/>
          <w:color w:val="000000"/>
          <w:sz w:val="24"/>
          <w:highlight w:val="none"/>
        </w:rPr>
        <w:t>2.4</w:t>
      </w:r>
      <w:r>
        <w:rPr>
          <w:rFonts w:hint="eastAsia" w:ascii="宋体" w:hAnsi="宋体" w:cs="宋体"/>
          <w:bCs/>
          <w:color w:val="000000"/>
          <w:sz w:val="24"/>
          <w:highlight w:val="none"/>
          <w:lang w:val="zh-CN"/>
        </w:rPr>
        <w:t>《国务院办公厅关于建立政府强制采购节能产品制度的通知》（国办发[2007]51号）；</w:t>
      </w:r>
    </w:p>
    <w:p w14:paraId="202701BB">
      <w:pPr>
        <w:autoSpaceDE w:val="0"/>
        <w:autoSpaceDN w:val="0"/>
        <w:adjustRightInd w:val="0"/>
        <w:snapToGrid w:val="0"/>
        <w:spacing w:line="360" w:lineRule="auto"/>
        <w:ind w:firstLine="480" w:firstLineChars="200"/>
        <w:jc w:val="left"/>
        <w:rPr>
          <w:rFonts w:hint="eastAsia" w:ascii="宋体" w:hAnsi="宋体" w:cs="宋体"/>
          <w:bCs/>
          <w:color w:val="000000"/>
          <w:sz w:val="24"/>
          <w:highlight w:val="none"/>
          <w:lang w:val="zh-CN"/>
        </w:rPr>
      </w:pPr>
      <w:r>
        <w:rPr>
          <w:rFonts w:hint="eastAsia" w:ascii="宋体" w:hAnsi="宋体" w:cs="宋体"/>
          <w:bCs/>
          <w:color w:val="000000"/>
          <w:sz w:val="24"/>
          <w:highlight w:val="none"/>
        </w:rPr>
        <w:t>2.5</w:t>
      </w:r>
      <w:r>
        <w:rPr>
          <w:rFonts w:hint="eastAsia" w:ascii="宋体" w:hAnsi="宋体" w:cs="宋体"/>
          <w:bCs/>
          <w:color w:val="000000"/>
          <w:sz w:val="24"/>
          <w:highlight w:val="none"/>
          <w:lang w:val="zh-CN"/>
        </w:rPr>
        <w:t>《环境标志产品政府采购实施意见》（财库[2006]90号）；</w:t>
      </w:r>
    </w:p>
    <w:p w14:paraId="64162F28">
      <w:pPr>
        <w:spacing w:line="360" w:lineRule="auto"/>
        <w:ind w:firstLine="480" w:firstLineChars="200"/>
        <w:rPr>
          <w:rFonts w:hint="eastAsia" w:ascii="宋体" w:hAnsi="宋体" w:cs="宋体"/>
          <w:bCs/>
          <w:color w:val="000000"/>
          <w:sz w:val="24"/>
          <w:highlight w:val="none"/>
          <w:lang w:val="zh-CN"/>
        </w:rPr>
      </w:pPr>
      <w:r>
        <w:rPr>
          <w:rFonts w:hint="eastAsia" w:ascii="宋体" w:hAnsi="宋体" w:cs="宋体"/>
          <w:bCs/>
          <w:color w:val="000000"/>
          <w:sz w:val="24"/>
          <w:highlight w:val="none"/>
        </w:rPr>
        <w:t>2.6</w:t>
      </w:r>
      <w:r>
        <w:rPr>
          <w:rFonts w:hint="eastAsia" w:ascii="宋体" w:hAnsi="宋体" w:cs="宋体"/>
          <w:bCs/>
          <w:color w:val="000000"/>
          <w:sz w:val="24"/>
          <w:highlight w:val="none"/>
          <w:lang w:val="zh-CN"/>
        </w:rPr>
        <w:t>《关于进一步加大政府采购支持中小企业力度的通知》财库〔2022〕19号文件等国家最新政策。</w:t>
      </w:r>
    </w:p>
    <w:p w14:paraId="1AF0C4DB">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3.本项目的特定资格要求：</w:t>
      </w:r>
    </w:p>
    <w:p w14:paraId="0E4312A2">
      <w:pPr>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rPr>
        <w:t>3.1投标申请人须在中华人民共和国境内注册，能够独立承担民事责任的法人、其他组织或者自然人，能够独立承担民事责任，具有有效的营业执照，并在人员、设备、资金等方面具有相应的服务能力</w:t>
      </w:r>
      <w:r>
        <w:rPr>
          <w:rFonts w:hint="eastAsia" w:ascii="宋体" w:hAnsi="宋体" w:cs="宋体"/>
          <w:sz w:val="24"/>
          <w:highlight w:val="none"/>
          <w:lang w:eastAsia="zh-CN"/>
        </w:rPr>
        <w:t>。</w:t>
      </w:r>
    </w:p>
    <w:p w14:paraId="2242EB0B">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3.2</w:t>
      </w:r>
      <w:r>
        <w:rPr>
          <w:rFonts w:hint="eastAsia" w:ascii="宋体" w:hAnsi="宋体" w:cs="宋体"/>
          <w:sz w:val="24"/>
          <w:highlight w:val="none"/>
        </w:rPr>
        <w:t>项目经理要求：具备绿化相关专业中级及以上技术职称，为本单位在职人员且无在建工程。</w:t>
      </w:r>
    </w:p>
    <w:p w14:paraId="3BA72093">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3</w:t>
      </w:r>
      <w:r>
        <w:rPr>
          <w:rFonts w:hint="eastAsia" w:ascii="宋体" w:hAnsi="宋体" w:cs="宋体"/>
          <w:sz w:val="24"/>
          <w:highlight w:val="none"/>
        </w:rPr>
        <w:t>具有良好的商业信誉和健全的财务会计制度，依法缴纳税收和社会保障资金的良好记录，根据[长财采购[2022]2066号文件]关于加强政府采购信用体系建设简化供应商资格条件有关事项的通知提供资格条件承诺函。</w:t>
      </w:r>
    </w:p>
    <w:p w14:paraId="30D33C2A">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4</w:t>
      </w:r>
      <w:r>
        <w:rPr>
          <w:rFonts w:hint="eastAsia" w:ascii="宋体" w:hAnsi="宋体" w:cs="宋体"/>
          <w:sz w:val="24"/>
          <w:highlight w:val="none"/>
        </w:rPr>
        <w:t>参加政府采购活动前3年内在经营活动中没有重大违法记录。</w:t>
      </w:r>
    </w:p>
    <w:p w14:paraId="79DE2726">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5</w:t>
      </w:r>
      <w:r>
        <w:rPr>
          <w:rFonts w:hint="eastAsia" w:ascii="宋体" w:hAnsi="宋体" w:cs="宋体"/>
          <w:sz w:val="24"/>
          <w:highlight w:val="none"/>
        </w:rPr>
        <w:t>与采购人存在利害关系可能影响招标公正性的法人、其他组织或者个人，不得参加投标。单位负责人为同一人或者存在控股、管理关系的不同单位，不得参加同一标段投标或者未划分标段的同一采购项目投标。违反这两款规定的，相关投标均无效。</w:t>
      </w:r>
    </w:p>
    <w:p w14:paraId="2F111C62">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6</w:t>
      </w:r>
      <w:r>
        <w:rPr>
          <w:rFonts w:hint="eastAsia" w:ascii="宋体" w:hAnsi="宋体" w:cs="宋体"/>
          <w:sz w:val="24"/>
          <w:highlight w:val="none"/>
        </w:rPr>
        <w:t>拒绝列入政府取消投标资格记录期间的企业或个人投标,在“信用中国”网站（www.creditchina.gov.cn）、中国政府采购网（www.ccgp.gov.cn）对列入失信被执行人、重大税收违法失信主体名单、政府采购严重违法失信行为记录名单的投标人，拒绝其参与投标。</w:t>
      </w:r>
    </w:p>
    <w:p w14:paraId="74B25297">
      <w:pPr>
        <w:pStyle w:val="37"/>
        <w:rPr>
          <w:rFonts w:hint="eastAsia"/>
          <w:highlight w:val="none"/>
        </w:rPr>
      </w:pPr>
      <w:r>
        <w:rPr>
          <w:rFonts w:hint="eastAsia"/>
          <w:highlight w:val="none"/>
        </w:rPr>
        <w:t>3.7本次招标不接受以分公司名义投标。</w:t>
      </w:r>
    </w:p>
    <w:p w14:paraId="22C776A1">
      <w:pPr>
        <w:spacing w:line="360" w:lineRule="auto"/>
        <w:ind w:firstLine="240" w:firstLineChars="100"/>
        <w:rPr>
          <w:rFonts w:hint="eastAsia" w:ascii="宋体" w:hAnsi="宋体" w:cs="宋体"/>
          <w:sz w:val="24"/>
          <w:highlight w:val="none"/>
        </w:rPr>
      </w:pPr>
      <w:r>
        <w:rPr>
          <w:rFonts w:hint="eastAsia" w:ascii="宋体" w:hAnsi="宋体" w:cs="宋体"/>
          <w:sz w:val="24"/>
          <w:highlight w:val="none"/>
        </w:rPr>
        <w:t xml:space="preserve"> 三、获取招标文件</w:t>
      </w:r>
    </w:p>
    <w:p w14:paraId="6CC6D968">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1.时间：</w:t>
      </w:r>
      <w:r>
        <w:rPr>
          <w:rFonts w:hint="eastAsia" w:ascii="宋体" w:hAnsi="宋体" w:cs="宋体"/>
          <w:color w:val="FF0000"/>
          <w:sz w:val="24"/>
          <w:highlight w:val="none"/>
        </w:rPr>
        <w:t>202</w:t>
      </w:r>
      <w:r>
        <w:rPr>
          <w:rFonts w:hint="eastAsia" w:ascii="宋体" w:hAnsi="宋体" w:cs="宋体"/>
          <w:color w:val="FF0000"/>
          <w:sz w:val="24"/>
          <w:highlight w:val="none"/>
          <w:lang w:val="en-US" w:eastAsia="zh-CN"/>
        </w:rPr>
        <w:t>5</w:t>
      </w:r>
      <w:r>
        <w:rPr>
          <w:rFonts w:hint="eastAsia" w:ascii="宋体" w:hAnsi="宋体" w:cs="宋体"/>
          <w:color w:val="FF0000"/>
          <w:sz w:val="24"/>
          <w:highlight w:val="none"/>
        </w:rPr>
        <w:t>年</w:t>
      </w:r>
      <w:r>
        <w:rPr>
          <w:rFonts w:hint="eastAsia" w:ascii="宋体" w:hAnsi="宋体" w:cs="宋体"/>
          <w:color w:val="FF0000"/>
          <w:sz w:val="24"/>
          <w:highlight w:val="none"/>
          <w:lang w:val="en-US" w:eastAsia="zh-CN"/>
        </w:rPr>
        <w:t>07</w:t>
      </w:r>
      <w:r>
        <w:rPr>
          <w:rFonts w:hint="eastAsia" w:ascii="宋体" w:hAnsi="宋体" w:cs="宋体"/>
          <w:color w:val="FF0000"/>
          <w:sz w:val="24"/>
          <w:highlight w:val="none"/>
        </w:rPr>
        <w:t>月</w:t>
      </w:r>
      <w:r>
        <w:rPr>
          <w:rFonts w:hint="eastAsia" w:ascii="宋体" w:hAnsi="宋体" w:cs="宋体"/>
          <w:color w:val="FF0000"/>
          <w:sz w:val="24"/>
          <w:highlight w:val="none"/>
          <w:lang w:val="en-US" w:eastAsia="zh-CN"/>
        </w:rPr>
        <w:t>04</w:t>
      </w:r>
      <w:r>
        <w:rPr>
          <w:rFonts w:hint="eastAsia" w:ascii="宋体" w:hAnsi="宋体" w:cs="宋体"/>
          <w:color w:val="FF0000"/>
          <w:sz w:val="24"/>
          <w:highlight w:val="none"/>
        </w:rPr>
        <w:t>日至202</w:t>
      </w:r>
      <w:r>
        <w:rPr>
          <w:rFonts w:hint="eastAsia" w:ascii="宋体" w:hAnsi="宋体" w:cs="宋体"/>
          <w:color w:val="FF0000"/>
          <w:sz w:val="24"/>
          <w:highlight w:val="none"/>
          <w:lang w:val="en-US" w:eastAsia="zh-CN"/>
        </w:rPr>
        <w:t>5</w:t>
      </w:r>
      <w:r>
        <w:rPr>
          <w:rFonts w:hint="eastAsia" w:ascii="宋体" w:hAnsi="宋体" w:cs="宋体"/>
          <w:color w:val="FF0000"/>
          <w:sz w:val="24"/>
          <w:highlight w:val="none"/>
        </w:rPr>
        <w:t>年</w:t>
      </w:r>
      <w:r>
        <w:rPr>
          <w:rFonts w:hint="eastAsia" w:ascii="宋体" w:hAnsi="宋体" w:cs="宋体"/>
          <w:color w:val="FF0000"/>
          <w:sz w:val="24"/>
          <w:highlight w:val="none"/>
          <w:lang w:val="en-US" w:eastAsia="zh-CN"/>
        </w:rPr>
        <w:t>07</w:t>
      </w:r>
      <w:r>
        <w:rPr>
          <w:rFonts w:hint="eastAsia" w:ascii="宋体" w:hAnsi="宋体" w:cs="宋体"/>
          <w:color w:val="FF0000"/>
          <w:sz w:val="24"/>
          <w:highlight w:val="none"/>
        </w:rPr>
        <w:t>月</w:t>
      </w:r>
      <w:r>
        <w:rPr>
          <w:rFonts w:hint="eastAsia" w:ascii="宋体" w:hAnsi="宋体" w:cs="宋体"/>
          <w:color w:val="FF0000"/>
          <w:sz w:val="24"/>
          <w:highlight w:val="none"/>
          <w:lang w:val="en-US" w:eastAsia="zh-CN"/>
        </w:rPr>
        <w:t>11</w:t>
      </w:r>
      <w:r>
        <w:rPr>
          <w:rFonts w:hint="eastAsia" w:ascii="宋体" w:hAnsi="宋体" w:cs="宋体"/>
          <w:color w:val="FF0000"/>
          <w:sz w:val="24"/>
          <w:highlight w:val="none"/>
        </w:rPr>
        <w:t>日，每天上午</w:t>
      </w:r>
      <w:r>
        <w:rPr>
          <w:rFonts w:hint="eastAsia" w:ascii="宋体" w:hAnsi="宋体" w:cs="宋体"/>
          <w:color w:val="FF0000"/>
          <w:sz w:val="24"/>
          <w:highlight w:val="none"/>
          <w:lang w:val="en-US" w:eastAsia="zh-CN"/>
        </w:rPr>
        <w:t>8</w:t>
      </w:r>
      <w:r>
        <w:rPr>
          <w:rFonts w:hint="eastAsia" w:ascii="宋体" w:hAnsi="宋体" w:cs="宋体"/>
          <w:color w:val="FF0000"/>
          <w:sz w:val="24"/>
          <w:highlight w:val="none"/>
        </w:rPr>
        <w:t>:</w:t>
      </w:r>
      <w:r>
        <w:rPr>
          <w:rFonts w:hint="eastAsia" w:ascii="宋体" w:hAnsi="宋体" w:cs="宋体"/>
          <w:color w:val="FF0000"/>
          <w:sz w:val="24"/>
          <w:highlight w:val="none"/>
          <w:lang w:val="en-US" w:eastAsia="zh-CN"/>
        </w:rPr>
        <w:t>30</w:t>
      </w:r>
      <w:r>
        <w:rPr>
          <w:rFonts w:hint="eastAsia" w:ascii="宋体" w:hAnsi="宋体" w:cs="宋体"/>
          <w:color w:val="FF0000"/>
          <w:sz w:val="24"/>
          <w:highlight w:val="none"/>
        </w:rPr>
        <w:t>至1</w:t>
      </w:r>
      <w:r>
        <w:rPr>
          <w:rFonts w:hint="eastAsia" w:ascii="宋体" w:hAnsi="宋体" w:cs="宋体"/>
          <w:color w:val="FF0000"/>
          <w:sz w:val="24"/>
          <w:highlight w:val="none"/>
          <w:lang w:val="en-US" w:eastAsia="zh-CN"/>
        </w:rPr>
        <w:t>1</w:t>
      </w:r>
      <w:r>
        <w:rPr>
          <w:rFonts w:hint="eastAsia" w:ascii="宋体" w:hAnsi="宋体" w:cs="宋体"/>
          <w:color w:val="FF0000"/>
          <w:sz w:val="24"/>
          <w:highlight w:val="none"/>
        </w:rPr>
        <w:t>：</w:t>
      </w:r>
      <w:r>
        <w:rPr>
          <w:rFonts w:hint="eastAsia" w:ascii="宋体" w:hAnsi="宋体" w:cs="宋体"/>
          <w:color w:val="FF0000"/>
          <w:sz w:val="24"/>
          <w:highlight w:val="none"/>
          <w:lang w:val="en-US" w:eastAsia="zh-CN"/>
        </w:rPr>
        <w:t>30</w:t>
      </w:r>
      <w:r>
        <w:rPr>
          <w:rFonts w:hint="eastAsia" w:ascii="宋体" w:hAnsi="宋体" w:cs="宋体"/>
          <w:color w:val="FF0000"/>
          <w:sz w:val="24"/>
          <w:highlight w:val="none"/>
        </w:rPr>
        <w:t>，下午</w:t>
      </w:r>
      <w:r>
        <w:rPr>
          <w:rFonts w:hint="eastAsia" w:ascii="宋体" w:hAnsi="宋体" w:cs="宋体"/>
          <w:color w:val="FF0000"/>
          <w:sz w:val="24"/>
          <w:highlight w:val="none"/>
          <w:lang w:val="en-US" w:eastAsia="zh-CN"/>
        </w:rPr>
        <w:t>13</w:t>
      </w:r>
      <w:r>
        <w:rPr>
          <w:rFonts w:hint="eastAsia" w:ascii="宋体" w:hAnsi="宋体" w:cs="宋体"/>
          <w:color w:val="FF0000"/>
          <w:sz w:val="24"/>
          <w:highlight w:val="none"/>
        </w:rPr>
        <w:t>:00至</w:t>
      </w:r>
      <w:r>
        <w:rPr>
          <w:rFonts w:hint="eastAsia" w:ascii="宋体" w:hAnsi="宋体" w:cs="宋体"/>
          <w:color w:val="FF0000"/>
          <w:sz w:val="24"/>
          <w:highlight w:val="none"/>
          <w:lang w:val="en-US" w:eastAsia="zh-CN"/>
        </w:rPr>
        <w:t>16:00</w:t>
      </w:r>
      <w:r>
        <w:rPr>
          <w:rFonts w:hint="eastAsia" w:ascii="宋体" w:hAnsi="宋体" w:cs="宋体"/>
          <w:sz w:val="24"/>
          <w:highlight w:val="none"/>
        </w:rPr>
        <w:t>（北京时间，法定节假日均可线上获取）；</w:t>
      </w:r>
    </w:p>
    <w:p w14:paraId="5D0CFCA2">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2.方式：网上免费获取，潜在投标人自行登录政府采购云平台网上注册并下载招标文件，其他途径获取的招标文件开标时一律按无效投标处理。</w:t>
      </w:r>
    </w:p>
    <w:p w14:paraId="49AD648F">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四、提交投标文件截止时间、开标时间和地点</w:t>
      </w:r>
    </w:p>
    <w:p w14:paraId="20867A34">
      <w:pPr>
        <w:spacing w:line="360" w:lineRule="auto"/>
        <w:ind w:firstLine="480" w:firstLineChars="200"/>
        <w:rPr>
          <w:rFonts w:hint="eastAsia" w:ascii="宋体" w:hAnsi="宋体" w:eastAsia="宋体" w:cs="宋体"/>
          <w:color w:val="FF0000"/>
          <w:sz w:val="24"/>
          <w:highlight w:val="none"/>
          <w:lang w:eastAsia="zh-CN"/>
        </w:rPr>
      </w:pPr>
      <w:r>
        <w:rPr>
          <w:rFonts w:hint="eastAsia" w:ascii="宋体" w:hAnsi="宋体" w:cs="宋体"/>
          <w:color w:val="FF0000"/>
          <w:sz w:val="24"/>
          <w:highlight w:val="none"/>
        </w:rPr>
        <w:t>1.截止时间：</w:t>
      </w:r>
      <w:r>
        <w:rPr>
          <w:rFonts w:hint="eastAsia" w:ascii="宋体" w:hAnsi="宋体" w:cs="宋体"/>
          <w:color w:val="FF0000"/>
          <w:sz w:val="24"/>
          <w:highlight w:val="none"/>
          <w:lang w:eastAsia="zh-CN"/>
        </w:rPr>
        <w:t>2025年</w:t>
      </w:r>
      <w:r>
        <w:rPr>
          <w:rFonts w:hint="eastAsia" w:ascii="宋体" w:hAnsi="宋体" w:cs="宋体"/>
          <w:color w:val="FF0000"/>
          <w:sz w:val="24"/>
          <w:highlight w:val="none"/>
          <w:lang w:val="en-US" w:eastAsia="zh-CN"/>
        </w:rPr>
        <w:t>7</w:t>
      </w:r>
      <w:r>
        <w:rPr>
          <w:rFonts w:hint="eastAsia" w:ascii="宋体" w:hAnsi="宋体" w:cs="宋体"/>
          <w:color w:val="FF0000"/>
          <w:sz w:val="24"/>
          <w:highlight w:val="none"/>
          <w:lang w:eastAsia="zh-CN"/>
        </w:rPr>
        <w:t>月</w:t>
      </w:r>
      <w:r>
        <w:rPr>
          <w:rFonts w:hint="eastAsia" w:ascii="宋体" w:hAnsi="宋体" w:cs="宋体"/>
          <w:color w:val="FF0000"/>
          <w:sz w:val="24"/>
          <w:highlight w:val="none"/>
          <w:lang w:val="en-US" w:eastAsia="zh-CN"/>
        </w:rPr>
        <w:t>28</w:t>
      </w:r>
      <w:r>
        <w:rPr>
          <w:rFonts w:hint="eastAsia" w:ascii="宋体" w:hAnsi="宋体" w:cs="宋体"/>
          <w:color w:val="FF0000"/>
          <w:sz w:val="24"/>
          <w:highlight w:val="none"/>
          <w:lang w:eastAsia="zh-CN"/>
        </w:rPr>
        <w:t>日</w:t>
      </w:r>
      <w:r>
        <w:rPr>
          <w:rFonts w:hint="eastAsia" w:ascii="宋体" w:hAnsi="宋体" w:cs="宋体"/>
          <w:color w:val="FF0000"/>
          <w:sz w:val="24"/>
          <w:highlight w:val="none"/>
          <w:lang w:val="en-US" w:eastAsia="zh-CN"/>
        </w:rPr>
        <w:t>9</w:t>
      </w:r>
      <w:r>
        <w:rPr>
          <w:rFonts w:hint="eastAsia" w:ascii="宋体" w:hAnsi="宋体" w:cs="宋体"/>
          <w:color w:val="FF0000"/>
          <w:sz w:val="24"/>
          <w:highlight w:val="none"/>
          <w:lang w:eastAsia="zh-CN"/>
        </w:rPr>
        <w:t>时30分（北京时间）</w:t>
      </w:r>
    </w:p>
    <w:p w14:paraId="46D39A8F">
      <w:pPr>
        <w:spacing w:line="360" w:lineRule="auto"/>
        <w:ind w:firstLine="480" w:firstLineChars="200"/>
        <w:rPr>
          <w:rFonts w:hint="eastAsia" w:ascii="宋体" w:hAnsi="宋体" w:cs="宋体"/>
          <w:color w:val="FF0000"/>
          <w:sz w:val="24"/>
          <w:highlight w:val="none"/>
        </w:rPr>
      </w:pPr>
      <w:r>
        <w:rPr>
          <w:rFonts w:hint="eastAsia" w:ascii="宋体" w:hAnsi="宋体" w:cs="宋体"/>
          <w:color w:val="FF0000"/>
          <w:sz w:val="24"/>
          <w:highlight w:val="none"/>
        </w:rPr>
        <w:t>2.地点：长春市二道区洋浦大街6999号</w:t>
      </w:r>
      <w:r>
        <w:rPr>
          <w:rFonts w:hint="eastAsia" w:ascii="宋体" w:hAnsi="宋体" w:cs="宋体"/>
          <w:color w:val="FF0000"/>
          <w:sz w:val="24"/>
          <w:highlight w:val="none"/>
          <w:lang w:eastAsia="zh-CN"/>
        </w:rPr>
        <w:t>凯利中心二楼开标</w:t>
      </w:r>
      <w:r>
        <w:rPr>
          <w:rFonts w:hint="eastAsia" w:ascii="宋体" w:hAnsi="宋体" w:cs="宋体"/>
          <w:color w:val="FF0000"/>
          <w:sz w:val="24"/>
          <w:highlight w:val="none"/>
          <w:lang w:val="en-US" w:eastAsia="zh-CN"/>
        </w:rPr>
        <w:t>一</w:t>
      </w:r>
      <w:r>
        <w:rPr>
          <w:rFonts w:hint="eastAsia" w:ascii="宋体" w:hAnsi="宋体" w:cs="宋体"/>
          <w:color w:val="FF0000"/>
          <w:sz w:val="24"/>
          <w:highlight w:val="none"/>
          <w:lang w:eastAsia="zh-CN"/>
        </w:rPr>
        <w:t>室</w:t>
      </w:r>
      <w:r>
        <w:rPr>
          <w:rFonts w:hint="eastAsia" w:ascii="宋体" w:hAnsi="宋体" w:cs="宋体"/>
          <w:color w:val="FF0000"/>
          <w:sz w:val="24"/>
          <w:highlight w:val="none"/>
        </w:rPr>
        <w:t xml:space="preserve"> </w:t>
      </w:r>
    </w:p>
    <w:p w14:paraId="0EA72989">
      <w:pPr>
        <w:spacing w:line="360" w:lineRule="auto"/>
        <w:ind w:firstLine="480" w:firstLineChars="200"/>
        <w:rPr>
          <w:rFonts w:hint="eastAsia" w:ascii="宋体" w:hAnsi="宋体"/>
          <w:sz w:val="24"/>
          <w:highlight w:val="none"/>
        </w:rPr>
      </w:pPr>
      <w:r>
        <w:rPr>
          <w:rFonts w:hint="eastAsia" w:ascii="宋体" w:hAnsi="宋体"/>
          <w:sz w:val="24"/>
          <w:highlight w:val="none"/>
        </w:rPr>
        <w:t>3.本项目采用全流程电子化采购，需通过政府采购云平台递交电子投标文件。</w:t>
      </w:r>
    </w:p>
    <w:p w14:paraId="4B5EE652">
      <w:pPr>
        <w:spacing w:line="360" w:lineRule="auto"/>
        <w:ind w:firstLine="480" w:firstLineChars="200"/>
        <w:rPr>
          <w:rFonts w:hint="eastAsia" w:ascii="宋体" w:hAnsi="宋体"/>
          <w:sz w:val="24"/>
          <w:highlight w:val="none"/>
        </w:rPr>
      </w:pPr>
      <w:r>
        <w:rPr>
          <w:rFonts w:hint="eastAsia" w:ascii="宋体" w:hAnsi="宋体"/>
          <w:sz w:val="24"/>
          <w:highlight w:val="none"/>
        </w:rPr>
        <w:t>4.操作流程：投标人在政府采购云平台注册入库成为正式供应商后，在平台按《政府采购项目电子交易管理操作指南-供应商》进行操作。由于投标人自身原因在递交投标文件截止时间前无法完成办理的，后果自负。</w:t>
      </w:r>
    </w:p>
    <w:p w14:paraId="543BB90F">
      <w:pPr>
        <w:spacing w:line="360" w:lineRule="auto"/>
        <w:ind w:firstLine="480" w:firstLineChars="200"/>
        <w:rPr>
          <w:rFonts w:hint="eastAsia" w:ascii="宋体" w:hAnsi="宋体"/>
          <w:sz w:val="24"/>
          <w:highlight w:val="none"/>
        </w:rPr>
      </w:pPr>
      <w:r>
        <w:rPr>
          <w:rFonts w:hint="eastAsia" w:ascii="宋体" w:hAnsi="宋体"/>
          <w:sz w:val="24"/>
          <w:highlight w:val="none"/>
        </w:rPr>
        <w:t>五、公告期限</w:t>
      </w:r>
    </w:p>
    <w:p w14:paraId="7E9A8434">
      <w:pPr>
        <w:spacing w:line="360" w:lineRule="auto"/>
        <w:ind w:firstLine="480" w:firstLineChars="200"/>
        <w:rPr>
          <w:rFonts w:hint="eastAsia" w:ascii="宋体" w:hAnsi="宋体"/>
          <w:sz w:val="24"/>
          <w:highlight w:val="none"/>
        </w:rPr>
      </w:pPr>
      <w:r>
        <w:rPr>
          <w:rFonts w:hint="eastAsia" w:ascii="宋体" w:hAnsi="宋体"/>
          <w:sz w:val="24"/>
          <w:highlight w:val="none"/>
        </w:rPr>
        <w:t>自本公告发布之日起5个工作日。</w:t>
      </w:r>
    </w:p>
    <w:p w14:paraId="63175812">
      <w:pPr>
        <w:spacing w:line="360" w:lineRule="auto"/>
        <w:ind w:firstLine="480" w:firstLineChars="200"/>
        <w:rPr>
          <w:rFonts w:hint="eastAsia" w:ascii="宋体" w:hAnsi="宋体"/>
          <w:sz w:val="24"/>
          <w:highlight w:val="none"/>
        </w:rPr>
      </w:pPr>
      <w:r>
        <w:rPr>
          <w:rFonts w:hint="eastAsia" w:ascii="宋体" w:hAnsi="宋体"/>
          <w:sz w:val="24"/>
          <w:highlight w:val="none"/>
        </w:rPr>
        <w:t>六、其他补充事宜</w:t>
      </w:r>
    </w:p>
    <w:p w14:paraId="3A76DAA4">
      <w:pPr>
        <w:spacing w:line="360" w:lineRule="auto"/>
        <w:ind w:firstLine="480" w:firstLineChars="200"/>
        <w:rPr>
          <w:rFonts w:hint="eastAsia" w:ascii="宋体" w:hAnsi="宋体" w:eastAsia="宋体" w:cs="Times New Roman"/>
          <w:sz w:val="24"/>
          <w:highlight w:val="none"/>
        </w:rPr>
      </w:pPr>
      <w:bookmarkStart w:id="3" w:name="_Toc35393627"/>
      <w:bookmarkStart w:id="4" w:name="_Toc28359085"/>
      <w:bookmarkStart w:id="5" w:name="_Toc28359008"/>
      <w:bookmarkStart w:id="6" w:name="_Toc35393796"/>
      <w:r>
        <w:rPr>
          <w:rFonts w:hint="eastAsia" w:ascii="宋体" w:hAnsi="宋体" w:eastAsia="宋体" w:cs="Times New Roman"/>
          <w:sz w:val="24"/>
          <w:highlight w:val="none"/>
        </w:rPr>
        <w:t> 1.本次公告在“政采云”平台 (http:// www.zcygov.cn) （推送至吉林省政府采购网</w:t>
      </w: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rPr>
        <w:t>中国政府采购网</w:t>
      </w: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rPr>
        <w:t>上发布。</w:t>
      </w:r>
    </w:p>
    <w:p w14:paraId="38640BBF">
      <w:pPr>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 2.有效投标人不足三家时，招标人另行组织招标。</w:t>
      </w:r>
    </w:p>
    <w:p w14:paraId="5EE5FA0F">
      <w:pPr>
        <w:spacing w:line="360" w:lineRule="auto"/>
        <w:ind w:firstLine="480" w:firstLineChars="200"/>
        <w:rPr>
          <w:rFonts w:hint="eastAsia" w:ascii="宋体" w:hAnsi="宋体"/>
          <w:sz w:val="24"/>
          <w:highlight w:val="none"/>
        </w:rPr>
      </w:pPr>
      <w:r>
        <w:rPr>
          <w:rFonts w:hint="eastAsia" w:ascii="宋体" w:hAnsi="宋体"/>
          <w:sz w:val="24"/>
          <w:highlight w:val="none"/>
        </w:rPr>
        <w:t>七、对本次招标提出询问，请按以下方式联系</w:t>
      </w:r>
      <w:bookmarkEnd w:id="3"/>
      <w:bookmarkEnd w:id="4"/>
      <w:bookmarkEnd w:id="5"/>
      <w:bookmarkEnd w:id="6"/>
      <w:r>
        <w:rPr>
          <w:rFonts w:hint="eastAsia" w:ascii="宋体" w:hAnsi="宋体"/>
          <w:sz w:val="24"/>
          <w:highlight w:val="none"/>
        </w:rPr>
        <w:t>：</w:t>
      </w:r>
    </w:p>
    <w:p w14:paraId="50A4A655">
      <w:pPr>
        <w:spacing w:line="360" w:lineRule="auto"/>
        <w:ind w:firstLine="480" w:firstLineChars="200"/>
        <w:rPr>
          <w:rFonts w:hint="eastAsia" w:ascii="宋体" w:hAnsi="宋体"/>
          <w:sz w:val="24"/>
          <w:highlight w:val="none"/>
        </w:rPr>
      </w:pPr>
      <w:r>
        <w:rPr>
          <w:rFonts w:hint="eastAsia" w:ascii="宋体" w:hAnsi="宋体"/>
          <w:sz w:val="24"/>
          <w:highlight w:val="none"/>
        </w:rPr>
        <w:t>1.采购人信息</w:t>
      </w:r>
    </w:p>
    <w:p w14:paraId="4C368497">
      <w:pPr>
        <w:spacing w:line="360" w:lineRule="auto"/>
        <w:ind w:firstLine="480" w:firstLineChars="200"/>
        <w:rPr>
          <w:rFonts w:hint="eastAsia" w:ascii="宋体" w:hAnsi="宋体" w:cs="Times New Roman"/>
          <w:sz w:val="24"/>
          <w:highlight w:val="none"/>
        </w:rPr>
      </w:pPr>
      <w:bookmarkStart w:id="7" w:name="_Toc28359009"/>
      <w:bookmarkStart w:id="8" w:name="_Toc28359086"/>
      <w:r>
        <w:rPr>
          <w:rFonts w:hint="eastAsia" w:ascii="宋体" w:hAnsi="宋体"/>
          <w:sz w:val="24"/>
          <w:highlight w:val="none"/>
        </w:rPr>
        <w:t>名 称：</w:t>
      </w:r>
      <w:r>
        <w:rPr>
          <w:rFonts w:hint="eastAsia" w:ascii="宋体" w:hAnsi="宋体" w:cs="Times New Roman"/>
          <w:sz w:val="24"/>
          <w:highlight w:val="none"/>
          <w:lang w:val="en-US" w:eastAsia="zh-CN"/>
        </w:rPr>
        <w:t>长春汽车经济技术开发区住房保障和房屋管理局</w:t>
      </w:r>
      <w:r>
        <w:rPr>
          <w:rFonts w:hint="eastAsia" w:ascii="宋体" w:hAnsi="宋体" w:cs="Times New Roman"/>
          <w:sz w:val="24"/>
          <w:highlight w:val="none"/>
        </w:rPr>
        <w:t> </w:t>
      </w:r>
    </w:p>
    <w:p w14:paraId="5D54480A">
      <w:pPr>
        <w:spacing w:line="360" w:lineRule="auto"/>
        <w:ind w:firstLine="480" w:firstLineChars="200"/>
        <w:rPr>
          <w:rFonts w:hint="eastAsia" w:ascii="宋体" w:hAnsi="宋体" w:cs="Times New Roman"/>
          <w:sz w:val="24"/>
          <w:highlight w:val="none"/>
          <w:lang w:val="en-US" w:eastAsia="zh-CN"/>
        </w:rPr>
      </w:pPr>
      <w:r>
        <w:rPr>
          <w:rFonts w:hint="eastAsia" w:ascii="宋体" w:hAnsi="宋体" w:cs="Times New Roman"/>
          <w:sz w:val="24"/>
          <w:highlight w:val="none"/>
        </w:rPr>
        <w:t>地址：</w:t>
      </w:r>
      <w:bookmarkEnd w:id="7"/>
      <w:bookmarkEnd w:id="8"/>
      <w:r>
        <w:rPr>
          <w:rFonts w:hint="eastAsia" w:ascii="宋体" w:hAnsi="宋体" w:cs="Times New Roman"/>
          <w:sz w:val="24"/>
          <w:highlight w:val="none"/>
          <w:lang w:val="en-US" w:eastAsia="zh-CN"/>
        </w:rPr>
        <w:t>汽车大厦(东风大街7766号)</w:t>
      </w:r>
    </w:p>
    <w:p w14:paraId="7924EB1C">
      <w:pPr>
        <w:spacing w:line="360" w:lineRule="auto"/>
        <w:ind w:firstLine="480" w:firstLineChars="200"/>
        <w:rPr>
          <w:rFonts w:hint="default" w:ascii="宋体" w:hAnsi="宋体" w:eastAsia="宋体"/>
          <w:sz w:val="24"/>
          <w:highlight w:val="none"/>
          <w:lang w:val="en-US" w:eastAsia="zh-CN"/>
        </w:rPr>
      </w:pPr>
      <w:r>
        <w:rPr>
          <w:rFonts w:hint="eastAsia" w:ascii="宋体" w:hAnsi="宋体"/>
          <w:sz w:val="24"/>
          <w:highlight w:val="none"/>
        </w:rPr>
        <w:t>联系方式：</w:t>
      </w:r>
      <w:r>
        <w:rPr>
          <w:rFonts w:hint="eastAsia" w:ascii="宋体" w:hAnsi="宋体"/>
          <w:sz w:val="24"/>
          <w:highlight w:val="none"/>
          <w:lang w:val="en-US" w:eastAsia="zh-CN"/>
        </w:rPr>
        <w:t>赵文斐  0431-81501540</w:t>
      </w:r>
    </w:p>
    <w:p w14:paraId="0F53C6E7">
      <w:pPr>
        <w:spacing w:line="360" w:lineRule="auto"/>
        <w:ind w:firstLine="480" w:firstLineChars="200"/>
        <w:rPr>
          <w:rFonts w:hint="eastAsia" w:ascii="宋体" w:hAnsi="宋体"/>
          <w:sz w:val="24"/>
          <w:highlight w:val="none"/>
        </w:rPr>
      </w:pPr>
      <w:r>
        <w:rPr>
          <w:rFonts w:hint="eastAsia" w:ascii="宋体" w:hAnsi="宋体"/>
          <w:sz w:val="24"/>
          <w:highlight w:val="none"/>
        </w:rPr>
        <w:t>2.采购代理机构信息</w:t>
      </w:r>
    </w:p>
    <w:p w14:paraId="53211959">
      <w:pPr>
        <w:spacing w:line="360" w:lineRule="auto"/>
        <w:ind w:firstLine="480" w:firstLineChars="200"/>
        <w:rPr>
          <w:rFonts w:hint="default" w:ascii="宋体" w:hAnsi="宋体" w:eastAsia="宋体"/>
          <w:sz w:val="24"/>
          <w:highlight w:val="none"/>
          <w:lang w:val="en-US" w:eastAsia="zh-CN"/>
        </w:rPr>
      </w:pPr>
      <w:r>
        <w:rPr>
          <w:rFonts w:hint="eastAsia" w:ascii="宋体" w:hAnsi="宋体"/>
          <w:sz w:val="24"/>
          <w:highlight w:val="none"/>
        </w:rPr>
        <w:t>名 称：</w:t>
      </w:r>
      <w:r>
        <w:rPr>
          <w:rFonts w:hint="eastAsia" w:ascii="宋体" w:hAnsi="宋体"/>
          <w:sz w:val="24"/>
          <w:highlight w:val="none"/>
          <w:lang w:eastAsia="zh-CN"/>
        </w:rPr>
        <w:t>吉林省</w:t>
      </w:r>
      <w:r>
        <w:rPr>
          <w:rFonts w:hint="eastAsia" w:ascii="宋体" w:hAnsi="宋体"/>
          <w:sz w:val="24"/>
          <w:highlight w:val="none"/>
          <w:lang w:val="en-US" w:eastAsia="zh-CN"/>
        </w:rPr>
        <w:t>驰茗项目管理咨询有限公司</w:t>
      </w:r>
    </w:p>
    <w:p w14:paraId="662CD811">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地址：</w:t>
      </w:r>
      <w:r>
        <w:rPr>
          <w:rFonts w:hint="eastAsia" w:ascii="宋体" w:hAnsi="宋体" w:cs="宋体"/>
          <w:sz w:val="24"/>
          <w:highlight w:val="none"/>
          <w:lang w:eastAsia="zh-CN"/>
        </w:rPr>
        <w:t>长春市天合路与生态大街交汇明宇公寓B1栋2514室</w:t>
      </w:r>
      <w:r>
        <w:rPr>
          <w:rFonts w:hint="eastAsia" w:ascii="宋体" w:hAnsi="宋体"/>
          <w:color w:val="auto"/>
          <w:sz w:val="24"/>
          <w:highlight w:val="none"/>
          <w:lang w:val="en-US" w:eastAsia="zh-CN"/>
        </w:rPr>
        <w:t xml:space="preserve"> </w:t>
      </w:r>
    </w:p>
    <w:p w14:paraId="4D5F7EA7">
      <w:pPr>
        <w:spacing w:line="360" w:lineRule="auto"/>
        <w:ind w:firstLine="480" w:firstLineChars="200"/>
        <w:rPr>
          <w:rFonts w:hint="eastAsia" w:ascii="宋体" w:hAnsi="宋体" w:eastAsia="宋体"/>
          <w:sz w:val="24"/>
          <w:highlight w:val="none"/>
          <w:lang w:eastAsia="zh-CN"/>
        </w:rPr>
      </w:pPr>
      <w:r>
        <w:rPr>
          <w:rFonts w:hint="eastAsia" w:ascii="宋体" w:hAnsi="宋体"/>
          <w:sz w:val="24"/>
          <w:highlight w:val="none"/>
        </w:rPr>
        <w:t>联系方式：</w:t>
      </w:r>
      <w:r>
        <w:rPr>
          <w:rFonts w:hint="eastAsia" w:ascii="宋体" w:hAnsi="宋体" w:cs="宋体"/>
          <w:sz w:val="24"/>
          <w:highlight w:val="none"/>
          <w:lang w:val="en-US" w:eastAsia="zh-CN"/>
        </w:rPr>
        <w:t>15304411121（工作电话）</w:t>
      </w:r>
      <w:r>
        <w:rPr>
          <w:rFonts w:hint="eastAsia" w:ascii="宋体" w:hAnsi="宋体" w:cs="宋体"/>
          <w:sz w:val="24"/>
          <w:highlight w:val="none"/>
        </w:rPr>
        <w:t>　</w:t>
      </w:r>
      <w:r>
        <w:rPr>
          <w:rFonts w:hint="eastAsia" w:ascii="宋体" w:hAnsi="宋体" w:cs="宋体"/>
          <w:sz w:val="24"/>
          <w:highlight w:val="none"/>
          <w:lang w:eastAsia="zh-CN"/>
        </w:rPr>
        <w:t xml:space="preserve">0431-85651560 </w:t>
      </w:r>
      <w:r>
        <w:rPr>
          <w:rFonts w:hint="eastAsia" w:ascii="宋体" w:hAnsi="宋体"/>
          <w:sz w:val="24"/>
          <w:highlight w:val="none"/>
          <w:lang w:val="en-US" w:eastAsia="zh-CN"/>
        </w:rPr>
        <w:t xml:space="preserve"> </w:t>
      </w:r>
    </w:p>
    <w:p w14:paraId="0B5FCA3E">
      <w:pPr>
        <w:spacing w:line="360" w:lineRule="auto"/>
        <w:ind w:firstLine="480" w:firstLineChars="200"/>
        <w:rPr>
          <w:rFonts w:hint="eastAsia" w:ascii="宋体" w:hAnsi="宋体"/>
          <w:sz w:val="24"/>
          <w:highlight w:val="none"/>
        </w:rPr>
      </w:pPr>
      <w:r>
        <w:rPr>
          <w:rFonts w:hint="eastAsia" w:ascii="宋体" w:hAnsi="宋体"/>
          <w:sz w:val="24"/>
          <w:highlight w:val="none"/>
        </w:rPr>
        <w:t>3.项目联系方式</w:t>
      </w:r>
    </w:p>
    <w:p w14:paraId="16A3F98E">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联系人：赵龙、孟颖</w:t>
      </w:r>
      <w:r>
        <w:rPr>
          <w:rFonts w:hint="eastAsia" w:ascii="宋体" w:hAnsi="宋体" w:eastAsia="宋体" w:cs="宋体"/>
          <w:sz w:val="24"/>
          <w:highlight w:val="none"/>
          <w:lang w:val="en-US" w:eastAsia="zh-CN"/>
        </w:rPr>
        <w:t xml:space="preserve"> </w:t>
      </w:r>
    </w:p>
    <w:p w14:paraId="02A7EB61">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联系方式：</w:t>
      </w:r>
      <w:r>
        <w:rPr>
          <w:rFonts w:hint="eastAsia" w:ascii="宋体" w:hAnsi="宋体" w:cs="宋体"/>
          <w:sz w:val="24"/>
          <w:highlight w:val="none"/>
          <w:lang w:val="en-US" w:eastAsia="zh-CN"/>
        </w:rPr>
        <w:t>15304411121（工作电话）</w:t>
      </w:r>
      <w:r>
        <w:rPr>
          <w:rFonts w:hint="eastAsia" w:ascii="宋体" w:hAnsi="宋体" w:cs="宋体"/>
          <w:sz w:val="24"/>
          <w:highlight w:val="none"/>
        </w:rPr>
        <w:t>　</w:t>
      </w:r>
      <w:r>
        <w:rPr>
          <w:rFonts w:hint="eastAsia" w:ascii="宋体" w:hAnsi="宋体" w:cs="宋体"/>
          <w:sz w:val="24"/>
          <w:highlight w:val="none"/>
          <w:lang w:eastAsia="zh-CN"/>
        </w:rPr>
        <w:t>0431-85651560</w:t>
      </w:r>
      <w:r>
        <w:rPr>
          <w:rFonts w:hint="eastAsia" w:ascii="宋体" w:hAnsi="宋体" w:eastAsia="宋体" w:cs="宋体"/>
          <w:sz w:val="24"/>
          <w:highlight w:val="none"/>
          <w:lang w:val="en-US" w:eastAsia="zh-CN"/>
        </w:rPr>
        <w:t xml:space="preserve"> </w:t>
      </w:r>
    </w:p>
    <w:p w14:paraId="65A57482">
      <w:pPr>
        <w:numPr>
          <w:ilvl w:val="0"/>
          <w:numId w:val="3"/>
        </w:numPr>
        <w:spacing w:line="360" w:lineRule="auto"/>
        <w:ind w:firstLine="480" w:firstLineChars="200"/>
        <w:rPr>
          <w:rFonts w:hint="eastAsia" w:ascii="宋体" w:hAnsi="宋体"/>
          <w:sz w:val="24"/>
          <w:highlight w:val="none"/>
        </w:rPr>
      </w:pPr>
      <w:r>
        <w:rPr>
          <w:rFonts w:hint="eastAsia" w:ascii="宋体" w:hAnsi="宋体"/>
          <w:sz w:val="24"/>
          <w:highlight w:val="none"/>
        </w:rPr>
        <w:t>监督联系方式</w:t>
      </w:r>
    </w:p>
    <w:p w14:paraId="153B6CA2">
      <w:pPr>
        <w:numPr>
          <w:ilvl w:val="0"/>
          <w:numId w:val="0"/>
        </w:numPr>
        <w:spacing w:line="360" w:lineRule="auto"/>
        <w:ind w:firstLine="480" w:firstLineChars="200"/>
        <w:rPr>
          <w:highlight w:val="none"/>
        </w:rPr>
      </w:pPr>
      <w:r>
        <w:rPr>
          <w:rFonts w:hint="eastAsia" w:ascii="宋体" w:hAnsi="宋体"/>
          <w:sz w:val="24"/>
          <w:highlight w:val="none"/>
        </w:rPr>
        <w:t>监督管理部门：长春</w:t>
      </w:r>
      <w:r>
        <w:rPr>
          <w:rFonts w:hint="eastAsia" w:ascii="宋体" w:hAnsi="宋体"/>
          <w:sz w:val="24"/>
          <w:highlight w:val="none"/>
          <w:lang w:val="en-US" w:eastAsia="zh-CN"/>
        </w:rPr>
        <w:t>汽车经济技术开发区财政局</w:t>
      </w:r>
    </w:p>
    <w:p w14:paraId="143A80AC">
      <w:pPr>
        <w:pStyle w:val="33"/>
        <w:jc w:val="both"/>
        <w:rPr>
          <w:rFonts w:hint="eastAsia" w:ascii="宋体" w:hAnsi="宋体" w:cs="宋体"/>
          <w:color w:val="000000"/>
          <w:szCs w:val="21"/>
          <w:highlight w:val="none"/>
        </w:rPr>
      </w:pPr>
    </w:p>
    <w:bookmarkEnd w:id="2"/>
    <w:p w14:paraId="4D4458A2">
      <w:pPr>
        <w:pStyle w:val="2"/>
        <w:numPr>
          <w:ilvl w:val="0"/>
          <w:numId w:val="0"/>
        </w:numPr>
        <w:bidi w:val="0"/>
        <w:ind w:leftChars="0"/>
        <w:jc w:val="center"/>
        <w:rPr>
          <w:rFonts w:hint="eastAsia" w:ascii="宋体" w:hAnsi="宋体" w:eastAsia="宋体" w:cs="宋体"/>
          <w:b/>
          <w:bCs/>
          <w:sz w:val="36"/>
          <w:szCs w:val="36"/>
          <w:highlight w:val="none"/>
        </w:rPr>
      </w:pPr>
      <w:bookmarkStart w:id="9" w:name="_Toc31586"/>
      <w:bookmarkStart w:id="10" w:name="_Toc230599440"/>
      <w:r>
        <w:rPr>
          <w:rFonts w:hint="eastAsia" w:ascii="宋体" w:hAnsi="宋体" w:eastAsia="宋体" w:cs="宋体"/>
          <w:b/>
          <w:bCs/>
          <w:sz w:val="36"/>
          <w:szCs w:val="36"/>
          <w:highlight w:val="none"/>
        </w:rPr>
        <w:t>第二章 投标人须知</w:t>
      </w:r>
      <w:bookmarkEnd w:id="9"/>
    </w:p>
    <w:p w14:paraId="4D82DBA7">
      <w:pPr>
        <w:autoSpaceDE w:val="0"/>
        <w:autoSpaceDN w:val="0"/>
        <w:adjustRightInd w:val="0"/>
        <w:jc w:val="center"/>
        <w:rPr>
          <w:rFonts w:hint="eastAsia"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投标人须知前附表</w:t>
      </w:r>
    </w:p>
    <w:p w14:paraId="16AEB159">
      <w:pPr>
        <w:autoSpaceDE w:val="0"/>
        <w:autoSpaceDN w:val="0"/>
        <w:adjustRightInd w:val="0"/>
        <w:jc w:val="left"/>
        <w:rPr>
          <w:rFonts w:hint="eastAsia" w:ascii="宋体" w:hAnsi="宋体" w:cs="宋体"/>
          <w:color w:val="000000"/>
          <w:kern w:val="0"/>
          <w:szCs w:val="21"/>
          <w:highlight w:val="none"/>
        </w:rPr>
      </w:pPr>
    </w:p>
    <w:tbl>
      <w:tblPr>
        <w:tblStyle w:val="38"/>
        <w:tblW w:w="9673" w:type="dxa"/>
        <w:jc w:val="center"/>
        <w:tblLayout w:type="fixed"/>
        <w:tblCellMar>
          <w:top w:w="0" w:type="dxa"/>
          <w:left w:w="108" w:type="dxa"/>
          <w:bottom w:w="0" w:type="dxa"/>
          <w:right w:w="108" w:type="dxa"/>
        </w:tblCellMar>
      </w:tblPr>
      <w:tblGrid>
        <w:gridCol w:w="1015"/>
        <w:gridCol w:w="2138"/>
        <w:gridCol w:w="6520"/>
      </w:tblGrid>
      <w:tr w14:paraId="684251D8">
        <w:tblPrEx>
          <w:tblCellMar>
            <w:top w:w="0" w:type="dxa"/>
            <w:left w:w="108" w:type="dxa"/>
            <w:bottom w:w="0" w:type="dxa"/>
            <w:right w:w="108" w:type="dxa"/>
          </w:tblCellMar>
        </w:tblPrEx>
        <w:trPr>
          <w:trHeight w:val="146" w:hRule="atLeast"/>
          <w:tblHeader/>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16765C51">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序号</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59215B95">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条 款 名 称</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54BBC3D5">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编 列 内 容</w:t>
            </w:r>
          </w:p>
        </w:tc>
      </w:tr>
      <w:tr w14:paraId="6088F562">
        <w:tblPrEx>
          <w:tblCellMar>
            <w:top w:w="0" w:type="dxa"/>
            <w:left w:w="108" w:type="dxa"/>
            <w:bottom w:w="0" w:type="dxa"/>
            <w:right w:w="108" w:type="dxa"/>
          </w:tblCellMar>
        </w:tblPrEx>
        <w:trPr>
          <w:trHeight w:val="458"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17AEC717">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1.1.2</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4709BE84">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采购人</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471E2787">
            <w:pPr>
              <w:pStyle w:val="19"/>
              <w:keepNext w:val="0"/>
              <w:keepLines w:val="0"/>
              <w:suppressLineNumbers w:val="0"/>
              <w:spacing w:before="0" w:beforeAutospacing="0" w:after="0" w:afterAutospacing="0" w:line="360" w:lineRule="auto"/>
              <w:ind w:left="0" w:right="0"/>
              <w:rPr>
                <w:rFonts w:hint="eastAsia" w:hAnsi="宋体" w:cs="宋体"/>
                <w:highlight w:val="none"/>
              </w:rPr>
            </w:pPr>
            <w:r>
              <w:rPr>
                <w:rFonts w:hint="eastAsia" w:hAnsi="宋体" w:cs="宋体"/>
                <w:highlight w:val="none"/>
              </w:rPr>
              <w:t>名 称：</w:t>
            </w:r>
            <w:r>
              <w:rPr>
                <w:rFonts w:hint="eastAsia" w:cs="宋体"/>
                <w:kern w:val="2"/>
                <w:szCs w:val="24"/>
                <w:highlight w:val="none"/>
                <w:lang w:val="en-US" w:eastAsia="zh-CN"/>
              </w:rPr>
              <w:t>2025年汽开区绿化养护管理服务</w:t>
            </w:r>
            <w:r>
              <w:rPr>
                <w:rFonts w:hint="eastAsia" w:hAnsi="宋体" w:cs="宋体"/>
                <w:highlight w:val="none"/>
              </w:rPr>
              <w:t> </w:t>
            </w:r>
          </w:p>
          <w:p w14:paraId="5BE05755">
            <w:pPr>
              <w:keepNext w:val="0"/>
              <w:keepLines w:val="0"/>
              <w:suppressLineNumbers w:val="0"/>
              <w:spacing w:before="0" w:beforeAutospacing="0" w:after="0" w:afterAutospacing="0" w:line="360" w:lineRule="auto"/>
              <w:ind w:left="0" w:right="0"/>
              <w:rPr>
                <w:rFonts w:hint="eastAsia" w:ascii="宋体" w:hAnsi="宋体" w:eastAsia="宋体" w:cs="宋体"/>
                <w:kern w:val="2"/>
                <w:sz w:val="21"/>
                <w:szCs w:val="21"/>
                <w:highlight w:val="none"/>
                <w:lang w:val="en-US" w:eastAsia="zh-CN" w:bidi="ar-SA"/>
              </w:rPr>
            </w:pPr>
            <w:r>
              <w:rPr>
                <w:rFonts w:hint="eastAsia" w:hAnsi="宋体" w:cs="宋体"/>
                <w:highlight w:val="none"/>
              </w:rPr>
              <w:t>地址</w:t>
            </w:r>
            <w:r>
              <w:rPr>
                <w:rFonts w:hint="eastAsia" w:ascii="宋体" w:hAnsi="宋体" w:eastAsia="宋体" w:cs="宋体"/>
                <w:kern w:val="2"/>
                <w:sz w:val="21"/>
                <w:szCs w:val="21"/>
                <w:highlight w:val="none"/>
                <w:lang w:val="en-US" w:eastAsia="zh-CN" w:bidi="ar-SA"/>
              </w:rPr>
              <w:t>：汽车大厦(东风大街7766号)</w:t>
            </w:r>
          </w:p>
          <w:p w14:paraId="6CE05B86">
            <w:pPr>
              <w:keepNext w:val="0"/>
              <w:keepLines w:val="0"/>
              <w:suppressLineNumbers w:val="0"/>
              <w:spacing w:before="0" w:beforeAutospacing="0" w:after="0" w:afterAutospacing="0" w:line="360" w:lineRule="auto"/>
              <w:ind w:left="0" w:right="0"/>
              <w:rPr>
                <w:rFonts w:hint="default" w:ascii="宋体" w:hAnsi="宋体" w:eastAsia="宋体" w:cs="宋体"/>
                <w:kern w:val="2"/>
                <w:sz w:val="21"/>
                <w:szCs w:val="21"/>
                <w:highlight w:val="none"/>
                <w:lang w:val="en-US" w:eastAsia="zh-CN" w:bidi="ar-SA"/>
              </w:rPr>
            </w:pPr>
            <w:r>
              <w:rPr>
                <w:rFonts w:hint="eastAsia" w:hAnsi="宋体" w:cs="宋体"/>
                <w:highlight w:val="none"/>
              </w:rPr>
              <w:t>联</w:t>
            </w:r>
            <w:r>
              <w:rPr>
                <w:rFonts w:hint="eastAsia" w:ascii="宋体" w:hAnsi="宋体" w:eastAsia="宋体" w:cs="宋体"/>
                <w:kern w:val="2"/>
                <w:sz w:val="21"/>
                <w:szCs w:val="21"/>
                <w:highlight w:val="none"/>
                <w:lang w:val="en-US" w:eastAsia="zh-CN" w:bidi="ar-SA"/>
              </w:rPr>
              <w:t>系人：赵文斐</w:t>
            </w:r>
          </w:p>
          <w:p w14:paraId="610BD70B">
            <w:pPr>
              <w:keepNext w:val="0"/>
              <w:keepLines w:val="0"/>
              <w:suppressLineNumbers w:val="0"/>
              <w:spacing w:before="0" w:beforeAutospacing="0" w:after="0" w:afterAutospacing="0" w:line="360" w:lineRule="auto"/>
              <w:ind w:left="0" w:right="0"/>
              <w:rPr>
                <w:rFonts w:hAnsi="宋体" w:cs="宋体"/>
                <w:highlight w:val="none"/>
              </w:rPr>
            </w:pPr>
            <w:r>
              <w:rPr>
                <w:rFonts w:hint="eastAsia" w:ascii="宋体" w:hAnsi="宋体" w:eastAsia="宋体" w:cs="宋体"/>
                <w:kern w:val="2"/>
                <w:sz w:val="21"/>
                <w:szCs w:val="21"/>
                <w:highlight w:val="none"/>
                <w:lang w:val="en-US" w:eastAsia="zh-CN" w:bidi="ar-SA"/>
              </w:rPr>
              <w:t>联系方式： 0431-81501540</w:t>
            </w:r>
          </w:p>
        </w:tc>
      </w:tr>
      <w:tr w14:paraId="6390B766">
        <w:tblPrEx>
          <w:tblCellMar>
            <w:top w:w="0" w:type="dxa"/>
            <w:left w:w="108" w:type="dxa"/>
            <w:bottom w:w="0" w:type="dxa"/>
            <w:right w:w="108" w:type="dxa"/>
          </w:tblCellMar>
        </w:tblPrEx>
        <w:trPr>
          <w:trHeight w:val="1232"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08E8086B">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1.1.3</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0701D6F6">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采购代理机构</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158A521E">
            <w:pPr>
              <w:pStyle w:val="19"/>
              <w:keepNext w:val="0"/>
              <w:keepLines w:val="0"/>
              <w:suppressLineNumbers w:val="0"/>
              <w:spacing w:before="0" w:beforeAutospacing="0" w:after="0" w:afterAutospacing="0" w:line="360" w:lineRule="auto"/>
              <w:ind w:left="0" w:right="0"/>
              <w:rPr>
                <w:rFonts w:hint="eastAsia" w:ascii="宋体" w:hAnsi="宋体" w:eastAsia="宋体" w:cs="宋体"/>
                <w:highlight w:val="none"/>
                <w:lang w:eastAsia="zh-CN"/>
              </w:rPr>
            </w:pPr>
            <w:r>
              <w:rPr>
                <w:rFonts w:hint="eastAsia" w:ascii="宋体" w:hAnsi="宋体" w:eastAsia="宋体" w:cs="宋体"/>
                <w:highlight w:val="none"/>
                <w:lang w:eastAsia="zh-CN"/>
              </w:rPr>
              <w:t>名 称：吉林省</w:t>
            </w:r>
            <w:r>
              <w:rPr>
                <w:rFonts w:hint="eastAsia" w:ascii="宋体" w:hAnsi="宋体" w:eastAsia="宋体" w:cs="宋体"/>
                <w:highlight w:val="none"/>
                <w:lang w:val="en-US" w:eastAsia="zh-CN"/>
              </w:rPr>
              <w:t>驰茗项目管理咨询有限公司</w:t>
            </w:r>
          </w:p>
          <w:p w14:paraId="67EB3F93">
            <w:pPr>
              <w:pStyle w:val="19"/>
              <w:keepNext w:val="0"/>
              <w:keepLines w:val="0"/>
              <w:suppressLineNumbers w:val="0"/>
              <w:spacing w:before="0" w:beforeAutospacing="0" w:after="0" w:afterAutospacing="0" w:line="360" w:lineRule="auto"/>
              <w:ind w:left="0" w:right="0"/>
              <w:rPr>
                <w:rFonts w:hint="eastAsia" w:ascii="宋体" w:hAnsi="宋体" w:eastAsia="宋体" w:cs="宋体"/>
                <w:highlight w:val="none"/>
                <w:lang w:eastAsia="zh-CN"/>
              </w:rPr>
            </w:pPr>
            <w:r>
              <w:rPr>
                <w:rFonts w:hint="eastAsia" w:ascii="宋体" w:hAnsi="宋体" w:eastAsia="宋体" w:cs="宋体"/>
                <w:highlight w:val="none"/>
                <w:lang w:eastAsia="zh-CN"/>
              </w:rPr>
              <w:t>地 址：长春市天合路与生态大街交汇明宇公寓B1栋2514室</w:t>
            </w:r>
          </w:p>
          <w:p w14:paraId="3EEC818E">
            <w:pPr>
              <w:pStyle w:val="19"/>
              <w:keepNext w:val="0"/>
              <w:keepLines w:val="0"/>
              <w:suppressLineNumbers w:val="0"/>
              <w:spacing w:before="0" w:beforeAutospacing="0" w:after="0" w:afterAutospacing="0" w:line="360" w:lineRule="auto"/>
              <w:ind w:left="0" w:right="0"/>
              <w:rPr>
                <w:rFonts w:hint="eastAsia" w:ascii="宋体" w:hAnsi="宋体" w:eastAsia="宋体" w:cs="宋体"/>
                <w:highlight w:val="none"/>
                <w:lang w:eastAsia="zh-CN"/>
              </w:rPr>
            </w:pPr>
            <w:r>
              <w:rPr>
                <w:rFonts w:hint="eastAsia" w:ascii="宋体" w:hAnsi="宋体" w:eastAsia="宋体" w:cs="宋体"/>
                <w:highlight w:val="none"/>
                <w:lang w:eastAsia="zh-CN"/>
              </w:rPr>
              <w:t>联系人：赵龙、孟颖</w:t>
            </w:r>
            <w:r>
              <w:rPr>
                <w:rFonts w:hint="eastAsia" w:ascii="宋体" w:hAnsi="宋体" w:eastAsia="宋体" w:cs="宋体"/>
                <w:highlight w:val="none"/>
                <w:lang w:val="en-US" w:eastAsia="zh-CN"/>
              </w:rPr>
              <w:t xml:space="preserve"> </w:t>
            </w:r>
          </w:p>
          <w:p w14:paraId="7453B6E9">
            <w:pPr>
              <w:pStyle w:val="19"/>
              <w:keepNext w:val="0"/>
              <w:keepLines w:val="0"/>
              <w:suppressLineNumbers w:val="0"/>
              <w:spacing w:before="0" w:beforeAutospacing="0" w:after="0" w:afterAutospacing="0" w:line="360" w:lineRule="auto"/>
              <w:ind w:left="0" w:right="0"/>
              <w:rPr>
                <w:rFonts w:hint="eastAsia" w:ascii="宋体" w:hAnsi="宋体" w:eastAsia="宋体" w:cs="宋体"/>
                <w:highlight w:val="none"/>
                <w:lang w:eastAsia="zh-CN"/>
              </w:rPr>
            </w:pPr>
            <w:r>
              <w:rPr>
                <w:rFonts w:hint="eastAsia" w:ascii="宋体" w:hAnsi="宋体" w:eastAsia="宋体" w:cs="宋体"/>
                <w:highlight w:val="none"/>
                <w:lang w:eastAsia="zh-CN"/>
              </w:rPr>
              <w:t>联系方式：</w:t>
            </w:r>
            <w:r>
              <w:rPr>
                <w:rFonts w:hint="eastAsia" w:ascii="宋体" w:hAnsi="宋体" w:eastAsia="宋体" w:cs="宋体"/>
                <w:highlight w:val="none"/>
                <w:lang w:val="en-US" w:eastAsia="zh-CN"/>
              </w:rPr>
              <w:t>15304411121（工作电话）</w:t>
            </w:r>
            <w:r>
              <w:rPr>
                <w:rFonts w:hint="eastAsia" w:ascii="宋体" w:hAnsi="宋体" w:eastAsia="宋体" w:cs="宋体"/>
                <w:highlight w:val="none"/>
                <w:lang w:eastAsia="zh-CN"/>
              </w:rPr>
              <w:t>　0431-85651560</w:t>
            </w:r>
            <w:r>
              <w:rPr>
                <w:rFonts w:hint="eastAsia" w:ascii="宋体" w:hAnsi="宋体" w:eastAsia="宋体" w:cs="宋体"/>
                <w:highlight w:val="none"/>
                <w:lang w:val="en-US" w:eastAsia="zh-CN"/>
              </w:rPr>
              <w:t xml:space="preserve"> </w:t>
            </w:r>
          </w:p>
        </w:tc>
      </w:tr>
      <w:tr w14:paraId="3036F327">
        <w:tblPrEx>
          <w:tblCellMar>
            <w:top w:w="0" w:type="dxa"/>
            <w:left w:w="108" w:type="dxa"/>
            <w:bottom w:w="0" w:type="dxa"/>
            <w:right w:w="108" w:type="dxa"/>
          </w:tblCellMar>
        </w:tblPrEx>
        <w:trPr>
          <w:trHeight w:val="960"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FAC1E6A">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1.1.4</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523DAE26">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项目名称及编号</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4FBDBD9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left"/>
              <w:textAlignment w:val="auto"/>
              <w:rPr>
                <w:rFonts w:hint="default" w:ascii="宋体" w:hAnsi="宋体" w:cs="Calibri"/>
                <w:b w:val="0"/>
                <w:bCs/>
                <w:kern w:val="0"/>
                <w:sz w:val="21"/>
                <w:szCs w:val="21"/>
                <w:highlight w:val="none"/>
                <w:lang w:val="en-US" w:eastAsia="zh-CN" w:bidi="ar-SA"/>
              </w:rPr>
            </w:pPr>
            <w:r>
              <w:rPr>
                <w:rFonts w:hint="eastAsia" w:ascii="宋体" w:hAnsi="宋体" w:cs="Calibri"/>
                <w:b w:val="0"/>
                <w:bCs/>
                <w:kern w:val="0"/>
                <w:sz w:val="21"/>
                <w:szCs w:val="21"/>
                <w:highlight w:val="none"/>
                <w:lang w:val="en-US" w:eastAsia="zh-CN" w:bidi="ar-SA"/>
              </w:rPr>
              <w:t>项目名称：</w:t>
            </w:r>
            <w:r>
              <w:rPr>
                <w:rFonts w:hint="eastAsia" w:cs="宋体"/>
                <w:kern w:val="2"/>
                <w:szCs w:val="24"/>
                <w:highlight w:val="none"/>
                <w:lang w:val="en-US" w:eastAsia="zh-CN"/>
              </w:rPr>
              <w:t>2025年汽开区绿化养护管理服务四标段</w:t>
            </w:r>
          </w:p>
          <w:p w14:paraId="6D52AFF0">
            <w:pPr>
              <w:pStyle w:val="6"/>
              <w:keepNext w:val="0"/>
              <w:keepLines w:val="0"/>
              <w:suppressLineNumbers w:val="0"/>
              <w:spacing w:before="0" w:beforeAutospacing="0" w:after="0" w:afterAutospacing="0" w:line="440" w:lineRule="exact"/>
              <w:ind w:left="0" w:right="420" w:firstLine="0" w:firstLineChars="0"/>
              <w:rPr>
                <w:rFonts w:hint="default" w:ascii="宋体" w:hAnsi="宋体" w:eastAsia="宋体" w:cs="宋体"/>
                <w:color w:val="000000"/>
                <w:szCs w:val="21"/>
                <w:highlight w:val="none"/>
                <w:lang w:val="en-US" w:eastAsia="zh-CN"/>
              </w:rPr>
            </w:pPr>
            <w:r>
              <w:rPr>
                <w:rFonts w:hint="eastAsia" w:ascii="宋体" w:hAnsi="宋体" w:cs="宋体"/>
                <w:szCs w:val="21"/>
                <w:highlight w:val="none"/>
              </w:rPr>
              <w:t>项目编号</w:t>
            </w:r>
            <w:r>
              <w:rPr>
                <w:rFonts w:hint="eastAsia" w:ascii="宋体" w:hAnsi="宋体" w:cs="宋体"/>
                <w:color w:val="000000"/>
                <w:szCs w:val="21"/>
                <w:highlight w:val="none"/>
              </w:rPr>
              <w:t>：</w:t>
            </w:r>
            <w:r>
              <w:rPr>
                <w:rFonts w:hint="default" w:cs="宋体"/>
                <w:kern w:val="2"/>
                <w:sz w:val="21"/>
                <w:szCs w:val="21"/>
                <w:highlight w:val="none"/>
                <w:vertAlign w:val="baseline"/>
                <w:lang w:val="en-US" w:eastAsia="zh-CN"/>
              </w:rPr>
              <w:t>采购项目-【2025】-00198号</w:t>
            </w:r>
            <w:r>
              <w:rPr>
                <w:rFonts w:hint="eastAsia" w:cs="宋体"/>
                <w:kern w:val="2"/>
                <w:sz w:val="21"/>
                <w:szCs w:val="21"/>
                <w:highlight w:val="none"/>
                <w:vertAlign w:val="baseline"/>
                <w:lang w:val="en-US" w:eastAsia="zh-CN"/>
              </w:rPr>
              <w:t>-4</w:t>
            </w:r>
          </w:p>
        </w:tc>
      </w:tr>
      <w:tr w14:paraId="05EC03E2">
        <w:tblPrEx>
          <w:tblCellMar>
            <w:top w:w="0" w:type="dxa"/>
            <w:left w:w="108" w:type="dxa"/>
            <w:bottom w:w="0" w:type="dxa"/>
            <w:right w:w="108" w:type="dxa"/>
          </w:tblCellMar>
        </w:tblPrEx>
        <w:trPr>
          <w:trHeight w:val="397"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6D9CDD23">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1.1.5</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4C3DD8F2">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lang w:val="en-US" w:eastAsia="zh-CN"/>
              </w:rPr>
              <w:t>服务</w:t>
            </w:r>
            <w:r>
              <w:rPr>
                <w:rFonts w:hint="eastAsia" w:ascii="宋体" w:hAnsi="宋体" w:cs="宋体"/>
                <w:color w:val="000000"/>
                <w:kern w:val="0"/>
                <w:szCs w:val="21"/>
                <w:highlight w:val="none"/>
              </w:rPr>
              <w:t>地点</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2D5A1420">
            <w:pPr>
              <w:keepNext w:val="0"/>
              <w:keepLines w:val="0"/>
              <w:suppressLineNumbers w:val="0"/>
              <w:adjustRightInd w:val="0"/>
              <w:spacing w:before="0" w:beforeAutospacing="0" w:after="0" w:afterAutospacing="0" w:line="440" w:lineRule="exact"/>
              <w:ind w:left="0" w:right="0"/>
              <w:rPr>
                <w:rFonts w:hint="eastAsia" w:ascii="宋体" w:hAnsi="宋体" w:cs="宋体"/>
                <w:color w:val="000000"/>
                <w:highlight w:val="none"/>
              </w:rPr>
            </w:pPr>
            <w:r>
              <w:rPr>
                <w:rFonts w:hint="eastAsia" w:ascii="宋体" w:hAnsi="宋体" w:cs="宋体"/>
                <w:color w:val="auto"/>
                <w:highlight w:val="none"/>
              </w:rPr>
              <w:t>采购人指定</w:t>
            </w:r>
            <w:r>
              <w:rPr>
                <w:rFonts w:hint="eastAsia" w:ascii="Calibri" w:hAnsi="Calibri" w:cs="宋体"/>
                <w:color w:val="auto"/>
                <w:highlight w:val="none"/>
              </w:rPr>
              <w:t>的</w:t>
            </w:r>
            <w:r>
              <w:rPr>
                <w:rFonts w:hint="eastAsia" w:ascii="宋体" w:hAnsi="宋体" w:cs="宋体"/>
                <w:color w:val="auto"/>
                <w:highlight w:val="none"/>
                <w:lang w:val="en-US" w:eastAsia="zh-CN"/>
              </w:rPr>
              <w:t>地点</w:t>
            </w:r>
          </w:p>
        </w:tc>
      </w:tr>
      <w:tr w14:paraId="50657836">
        <w:tblPrEx>
          <w:tblCellMar>
            <w:top w:w="0" w:type="dxa"/>
            <w:left w:w="108" w:type="dxa"/>
            <w:bottom w:w="0" w:type="dxa"/>
            <w:right w:w="108" w:type="dxa"/>
          </w:tblCellMar>
        </w:tblPrEx>
        <w:trPr>
          <w:trHeight w:val="397"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472B8D3">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1.2.1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25368024">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资金来源</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65A421BC">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财政资金</w:t>
            </w:r>
          </w:p>
        </w:tc>
      </w:tr>
      <w:tr w14:paraId="2AE9CB35">
        <w:tblPrEx>
          <w:tblCellMar>
            <w:top w:w="0" w:type="dxa"/>
            <w:left w:w="108" w:type="dxa"/>
            <w:bottom w:w="0" w:type="dxa"/>
            <w:right w:w="108" w:type="dxa"/>
          </w:tblCellMar>
        </w:tblPrEx>
        <w:trPr>
          <w:trHeight w:val="372"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DE822C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1.2.2</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6CA98A7A">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出资比例</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4872393C">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100%</w:t>
            </w:r>
          </w:p>
        </w:tc>
      </w:tr>
      <w:tr w14:paraId="1963030E">
        <w:tblPrEx>
          <w:tblCellMar>
            <w:top w:w="0" w:type="dxa"/>
            <w:left w:w="108" w:type="dxa"/>
            <w:bottom w:w="0" w:type="dxa"/>
            <w:right w:w="108" w:type="dxa"/>
          </w:tblCellMar>
        </w:tblPrEx>
        <w:trPr>
          <w:trHeight w:val="397"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1ED0D53A">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1.2.3</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4DF8FD1A">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资金落实情况</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5667BC44">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已落实</w:t>
            </w:r>
          </w:p>
        </w:tc>
      </w:tr>
      <w:tr w14:paraId="1A2AAE6A">
        <w:tblPrEx>
          <w:tblCellMar>
            <w:top w:w="0" w:type="dxa"/>
            <w:left w:w="108" w:type="dxa"/>
            <w:bottom w:w="0" w:type="dxa"/>
            <w:right w:w="108" w:type="dxa"/>
          </w:tblCellMar>
        </w:tblPrEx>
        <w:trPr>
          <w:trHeight w:val="397"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56A06B75">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1.3.1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1BB789D4">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采购需求</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24BFFFBC">
            <w:pPr>
              <w:pStyle w:val="35"/>
              <w:keepNext w:val="0"/>
              <w:keepLines w:val="0"/>
              <w:suppressLineNumbers w:val="0"/>
              <w:shd w:val="clear" w:color="auto" w:fill="FFFFFF"/>
              <w:spacing w:before="0" w:beforeAutospacing="0" w:after="0" w:afterAutospacing="0" w:line="360" w:lineRule="auto"/>
              <w:ind w:left="0" w:right="0"/>
              <w:jc w:val="both"/>
              <w:rPr>
                <w:rFonts w:hint="eastAsia" w:ascii="宋体" w:hAnsi="宋体" w:eastAsia="宋体" w:cs="宋体"/>
                <w:color w:val="000000"/>
                <w:kern w:val="0"/>
                <w:szCs w:val="21"/>
                <w:highlight w:val="none"/>
                <w:lang w:eastAsia="zh-CN"/>
              </w:rPr>
            </w:pPr>
            <w:r>
              <w:rPr>
                <w:rFonts w:hint="eastAsia" w:eastAsia="宋体" w:cs="宋体"/>
                <w:color w:val="000000"/>
                <w:kern w:val="0"/>
                <w:sz w:val="21"/>
                <w:szCs w:val="21"/>
                <w:highlight w:val="none"/>
                <w:lang w:eastAsia="zh-CN"/>
              </w:rPr>
              <w:t>具体详见采购需求</w:t>
            </w:r>
          </w:p>
        </w:tc>
      </w:tr>
      <w:tr w14:paraId="02BC1178">
        <w:tblPrEx>
          <w:tblCellMar>
            <w:top w:w="0" w:type="dxa"/>
            <w:left w:w="108" w:type="dxa"/>
            <w:bottom w:w="0" w:type="dxa"/>
            <w:right w:w="108" w:type="dxa"/>
          </w:tblCellMar>
        </w:tblPrEx>
        <w:trPr>
          <w:trHeight w:val="146"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45E92BF4">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1.3.2</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6ACEFEDC">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szCs w:val="21"/>
                <w:highlight w:val="none"/>
              </w:rPr>
              <w:t>合同履行期限</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15E35F71">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szCs w:val="21"/>
                <w:highlight w:val="none"/>
              </w:rPr>
            </w:pPr>
            <w:r>
              <w:rPr>
                <w:rFonts w:hint="eastAsia" w:ascii="宋体" w:hAnsi="宋体" w:cs="宋体"/>
                <w:highlight w:val="none"/>
              </w:rPr>
              <w:t>自合同签订之日起一年。</w:t>
            </w:r>
          </w:p>
        </w:tc>
      </w:tr>
      <w:tr w14:paraId="17350E08">
        <w:tblPrEx>
          <w:tblCellMar>
            <w:top w:w="0" w:type="dxa"/>
            <w:left w:w="108" w:type="dxa"/>
            <w:bottom w:w="0" w:type="dxa"/>
            <w:right w:w="108" w:type="dxa"/>
          </w:tblCellMar>
        </w:tblPrEx>
        <w:trPr>
          <w:trHeight w:val="448"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6966E5FE">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1.3.3</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13BEFBBF">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eastAsia="宋体" w:cs="宋体"/>
                <w:color w:val="000000"/>
                <w:kern w:val="0"/>
                <w:szCs w:val="21"/>
                <w:highlight w:val="none"/>
                <w:lang w:eastAsia="zh-CN"/>
              </w:rPr>
            </w:pPr>
            <w:r>
              <w:rPr>
                <w:rFonts w:hint="eastAsia" w:ascii="宋体" w:hAnsi="宋体" w:cs="宋体"/>
                <w:highlight w:val="none"/>
              </w:rPr>
              <w:t>服务</w:t>
            </w:r>
            <w:r>
              <w:rPr>
                <w:rFonts w:hint="eastAsia" w:ascii="宋体" w:hAnsi="宋体" w:cs="宋体"/>
                <w:highlight w:val="none"/>
                <w:lang w:val="en-US" w:eastAsia="zh-CN"/>
              </w:rPr>
              <w:t>质量</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4B21920F">
            <w:pPr>
              <w:keepNext w:val="0"/>
              <w:keepLines w:val="0"/>
              <w:suppressLineNumbers w:val="0"/>
              <w:autoSpaceDE w:val="0"/>
              <w:autoSpaceDN w:val="0"/>
              <w:adjustRightInd w:val="0"/>
              <w:spacing w:before="0" w:beforeAutospacing="0" w:after="0" w:afterAutospacing="0" w:line="440" w:lineRule="exact"/>
              <w:ind w:left="0" w:right="0"/>
              <w:rPr>
                <w:rFonts w:hint="default"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绿化养护一级标准</w:t>
            </w:r>
          </w:p>
        </w:tc>
      </w:tr>
      <w:tr w14:paraId="53CCEF24">
        <w:tblPrEx>
          <w:tblCellMar>
            <w:top w:w="0" w:type="dxa"/>
            <w:left w:w="108" w:type="dxa"/>
            <w:bottom w:w="0" w:type="dxa"/>
            <w:right w:w="108" w:type="dxa"/>
          </w:tblCellMar>
        </w:tblPrEx>
        <w:trPr>
          <w:trHeight w:val="302"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E42AA20">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1.4.1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621860B3">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投标人资质条件、能力和信誉</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4E447593">
            <w:pPr>
              <w:keepNext w:val="0"/>
              <w:keepLines w:val="0"/>
              <w:suppressLineNumbers w:val="0"/>
              <w:spacing w:before="0" w:beforeAutospacing="0" w:after="0" w:afterAutospacing="0" w:line="360" w:lineRule="auto"/>
              <w:ind w:left="0" w:right="0"/>
              <w:rPr>
                <w:rFonts w:hint="eastAsia" w:ascii="宋体" w:hAnsi="宋体" w:cs="宋体"/>
                <w:highlight w:val="none"/>
              </w:rPr>
            </w:pPr>
            <w:r>
              <w:rPr>
                <w:rFonts w:hint="eastAsia" w:ascii="宋体" w:hAnsi="宋体" w:cs="宋体"/>
                <w:highlight w:val="none"/>
              </w:rPr>
              <w:t>详见招标公告申请人要求</w:t>
            </w:r>
          </w:p>
        </w:tc>
      </w:tr>
      <w:tr w14:paraId="4320DE5B">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2CC778FA">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1.4.2</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3E965461">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是否接受联合体投标</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26D98F26">
            <w:pPr>
              <w:keepNext w:val="0"/>
              <w:keepLines w:val="0"/>
              <w:suppressLineNumbers w:val="0"/>
              <w:autoSpaceDE w:val="0"/>
              <w:autoSpaceDN w:val="0"/>
              <w:adjustRightInd w:val="0"/>
              <w:spacing w:before="0" w:beforeAutospacing="0" w:after="0" w:afterAutospacing="0" w:line="440" w:lineRule="exact"/>
              <w:ind w:left="0" w:right="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不接受</w:t>
            </w:r>
          </w:p>
        </w:tc>
      </w:tr>
      <w:tr w14:paraId="1ADE6472">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638031F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1.9</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3B1F6D50">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highlight w:val="none"/>
              </w:rPr>
              <w:t>踏勘现场及时间安排</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62055D05">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kern w:val="0"/>
                <w:highlight w:val="none"/>
              </w:rPr>
            </w:pPr>
            <w:r>
              <w:rPr>
                <w:rFonts w:hint="eastAsia" w:ascii="宋体" w:hAnsi="宋体" w:cs="宋体"/>
                <w:color w:val="000000"/>
                <w:kern w:val="0"/>
                <w:highlight w:val="none"/>
              </w:rPr>
              <w:t>不组织</w:t>
            </w:r>
          </w:p>
        </w:tc>
      </w:tr>
      <w:tr w14:paraId="68CAA6D7">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C16E60C">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1.10.1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30230DE2">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highlight w:val="none"/>
              </w:rPr>
              <w:t>答疑会时间及地点</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6F2C7109">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spacing w:val="-20"/>
                <w:kern w:val="0"/>
                <w:szCs w:val="21"/>
                <w:highlight w:val="none"/>
              </w:rPr>
            </w:pPr>
            <w:r>
              <w:rPr>
                <w:rFonts w:hint="eastAsia" w:ascii="宋体" w:hAnsi="宋体" w:cs="宋体"/>
                <w:color w:val="000000"/>
                <w:kern w:val="0"/>
                <w:highlight w:val="none"/>
              </w:rPr>
              <w:t>不召开答疑会</w:t>
            </w:r>
          </w:p>
        </w:tc>
      </w:tr>
      <w:tr w14:paraId="3D79F71F">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530F0881">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1.10.2</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6A3BA994">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投标人提出问题的截止时间</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5F33342B">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招标文件公告期限届满之日起7个工作日内以书面形式一次性提出。</w:t>
            </w:r>
            <w:r>
              <w:rPr>
                <w:rFonts w:hint="eastAsia" w:ascii="宋体" w:hAnsi="宋体" w:cs="宋体"/>
                <w:color w:val="000000"/>
                <w:kern w:val="0"/>
                <w:highlight w:val="none"/>
              </w:rPr>
              <w:t>将所提问题递交到招标公司。</w:t>
            </w:r>
            <w:r>
              <w:rPr>
                <w:rFonts w:hint="eastAsia" w:ascii="宋体" w:hAnsi="宋体" w:cs="宋体"/>
                <w:color w:val="000000"/>
                <w:kern w:val="0"/>
                <w:highlight w:val="none"/>
                <w:lang w:val="zh-CN"/>
              </w:rPr>
              <w:t>要求：用A4纸打印，一式三份，并加盖公章，格式应符合政府采购相关管理办法规定。</w:t>
            </w:r>
            <w:r>
              <w:rPr>
                <w:rFonts w:hint="eastAsia" w:ascii="宋体" w:hAnsi="宋体" w:cs="宋体"/>
                <w:color w:val="000000"/>
                <w:kern w:val="0"/>
                <w:highlight w:val="none"/>
              </w:rPr>
              <w:t>委托人必须为本单位人员。</w:t>
            </w:r>
            <w:r>
              <w:rPr>
                <w:rFonts w:hint="eastAsia" w:ascii="宋体" w:hAnsi="宋体" w:cs="宋体"/>
                <w:color w:val="000000"/>
                <w:kern w:val="0"/>
                <w:highlight w:val="none"/>
                <w:lang w:val="zh-CN"/>
              </w:rPr>
              <w:t>若投标人未按规定提交投标疑问，则视为其无疑问。</w:t>
            </w:r>
          </w:p>
        </w:tc>
      </w:tr>
      <w:tr w14:paraId="00C601BD">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FF5BBD9">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1.10.3</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7EB11DD6">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采购人书面澄清</w:t>
            </w:r>
          </w:p>
          <w:p w14:paraId="6FA4CC4F">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的时间</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650B89D4">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 xml:space="preserve">投标截止时间15日前，招标文件的澄清、修改将在“政采云”网站上发布，所有报名并下载招标文件的投标人自行网上查询，否则后果自负。  </w:t>
            </w:r>
          </w:p>
        </w:tc>
      </w:tr>
      <w:tr w14:paraId="0D4C1A94">
        <w:tblPrEx>
          <w:tblCellMar>
            <w:top w:w="0" w:type="dxa"/>
            <w:left w:w="108" w:type="dxa"/>
            <w:bottom w:w="0" w:type="dxa"/>
            <w:right w:w="108" w:type="dxa"/>
          </w:tblCellMar>
        </w:tblPrEx>
        <w:trPr>
          <w:trHeight w:val="225"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55C7D0FF">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1.11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6375157D">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分包</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2B5757CC">
            <w:pPr>
              <w:keepNext w:val="0"/>
              <w:keepLines w:val="0"/>
              <w:suppressLineNumbers w:val="0"/>
              <w:autoSpaceDE w:val="0"/>
              <w:autoSpaceDN w:val="0"/>
              <w:adjustRightInd w:val="0"/>
              <w:spacing w:before="0" w:beforeAutospacing="0" w:after="0" w:afterAutospacing="0" w:line="440" w:lineRule="exact"/>
              <w:ind w:left="0" w:right="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不允许</w:t>
            </w:r>
          </w:p>
        </w:tc>
      </w:tr>
      <w:tr w14:paraId="09104BA4">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69560B47">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15C739B6">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构成投标文件的其他材料</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0ACBA87C">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b/>
                <w:color w:val="000000"/>
                <w:kern w:val="0"/>
                <w:szCs w:val="21"/>
                <w:highlight w:val="none"/>
              </w:rPr>
            </w:pPr>
            <w:r>
              <w:rPr>
                <w:rFonts w:hint="eastAsia" w:ascii="宋体" w:hAnsi="宋体" w:cs="宋体"/>
                <w:b/>
                <w:bCs/>
                <w:color w:val="000000"/>
                <w:kern w:val="0"/>
                <w:highlight w:val="none"/>
              </w:rPr>
              <w:t>无</w:t>
            </w:r>
          </w:p>
        </w:tc>
      </w:tr>
      <w:tr w14:paraId="59DECA40">
        <w:tblPrEx>
          <w:tblCellMar>
            <w:top w:w="0" w:type="dxa"/>
            <w:left w:w="108" w:type="dxa"/>
            <w:bottom w:w="0" w:type="dxa"/>
            <w:right w:w="108" w:type="dxa"/>
          </w:tblCellMar>
        </w:tblPrEx>
        <w:trPr>
          <w:trHeight w:val="454" w:hRule="atLeast"/>
          <w:jc w:val="center"/>
        </w:trPr>
        <w:tc>
          <w:tcPr>
            <w:tcW w:w="1015" w:type="dxa"/>
            <w:tcBorders>
              <w:left w:val="single" w:color="auto" w:sz="4" w:space="0"/>
              <w:bottom w:val="single" w:color="auto" w:sz="4" w:space="0"/>
              <w:right w:val="single" w:color="auto" w:sz="4" w:space="0"/>
            </w:tcBorders>
            <w:noWrap w:val="0"/>
            <w:vAlign w:val="center"/>
          </w:tcPr>
          <w:p w14:paraId="1978A04B">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3.2</w:t>
            </w:r>
          </w:p>
        </w:tc>
        <w:tc>
          <w:tcPr>
            <w:tcW w:w="2138" w:type="dxa"/>
            <w:tcBorders>
              <w:left w:val="single" w:color="auto" w:sz="4" w:space="0"/>
              <w:bottom w:val="single" w:color="auto" w:sz="4" w:space="0"/>
              <w:right w:val="single" w:color="auto" w:sz="4" w:space="0"/>
            </w:tcBorders>
            <w:noWrap w:val="0"/>
            <w:vAlign w:val="center"/>
          </w:tcPr>
          <w:p w14:paraId="78D37873">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投标有效期</w:t>
            </w:r>
          </w:p>
        </w:tc>
        <w:tc>
          <w:tcPr>
            <w:tcW w:w="6520" w:type="dxa"/>
            <w:tcBorders>
              <w:left w:val="single" w:color="auto" w:sz="4" w:space="0"/>
              <w:bottom w:val="single" w:color="auto" w:sz="4" w:space="0"/>
              <w:right w:val="single" w:color="auto" w:sz="4" w:space="0"/>
            </w:tcBorders>
            <w:noWrap w:val="0"/>
            <w:vAlign w:val="center"/>
          </w:tcPr>
          <w:p w14:paraId="5B948B0D">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90天</w:t>
            </w:r>
          </w:p>
        </w:tc>
      </w:tr>
      <w:tr w14:paraId="29B1D63A">
        <w:tblPrEx>
          <w:tblCellMar>
            <w:top w:w="0" w:type="dxa"/>
            <w:left w:w="108" w:type="dxa"/>
            <w:bottom w:w="0" w:type="dxa"/>
            <w:right w:w="108" w:type="dxa"/>
          </w:tblCellMar>
        </w:tblPrEx>
        <w:trPr>
          <w:trHeight w:val="1529"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A4311E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3.3</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198114EB">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投标保证金</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0BA20169">
            <w:pPr>
              <w:keepNext w:val="0"/>
              <w:keepLines w:val="0"/>
              <w:widowControl/>
              <w:suppressLineNumbers w:val="0"/>
              <w:adjustRightInd w:val="0"/>
              <w:spacing w:before="0" w:beforeAutospacing="0" w:after="0" w:afterAutospacing="0" w:line="240" w:lineRule="atLeast"/>
              <w:ind w:left="0" w:right="0"/>
              <w:jc w:val="left"/>
              <w:textAlignment w:val="baseline"/>
              <w:rPr>
                <w:rFonts w:hint="eastAsia" w:ascii="宋体" w:hAnsi="宋体" w:eastAsia="宋体" w:cs="宋体"/>
                <w:color w:val="333333"/>
                <w:kern w:val="0"/>
                <w:szCs w:val="21"/>
                <w:shd w:val="clear" w:color="auto" w:fill="FFFFFF"/>
                <w:lang w:val="zh-CN" w:eastAsia="zh-CN"/>
              </w:rPr>
            </w:pPr>
            <w:r>
              <w:rPr>
                <w:rFonts w:hint="default" w:ascii="宋体" w:hAnsi="宋体" w:eastAsia="宋体" w:cs="宋体"/>
                <w:color w:val="333333"/>
                <w:kern w:val="0"/>
                <w:szCs w:val="21"/>
                <w:highlight w:val="none"/>
                <w:shd w:val="clear" w:color="auto" w:fill="FFFFFF"/>
                <w:lang w:val="zh-CN" w:eastAsia="zh-CN"/>
              </w:rPr>
              <w:sym w:font="Wingdings" w:char="00FE"/>
            </w:r>
            <w:r>
              <w:rPr>
                <w:rFonts w:hint="eastAsia" w:ascii="宋体" w:hAnsi="宋体" w:eastAsia="宋体" w:cs="宋体"/>
                <w:color w:val="333333"/>
                <w:kern w:val="0"/>
                <w:szCs w:val="21"/>
                <w:shd w:val="clear" w:color="auto" w:fill="FFFFFF"/>
                <w:lang w:val="zh-CN" w:eastAsia="zh-CN"/>
              </w:rPr>
              <w:t>否：（依据长财采购</w:t>
            </w:r>
            <w:r>
              <w:rPr>
                <w:rFonts w:hint="eastAsia" w:ascii="宋体" w:hAnsi="宋体" w:eastAsia="宋体" w:cs="宋体"/>
                <w:color w:val="333333"/>
                <w:kern w:val="0"/>
                <w:szCs w:val="21"/>
                <w:shd w:val="clear" w:color="auto" w:fill="FFFFFF"/>
                <w:lang w:val="en-US" w:eastAsia="zh-CN"/>
              </w:rPr>
              <w:t>&lt;2021&gt;695号</w:t>
            </w:r>
            <w:r>
              <w:rPr>
                <w:rFonts w:hint="eastAsia" w:ascii="宋体" w:hAnsi="宋体" w:eastAsia="宋体" w:cs="宋体"/>
                <w:color w:val="333333"/>
                <w:kern w:val="0"/>
                <w:szCs w:val="21"/>
                <w:shd w:val="clear" w:color="auto" w:fill="FFFFFF"/>
                <w:lang w:val="zh-CN" w:eastAsia="zh-CN"/>
              </w:rPr>
              <w:t>要求的政府采购项目，不收取</w:t>
            </w:r>
            <w:r>
              <w:rPr>
                <w:rFonts w:hint="eastAsia" w:ascii="宋体" w:hAnsi="宋体" w:cs="宋体"/>
                <w:color w:val="333333"/>
                <w:kern w:val="0"/>
                <w:szCs w:val="21"/>
                <w:shd w:val="clear" w:color="auto" w:fill="FFFFFF"/>
                <w:lang w:val="zh-CN"/>
              </w:rPr>
              <w:t>磋商</w:t>
            </w:r>
            <w:r>
              <w:rPr>
                <w:rFonts w:hint="eastAsia" w:ascii="宋体" w:hAnsi="宋体" w:eastAsia="宋体" w:cs="宋体"/>
                <w:color w:val="333333"/>
                <w:kern w:val="0"/>
                <w:szCs w:val="21"/>
                <w:shd w:val="clear" w:color="auto" w:fill="FFFFFF"/>
                <w:lang w:val="zh-CN" w:eastAsia="zh-CN"/>
              </w:rPr>
              <w:t>保证金，但对于满足《中华人民共和国政府采购法》第二十二条有关规定，经“信用中国”网站查询存在行政处罚的供应商，将依法收取</w:t>
            </w:r>
            <w:r>
              <w:rPr>
                <w:rFonts w:hint="eastAsia" w:ascii="宋体" w:hAnsi="宋体" w:cs="宋体"/>
                <w:color w:val="333333"/>
                <w:kern w:val="0"/>
                <w:szCs w:val="21"/>
                <w:shd w:val="clear" w:color="auto" w:fill="FFFFFF"/>
                <w:lang w:val="en-US" w:eastAsia="zh-CN"/>
              </w:rPr>
              <w:t>投标</w:t>
            </w:r>
            <w:r>
              <w:rPr>
                <w:rFonts w:hint="eastAsia" w:ascii="宋体" w:hAnsi="宋体" w:eastAsia="宋体" w:cs="宋体"/>
                <w:color w:val="333333"/>
                <w:kern w:val="0"/>
                <w:szCs w:val="21"/>
                <w:shd w:val="clear" w:color="auto" w:fill="FFFFFF"/>
                <w:lang w:val="zh-CN" w:eastAsia="zh-CN"/>
              </w:rPr>
              <w:t>保证金）</w:t>
            </w:r>
          </w:p>
          <w:p w14:paraId="40503475">
            <w:pPr>
              <w:keepNext w:val="0"/>
              <w:keepLines w:val="0"/>
              <w:widowControl/>
              <w:suppressLineNumbers w:val="0"/>
              <w:adjustRightInd w:val="0"/>
              <w:spacing w:before="0" w:beforeAutospacing="0" w:after="0" w:afterAutospacing="0" w:line="240" w:lineRule="atLeast"/>
              <w:ind w:left="0" w:right="0"/>
              <w:jc w:val="left"/>
              <w:textAlignment w:val="baseline"/>
              <w:rPr>
                <w:rFonts w:hint="eastAsia" w:ascii="宋体" w:hAnsi="宋体" w:eastAsia="宋体" w:cs="宋体"/>
                <w:highlight w:val="none"/>
              </w:rPr>
            </w:pPr>
            <w:r>
              <w:rPr>
                <w:rFonts w:hint="default" w:ascii="宋体" w:hAnsi="宋体" w:eastAsia="宋体" w:cs="宋体"/>
                <w:color w:val="333333"/>
                <w:kern w:val="0"/>
                <w:szCs w:val="21"/>
                <w:shd w:val="clear" w:color="auto" w:fill="FFFFFF"/>
                <w:lang w:val="zh-CN" w:eastAsia="zh-CN"/>
              </w:rPr>
              <w:sym w:font="Wingdings" w:char="00A8"/>
            </w:r>
            <w:r>
              <w:rPr>
                <w:rFonts w:hint="eastAsia" w:ascii="宋体" w:hAnsi="宋体" w:eastAsia="宋体" w:cs="宋体"/>
                <w:color w:val="333333"/>
                <w:kern w:val="0"/>
                <w:szCs w:val="21"/>
                <w:shd w:val="clear" w:color="auto" w:fill="FFFFFF"/>
                <w:lang w:val="zh-CN" w:eastAsia="zh-CN"/>
              </w:rPr>
              <w:t>是：</w:t>
            </w:r>
            <w:r>
              <w:rPr>
                <w:rFonts w:hint="eastAsia" w:ascii="宋体" w:hAnsi="宋体" w:cs="宋体"/>
                <w:color w:val="333333"/>
                <w:kern w:val="0"/>
                <w:szCs w:val="21"/>
                <w:shd w:val="clear" w:color="auto" w:fill="FFFFFF"/>
                <w:lang w:val="en-US" w:eastAsia="zh-CN"/>
              </w:rPr>
              <w:t>投标</w:t>
            </w:r>
            <w:r>
              <w:rPr>
                <w:rFonts w:hint="eastAsia" w:ascii="宋体" w:hAnsi="宋体" w:eastAsia="宋体" w:cs="宋体"/>
                <w:color w:val="333333"/>
                <w:kern w:val="0"/>
                <w:szCs w:val="21"/>
                <w:shd w:val="clear" w:color="auto" w:fill="FFFFFF"/>
                <w:lang w:val="zh-CN" w:eastAsia="zh-CN"/>
              </w:rPr>
              <w:t>保证金：</w:t>
            </w:r>
            <w:r>
              <w:rPr>
                <w:rFonts w:hint="eastAsia" w:ascii="宋体" w:hAnsi="宋体" w:eastAsia="宋体" w:cs="宋体"/>
                <w:color w:val="333333"/>
                <w:kern w:val="0"/>
                <w:szCs w:val="21"/>
                <w:shd w:val="clear" w:color="auto" w:fill="FFFFFF"/>
                <w:lang w:val="en-US" w:eastAsia="zh-CN"/>
              </w:rPr>
              <w:t>/</w:t>
            </w:r>
          </w:p>
        </w:tc>
      </w:tr>
      <w:tr w14:paraId="6EB8AB4E">
        <w:tblPrEx>
          <w:tblCellMar>
            <w:top w:w="0" w:type="dxa"/>
            <w:left w:w="108" w:type="dxa"/>
            <w:bottom w:w="0" w:type="dxa"/>
            <w:right w:w="108" w:type="dxa"/>
          </w:tblCellMar>
        </w:tblPrEx>
        <w:trPr>
          <w:trHeight w:val="90"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67D0BBA7">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3.4</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52AF2213">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是否允许递交备选投标方案</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7729641A">
            <w:pPr>
              <w:keepNext w:val="0"/>
              <w:keepLines w:val="0"/>
              <w:suppressLineNumbers w:val="0"/>
              <w:autoSpaceDE w:val="0"/>
              <w:autoSpaceDN w:val="0"/>
              <w:adjustRightInd w:val="0"/>
              <w:spacing w:before="0" w:beforeAutospacing="0" w:after="0" w:afterAutospacing="0" w:line="440" w:lineRule="exact"/>
              <w:ind w:left="0" w:right="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不允许</w:t>
            </w:r>
          </w:p>
        </w:tc>
      </w:tr>
      <w:tr w14:paraId="0443542E">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2E5599F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3.5.3</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27BDC8D9">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签字或盖章要求</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7ACB7774">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签字或盖章，符合招标文件规定。</w:t>
            </w:r>
          </w:p>
        </w:tc>
      </w:tr>
      <w:tr w14:paraId="0ADB7592">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5D1C1229">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3.5.4</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2C8B2BE2">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投标文件份数</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700933F3">
            <w:pPr>
              <w:keepNext w:val="0"/>
              <w:keepLines w:val="0"/>
              <w:suppressLineNumbers w:val="0"/>
              <w:autoSpaceDE w:val="0"/>
              <w:autoSpaceDN w:val="0"/>
              <w:adjustRightInd w:val="0"/>
              <w:spacing w:before="0" w:beforeAutospacing="0" w:after="0" w:afterAutospacing="0" w:line="440" w:lineRule="exact"/>
              <w:ind w:left="0" w:right="0"/>
              <w:rPr>
                <w:rFonts w:ascii="宋体" w:hAnsi="宋体" w:cs="宋体"/>
                <w:color w:val="000000"/>
                <w:kern w:val="0"/>
                <w:szCs w:val="21"/>
                <w:highlight w:val="none"/>
              </w:rPr>
            </w:pPr>
            <w:r>
              <w:rPr>
                <w:rFonts w:hint="eastAsia" w:ascii="宋体" w:hAnsi="宋体" w:cs="宋体"/>
                <w:color w:val="000000"/>
                <w:kern w:val="0"/>
                <w:szCs w:val="21"/>
                <w:highlight w:val="none"/>
              </w:rPr>
              <w:t>本项目</w:t>
            </w:r>
            <w:r>
              <w:rPr>
                <w:rFonts w:hint="eastAsia" w:ascii="宋体" w:hAnsi="宋体" w:cs="宋体"/>
                <w:b/>
                <w:bCs/>
                <w:color w:val="000000"/>
                <w:kern w:val="0"/>
                <w:szCs w:val="21"/>
                <w:highlight w:val="none"/>
              </w:rPr>
              <w:t>中标人</w:t>
            </w:r>
            <w:r>
              <w:rPr>
                <w:rFonts w:hint="eastAsia" w:ascii="宋体" w:hAnsi="宋体" w:cs="宋体"/>
                <w:color w:val="000000"/>
                <w:kern w:val="0"/>
                <w:szCs w:val="21"/>
                <w:highlight w:val="none"/>
              </w:rPr>
              <w:t>提交的纸质投标文件，必须使用从投标文件制作工具中生成的投标文件（打印版）进行单面打印，因已有电子签章，故投标人仅需盖封面章及骑缝章。投标文件一正四副，电子版1份（U盘）</w:t>
            </w:r>
          </w:p>
        </w:tc>
      </w:tr>
      <w:tr w14:paraId="6A521964">
        <w:tblPrEx>
          <w:tblCellMar>
            <w:top w:w="0" w:type="dxa"/>
            <w:left w:w="108" w:type="dxa"/>
            <w:bottom w:w="0" w:type="dxa"/>
            <w:right w:w="108" w:type="dxa"/>
          </w:tblCellMar>
        </w:tblPrEx>
        <w:trPr>
          <w:trHeight w:val="305"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7D31611E">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3.5.5</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75DFB864">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highlight w:val="none"/>
              </w:rPr>
              <w:t>装订要求</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2B3A132E">
            <w:pPr>
              <w:keepNext w:val="0"/>
              <w:keepLines w:val="0"/>
              <w:suppressLineNumbers w:val="0"/>
              <w:autoSpaceDE w:val="0"/>
              <w:autoSpaceDN w:val="0"/>
              <w:adjustRightInd w:val="0"/>
              <w:spacing w:before="0" w:beforeAutospacing="0" w:after="0" w:afterAutospacing="0" w:line="440" w:lineRule="exact"/>
              <w:ind w:left="0" w:right="0"/>
              <w:rPr>
                <w:rFonts w:ascii="宋体" w:hAnsi="宋体" w:cs="宋体"/>
                <w:color w:val="000000"/>
                <w:kern w:val="0"/>
                <w:szCs w:val="21"/>
                <w:highlight w:val="none"/>
              </w:rPr>
            </w:pPr>
            <w:r>
              <w:rPr>
                <w:rFonts w:hint="eastAsia" w:ascii="宋体" w:hAnsi="宋体" w:cs="宋体"/>
                <w:color w:val="000000"/>
                <w:highlight w:val="none"/>
              </w:rPr>
              <w:t>投标文件的装订要求：左侧纵向装订，装订不做具体要求，统一按顺序装订成一册，不能采用活页装订方式。</w:t>
            </w:r>
            <w:r>
              <w:rPr>
                <w:rFonts w:hint="eastAsia" w:ascii="宋体" w:hAnsi="宋体" w:cs="宋体"/>
                <w:b/>
                <w:bCs/>
                <w:color w:val="000000"/>
                <w:highlight w:val="none"/>
              </w:rPr>
              <w:t>（仅中标人适用）</w:t>
            </w:r>
          </w:p>
        </w:tc>
      </w:tr>
      <w:tr w14:paraId="0A487016">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08D939B2">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4.2.1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7BF621F6">
            <w:pPr>
              <w:keepNext w:val="0"/>
              <w:keepLines w:val="0"/>
              <w:suppressLineNumbers w:val="0"/>
              <w:spacing w:before="0" w:beforeAutospacing="0" w:after="0" w:afterAutospacing="0" w:line="360" w:lineRule="auto"/>
              <w:ind w:left="0" w:right="0"/>
              <w:jc w:val="center"/>
              <w:rPr>
                <w:rFonts w:hint="eastAsia" w:ascii="Calibri" w:hAnsi="Calibri" w:cs="Calibri"/>
                <w:highlight w:val="none"/>
              </w:rPr>
            </w:pPr>
            <w:r>
              <w:rPr>
                <w:rFonts w:hint="eastAsia" w:ascii="宋体" w:hAnsi="宋体" w:cs="宋体"/>
                <w:highlight w:val="none"/>
              </w:rPr>
              <w:t>递交投标文件方式、地点</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70B4882F">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eastAsia="宋体" w:cs="宋体"/>
                <w:color w:val="000000"/>
                <w:highlight w:val="yellow"/>
                <w:lang w:eastAsia="zh-CN"/>
              </w:rPr>
            </w:pPr>
            <w:r>
              <w:rPr>
                <w:rFonts w:hint="eastAsia" w:ascii="宋体" w:hAnsi="宋体" w:cs="宋体"/>
                <w:color w:val="000000"/>
                <w:highlight w:val="none"/>
              </w:rPr>
              <w:t>投标文件上传截止时间：</w:t>
            </w:r>
            <w:r>
              <w:rPr>
                <w:rFonts w:hint="eastAsia" w:ascii="宋体" w:hAnsi="宋体" w:cs="宋体"/>
                <w:color w:val="000000"/>
                <w:highlight w:val="yellow"/>
                <w:lang w:eastAsia="zh-CN"/>
              </w:rPr>
              <w:t>2025年</w:t>
            </w:r>
            <w:r>
              <w:rPr>
                <w:rFonts w:hint="eastAsia" w:ascii="宋体" w:hAnsi="宋体" w:cs="宋体"/>
                <w:color w:val="000000"/>
                <w:highlight w:val="yellow"/>
                <w:lang w:val="en-US" w:eastAsia="zh-CN"/>
              </w:rPr>
              <w:t>7</w:t>
            </w:r>
            <w:r>
              <w:rPr>
                <w:rFonts w:hint="eastAsia" w:ascii="宋体" w:hAnsi="宋体" w:cs="宋体"/>
                <w:color w:val="000000"/>
                <w:highlight w:val="yellow"/>
                <w:lang w:eastAsia="zh-CN"/>
              </w:rPr>
              <w:t>月</w:t>
            </w:r>
            <w:r>
              <w:rPr>
                <w:rFonts w:hint="eastAsia" w:ascii="宋体" w:hAnsi="宋体" w:cs="宋体"/>
                <w:color w:val="000000"/>
                <w:highlight w:val="yellow"/>
                <w:lang w:val="en-US" w:eastAsia="zh-CN"/>
              </w:rPr>
              <w:t>28</w:t>
            </w:r>
            <w:r>
              <w:rPr>
                <w:rFonts w:hint="eastAsia" w:ascii="宋体" w:hAnsi="宋体" w:cs="宋体"/>
                <w:color w:val="000000"/>
                <w:highlight w:val="yellow"/>
                <w:lang w:eastAsia="zh-CN"/>
              </w:rPr>
              <w:t>日</w:t>
            </w:r>
            <w:r>
              <w:rPr>
                <w:rFonts w:hint="eastAsia" w:ascii="宋体" w:hAnsi="宋体" w:cs="宋体"/>
                <w:color w:val="000000"/>
                <w:highlight w:val="yellow"/>
                <w:lang w:val="en-US" w:eastAsia="zh-CN"/>
              </w:rPr>
              <w:t>9</w:t>
            </w:r>
            <w:r>
              <w:rPr>
                <w:rFonts w:hint="eastAsia" w:ascii="宋体" w:hAnsi="宋体" w:cs="宋体"/>
                <w:color w:val="000000"/>
                <w:highlight w:val="yellow"/>
                <w:lang w:eastAsia="zh-CN"/>
              </w:rPr>
              <w:t>时30分</w:t>
            </w:r>
          </w:p>
          <w:p w14:paraId="2410FCE6">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highlight w:val="none"/>
              </w:rPr>
            </w:pPr>
            <w:r>
              <w:rPr>
                <w:rFonts w:hint="eastAsia" w:ascii="宋体" w:hAnsi="宋体" w:cs="宋体"/>
                <w:color w:val="000000"/>
                <w:highlight w:val="none"/>
              </w:rPr>
              <w:t xml:space="preserve">1.投标人需在开标时间截止前将电子投标文件“政采云”平台（http://www.zcygov.cn）上直接上传； </w:t>
            </w:r>
          </w:p>
          <w:p w14:paraId="0AC07C03">
            <w:pPr>
              <w:keepNext w:val="0"/>
              <w:keepLines w:val="0"/>
              <w:suppressLineNumbers w:val="0"/>
              <w:autoSpaceDE w:val="0"/>
              <w:autoSpaceDN w:val="0"/>
              <w:adjustRightInd w:val="0"/>
              <w:spacing w:before="0" w:beforeAutospacing="0" w:after="0" w:afterAutospacing="0" w:line="440" w:lineRule="exact"/>
              <w:ind w:left="0" w:right="0"/>
              <w:rPr>
                <w:rFonts w:hint="eastAsia" w:ascii="Calibri" w:hAnsi="Calibri" w:cs="Calibri"/>
                <w:highlight w:val="none"/>
              </w:rPr>
            </w:pPr>
            <w:r>
              <w:rPr>
                <w:rFonts w:hint="eastAsia" w:ascii="宋体" w:hAnsi="宋体" w:cs="宋体"/>
                <w:color w:val="000000"/>
                <w:highlight w:val="none"/>
              </w:rPr>
              <w:t xml:space="preserve">2.逾期未上传的投标文件，采购人不予受理。 </w:t>
            </w:r>
          </w:p>
        </w:tc>
      </w:tr>
      <w:tr w14:paraId="7C29CA6E">
        <w:tblPrEx>
          <w:tblCellMar>
            <w:top w:w="0" w:type="dxa"/>
            <w:left w:w="108" w:type="dxa"/>
            <w:bottom w:w="0" w:type="dxa"/>
            <w:right w:w="108" w:type="dxa"/>
          </w:tblCellMar>
        </w:tblPrEx>
        <w:trPr>
          <w:trHeight w:val="810"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2C7541B9">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5.1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41E00303">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开标时间和地点</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5645E884">
            <w:pPr>
              <w:keepNext w:val="0"/>
              <w:keepLines w:val="0"/>
              <w:suppressLineNumbers w:val="0"/>
              <w:autoSpaceDE w:val="0"/>
              <w:autoSpaceDN w:val="0"/>
              <w:adjustRightInd w:val="0"/>
              <w:spacing w:before="0" w:beforeAutospacing="0" w:after="0" w:afterAutospacing="0" w:line="440" w:lineRule="exact"/>
              <w:ind w:left="0" w:right="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开标时间：同投标文件递交截止时间</w:t>
            </w:r>
          </w:p>
          <w:p w14:paraId="6D4417BF">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eastAsia="宋体" w:cs="宋体"/>
                <w:color w:val="000000"/>
                <w:szCs w:val="21"/>
                <w:highlight w:val="none"/>
                <w:lang w:eastAsia="zh-CN"/>
              </w:rPr>
            </w:pPr>
            <w:r>
              <w:rPr>
                <w:rFonts w:hint="eastAsia" w:ascii="宋体" w:hAnsi="宋体" w:cs="宋体"/>
                <w:color w:val="000000"/>
                <w:kern w:val="0"/>
                <w:szCs w:val="21"/>
                <w:highlight w:val="none"/>
              </w:rPr>
              <w:t>开标地点：</w:t>
            </w:r>
            <w:r>
              <w:rPr>
                <w:rFonts w:hint="eastAsia" w:ascii="宋体" w:hAnsi="宋体" w:cs="宋体"/>
                <w:color w:val="000000"/>
                <w:kern w:val="0"/>
                <w:highlight w:val="none"/>
              </w:rPr>
              <w:t>长春市二道区洋浦大街6999号</w:t>
            </w:r>
            <w:r>
              <w:rPr>
                <w:rFonts w:hint="eastAsia" w:ascii="宋体" w:hAnsi="宋体" w:cs="宋体"/>
                <w:color w:val="000000"/>
                <w:kern w:val="0"/>
                <w:highlight w:val="none"/>
                <w:lang w:eastAsia="zh-CN"/>
              </w:rPr>
              <w:t>凯利中心二楼开标四室</w:t>
            </w:r>
          </w:p>
        </w:tc>
      </w:tr>
      <w:tr w14:paraId="08BD5337">
        <w:tblPrEx>
          <w:tblCellMar>
            <w:top w:w="0" w:type="dxa"/>
            <w:left w:w="108" w:type="dxa"/>
            <w:bottom w:w="0" w:type="dxa"/>
            <w:right w:w="108" w:type="dxa"/>
          </w:tblCellMar>
        </w:tblPrEx>
        <w:trPr>
          <w:trHeight w:val="420"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0ADC9A9F">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5.2</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79A8856E">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开标程序</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1606B339">
            <w:pPr>
              <w:keepNext w:val="0"/>
              <w:keepLines w:val="0"/>
              <w:suppressLineNumbers w:val="0"/>
              <w:autoSpaceDE w:val="0"/>
              <w:autoSpaceDN w:val="0"/>
              <w:adjustRightInd w:val="0"/>
              <w:spacing w:before="0" w:beforeAutospacing="0" w:after="0" w:afterAutospacing="0" w:line="440" w:lineRule="exact"/>
              <w:ind w:left="0" w:right="0"/>
              <w:rPr>
                <w:rFonts w:ascii="宋体" w:hAnsi="宋体" w:cs="宋体"/>
                <w:color w:val="000000"/>
                <w:kern w:val="0"/>
                <w:szCs w:val="21"/>
                <w:highlight w:val="none"/>
              </w:rPr>
            </w:pPr>
            <w:r>
              <w:rPr>
                <w:rFonts w:hint="eastAsia" w:ascii="宋体" w:hAnsi="宋体" w:cs="宋体"/>
                <w:color w:val="000000"/>
                <w:highlight w:val="none"/>
                <w:lang w:bidi="ar"/>
              </w:rPr>
              <w:t>按照系统的先后顺序当众开标，投标人只需按照系统提示进行解密，解密完成后自行查看各家报价情况等内容。具体开标情况以政采云平台实际为准。</w:t>
            </w:r>
          </w:p>
        </w:tc>
      </w:tr>
      <w:tr w14:paraId="52B7BE45">
        <w:tblPrEx>
          <w:tblCellMar>
            <w:top w:w="0" w:type="dxa"/>
            <w:left w:w="108" w:type="dxa"/>
            <w:bottom w:w="0" w:type="dxa"/>
            <w:right w:w="108" w:type="dxa"/>
          </w:tblCellMar>
        </w:tblPrEx>
        <w:trPr>
          <w:trHeight w:val="485"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53407C30">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6.1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6F6C3829">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评标委员会的组建</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5C7273A2">
            <w:pPr>
              <w:keepNext w:val="0"/>
              <w:keepLines w:val="0"/>
              <w:suppressLineNumbers w:val="0"/>
              <w:spacing w:before="0" w:beforeAutospacing="0" w:after="0" w:afterAutospacing="0" w:line="360" w:lineRule="exact"/>
              <w:ind w:left="0" w:right="0"/>
              <w:rPr>
                <w:rFonts w:hint="default" w:ascii="宋体" w:hAnsi="宋体" w:eastAsia="宋体" w:cs="宋体"/>
                <w:color w:val="000000"/>
                <w:kern w:val="0"/>
                <w:highlight w:val="none"/>
                <w:lang w:val="en-US" w:eastAsia="zh-CN"/>
              </w:rPr>
            </w:pPr>
            <w:r>
              <w:rPr>
                <w:rFonts w:hint="eastAsia" w:ascii="宋体" w:hAnsi="宋体" w:cs="宋体"/>
                <w:color w:val="000000"/>
                <w:kern w:val="0"/>
                <w:highlight w:val="none"/>
              </w:rPr>
              <w:t>评标委员会构成：</w:t>
            </w:r>
            <w:r>
              <w:rPr>
                <w:rFonts w:hint="eastAsia" w:ascii="宋体" w:hAnsi="宋体" w:cs="宋体"/>
                <w:color w:val="000000"/>
                <w:kern w:val="0"/>
                <w:highlight w:val="none"/>
                <w:lang w:val="en-US" w:eastAsia="zh-CN"/>
              </w:rPr>
              <w:t>7</w:t>
            </w:r>
            <w:r>
              <w:rPr>
                <w:rFonts w:hint="eastAsia" w:ascii="宋体" w:hAnsi="宋体" w:cs="宋体"/>
                <w:color w:val="000000"/>
                <w:kern w:val="0"/>
                <w:highlight w:val="none"/>
              </w:rPr>
              <w:t xml:space="preserve">人 </w:t>
            </w:r>
            <w:r>
              <w:rPr>
                <w:rFonts w:hint="eastAsia" w:ascii="宋体" w:hAnsi="宋体" w:cs="宋体"/>
                <w:color w:val="000000"/>
                <w:kern w:val="0"/>
                <w:highlight w:val="none"/>
                <w:lang w:eastAsia="zh-CN"/>
              </w:rPr>
              <w:t>；</w:t>
            </w:r>
            <w:r>
              <w:rPr>
                <w:rFonts w:hint="eastAsia" w:ascii="宋体" w:hAnsi="宋体"/>
                <w:szCs w:val="21"/>
              </w:rPr>
              <w:t>其中采购人代表</w:t>
            </w:r>
            <w:r>
              <w:rPr>
                <w:rFonts w:hint="eastAsia" w:ascii="宋体" w:hAnsi="宋体"/>
                <w:szCs w:val="21"/>
                <w:lang w:val="en-US" w:eastAsia="zh-CN"/>
              </w:rPr>
              <w:t>1</w:t>
            </w:r>
            <w:r>
              <w:rPr>
                <w:rFonts w:hint="eastAsia" w:ascii="宋体" w:hAnsi="宋体"/>
                <w:szCs w:val="21"/>
              </w:rPr>
              <w:t>人，社会专家</w:t>
            </w:r>
            <w:r>
              <w:rPr>
                <w:rFonts w:hint="eastAsia" w:ascii="宋体" w:hAnsi="宋体"/>
                <w:szCs w:val="21"/>
                <w:lang w:val="en-US" w:eastAsia="zh-CN"/>
              </w:rPr>
              <w:t>6</w:t>
            </w:r>
            <w:r>
              <w:rPr>
                <w:rFonts w:hint="eastAsia" w:ascii="宋体" w:hAnsi="宋体"/>
                <w:szCs w:val="21"/>
              </w:rPr>
              <w:t>人。</w:t>
            </w:r>
          </w:p>
          <w:p w14:paraId="28AA9FB4">
            <w:pPr>
              <w:keepNext w:val="0"/>
              <w:keepLines w:val="0"/>
              <w:suppressLineNumbers w:val="0"/>
              <w:spacing w:before="0" w:beforeAutospacing="0" w:after="0" w:afterAutospacing="0" w:line="440" w:lineRule="exact"/>
              <w:ind w:left="0" w:right="0"/>
              <w:jc w:val="left"/>
              <w:rPr>
                <w:rFonts w:hint="eastAsia" w:ascii="宋体" w:hAnsi="宋体" w:cs="宋体"/>
                <w:color w:val="000000"/>
                <w:kern w:val="0"/>
                <w:szCs w:val="21"/>
                <w:highlight w:val="none"/>
              </w:rPr>
            </w:pPr>
            <w:r>
              <w:rPr>
                <w:rFonts w:hint="eastAsia" w:ascii="宋体" w:hAnsi="宋体" w:cs="宋体"/>
                <w:color w:val="000000"/>
                <w:kern w:val="0"/>
                <w:highlight w:val="none"/>
              </w:rPr>
              <w:t>评标专家确定方式：由采购人委托采购代理机构在政采云平台专家库随机抽取。</w:t>
            </w:r>
          </w:p>
        </w:tc>
      </w:tr>
      <w:tr w14:paraId="28CA3C05">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DF93923">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6.3</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2A5BFC98">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是否授权评标</w:t>
            </w:r>
          </w:p>
          <w:p w14:paraId="4B7705DF">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委员会确定中标人</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07F24AD2">
            <w:pPr>
              <w:keepNext w:val="0"/>
              <w:keepLines w:val="0"/>
              <w:suppressLineNumbers w:val="0"/>
              <w:autoSpaceDE w:val="0"/>
              <w:autoSpaceDN w:val="0"/>
              <w:spacing w:before="0" w:beforeAutospacing="0" w:after="0" w:afterAutospacing="0" w:line="440" w:lineRule="exact"/>
              <w:ind w:left="0" w:right="0"/>
              <w:rPr>
                <w:rFonts w:hint="eastAsia" w:ascii="宋体" w:hAnsi="宋体" w:cs="宋体"/>
                <w:color w:val="000000"/>
                <w:szCs w:val="21"/>
                <w:highlight w:val="none"/>
              </w:rPr>
            </w:pPr>
            <w:r>
              <w:rPr>
                <w:rFonts w:hint="eastAsia" w:ascii="宋体" w:hAnsi="宋体" w:cs="宋体"/>
                <w:color w:val="000000"/>
                <w:szCs w:val="21"/>
                <w:highlight w:val="none"/>
              </w:rPr>
              <w:t>否，推荐中标候选人数量：3个</w:t>
            </w:r>
          </w:p>
          <w:p w14:paraId="72486F20">
            <w:pPr>
              <w:keepNext w:val="0"/>
              <w:keepLines w:val="0"/>
              <w:suppressLineNumbers w:val="0"/>
              <w:autoSpaceDE w:val="0"/>
              <w:autoSpaceDN w:val="0"/>
              <w:spacing w:before="0" w:beforeAutospacing="0" w:after="0" w:afterAutospacing="0" w:line="440" w:lineRule="exact"/>
              <w:ind w:left="0" w:right="0"/>
              <w:rPr>
                <w:rFonts w:hint="eastAsia" w:ascii="宋体" w:hAnsi="宋体" w:cs="宋体"/>
                <w:color w:val="000000"/>
                <w:szCs w:val="21"/>
                <w:highlight w:val="none"/>
              </w:rPr>
            </w:pPr>
            <w:r>
              <w:rPr>
                <w:rFonts w:hint="eastAsia" w:ascii="宋体" w:hAnsi="宋体" w:cs="宋体"/>
                <w:color w:val="000000"/>
                <w:szCs w:val="21"/>
                <w:highlight w:val="none"/>
              </w:rPr>
              <w:t>中标原则：综合排名第 1 的中标候选人中标</w:t>
            </w:r>
          </w:p>
          <w:p w14:paraId="33368BA0">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szCs w:val="21"/>
                <w:highlight w:val="none"/>
              </w:rPr>
            </w:pPr>
            <w:r>
              <w:rPr>
                <w:rFonts w:hint="eastAsia" w:ascii="宋体" w:hAnsi="宋体" w:cs="宋体"/>
                <w:color w:val="000000"/>
                <w:szCs w:val="21"/>
                <w:highlight w:val="none"/>
              </w:rPr>
              <w:t>注：如被确定的中标候选人放弃中标、因不可抗力不能履行合同，或者被查实存在影响中标结果的违法行为等情形，不符合中标条件的，采购人将按照评标委员会提出的中标候选人名单排序依次确定其他中标候选人为中标人。采购人也可以选择重新招标。中标结果确定后，将在发布招标公告的网络媒介上予以公示。</w:t>
            </w:r>
          </w:p>
          <w:p w14:paraId="454EDEFD">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kern w:val="0"/>
                <w:szCs w:val="21"/>
                <w:highlight w:val="none"/>
              </w:rPr>
            </w:pPr>
            <w:r>
              <w:rPr>
                <w:rFonts w:hint="eastAsia" w:ascii="宋体" w:hAnsi="宋体" w:cs="宋体"/>
                <w:color w:val="000000"/>
                <w:szCs w:val="21"/>
                <w:highlight w:val="none"/>
              </w:rPr>
              <w:t>本项目采用综合评分法评标，评标委员会将按下述标准评定中标人：独立对每个投标人的投标文件进行评价，并汇总每个投标人的得分。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tc>
      </w:tr>
      <w:tr w14:paraId="2BE5D382">
        <w:tblPrEx>
          <w:tblCellMar>
            <w:top w:w="0" w:type="dxa"/>
            <w:left w:w="108" w:type="dxa"/>
            <w:bottom w:w="0" w:type="dxa"/>
            <w:right w:w="108" w:type="dxa"/>
          </w:tblCellMar>
        </w:tblPrEx>
        <w:trPr>
          <w:trHeight w:val="598"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0E2C1F25">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p>
        </w:tc>
        <w:tc>
          <w:tcPr>
            <w:tcW w:w="8658" w:type="dxa"/>
            <w:gridSpan w:val="2"/>
            <w:tcBorders>
              <w:top w:val="single" w:color="auto" w:sz="4" w:space="0"/>
              <w:left w:val="single" w:color="auto" w:sz="4" w:space="0"/>
              <w:bottom w:val="single" w:color="auto" w:sz="4" w:space="0"/>
              <w:right w:val="single" w:color="auto" w:sz="4" w:space="0"/>
            </w:tcBorders>
            <w:noWrap w:val="0"/>
            <w:vAlign w:val="center"/>
          </w:tcPr>
          <w:p w14:paraId="7A99D317">
            <w:pPr>
              <w:keepNext w:val="0"/>
              <w:keepLines w:val="0"/>
              <w:suppressLineNumbers w:val="0"/>
              <w:autoSpaceDE w:val="0"/>
              <w:autoSpaceDN w:val="0"/>
              <w:adjustRightInd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需要补充的其他内容</w:t>
            </w:r>
          </w:p>
        </w:tc>
      </w:tr>
      <w:tr w14:paraId="31ED2B96">
        <w:tblPrEx>
          <w:tblCellMar>
            <w:top w:w="0" w:type="dxa"/>
            <w:left w:w="108" w:type="dxa"/>
            <w:bottom w:w="0" w:type="dxa"/>
            <w:right w:w="108" w:type="dxa"/>
          </w:tblCellMar>
        </w:tblPrEx>
        <w:trPr>
          <w:trHeight w:val="302"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0AE8DB4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2FE9A07A">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预算金额（最高限价）</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404B5B7B">
            <w:pPr>
              <w:pStyle w:val="35"/>
              <w:keepNext w:val="0"/>
              <w:keepLines w:val="0"/>
              <w:suppressLineNumbers w:val="0"/>
              <w:shd w:val="clear" w:color="auto" w:fill="FFFFFF"/>
              <w:spacing w:before="0" w:beforeAutospacing="0" w:after="0" w:afterAutospacing="0" w:line="360" w:lineRule="auto"/>
              <w:ind w:left="0" w:right="0"/>
              <w:jc w:val="both"/>
              <w:rPr>
                <w:rFonts w:ascii="宋体" w:hAnsi="宋体" w:cs="宋体"/>
                <w:b/>
                <w:color w:val="000000"/>
                <w:kern w:val="0"/>
                <w:szCs w:val="21"/>
                <w:highlight w:val="none"/>
              </w:rPr>
            </w:pPr>
            <w:r>
              <w:rPr>
                <w:rFonts w:hint="eastAsia" w:ascii="宋体" w:hAnsi="宋体" w:eastAsia="宋体" w:cs="宋体"/>
                <w:color w:val="000000"/>
                <w:kern w:val="2"/>
                <w:sz w:val="21"/>
                <w:szCs w:val="21"/>
                <w:highlight w:val="none"/>
                <w:lang w:val="en-US" w:eastAsia="zh-CN" w:bidi="ar-SA"/>
              </w:rPr>
              <w:t>一标段人民币 941.170223万元；二标段人民币 975.241323万元；三标段人民币 1252.723331万元；四标段人民币 991.991305万元；五标段人民币 1066.161698万元；六标段人民币 1082.557538万元；，投标人报价不允许超过预算金额。</w:t>
            </w:r>
          </w:p>
        </w:tc>
      </w:tr>
      <w:tr w14:paraId="0D836793">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7913BF6F">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2</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649A4660">
            <w:pPr>
              <w:keepNext w:val="0"/>
              <w:keepLines w:val="0"/>
              <w:suppressLineNumbers w:val="0"/>
              <w:spacing w:before="0" w:beforeAutospacing="0" w:after="0" w:afterAutospacing="0" w:line="440" w:lineRule="exact"/>
              <w:ind w:left="0" w:right="0"/>
              <w:jc w:val="center"/>
              <w:rPr>
                <w:rFonts w:ascii="宋体" w:hAnsi="宋体" w:cs="宋体"/>
                <w:color w:val="000000"/>
                <w:kern w:val="0"/>
                <w:szCs w:val="21"/>
                <w:highlight w:val="none"/>
              </w:rPr>
            </w:pPr>
            <w:r>
              <w:rPr>
                <w:rFonts w:hint="eastAsia" w:ascii="宋体" w:hAnsi="宋体" w:cs="宋体"/>
                <w:color w:val="000000"/>
                <w:kern w:val="0"/>
                <w:szCs w:val="21"/>
                <w:highlight w:val="none"/>
              </w:rPr>
              <w:t>付款方式</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20B74333">
            <w:pPr>
              <w:keepNext w:val="0"/>
              <w:keepLines w:val="0"/>
              <w:suppressLineNumbers w:val="0"/>
              <w:autoSpaceDE w:val="0"/>
              <w:autoSpaceDN w:val="0"/>
              <w:adjustRightInd w:val="0"/>
              <w:spacing w:before="0" w:beforeAutospacing="0" w:after="0" w:afterAutospacing="0" w:line="440" w:lineRule="exact"/>
              <w:ind w:left="0" w:right="0"/>
              <w:rPr>
                <w:rFonts w:hint="default" w:ascii="宋体" w:hAnsi="宋体" w:eastAsia="宋体" w:cs="宋体"/>
                <w:color w:val="FF0000"/>
                <w:kern w:val="0"/>
                <w:szCs w:val="21"/>
                <w:highlight w:val="none"/>
                <w:lang w:val="en-US" w:eastAsia="zh-CN"/>
              </w:rPr>
            </w:pPr>
            <w:r>
              <w:rPr>
                <w:rFonts w:hint="eastAsia" w:ascii="宋体" w:hAnsi="宋体" w:cs="宋体"/>
                <w:color w:val="auto"/>
                <w:kern w:val="0"/>
                <w:szCs w:val="21"/>
                <w:highlight w:val="none"/>
                <w:lang w:val="en-US" w:eastAsia="zh-CN"/>
              </w:rPr>
              <w:t>按合同约定。</w:t>
            </w:r>
          </w:p>
        </w:tc>
      </w:tr>
      <w:tr w14:paraId="784DDF73">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2F3B35FD">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6CD9598C">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投标报价</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535998E9">
            <w:pPr>
              <w:keepNext w:val="0"/>
              <w:keepLines w:val="0"/>
              <w:suppressLineNumbers w:val="0"/>
              <w:autoSpaceDE w:val="0"/>
              <w:autoSpaceDN w:val="0"/>
              <w:adjustRightInd w:val="0"/>
              <w:spacing w:before="0" w:beforeAutospacing="0" w:after="0" w:afterAutospacing="0" w:line="360" w:lineRule="auto"/>
              <w:ind w:left="0" w:right="0"/>
              <w:rPr>
                <w:rFonts w:hint="eastAsia" w:ascii="Calibri" w:hAnsi="Calibri" w:cs="Calibri"/>
                <w:highlight w:val="none"/>
              </w:rPr>
            </w:pPr>
            <w:r>
              <w:rPr>
                <w:rFonts w:hint="eastAsia" w:ascii="Calibri" w:hAnsi="Calibri" w:cs="Calibri"/>
                <w:highlight w:val="none"/>
              </w:rPr>
              <w:t>1、投标人应按招标文件（含补充文件）所提的要求提出投标总报价。此报价同时作为采购人的评标依据。除因采购人原因而要求进行变更或项目增减外，投标报价应为最终价格，在整个合同执行过程中，如无采购人要求变更或项目增减，最终价格即为合同价。</w:t>
            </w:r>
          </w:p>
          <w:p w14:paraId="43580D86">
            <w:pPr>
              <w:keepNext w:val="0"/>
              <w:keepLines w:val="0"/>
              <w:suppressLineNumbers w:val="0"/>
              <w:autoSpaceDE w:val="0"/>
              <w:autoSpaceDN w:val="0"/>
              <w:adjustRightInd w:val="0"/>
              <w:spacing w:before="0" w:beforeAutospacing="0" w:after="0" w:afterAutospacing="0" w:line="360" w:lineRule="auto"/>
              <w:ind w:left="0" w:right="0"/>
              <w:rPr>
                <w:rFonts w:ascii="Calibri" w:hAnsi="Calibri" w:cs="Calibri"/>
                <w:highlight w:val="none"/>
              </w:rPr>
            </w:pPr>
            <w:r>
              <w:rPr>
                <w:rFonts w:hint="eastAsia" w:ascii="Calibri" w:hAnsi="Calibri" w:cs="Calibri"/>
                <w:highlight w:val="none"/>
              </w:rPr>
              <w:t>2、</w:t>
            </w:r>
            <w:r>
              <w:rPr>
                <w:rFonts w:ascii="Calibri" w:hAnsi="Calibri" w:cs="Calibri"/>
                <w:highlight w:val="none"/>
              </w:rPr>
              <w:t>在评标过程中，评标委员会发现投标人的报价（修正价）明显低于其他投标报价，使得其投标报价可能低于其个别成本的，应当要求该投标人</w:t>
            </w:r>
            <w:r>
              <w:rPr>
                <w:rFonts w:hint="eastAsia" w:ascii="Calibri" w:hAnsi="Calibri" w:cs="Calibri"/>
                <w:highlight w:val="none"/>
              </w:rPr>
              <w:t>做</w:t>
            </w:r>
            <w:r>
              <w:rPr>
                <w:rFonts w:ascii="Calibri" w:hAnsi="Calibri" w:cs="Calibri"/>
                <w:highlight w:val="none"/>
              </w:rPr>
              <w:t>出书面说明并提供相关证明材料。投标人不能合理说明或者不能提供相关证明材料的，由评标委员会认定该投标人以低于成本报价竞标</w:t>
            </w:r>
            <w:r>
              <w:rPr>
                <w:rFonts w:hint="eastAsia" w:ascii="Calibri" w:hAnsi="Calibri" w:cs="Calibri"/>
                <w:highlight w:val="none"/>
              </w:rPr>
              <w:t>，低于成本视为废标处理</w:t>
            </w:r>
            <w:r>
              <w:rPr>
                <w:rFonts w:ascii="Calibri" w:hAnsi="Calibri" w:cs="Calibri"/>
                <w:highlight w:val="none"/>
              </w:rPr>
              <w:t>。</w:t>
            </w:r>
          </w:p>
          <w:p w14:paraId="280841B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color w:val="000000"/>
                <w:highlight w:val="none"/>
              </w:rPr>
            </w:pPr>
            <w:r>
              <w:rPr>
                <w:rFonts w:hint="eastAsia" w:ascii="Times New Roman" w:hAnsi="Times New Roman" w:cs="Times New Roman"/>
                <w:highlight w:val="none"/>
              </w:rPr>
              <w:t>3、以中标的投标人在开标一览表中的投标总报价为准。不保证报价最低的投标人中标，不解释原因。</w:t>
            </w:r>
          </w:p>
        </w:tc>
      </w:tr>
      <w:tr w14:paraId="63ABB475">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0C555CE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4</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27984A47">
            <w:pPr>
              <w:keepNext w:val="0"/>
              <w:keepLines w:val="0"/>
              <w:suppressLineNumbers w:val="0"/>
              <w:spacing w:before="0" w:beforeAutospacing="0" w:after="0" w:afterAutospacing="0" w:line="360" w:lineRule="auto"/>
              <w:ind w:left="0" w:right="0"/>
              <w:jc w:val="center"/>
              <w:rPr>
                <w:rFonts w:hint="eastAsia" w:ascii="宋体" w:hAnsi="宋体" w:cs="宋体"/>
                <w:color w:val="000000"/>
                <w:kern w:val="0"/>
                <w:szCs w:val="21"/>
                <w:highlight w:val="none"/>
              </w:rPr>
            </w:pPr>
            <w:r>
              <w:rPr>
                <w:rFonts w:hint="eastAsia" w:ascii="宋体" w:hAnsi="宋体" w:cs="宋体"/>
                <w:szCs w:val="21"/>
                <w:highlight w:val="none"/>
                <w:lang w:val="zh-CN"/>
              </w:rPr>
              <w:t>低于成本报价</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43292FAE">
            <w:pPr>
              <w:keepNext w:val="0"/>
              <w:keepLines w:val="0"/>
              <w:suppressLineNumbers w:val="0"/>
              <w:spacing w:before="0" w:beforeAutospacing="0" w:after="0" w:afterAutospacing="0" w:line="360" w:lineRule="auto"/>
              <w:ind w:left="0" w:right="0"/>
              <w:rPr>
                <w:rFonts w:hint="eastAsia" w:ascii="宋体" w:hAnsi="宋体" w:cs="宋体"/>
                <w:color w:val="000000"/>
                <w:szCs w:val="21"/>
                <w:highlight w:val="none"/>
              </w:rPr>
            </w:pPr>
            <w:r>
              <w:rPr>
                <w:rFonts w:hint="eastAsia" w:ascii="宋体" w:hAnsi="宋体" w:cs="宋体"/>
                <w:szCs w:val="21"/>
                <w:highlight w:val="none"/>
                <w:lang w:val="zh-CN"/>
              </w:rPr>
              <w:t>依据财政部第</w:t>
            </w:r>
            <w:r>
              <w:rPr>
                <w:rFonts w:hint="eastAsia" w:ascii="宋体" w:hAnsi="宋体" w:cs="宋体"/>
                <w:szCs w:val="21"/>
                <w:highlight w:val="none"/>
              </w:rPr>
              <w:t>87号令第60条：评审</w:t>
            </w:r>
            <w:r>
              <w:rPr>
                <w:rFonts w:hint="eastAsia" w:ascii="宋体" w:hAnsi="宋体" w:cs="宋体"/>
                <w:szCs w:val="21"/>
                <w:highlight w:val="none"/>
                <w:lang w:val="zh-CN"/>
              </w:rPr>
              <w:t>小组发现投标人的报价明显低于其他通过符合性审查</w:t>
            </w:r>
            <w:r>
              <w:rPr>
                <w:rFonts w:hint="eastAsia" w:ascii="宋体" w:hAnsi="宋体" w:cs="宋体"/>
                <w:szCs w:val="21"/>
                <w:highlight w:val="none"/>
              </w:rPr>
              <w:t>投标人</w:t>
            </w:r>
            <w:r>
              <w:rPr>
                <w:rFonts w:hint="eastAsia" w:ascii="宋体" w:hAnsi="宋体" w:cs="宋体"/>
                <w:szCs w:val="21"/>
                <w:highlight w:val="none"/>
                <w:lang w:val="zh-CN"/>
              </w:rPr>
              <w:t>的报价，有可能影响产品质量或者不能诚信履约的，应当要求该投标人在评标现场合理时间内作出书面说明并提供相应的证明材料。</w:t>
            </w:r>
            <w:r>
              <w:rPr>
                <w:rFonts w:hint="eastAsia" w:ascii="宋体" w:hAnsi="宋体" w:cs="宋体"/>
                <w:szCs w:val="21"/>
                <w:highlight w:val="none"/>
              </w:rPr>
              <w:t>投标人</w:t>
            </w:r>
            <w:r>
              <w:rPr>
                <w:rFonts w:hint="eastAsia" w:ascii="宋体" w:hAnsi="宋体" w:cs="宋体"/>
                <w:szCs w:val="21"/>
                <w:highlight w:val="none"/>
                <w:lang w:val="zh-CN"/>
              </w:rPr>
              <w:t>不能合理说明或者不能提供相应证明材料的，由</w:t>
            </w:r>
            <w:r>
              <w:rPr>
                <w:rFonts w:hint="eastAsia" w:ascii="宋体" w:hAnsi="宋体" w:cs="宋体"/>
                <w:szCs w:val="21"/>
                <w:highlight w:val="none"/>
              </w:rPr>
              <w:t>评审</w:t>
            </w:r>
            <w:r>
              <w:rPr>
                <w:rFonts w:hint="eastAsia" w:ascii="宋体" w:hAnsi="宋体" w:cs="宋体"/>
                <w:szCs w:val="21"/>
                <w:highlight w:val="none"/>
                <w:lang w:val="zh-CN"/>
              </w:rPr>
              <w:t>小组认定该</w:t>
            </w:r>
            <w:r>
              <w:rPr>
                <w:rFonts w:hint="eastAsia" w:ascii="宋体" w:hAnsi="宋体" w:cs="宋体"/>
                <w:szCs w:val="21"/>
                <w:highlight w:val="none"/>
              </w:rPr>
              <w:t>投标人</w:t>
            </w:r>
            <w:r>
              <w:rPr>
                <w:rFonts w:hint="eastAsia" w:ascii="宋体" w:hAnsi="宋体" w:cs="宋体"/>
                <w:szCs w:val="21"/>
                <w:highlight w:val="none"/>
                <w:lang w:val="zh-CN"/>
              </w:rPr>
              <w:t>以低于成本报价竞标，其投标文件将被否决。</w:t>
            </w:r>
          </w:p>
        </w:tc>
      </w:tr>
      <w:tr w14:paraId="14AF3E6A">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153DBEFE">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5</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3717CB0E">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资格审查方式</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0B63E82E">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cs="宋体"/>
                <w:color w:val="000000"/>
                <w:szCs w:val="21"/>
                <w:highlight w:val="none"/>
              </w:rPr>
            </w:pPr>
            <w:r>
              <w:rPr>
                <w:rFonts w:hint="eastAsia" w:ascii="宋体" w:hAnsi="宋体" w:cs="宋体"/>
                <w:color w:val="000000"/>
                <w:kern w:val="0"/>
                <w:highlight w:val="none"/>
              </w:rPr>
              <w:t>资格后审</w:t>
            </w:r>
          </w:p>
        </w:tc>
      </w:tr>
      <w:tr w14:paraId="3274E32D">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60025054">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6</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33F6EEFE">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评标办法</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65CA207B">
            <w:pPr>
              <w:keepNext w:val="0"/>
              <w:keepLines w:val="0"/>
              <w:suppressLineNumbers w:val="0"/>
              <w:autoSpaceDE w:val="0"/>
              <w:autoSpaceDN w:val="0"/>
              <w:adjustRightInd w:val="0"/>
              <w:spacing w:before="0" w:beforeAutospacing="0" w:after="0" w:afterAutospacing="0" w:line="440" w:lineRule="exact"/>
              <w:ind w:left="0" w:right="0"/>
              <w:rPr>
                <w:rFonts w:hint="default" w:ascii="宋体" w:hAnsi="宋体" w:eastAsia="宋体" w:cs="宋体"/>
                <w:color w:val="000000"/>
                <w:szCs w:val="21"/>
                <w:highlight w:val="none"/>
                <w:lang w:val="en-US" w:eastAsia="zh-CN"/>
              </w:rPr>
            </w:pPr>
            <w:r>
              <w:rPr>
                <w:rFonts w:hint="eastAsia" w:ascii="宋体" w:hAnsi="宋体" w:cs="宋体"/>
                <w:color w:val="000000"/>
                <w:kern w:val="0"/>
                <w:highlight w:val="none"/>
                <w:lang w:val="en-US" w:eastAsia="zh-CN"/>
              </w:rPr>
              <w:t>综合评分法</w:t>
            </w:r>
          </w:p>
        </w:tc>
      </w:tr>
      <w:tr w14:paraId="5C4A3234">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70056E95">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7</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3D43A271">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highlight w:val="none"/>
              </w:rPr>
            </w:pPr>
            <w:r>
              <w:rPr>
                <w:rFonts w:hint="eastAsia" w:ascii="宋体" w:hAnsi="宋体" w:cs="宋体"/>
                <w:color w:val="000000"/>
                <w:kern w:val="0"/>
                <w:highlight w:val="none"/>
              </w:rPr>
              <w:t>中标</w:t>
            </w:r>
            <w:r>
              <w:rPr>
                <w:rFonts w:hint="eastAsia" w:ascii="宋体" w:hAnsi="宋体" w:cs="宋体"/>
                <w:color w:val="000000"/>
                <w:kern w:val="0"/>
                <w:szCs w:val="21"/>
                <w:highlight w:val="none"/>
              </w:rPr>
              <w:t>服务费</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189EB0C6">
            <w:pPr>
              <w:keepNext w:val="0"/>
              <w:keepLines w:val="0"/>
              <w:suppressLineNumbers w:val="0"/>
              <w:autoSpaceDE w:val="0"/>
              <w:autoSpaceDN w:val="0"/>
              <w:adjustRightInd w:val="0"/>
              <w:spacing w:before="0" w:beforeAutospacing="0" w:after="0" w:afterAutospacing="0" w:line="440" w:lineRule="exact"/>
              <w:ind w:left="0" w:right="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eastAsia="zh-CN"/>
              </w:rPr>
              <w:t>执行《国家发展改革委关于进一步放开建设项目专业服务价格的通知》（发改价格〔2015〕299号）实行市场调节价格，由中标人支付采购代理服务费。</w:t>
            </w:r>
          </w:p>
        </w:tc>
      </w:tr>
      <w:tr w14:paraId="58DC8068">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1FC7D65D">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8</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11BF06DF">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highlight w:val="none"/>
              </w:rPr>
            </w:pPr>
            <w:r>
              <w:rPr>
                <w:rFonts w:hint="eastAsia" w:ascii="宋体" w:hAnsi="宋体" w:cs="宋体"/>
                <w:color w:val="000000"/>
                <w:szCs w:val="21"/>
                <w:highlight w:val="none"/>
              </w:rPr>
              <w:t>落实的政府采购政策</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6E902B07">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1）对于列入财政部、发展改革委、生态环境部发布的《环境标志产品品目清单》的产品，对其投标价格给予3%的价格扣除，并按照扣除后的价格参加评审。采购项目或者分包中既包含环境标志产品也包含非环境标志产品的，只对列入《环境标志产品品目清单》的产品按其在总报价中所占的比例给予价格扣除。</w:t>
            </w:r>
          </w:p>
          <w:p w14:paraId="17A2E8C4">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2）对于列入财政部、发展改革委、生态环境部发布的《节能产品品目清单》但不属于国家强制采购的产品，对其投标价格给予3%的价格扣除，并按照扣除后的价格参加评审。采购项目或者分包中既包含节能产品也包含非节能产品的，只对列入《节能产品品目清单》但不属于国家强制采购的产品按其在总报价中所占的比例给予价格扣除。</w:t>
            </w:r>
          </w:p>
          <w:p w14:paraId="64697758">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3）对于列入财政部、国家发改委、信息产业部发布的《无线局域网认证产品政府采购清单》的产品，对其投标价格给予3%的价格扣除，并按扣除后的价格参加评审。采购项目或者分包中既包含清单中产品也包含非清单中产品的，只对列入清单的产品按其在总报价中所占的比例给予价格扣除。</w:t>
            </w:r>
          </w:p>
          <w:p w14:paraId="20E30328">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（4）投标产品同时列入上述多个清单的，将上述规定的价格扣除比例叠加后计算价格扣除。</w:t>
            </w:r>
          </w:p>
          <w:p w14:paraId="352AAF08">
            <w:pPr>
              <w:keepNext w:val="0"/>
              <w:keepLines w:val="0"/>
              <w:suppressLineNumbers w:val="0"/>
              <w:autoSpaceDE w:val="0"/>
              <w:autoSpaceDN w:val="0"/>
              <w:adjustRightInd w:val="0"/>
              <w:spacing w:before="0" w:beforeAutospacing="0" w:after="0" w:afterAutospacing="0" w:line="400" w:lineRule="exact"/>
              <w:ind w:left="0" w:right="0"/>
              <w:rPr>
                <w:rFonts w:ascii="宋体" w:hAnsi="宋体" w:cs="宋体"/>
                <w:b/>
                <w:bCs/>
                <w:color w:val="FF0000"/>
                <w:szCs w:val="21"/>
                <w:highlight w:val="none"/>
              </w:rPr>
            </w:pPr>
            <w:r>
              <w:rPr>
                <w:rFonts w:hint="eastAsia" w:ascii="宋体" w:hAnsi="宋体" w:cs="宋体"/>
                <w:szCs w:val="21"/>
                <w:highlight w:val="none"/>
              </w:rPr>
              <w:t>（5）根据财库【2020】46号文件规定，对小型和微型企业的投标报价给予10%的价格扣除，并按照扣除后的价格参加评审。</w:t>
            </w:r>
            <w:r>
              <w:rPr>
                <w:rFonts w:hint="eastAsia" w:ascii="宋体" w:hAnsi="宋体" w:cs="宋体"/>
                <w:b/>
                <w:bCs/>
                <w:color w:val="FF0000"/>
                <w:szCs w:val="21"/>
                <w:highlight w:val="none"/>
              </w:rPr>
              <w:t>本项目专门面向中小企业采购，所以不给于价格扣除。</w:t>
            </w:r>
          </w:p>
          <w:p w14:paraId="5285DB73">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6）《财政部司法部关于政府采购支持监狱企业发展有关问题的通知》文件规定，在政府采购活动中，监狱企业视同小型、微型企业，享受预留份额、评审中价格扣除等政府采购促进中小企业发展的政府采购政策。对监狱企业的投标报价给予3%的价格扣除，并按照扣除后的价格参加评审。</w:t>
            </w:r>
          </w:p>
          <w:p w14:paraId="3D67E7A5">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7）《关于促进残疾人就业政府采购政策的通知》（财库〔2017〕141号），在政府采购活动中，残疾人福利性单位视同小型、微型企业，对残疾人福利性单位的投标报价给予3%的价格扣除，并按照扣除后的价格参评加审。</w:t>
            </w:r>
          </w:p>
          <w:p w14:paraId="745C1D4E">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8）价格扣除的依据：第（1）至（4）条提供投标货物相关认证证书复印件加盖投标人公章。第（5）条提供中小企业声明函（格式参照财库【2020】46号文件规定格式）复印件加盖投标人公章，第（6）条应当提供由省级以上监狱管理局、戒毒管理局(含新疆生产建设兵团)出具的属于监狱企业的证明文件复印件加盖投标人公章。第（7）条执行财库〔2017〕141号文件规定，第（5）条与第（6）条、第（7）条政策不能叠加扣除。</w:t>
            </w:r>
          </w:p>
          <w:p w14:paraId="356BC1A2">
            <w:pPr>
              <w:keepNext w:val="0"/>
              <w:keepLines w:val="0"/>
              <w:suppressLineNumbers w:val="0"/>
              <w:autoSpaceDE w:val="0"/>
              <w:autoSpaceDN w:val="0"/>
              <w:spacing w:before="0" w:beforeAutospacing="0" w:after="0" w:afterAutospacing="0" w:line="440" w:lineRule="exact"/>
              <w:ind w:left="0" w:right="0"/>
              <w:rPr>
                <w:rFonts w:hint="eastAsia" w:ascii="宋体" w:hAnsi="宋体" w:cs="宋体"/>
                <w:szCs w:val="21"/>
                <w:highlight w:val="none"/>
              </w:rPr>
            </w:pPr>
            <w:r>
              <w:rPr>
                <w:rFonts w:hint="eastAsia" w:ascii="宋体" w:hAnsi="宋体" w:cs="宋体"/>
                <w:szCs w:val="21"/>
                <w:highlight w:val="none"/>
              </w:rPr>
              <w:t>（9）中小企业认定标准：工信部联企业【2011】300号</w:t>
            </w:r>
          </w:p>
          <w:p w14:paraId="4B64D13A">
            <w:pPr>
              <w:keepNext w:val="0"/>
              <w:keepLines w:val="0"/>
              <w:suppressLineNumbers w:val="0"/>
              <w:autoSpaceDE w:val="0"/>
              <w:autoSpaceDN w:val="0"/>
              <w:spacing w:before="0" w:beforeAutospacing="0" w:after="0" w:afterAutospacing="0" w:line="440" w:lineRule="exact"/>
              <w:ind w:left="0" w:right="0"/>
              <w:rPr>
                <w:rFonts w:hint="eastAsia" w:ascii="宋体" w:hAnsi="宋体" w:cs="宋体"/>
                <w:color w:val="000000"/>
                <w:szCs w:val="21"/>
                <w:highlight w:val="none"/>
              </w:rPr>
            </w:pPr>
            <w:r>
              <w:rPr>
                <w:rFonts w:hint="eastAsia" w:ascii="宋体" w:hAnsi="宋体" w:cs="宋体"/>
                <w:bCs/>
                <w:color w:val="000000"/>
                <w:szCs w:val="21"/>
                <w:highlight w:val="none"/>
                <w:lang w:val="zh-CN"/>
              </w:rPr>
              <w:t>（</w:t>
            </w:r>
            <w:r>
              <w:rPr>
                <w:rFonts w:hint="eastAsia" w:ascii="宋体" w:hAnsi="宋体" w:cs="宋体"/>
                <w:bCs/>
                <w:color w:val="000000"/>
                <w:szCs w:val="21"/>
                <w:highlight w:val="none"/>
              </w:rPr>
              <w:t>10</w:t>
            </w:r>
            <w:r>
              <w:rPr>
                <w:rFonts w:hint="eastAsia" w:ascii="宋体" w:hAnsi="宋体" w:cs="宋体"/>
                <w:bCs/>
                <w:color w:val="000000"/>
                <w:szCs w:val="21"/>
                <w:highlight w:val="none"/>
                <w:lang w:val="zh-CN"/>
              </w:rPr>
              <w:t>）《关于进一步加大政府采购支持中小企业力度的通知》财库〔2022〕19号文件等国家最新政策</w:t>
            </w:r>
          </w:p>
        </w:tc>
      </w:tr>
      <w:tr w14:paraId="3A6EAD14">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0675F89">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9</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715EFBE9">
            <w:pPr>
              <w:keepNext w:val="0"/>
              <w:keepLines w:val="0"/>
              <w:suppressLineNumbers w:val="0"/>
              <w:spacing w:before="0" w:beforeAutospacing="0" w:after="0" w:afterAutospacing="0" w:line="440" w:lineRule="exact"/>
              <w:ind w:left="0" w:right="0"/>
              <w:jc w:val="center"/>
              <w:rPr>
                <w:rFonts w:hint="eastAsia" w:ascii="宋体" w:hAnsi="宋体" w:cs="宋体"/>
                <w:color w:val="000000"/>
                <w:szCs w:val="21"/>
                <w:highlight w:val="none"/>
              </w:rPr>
            </w:pPr>
            <w:r>
              <w:rPr>
                <w:rFonts w:hint="eastAsia" w:ascii="宋体" w:hAnsi="宋体" w:cs="宋体"/>
                <w:color w:val="000000"/>
                <w:szCs w:val="21"/>
                <w:highlight w:val="none"/>
              </w:rPr>
              <w:t>其他</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1EB5E864">
            <w:pPr>
              <w:keepNext w:val="0"/>
              <w:keepLines w:val="0"/>
              <w:suppressLineNumbers w:val="0"/>
              <w:spacing w:before="0" w:beforeAutospacing="0" w:after="0" w:afterAutospacing="0" w:line="440" w:lineRule="exact"/>
              <w:ind w:left="0" w:right="0"/>
              <w:rPr>
                <w:rFonts w:hint="eastAsia" w:ascii="宋体" w:hAnsi="宋体" w:eastAsia="宋体" w:cs="宋体"/>
                <w:color w:val="000000"/>
                <w:szCs w:val="21"/>
                <w:highlight w:val="none"/>
                <w:lang w:eastAsia="zh-CN"/>
              </w:rPr>
            </w:pPr>
            <w:r>
              <w:rPr>
                <w:rFonts w:hint="eastAsia" w:ascii="宋体" w:hAnsi="宋体" w:cs="宋体"/>
                <w:bCs/>
                <w:color w:val="000000"/>
                <w:szCs w:val="21"/>
                <w:highlight w:val="none"/>
                <w:lang w:val="en-US" w:eastAsia="zh-CN"/>
              </w:rPr>
              <w:t>/</w:t>
            </w:r>
          </w:p>
        </w:tc>
      </w:tr>
      <w:tr w14:paraId="1E6D2145">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79C6C7B">
            <w:pPr>
              <w:keepNext w:val="0"/>
              <w:keepLines w:val="0"/>
              <w:suppressLineNumbers w:val="0"/>
              <w:autoSpaceDE w:val="0"/>
              <w:autoSpaceDN w:val="0"/>
              <w:adjustRightInd w:val="0"/>
              <w:spacing w:before="0" w:beforeAutospacing="0" w:after="0" w:afterAutospacing="0" w:line="400" w:lineRule="exact"/>
              <w:ind w:left="0" w:right="0"/>
              <w:jc w:val="center"/>
              <w:rPr>
                <w:rFonts w:ascii="宋体" w:hAnsi="宋体" w:cs="宋体"/>
                <w:color w:val="000000"/>
                <w:kern w:val="0"/>
                <w:szCs w:val="21"/>
                <w:highlight w:val="none"/>
              </w:rPr>
            </w:pPr>
            <w:r>
              <w:rPr>
                <w:rFonts w:hint="eastAsia" w:ascii="宋体" w:hAnsi="宋体" w:cs="宋体"/>
                <w:color w:val="000000"/>
                <w:kern w:val="0"/>
                <w:szCs w:val="21"/>
                <w:highlight w:val="none"/>
              </w:rPr>
              <w:t>10</w:t>
            </w:r>
          </w:p>
        </w:tc>
        <w:tc>
          <w:tcPr>
            <w:tcW w:w="2138" w:type="dxa"/>
            <w:tcBorders>
              <w:top w:val="single" w:color="auto" w:sz="4" w:space="0"/>
              <w:left w:val="single" w:color="auto" w:sz="4" w:space="0"/>
              <w:bottom w:val="single" w:color="auto" w:sz="4" w:space="0"/>
              <w:right w:val="single" w:color="auto" w:sz="4" w:space="0"/>
            </w:tcBorders>
            <w:noWrap w:val="0"/>
            <w:vAlign w:val="top"/>
          </w:tcPr>
          <w:p w14:paraId="44104DBA">
            <w:pPr>
              <w:keepNext w:val="0"/>
              <w:keepLines w:val="0"/>
              <w:suppressLineNumbers w:val="0"/>
              <w:spacing w:before="0" w:beforeAutospacing="0" w:after="0" w:afterAutospacing="0"/>
              <w:ind w:left="0" w:right="0"/>
              <w:rPr>
                <w:rFonts w:hint="eastAsia" w:ascii="宋体" w:hAnsi="宋体" w:cs="宋体"/>
                <w:color w:val="FF0000"/>
                <w:szCs w:val="21"/>
                <w:highlight w:val="none"/>
              </w:rPr>
            </w:pPr>
            <w:r>
              <w:rPr>
                <w:rFonts w:hint="eastAsia" w:ascii="宋体" w:hAnsi="宋体" w:cs="宋体"/>
                <w:szCs w:val="21"/>
                <w:highlight w:val="none"/>
              </w:rPr>
              <w:t>中小企业划分标准所属行业</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07F653DD">
            <w:pPr>
              <w:keepNext w:val="0"/>
              <w:keepLines w:val="0"/>
              <w:suppressLineNumbers w:val="0"/>
              <w:spacing w:before="0" w:beforeAutospacing="0" w:after="0" w:afterAutospacing="0" w:line="440" w:lineRule="exact"/>
              <w:ind w:left="0" w:right="0"/>
              <w:rPr>
                <w:rFonts w:hint="default" w:ascii="宋体" w:hAnsi="宋体" w:eastAsia="宋体" w:cs="宋体"/>
                <w:color w:val="FF0000"/>
                <w:szCs w:val="21"/>
                <w:highlight w:val="none"/>
                <w:lang w:val="en-US" w:eastAsia="zh-CN"/>
              </w:rPr>
            </w:pPr>
            <w:r>
              <w:rPr>
                <w:rFonts w:hint="eastAsia" w:ascii="宋体" w:hAnsi="宋体" w:cs="宋体"/>
                <w:bCs/>
                <w:szCs w:val="21"/>
                <w:highlight w:val="none"/>
                <w:lang w:val="en-US" w:eastAsia="zh-CN"/>
              </w:rPr>
              <w:t>其他服务业</w:t>
            </w:r>
          </w:p>
        </w:tc>
      </w:tr>
      <w:tr w14:paraId="2A73CC8F">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B326496">
            <w:pPr>
              <w:keepNext w:val="0"/>
              <w:keepLines w:val="0"/>
              <w:suppressLineNumbers w:val="0"/>
              <w:autoSpaceDE w:val="0"/>
              <w:autoSpaceDN w:val="0"/>
              <w:adjustRightInd w:val="0"/>
              <w:spacing w:before="0" w:beforeAutospacing="0" w:after="0" w:afterAutospacing="0" w:line="400" w:lineRule="exact"/>
              <w:ind w:left="0" w:right="0"/>
              <w:jc w:val="center"/>
              <w:rPr>
                <w:rFonts w:ascii="宋体" w:hAnsi="宋体" w:cs="宋体"/>
                <w:color w:val="000000"/>
                <w:kern w:val="0"/>
                <w:szCs w:val="21"/>
                <w:highlight w:val="none"/>
              </w:rPr>
            </w:pPr>
            <w:r>
              <w:rPr>
                <w:rFonts w:hint="eastAsia" w:ascii="宋体" w:hAnsi="宋体" w:cs="宋体"/>
                <w:color w:val="000000"/>
                <w:kern w:val="0"/>
                <w:szCs w:val="21"/>
                <w:highlight w:val="none"/>
              </w:rPr>
              <w:t>11</w:t>
            </w:r>
          </w:p>
        </w:tc>
        <w:tc>
          <w:tcPr>
            <w:tcW w:w="2138" w:type="dxa"/>
            <w:tcBorders>
              <w:top w:val="single" w:color="auto" w:sz="4" w:space="0"/>
              <w:left w:val="single" w:color="auto" w:sz="4" w:space="0"/>
              <w:bottom w:val="single" w:color="auto" w:sz="4" w:space="0"/>
              <w:right w:val="single" w:color="auto" w:sz="4" w:space="0"/>
            </w:tcBorders>
            <w:noWrap w:val="0"/>
            <w:vAlign w:val="center"/>
          </w:tcPr>
          <w:p w14:paraId="5495E949">
            <w:pPr>
              <w:keepNext w:val="0"/>
              <w:keepLines w:val="0"/>
              <w:suppressLineNumbers w:val="0"/>
              <w:spacing w:before="0" w:beforeAutospacing="0" w:after="0" w:afterAutospacing="0"/>
              <w:ind w:left="0" w:right="0"/>
              <w:jc w:val="center"/>
              <w:rPr>
                <w:rFonts w:hint="eastAsia" w:ascii="宋体" w:hAnsi="宋体" w:cs="宋体"/>
                <w:color w:val="auto"/>
                <w:highlight w:val="none"/>
              </w:rPr>
            </w:pPr>
            <w:r>
              <w:rPr>
                <w:rFonts w:hint="eastAsia" w:ascii="宋体" w:hAnsi="宋体" w:cs="宋体"/>
                <w:color w:val="auto"/>
                <w:highlight w:val="none"/>
              </w:rPr>
              <w:t>履约保证金</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7F5CC958">
            <w:pPr>
              <w:keepNext w:val="0"/>
              <w:keepLines w:val="0"/>
              <w:suppressLineNumbers w:val="0"/>
              <w:spacing w:before="0" w:beforeAutospacing="0" w:after="0" w:afterAutospacing="0" w:line="440" w:lineRule="exact"/>
              <w:ind w:left="0" w:right="0"/>
              <w:jc w:val="left"/>
              <w:rPr>
                <w:rFonts w:hint="eastAsia" w:ascii="宋体" w:hAnsi="宋体" w:cs="宋体"/>
                <w:color w:val="auto"/>
                <w:highlight w:val="none"/>
              </w:rPr>
            </w:pPr>
            <w:r>
              <w:rPr>
                <w:rFonts w:hint="eastAsia" w:ascii="宋体" w:hAnsi="宋体" w:cs="宋体"/>
                <w:color w:val="auto"/>
                <w:highlight w:val="none"/>
              </w:rPr>
              <w:t>无</w:t>
            </w:r>
          </w:p>
        </w:tc>
      </w:tr>
      <w:tr w14:paraId="4202A0F3">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309AB704">
            <w:pPr>
              <w:keepNext w:val="0"/>
              <w:keepLines w:val="0"/>
              <w:suppressLineNumbers w:val="0"/>
              <w:autoSpaceDE w:val="0"/>
              <w:autoSpaceDN w:val="0"/>
              <w:adjustRightInd w:val="0"/>
              <w:spacing w:before="0" w:beforeAutospacing="0" w:after="0" w:afterAutospacing="0" w:line="400" w:lineRule="exact"/>
              <w:ind w:left="0" w:right="0"/>
              <w:jc w:val="center"/>
              <w:rPr>
                <w:rFonts w:ascii="宋体" w:hAnsi="宋体" w:cs="宋体"/>
                <w:color w:val="000000"/>
                <w:kern w:val="0"/>
                <w:szCs w:val="21"/>
                <w:highlight w:val="none"/>
              </w:rPr>
            </w:pPr>
            <w:r>
              <w:rPr>
                <w:rFonts w:hint="eastAsia" w:ascii="宋体" w:hAnsi="宋体" w:cs="宋体"/>
                <w:color w:val="000000"/>
                <w:kern w:val="0"/>
                <w:szCs w:val="21"/>
                <w:highlight w:val="none"/>
              </w:rPr>
              <w:t>12</w:t>
            </w:r>
          </w:p>
        </w:tc>
        <w:tc>
          <w:tcPr>
            <w:tcW w:w="8658" w:type="dxa"/>
            <w:gridSpan w:val="2"/>
            <w:tcBorders>
              <w:top w:val="single" w:color="auto" w:sz="4" w:space="0"/>
              <w:left w:val="single" w:color="auto" w:sz="4" w:space="0"/>
              <w:bottom w:val="single" w:color="auto" w:sz="4" w:space="0"/>
              <w:right w:val="single" w:color="auto" w:sz="4" w:space="0"/>
            </w:tcBorders>
            <w:noWrap w:val="0"/>
            <w:vAlign w:val="center"/>
          </w:tcPr>
          <w:p w14:paraId="2B2C58BB">
            <w:pPr>
              <w:keepNext w:val="0"/>
              <w:keepLines w:val="0"/>
              <w:suppressLineNumbers w:val="0"/>
              <w:spacing w:before="0" w:beforeAutospacing="0" w:after="0" w:afterAutospacing="0" w:line="440" w:lineRule="exact"/>
              <w:ind w:left="0" w:right="0"/>
              <w:jc w:val="center"/>
              <w:rPr>
                <w:rFonts w:hint="eastAsia" w:ascii="宋体" w:hAnsi="宋体" w:cs="宋体"/>
                <w:color w:val="000000"/>
                <w:kern w:val="0"/>
                <w:highlight w:val="none"/>
              </w:rPr>
            </w:pPr>
            <w:r>
              <w:rPr>
                <w:rFonts w:hint="eastAsia" w:ascii="宋体" w:hAnsi="宋体" w:cs="宋体"/>
                <w:color w:val="000000"/>
                <w:kern w:val="0"/>
                <w:szCs w:val="21"/>
                <w:highlight w:val="none"/>
              </w:rPr>
              <w:t>招标</w:t>
            </w:r>
            <w:r>
              <w:rPr>
                <w:rFonts w:hint="eastAsia" w:ascii="宋体" w:hAnsi="宋体" w:cs="宋体"/>
                <w:color w:val="000000"/>
                <w:highlight w:val="none"/>
              </w:rPr>
              <w:t>公告、招标文件与投标人须知前附表不一致之处以投标人须知前附表为准。</w:t>
            </w:r>
          </w:p>
        </w:tc>
      </w:tr>
      <w:tr w14:paraId="2DC73378">
        <w:tblPrEx>
          <w:tblCellMar>
            <w:top w:w="0" w:type="dxa"/>
            <w:left w:w="108" w:type="dxa"/>
            <w:bottom w:w="0" w:type="dxa"/>
            <w:right w:w="108" w:type="dxa"/>
          </w:tblCellMar>
        </w:tblPrEx>
        <w:trPr>
          <w:trHeight w:val="454" w:hRule="atLeast"/>
          <w:jc w:val="center"/>
        </w:trPr>
        <w:tc>
          <w:tcPr>
            <w:tcW w:w="9673" w:type="dxa"/>
            <w:gridSpan w:val="3"/>
            <w:tcBorders>
              <w:top w:val="single" w:color="auto" w:sz="4" w:space="0"/>
              <w:left w:val="single" w:color="auto" w:sz="4" w:space="0"/>
              <w:bottom w:val="single" w:color="auto" w:sz="4" w:space="0"/>
              <w:right w:val="single" w:color="auto" w:sz="4" w:space="0"/>
            </w:tcBorders>
            <w:noWrap w:val="0"/>
            <w:vAlign w:val="center"/>
          </w:tcPr>
          <w:p w14:paraId="30D01717">
            <w:pPr>
              <w:keepNext w:val="0"/>
              <w:keepLines w:val="0"/>
              <w:suppressLineNumbers w:val="0"/>
              <w:spacing w:before="0" w:beforeAutospacing="0" w:after="0" w:afterAutospacing="0" w:line="440" w:lineRule="exact"/>
              <w:ind w:left="0" w:right="0" w:firstLine="210" w:firstLineChars="100"/>
              <w:jc w:val="both"/>
              <w:rPr>
                <w:rFonts w:ascii="宋体" w:hAnsi="宋体" w:cs="宋体"/>
                <w:color w:val="000000"/>
                <w:kern w:val="0"/>
                <w:szCs w:val="21"/>
                <w:highlight w:val="none"/>
              </w:rPr>
            </w:pPr>
            <w:r>
              <w:rPr>
                <w:rFonts w:hint="eastAsia" w:ascii="宋体" w:hAnsi="宋体" w:cs="宋体"/>
                <w:color w:val="000000"/>
                <w:kern w:val="0"/>
                <w:szCs w:val="21"/>
                <w:highlight w:val="none"/>
              </w:rPr>
              <w:t>13采购人需要补充的其他内容</w:t>
            </w:r>
          </w:p>
        </w:tc>
      </w:tr>
      <w:tr w14:paraId="4C22E3B2">
        <w:tblPrEx>
          <w:tblCellMar>
            <w:top w:w="0" w:type="dxa"/>
            <w:left w:w="108" w:type="dxa"/>
            <w:bottom w:w="0" w:type="dxa"/>
            <w:right w:w="108" w:type="dxa"/>
          </w:tblCellMar>
        </w:tblPrEx>
        <w:trPr>
          <w:trHeight w:val="454" w:hRule="atLeast"/>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14:paraId="493E4B8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color w:val="000000"/>
                <w:kern w:val="0"/>
                <w:szCs w:val="21"/>
                <w:highlight w:val="none"/>
              </w:rPr>
            </w:pPr>
          </w:p>
        </w:tc>
        <w:tc>
          <w:tcPr>
            <w:tcW w:w="8658" w:type="dxa"/>
            <w:gridSpan w:val="2"/>
            <w:tcBorders>
              <w:top w:val="single" w:color="auto" w:sz="4" w:space="0"/>
              <w:left w:val="single" w:color="auto" w:sz="4" w:space="0"/>
              <w:bottom w:val="single" w:color="auto" w:sz="4" w:space="0"/>
              <w:right w:val="single" w:color="auto" w:sz="4" w:space="0"/>
            </w:tcBorders>
            <w:noWrap w:val="0"/>
            <w:vAlign w:val="center"/>
          </w:tcPr>
          <w:p w14:paraId="12D386D0">
            <w:pPr>
              <w:keepNext w:val="0"/>
              <w:keepLines w:val="0"/>
              <w:suppressLineNumbers w:val="0"/>
              <w:spacing w:before="0" w:beforeAutospacing="0" w:after="0" w:afterAutospacing="0" w:line="440" w:lineRule="exact"/>
              <w:ind w:left="0" w:right="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1、关于“政采云”平台（</w:t>
            </w:r>
            <w:r>
              <w:rPr>
                <w:rFonts w:hint="eastAsia" w:ascii="宋体" w:hAnsi="宋体" w:cs="宋体"/>
                <w:color w:val="000000"/>
                <w:kern w:val="0"/>
                <w:szCs w:val="21"/>
                <w:highlight w:val="none"/>
              </w:rPr>
              <w:fldChar w:fldCharType="begin"/>
            </w:r>
            <w:r>
              <w:rPr>
                <w:rFonts w:hint="eastAsia" w:ascii="宋体" w:hAnsi="宋体" w:cs="宋体"/>
                <w:color w:val="000000"/>
                <w:kern w:val="0"/>
                <w:szCs w:val="21"/>
                <w:highlight w:val="none"/>
              </w:rPr>
              <w:instrText xml:space="preserve"> HYPERLINK "http://www.zcygov.cn）的操作指南" </w:instrText>
            </w:r>
            <w:r>
              <w:rPr>
                <w:rFonts w:hint="eastAsia" w:ascii="宋体" w:hAnsi="宋体" w:cs="宋体"/>
                <w:color w:val="000000"/>
                <w:kern w:val="0"/>
                <w:szCs w:val="21"/>
                <w:highlight w:val="none"/>
              </w:rPr>
              <w:fldChar w:fldCharType="separate"/>
            </w:r>
            <w:r>
              <w:rPr>
                <w:rFonts w:hint="eastAsia" w:ascii="宋体" w:hAnsi="宋体" w:cs="宋体"/>
                <w:color w:val="000000"/>
                <w:kern w:val="0"/>
                <w:szCs w:val="21"/>
                <w:highlight w:val="none"/>
              </w:rPr>
              <w:t>http://www.zcygov.cn）的操作说明</w:t>
            </w:r>
            <w:r>
              <w:rPr>
                <w:rFonts w:hint="eastAsia" w:ascii="宋体" w:hAnsi="宋体" w:cs="宋体"/>
                <w:color w:val="000000"/>
                <w:kern w:val="0"/>
                <w:szCs w:val="21"/>
                <w:highlight w:val="none"/>
              </w:rPr>
              <w:fldChar w:fldCharType="end"/>
            </w:r>
          </w:p>
          <w:p w14:paraId="27785CFD">
            <w:pPr>
              <w:keepNext w:val="0"/>
              <w:keepLines w:val="0"/>
              <w:suppressLineNumbers w:val="0"/>
              <w:spacing w:before="0" w:beforeAutospacing="0" w:after="0" w:afterAutospacing="0" w:line="440" w:lineRule="exact"/>
              <w:ind w:left="0" w:right="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(1)投标文件提交方式：本项目为全流程电子化项目，通过 “政采云”平台(http：//www.zcygov.cn)实行在线电子投标，投标人应先安装 “政采云电子交易客户端” (请自行前往“政采云”平台进行下载) ，并按照本项目招标文件和“政采云”平台的要求编制、加密后在投标截止时间前通过网络上传至 “政采云”平台，投标人在“政采云”平台提交电子版投标文件时，请填写参加远程开标活动经办人联系方式。</w:t>
            </w:r>
          </w:p>
          <w:p w14:paraId="6D372558">
            <w:pPr>
              <w:keepNext w:val="0"/>
              <w:keepLines w:val="0"/>
              <w:suppressLineNumbers w:val="0"/>
              <w:spacing w:before="0" w:beforeAutospacing="0" w:after="0" w:afterAutospacing="0" w:line="440" w:lineRule="exact"/>
              <w:ind w:left="0" w:right="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(2)未进行网上注册并办理数字证书 (CA 认证)的投标人将无法参与本项目政府采购活动，潜在投标人应当在投标截止时间前，完成电子交易平台上的 CA 数字证书办理及投标文件的提交。完成 CA 数字证书办理预计7日左右，投标人只需办理其中一家CA数字证书及签章，建议各投标人抓紧时间办理。（具体办理流程请致电当地主要管理部门）</w:t>
            </w:r>
          </w:p>
          <w:p w14:paraId="05CC5F66">
            <w:pPr>
              <w:keepNext w:val="0"/>
              <w:keepLines w:val="0"/>
              <w:suppressLineNumbers w:val="0"/>
              <w:spacing w:before="0" w:beforeAutospacing="0" w:after="0" w:afterAutospacing="0" w:line="440" w:lineRule="exact"/>
              <w:ind w:left="0" w:right="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(3)为确保网上操作合法、有效和安全，请投标人确保在电子投标过程中能够对相关数据电文进行加密和使用电子签章，妥善保管 CA 数字证书并使用有效的 CA 数字证书参与整个招标活动。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14:paraId="2AB2CF1E">
            <w:pPr>
              <w:keepNext w:val="0"/>
              <w:keepLines w:val="0"/>
              <w:suppressLineNumbers w:val="0"/>
              <w:spacing w:before="0" w:beforeAutospacing="0" w:after="0" w:afterAutospacing="0" w:line="440" w:lineRule="exact"/>
              <w:ind w:left="0" w:right="0"/>
              <w:jc w:val="left"/>
              <w:rPr>
                <w:rFonts w:ascii="宋体" w:hAnsi="宋体" w:cs="宋体"/>
                <w:color w:val="000000"/>
                <w:kern w:val="0"/>
                <w:szCs w:val="21"/>
                <w:highlight w:val="none"/>
              </w:rPr>
            </w:pPr>
            <w:r>
              <w:rPr>
                <w:rFonts w:hint="eastAsia" w:ascii="宋体" w:hAnsi="宋体" w:cs="宋体"/>
                <w:color w:val="000000"/>
                <w:kern w:val="0"/>
                <w:szCs w:val="21"/>
                <w:highlight w:val="none"/>
              </w:rPr>
              <w:t>(</w:t>
            </w:r>
            <w:r>
              <w:rPr>
                <w:rFonts w:ascii="宋体" w:hAnsi="宋体" w:cs="宋体"/>
                <w:color w:val="000000"/>
                <w:kern w:val="0"/>
                <w:szCs w:val="21"/>
                <w:highlight w:val="none"/>
              </w:rPr>
              <w:t>4</w:t>
            </w:r>
            <w:r>
              <w:rPr>
                <w:rFonts w:hint="eastAsia" w:ascii="宋体" w:hAnsi="宋体" w:cs="宋体"/>
                <w:color w:val="000000"/>
                <w:kern w:val="0"/>
                <w:szCs w:val="21"/>
                <w:highlight w:val="none"/>
              </w:rPr>
              <w:t>)CA证书在线解密：投标人投标时，需携带制作投标文件时用来加密的有效数字证书(CA认证) 登录“政采云”平台电子开标大厅现场按规定时间对加密的投标文件进行解密，未能按要求进行解密的，由此产生的后果由投标人自行承担。</w:t>
            </w:r>
          </w:p>
          <w:p w14:paraId="29802E44">
            <w:pPr>
              <w:keepNext w:val="0"/>
              <w:keepLines w:val="0"/>
              <w:suppressLineNumbers w:val="0"/>
              <w:spacing w:before="0" w:beforeAutospacing="0" w:after="0" w:afterAutospacing="0" w:line="440" w:lineRule="exact"/>
              <w:ind w:left="0" w:right="0"/>
              <w:jc w:val="left"/>
              <w:rPr>
                <w:rFonts w:ascii="宋体" w:hAnsi="宋体" w:cs="宋体"/>
                <w:color w:val="000000"/>
                <w:kern w:val="0"/>
                <w:szCs w:val="21"/>
                <w:highlight w:val="none"/>
              </w:rPr>
            </w:pPr>
            <w:r>
              <w:rPr>
                <w:rFonts w:hint="eastAsia" w:ascii="宋体" w:hAnsi="宋体" w:cs="宋体"/>
                <w:color w:val="000000"/>
                <w:kern w:val="0"/>
                <w:szCs w:val="21"/>
                <w:highlight w:val="none"/>
              </w:rPr>
              <w:t>（</w:t>
            </w:r>
            <w:r>
              <w:rPr>
                <w:rFonts w:ascii="宋体" w:hAnsi="宋体" w:cs="宋体"/>
                <w:color w:val="000000"/>
                <w:szCs w:val="21"/>
                <w:highlight w:val="none"/>
              </w:rPr>
              <w:t>5</w:t>
            </w:r>
            <w:r>
              <w:rPr>
                <w:rFonts w:hint="eastAsia" w:ascii="宋体" w:hAnsi="宋体" w:cs="宋体"/>
                <w:color w:val="000000"/>
                <w:kern w:val="0"/>
                <w:szCs w:val="21"/>
                <w:highlight w:val="none"/>
              </w:rPr>
              <w:t>）本项目中标结果将在发布招标公告的媒介发出。</w:t>
            </w:r>
          </w:p>
        </w:tc>
      </w:tr>
    </w:tbl>
    <w:p w14:paraId="6850368C">
      <w:pPr>
        <w:spacing w:before="240" w:beforeLines="100" w:after="240" w:afterLines="100" w:line="360" w:lineRule="auto"/>
        <w:rPr>
          <w:rFonts w:hint="eastAsia" w:ascii="宋体" w:hAnsi="宋体" w:cs="宋体"/>
          <w:b/>
          <w:bCs/>
          <w:color w:val="000000"/>
          <w:szCs w:val="21"/>
          <w:highlight w:val="none"/>
        </w:rPr>
      </w:pPr>
      <w:r>
        <w:rPr>
          <w:rFonts w:hint="eastAsia" w:ascii="宋体" w:hAnsi="宋体" w:cs="宋体"/>
          <w:b/>
          <w:color w:val="000000"/>
          <w:sz w:val="28"/>
          <w:szCs w:val="28"/>
          <w:highlight w:val="none"/>
        </w:rPr>
        <w:br w:type="page"/>
      </w:r>
      <w:bookmarkEnd w:id="10"/>
      <w:r>
        <w:rPr>
          <w:rFonts w:hint="eastAsia" w:ascii="宋体" w:hAnsi="宋体" w:cs="宋体"/>
          <w:b/>
          <w:bCs/>
          <w:color w:val="000000"/>
          <w:szCs w:val="21"/>
          <w:highlight w:val="none"/>
        </w:rPr>
        <w:t>1. 总则</w:t>
      </w:r>
    </w:p>
    <w:p w14:paraId="547D2F2F">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1.1 项目概况</w:t>
      </w:r>
    </w:p>
    <w:p w14:paraId="19539DCF">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1.1.1 根据《中华人民共和国政府采购法》《中华人民共和国政府采购法实施条例》等有关法律、法规和规章的规定，本招标项目已具备招标条件，现对本项目进行招标。</w:t>
      </w:r>
    </w:p>
    <w:p w14:paraId="5046F25E">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1.1.2 本招标项目采购人：见投标人须知前附表。</w:t>
      </w:r>
    </w:p>
    <w:p w14:paraId="1B9761DB">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1.1.3 本招标项目采购代理机构：见投标人须知前附表。</w:t>
      </w:r>
    </w:p>
    <w:p w14:paraId="177155E5">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1.1.4 本招标项目名称及编号：见投标人须知前附表。</w:t>
      </w:r>
    </w:p>
    <w:p w14:paraId="2984156F">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1.1.5 本招标项目服务地点：见投标人须知前附表。</w:t>
      </w:r>
    </w:p>
    <w:p w14:paraId="62E0A71B">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1.2 资金来源和落实情况</w:t>
      </w:r>
    </w:p>
    <w:p w14:paraId="116309CE">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1.2.1 本招标项目的资金来源：见投标人须知前附表。</w:t>
      </w:r>
    </w:p>
    <w:p w14:paraId="40CB3935">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1.2.2 本招标项目的出资比例：见投标人须知前附表。</w:t>
      </w:r>
    </w:p>
    <w:p w14:paraId="2E472BF3">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1.2.3 本招标项目的资金落实情况：见投标人须知前附表。</w:t>
      </w:r>
    </w:p>
    <w:p w14:paraId="452E6D34">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1.3 采购需求、合同履行期限和服务标准</w:t>
      </w:r>
    </w:p>
    <w:p w14:paraId="2550AF01">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1.3.1 本次采购需求：见投标人须知前附表。</w:t>
      </w:r>
    </w:p>
    <w:p w14:paraId="1652BA03">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1.3.2 本次招标的合同履行期限：见投标人须知前附表。</w:t>
      </w:r>
    </w:p>
    <w:p w14:paraId="1778A60C">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1.3.3 本次招标的服务标准：见投标人须知前附表。</w:t>
      </w:r>
    </w:p>
    <w:p w14:paraId="63E76EC0">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1.4 投标人资格要求</w:t>
      </w:r>
    </w:p>
    <w:p w14:paraId="3A0F031A">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1.4.1 投标人应具备承担本项目的资格条件、能力和信誉。</w:t>
      </w:r>
    </w:p>
    <w:p w14:paraId="189D6312">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 xml:space="preserve">    1.4.2 本项目不接受联合体投标。</w:t>
      </w:r>
    </w:p>
    <w:p w14:paraId="3A646228">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1.5 费用承担</w:t>
      </w:r>
    </w:p>
    <w:p w14:paraId="37D134E5">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投标人准备和参加投标活动发生的费用自理。</w:t>
      </w:r>
    </w:p>
    <w:p w14:paraId="0894647F">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1.6 保密</w:t>
      </w:r>
    </w:p>
    <w:p w14:paraId="24AA32B7">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参与招标投标活动的各方应对招标文件和投标文件中的商业和技术等秘密保密，违者应对由此造成的后果承担法律责任。</w:t>
      </w:r>
    </w:p>
    <w:p w14:paraId="67DAAC2B">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1.7 语言文字</w:t>
      </w:r>
    </w:p>
    <w:p w14:paraId="1E2E4C98">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除专用术语外，与招标投标有关的语言均使用中文。必要时专用术语应附有中文注释。</w:t>
      </w:r>
    </w:p>
    <w:p w14:paraId="217C1E6B">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1.8 计量单位</w:t>
      </w:r>
    </w:p>
    <w:p w14:paraId="64EDDEB5">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所有计量均采用中华人民共和国法定计量单位。</w:t>
      </w:r>
    </w:p>
    <w:p w14:paraId="4C587409">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1.9 踏勘现场</w:t>
      </w:r>
    </w:p>
    <w:p w14:paraId="7E72B613">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不组织，自行踏勘</w:t>
      </w:r>
    </w:p>
    <w:p w14:paraId="2AEB4496">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1.10 答疑会</w:t>
      </w:r>
    </w:p>
    <w:p w14:paraId="37708E26">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不召开</w:t>
      </w:r>
    </w:p>
    <w:p w14:paraId="5EFD5B1A">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1.11 分包</w:t>
      </w:r>
    </w:p>
    <w:p w14:paraId="4456637D">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 xml:space="preserve">    本项目不允许分包。</w:t>
      </w:r>
    </w:p>
    <w:p w14:paraId="17821507">
      <w:pPr>
        <w:pStyle w:val="5"/>
        <w:numPr>
          <w:ilvl w:val="0"/>
          <w:numId w:val="0"/>
        </w:numPr>
        <w:jc w:val="both"/>
        <w:rPr>
          <w:rFonts w:hint="eastAsia" w:ascii="宋体" w:hAnsi="宋体" w:cs="宋体"/>
          <w:bCs/>
          <w:color w:val="000000"/>
          <w:sz w:val="21"/>
          <w:szCs w:val="21"/>
          <w:highlight w:val="none"/>
        </w:rPr>
      </w:pPr>
      <w:bookmarkStart w:id="11" w:name="_Toc452632694"/>
      <w:bookmarkStart w:id="12" w:name="_Toc230599441"/>
      <w:bookmarkStart w:id="13" w:name="_Toc471222465"/>
      <w:bookmarkStart w:id="14" w:name="_Toc9356"/>
      <w:r>
        <w:rPr>
          <w:rFonts w:hint="eastAsia" w:ascii="宋体" w:hAnsi="宋体" w:cs="宋体"/>
          <w:bCs/>
          <w:color w:val="000000"/>
          <w:sz w:val="21"/>
          <w:szCs w:val="21"/>
          <w:highlight w:val="none"/>
        </w:rPr>
        <w:t xml:space="preserve">2. </w:t>
      </w:r>
      <w:bookmarkEnd w:id="11"/>
      <w:bookmarkEnd w:id="12"/>
      <w:bookmarkEnd w:id="13"/>
      <w:r>
        <w:rPr>
          <w:rFonts w:hint="eastAsia" w:ascii="宋体" w:hAnsi="宋体" w:cs="宋体"/>
          <w:bCs/>
          <w:color w:val="000000"/>
          <w:sz w:val="21"/>
          <w:szCs w:val="21"/>
          <w:highlight w:val="none"/>
        </w:rPr>
        <w:t>招标文件</w:t>
      </w:r>
      <w:bookmarkEnd w:id="14"/>
    </w:p>
    <w:p w14:paraId="3D062D9A">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2.1 招标文件的组成</w:t>
      </w:r>
    </w:p>
    <w:p w14:paraId="158AA75F">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本招标文件包括：</w:t>
      </w:r>
    </w:p>
    <w:p w14:paraId="4B80893A">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（1）招标公告；</w:t>
      </w:r>
    </w:p>
    <w:p w14:paraId="56405168">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（2）投标人须知；</w:t>
      </w:r>
    </w:p>
    <w:p w14:paraId="0470FBD7">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（3）评标办法；</w:t>
      </w:r>
    </w:p>
    <w:p w14:paraId="328070DA">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（4）合同条款及格式；</w:t>
      </w:r>
    </w:p>
    <w:p w14:paraId="25FD3448">
      <w:pPr>
        <w:autoSpaceDE w:val="0"/>
        <w:autoSpaceDN w:val="0"/>
        <w:adjustRightInd w:val="0"/>
        <w:spacing w:line="360" w:lineRule="auto"/>
        <w:ind w:firstLine="420" w:firstLineChars="200"/>
        <w:jc w:val="left"/>
        <w:rPr>
          <w:rFonts w:ascii="宋体" w:hAnsi="宋体" w:cs="宋体"/>
          <w:color w:val="000000"/>
          <w:kern w:val="0"/>
          <w:szCs w:val="21"/>
          <w:highlight w:val="none"/>
        </w:rPr>
      </w:pPr>
      <w:r>
        <w:rPr>
          <w:rFonts w:hint="eastAsia" w:ascii="宋体" w:hAnsi="宋体" w:cs="宋体"/>
          <w:color w:val="000000"/>
          <w:kern w:val="0"/>
          <w:szCs w:val="21"/>
          <w:highlight w:val="none"/>
        </w:rPr>
        <w:t>（</w:t>
      </w:r>
      <w:r>
        <w:rPr>
          <w:rFonts w:hint="eastAsia" w:ascii="宋体" w:hAnsi="宋体" w:cs="宋体"/>
          <w:color w:val="auto"/>
          <w:kern w:val="0"/>
          <w:szCs w:val="21"/>
          <w:highlight w:val="none"/>
        </w:rPr>
        <w:t>5）采购需求</w:t>
      </w:r>
    </w:p>
    <w:p w14:paraId="227A1985">
      <w:pPr>
        <w:autoSpaceDE w:val="0"/>
        <w:autoSpaceDN w:val="0"/>
        <w:adjustRightInd w:val="0"/>
        <w:spacing w:line="360" w:lineRule="auto"/>
        <w:ind w:firstLine="525" w:firstLineChars="25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(6) 投标文件格式；</w:t>
      </w:r>
    </w:p>
    <w:p w14:paraId="7E143995">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（7）附件。</w:t>
      </w:r>
    </w:p>
    <w:p w14:paraId="5FFF0AEC">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根据本章第1.10 款、第2.2 款和第2.3 款对招标文件所作的澄清、修改，构成招标文件的组成部分。</w:t>
      </w:r>
    </w:p>
    <w:p w14:paraId="63E962BA">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2.2 招标文件的澄清</w:t>
      </w:r>
    </w:p>
    <w:p w14:paraId="1C74DC72">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2.2.1 投标人应仔细阅读和检查招标文件的全部内容。如发现缺页或附件不全，应及时向采购人提出，以便补齐。如有疑问，应在投标人须知前附表规定的时间前以书面形式（包括信函、电报、传真等可以有形地表现所载内容的形式，下同），要求采购人对招标文件予以澄清。</w:t>
      </w:r>
    </w:p>
    <w:p w14:paraId="2807784E">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2.2.2 招标文件的澄清将在投标人须知前附表规定的投标截止时间15天前通过政采云平台进行澄清。</w:t>
      </w:r>
    </w:p>
    <w:p w14:paraId="786219CD">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2.3 招标文件的修改</w:t>
      </w:r>
    </w:p>
    <w:p w14:paraId="1A1F406B">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2.3.1 在投标截止时间15天前，通过政采云平台进行修改。如果修改招标文件的时间距投标截止时间不足15 天，相应延长投标截止时间。</w:t>
      </w:r>
    </w:p>
    <w:p w14:paraId="43ED4A68">
      <w:pPr>
        <w:pStyle w:val="5"/>
        <w:numPr>
          <w:ilvl w:val="0"/>
          <w:numId w:val="0"/>
        </w:numPr>
        <w:jc w:val="both"/>
        <w:rPr>
          <w:rFonts w:hint="eastAsia" w:ascii="宋体" w:hAnsi="宋体" w:cs="宋体"/>
          <w:bCs/>
          <w:color w:val="000000"/>
          <w:sz w:val="21"/>
          <w:szCs w:val="21"/>
          <w:highlight w:val="none"/>
        </w:rPr>
      </w:pPr>
      <w:bookmarkStart w:id="15" w:name="_Toc230599442"/>
      <w:bookmarkStart w:id="16" w:name="_Toc471222466"/>
      <w:bookmarkStart w:id="17" w:name="_Toc452632695"/>
      <w:bookmarkStart w:id="18" w:name="_Toc24167"/>
      <w:r>
        <w:rPr>
          <w:rFonts w:hint="eastAsia" w:ascii="宋体" w:hAnsi="宋体" w:cs="宋体"/>
          <w:bCs/>
          <w:color w:val="000000"/>
          <w:sz w:val="21"/>
          <w:szCs w:val="21"/>
          <w:highlight w:val="none"/>
        </w:rPr>
        <w:t>3. 投标文件</w:t>
      </w:r>
      <w:bookmarkEnd w:id="15"/>
      <w:bookmarkEnd w:id="16"/>
      <w:bookmarkEnd w:id="17"/>
      <w:bookmarkEnd w:id="18"/>
    </w:p>
    <w:p w14:paraId="4FFF5085">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3.1 投标文件的组成</w:t>
      </w:r>
    </w:p>
    <w:p w14:paraId="35108453">
      <w:pPr>
        <w:tabs>
          <w:tab w:val="left" w:pos="709"/>
        </w:tabs>
        <w:autoSpaceDE w:val="0"/>
        <w:autoSpaceDN w:val="0"/>
        <w:adjustRightInd w:val="0"/>
        <w:spacing w:line="360" w:lineRule="auto"/>
        <w:ind w:firstLine="480"/>
        <w:rPr>
          <w:rFonts w:hint="eastAsia" w:ascii="宋体" w:hAnsi="宋体" w:cs="宋体"/>
          <w:color w:val="000000"/>
          <w:kern w:val="0"/>
          <w:szCs w:val="21"/>
          <w:highlight w:val="none"/>
        </w:rPr>
      </w:pPr>
      <w:r>
        <w:rPr>
          <w:rFonts w:hint="eastAsia" w:ascii="宋体" w:hAnsi="宋体" w:cs="宋体"/>
          <w:color w:val="000000"/>
          <w:kern w:val="0"/>
          <w:szCs w:val="21"/>
          <w:highlight w:val="none"/>
        </w:rPr>
        <w:t>3.1.1 投标文件分为商务部分和技术部分。商务部分是投标人提交的证明其具有合格的投标资格和中标后有能力履行合同的文件。技术部分是能够证明投标人所提供服务的合格性和符合招标文件规定的文件。</w:t>
      </w:r>
    </w:p>
    <w:p w14:paraId="191BA0F0">
      <w:pPr>
        <w:tabs>
          <w:tab w:val="left" w:pos="709"/>
        </w:tabs>
        <w:autoSpaceDE w:val="0"/>
        <w:autoSpaceDN w:val="0"/>
        <w:adjustRightInd w:val="0"/>
        <w:spacing w:line="360" w:lineRule="auto"/>
        <w:ind w:firstLine="480"/>
        <w:rPr>
          <w:rFonts w:hint="eastAsia" w:ascii="宋体" w:hAnsi="宋体" w:cs="宋体"/>
          <w:color w:val="000000"/>
          <w:kern w:val="0"/>
          <w:szCs w:val="21"/>
          <w:highlight w:val="none"/>
        </w:rPr>
      </w:pPr>
      <w:r>
        <w:rPr>
          <w:rFonts w:hint="eastAsia" w:ascii="宋体" w:hAnsi="宋体" w:cs="宋体"/>
          <w:color w:val="000000"/>
          <w:kern w:val="0"/>
          <w:szCs w:val="21"/>
          <w:highlight w:val="none"/>
        </w:rPr>
        <w:t>3.1.2 投标人应提交本招标文件第六章《投标文件格式》规定的全部商务文件和技术文件，若有缺失、无效或者不符合招标文件要求，将导致其投标被拒绝。</w:t>
      </w:r>
    </w:p>
    <w:p w14:paraId="07860EE8">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3.2 投标有效期</w:t>
      </w:r>
    </w:p>
    <w:p w14:paraId="65F5FDFB">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3.2.1 在投标人须知前附表规定的投标有效期内，投标人不得要求撤销或修改其投标文件。</w:t>
      </w:r>
    </w:p>
    <w:p w14:paraId="7358425A">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3.2.2 出现特殊情况需要延长投标有效期的，采购人以书面形式通知所有投标人延长投标有效期。</w:t>
      </w:r>
    </w:p>
    <w:p w14:paraId="370CF7CC">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3.3 投标保证金（递交投标保证金的单位适用本条款，不递交的不适用）</w:t>
      </w:r>
    </w:p>
    <w:p w14:paraId="59543679">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3.3.1 投标人在递交投标文件的同时，应按投标人须知前附表规定的金额、担保形式和第六章“投标文件格式”规定的投标保证金格式递交投标保证金，并作为其投标文件的组成部分。投标人还应在银行进账单或电汇凭证上明确用途、投标项目名称、联系人及电话，以便核对查实。所交保证金手续不得重复使用，一项目一收退。</w:t>
      </w:r>
    </w:p>
    <w:p w14:paraId="4F7D37D3">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3.3.2 投标人不按本章第3.3.1 项要求提交投标保证金的，其投标文件作废标处理。</w:t>
      </w:r>
      <w:r>
        <w:rPr>
          <w:rFonts w:hint="eastAsia" w:ascii="宋体" w:hAnsi="宋体" w:cs="宋体"/>
          <w:color w:val="000000"/>
          <w:szCs w:val="21"/>
          <w:highlight w:val="none"/>
        </w:rPr>
        <w:t>中标通知书发出后5个工作日内，采购代理机构向未中标的投标人退还投标保证金；中标人与采购人签订合同，并按要求提交招标代理服务费后5个工作日内，采购代理机构向中标人退还投标保证金。</w:t>
      </w:r>
    </w:p>
    <w:p w14:paraId="7ADD226C">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3.3.3 有下列情形之一的，投标保证金将不予退还：</w:t>
      </w:r>
    </w:p>
    <w:p w14:paraId="2B4DEB88">
      <w:pPr>
        <w:autoSpaceDE w:val="0"/>
        <w:autoSpaceDN w:val="0"/>
        <w:adjustRightInd w:val="0"/>
        <w:spacing w:line="360" w:lineRule="auto"/>
        <w:ind w:firstLine="210" w:firstLineChars="1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（1）投标人无故不参加开标会议的；</w:t>
      </w:r>
    </w:p>
    <w:p w14:paraId="480D42FC">
      <w:pPr>
        <w:autoSpaceDE w:val="0"/>
        <w:autoSpaceDN w:val="0"/>
        <w:adjustRightInd w:val="0"/>
        <w:spacing w:line="360" w:lineRule="auto"/>
        <w:ind w:firstLine="210" w:firstLineChars="1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（2）投标人在投标有效期内撤回投标文件的；</w:t>
      </w:r>
    </w:p>
    <w:p w14:paraId="05D8EFDD">
      <w:pPr>
        <w:autoSpaceDE w:val="0"/>
        <w:autoSpaceDN w:val="0"/>
        <w:adjustRightInd w:val="0"/>
        <w:spacing w:line="360" w:lineRule="auto"/>
        <w:ind w:firstLine="210" w:firstLineChars="1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（3）中标通知书发出后，中标人无故放弃中标项目或无正当理由在规定时间内不与采购人签订合同的。</w:t>
      </w:r>
    </w:p>
    <w:p w14:paraId="0B687E68">
      <w:pPr>
        <w:autoSpaceDE w:val="0"/>
        <w:autoSpaceDN w:val="0"/>
        <w:adjustRightInd w:val="0"/>
        <w:spacing w:line="360" w:lineRule="auto"/>
        <w:ind w:firstLine="210" w:firstLineChars="1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（4）其他违反法律法规的情况。</w:t>
      </w:r>
    </w:p>
    <w:p w14:paraId="4F4FEBF6">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3.3.4 招标项目被投诉，在调查处理期间该项目的投标保证金暂不退还，待处理结果明确后按规定处理。</w:t>
      </w:r>
    </w:p>
    <w:p w14:paraId="6ECDC926">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3.3.5 投标人缴纳和退还投标保证金单位名称，必须与投标单位的名称相一致。</w:t>
      </w:r>
    </w:p>
    <w:p w14:paraId="2957DF66">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3.4 备选投标方案</w:t>
      </w:r>
    </w:p>
    <w:p w14:paraId="1080DE5E">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本项目不接受备选投标方案。</w:t>
      </w:r>
    </w:p>
    <w:p w14:paraId="6EF95011">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3.5 投标文件的编制</w:t>
      </w:r>
    </w:p>
    <w:p w14:paraId="75F1D057">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3.5.1 投标文件应按第六章“投标文件格式”进行编写，如有必要，可以增加附页，作为投标文件的组成部分。</w:t>
      </w:r>
    </w:p>
    <w:p w14:paraId="23451F98">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3.5.2 投标文件应当对招标文件有关合同履行期限、投标有效期、服务质量、服务方案等实质性内容作出响应。</w:t>
      </w:r>
    </w:p>
    <w:p w14:paraId="382C9379">
      <w:pPr>
        <w:autoSpaceDE w:val="0"/>
        <w:autoSpaceDN w:val="0"/>
        <w:adjustRightInd w:val="0"/>
        <w:spacing w:line="360" w:lineRule="auto"/>
        <w:ind w:firstLine="420" w:firstLineChars="200"/>
        <w:jc w:val="left"/>
        <w:rPr>
          <w:rFonts w:ascii="宋体" w:hAnsi="宋体" w:cs="宋体"/>
          <w:color w:val="000000"/>
          <w:kern w:val="0"/>
          <w:szCs w:val="21"/>
          <w:highlight w:val="none"/>
        </w:rPr>
      </w:pPr>
      <w:r>
        <w:rPr>
          <w:rFonts w:hint="eastAsia" w:ascii="宋体" w:hAnsi="宋体" w:cs="宋体"/>
          <w:color w:val="000000"/>
          <w:kern w:val="0"/>
          <w:szCs w:val="21"/>
          <w:highlight w:val="none"/>
        </w:rPr>
        <w:t>3.5.3本项目进行电子投标，所有内容均需要按照投标文件格式要求进行编写。</w:t>
      </w:r>
    </w:p>
    <w:p w14:paraId="127D3BAE">
      <w:pPr>
        <w:pStyle w:val="5"/>
        <w:numPr>
          <w:ilvl w:val="0"/>
          <w:numId w:val="0"/>
        </w:numPr>
        <w:jc w:val="both"/>
        <w:rPr>
          <w:rFonts w:hint="eastAsia" w:ascii="宋体" w:hAnsi="宋体" w:cs="宋体"/>
          <w:bCs/>
          <w:color w:val="000000"/>
          <w:sz w:val="21"/>
          <w:szCs w:val="21"/>
          <w:highlight w:val="none"/>
        </w:rPr>
      </w:pPr>
      <w:bookmarkStart w:id="19" w:name="_Toc7558"/>
      <w:bookmarkStart w:id="20" w:name="_Toc452632696"/>
      <w:bookmarkStart w:id="21" w:name="_Toc230599443"/>
      <w:bookmarkStart w:id="22" w:name="_Toc471222467"/>
      <w:r>
        <w:rPr>
          <w:rFonts w:hint="eastAsia" w:ascii="宋体" w:hAnsi="宋体" w:cs="宋体"/>
          <w:bCs/>
          <w:color w:val="000000"/>
          <w:sz w:val="21"/>
          <w:szCs w:val="21"/>
          <w:highlight w:val="none"/>
        </w:rPr>
        <w:t>4. 投标</w:t>
      </w:r>
      <w:bookmarkEnd w:id="19"/>
      <w:bookmarkEnd w:id="20"/>
      <w:bookmarkEnd w:id="21"/>
      <w:bookmarkEnd w:id="22"/>
    </w:p>
    <w:p w14:paraId="792A8AF6">
      <w:pPr>
        <w:spacing w:line="360" w:lineRule="auto"/>
        <w:ind w:firstLine="420" w:firstLineChars="200"/>
        <w:rPr>
          <w:rFonts w:ascii="宋体" w:hAnsi="宋体"/>
          <w:highlight w:val="none"/>
        </w:rPr>
      </w:pPr>
      <w:bookmarkStart w:id="23" w:name="_Toc230599444"/>
      <w:bookmarkStart w:id="24" w:name="_Toc452632697"/>
      <w:bookmarkStart w:id="25" w:name="_Toc471222468"/>
      <w:r>
        <w:rPr>
          <w:rFonts w:ascii="宋体" w:hAnsi="宋体"/>
          <w:highlight w:val="none"/>
        </w:rPr>
        <w:t>投标人按照招标文件规定，在规定时间内将电子版文件上传，中标单位需在领取中标通知书前递交</w:t>
      </w:r>
      <w:r>
        <w:rPr>
          <w:rFonts w:hint="eastAsia" w:ascii="宋体" w:hAnsi="宋体"/>
          <w:highlight w:val="none"/>
        </w:rPr>
        <w:t>书面投标文件一套（一正四副）及电子版（U盘）一份</w:t>
      </w:r>
      <w:r>
        <w:rPr>
          <w:rFonts w:ascii="宋体" w:hAnsi="宋体"/>
          <w:highlight w:val="none"/>
        </w:rPr>
        <w:t>。</w:t>
      </w:r>
    </w:p>
    <w:p w14:paraId="0375AAE7">
      <w:pPr>
        <w:pStyle w:val="5"/>
        <w:numPr>
          <w:ilvl w:val="0"/>
          <w:numId w:val="0"/>
        </w:numPr>
        <w:jc w:val="both"/>
        <w:rPr>
          <w:rFonts w:hint="eastAsia" w:ascii="宋体" w:hAnsi="宋体" w:cs="宋体"/>
          <w:bCs/>
          <w:color w:val="000000"/>
          <w:sz w:val="21"/>
          <w:szCs w:val="21"/>
          <w:highlight w:val="none"/>
        </w:rPr>
      </w:pPr>
      <w:bookmarkStart w:id="26" w:name="_Toc19721"/>
      <w:r>
        <w:rPr>
          <w:rFonts w:hint="eastAsia" w:ascii="宋体" w:hAnsi="宋体" w:cs="宋体"/>
          <w:bCs/>
          <w:color w:val="000000"/>
          <w:sz w:val="21"/>
          <w:szCs w:val="21"/>
          <w:highlight w:val="none"/>
        </w:rPr>
        <w:t>5. 开标</w:t>
      </w:r>
      <w:bookmarkEnd w:id="23"/>
      <w:bookmarkEnd w:id="24"/>
      <w:bookmarkEnd w:id="25"/>
      <w:bookmarkEnd w:id="26"/>
    </w:p>
    <w:p w14:paraId="255FC3FA">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5.1 开标时间和地点</w:t>
      </w:r>
    </w:p>
    <w:p w14:paraId="05D0DAB1">
      <w:pPr>
        <w:autoSpaceDE w:val="0"/>
        <w:autoSpaceDN w:val="0"/>
        <w:adjustRightInd w:val="0"/>
        <w:spacing w:line="360" w:lineRule="auto"/>
        <w:ind w:firstLine="420" w:firstLineChars="200"/>
        <w:jc w:val="left"/>
        <w:rPr>
          <w:rFonts w:ascii="宋体" w:hAnsi="宋体" w:cs="宋体"/>
          <w:color w:val="000000"/>
          <w:kern w:val="0"/>
          <w:szCs w:val="21"/>
          <w:highlight w:val="none"/>
        </w:rPr>
      </w:pPr>
      <w:r>
        <w:rPr>
          <w:rFonts w:hint="eastAsia" w:ascii="宋体" w:hAnsi="宋体" w:cs="宋体"/>
          <w:color w:val="000000"/>
          <w:kern w:val="0"/>
          <w:szCs w:val="21"/>
          <w:highlight w:val="none"/>
        </w:rPr>
        <w:t>详见招标公告</w:t>
      </w:r>
    </w:p>
    <w:p w14:paraId="597C441E">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5.2 开标程序</w:t>
      </w:r>
    </w:p>
    <w:p w14:paraId="032044BD">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主持人按下列程序进行开标：</w:t>
      </w:r>
    </w:p>
    <w:p w14:paraId="7B5EF3B8">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（1）宣布开标纪律；</w:t>
      </w:r>
    </w:p>
    <w:p w14:paraId="058D99C3">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（2）公布在投标截止时间前递交投标文件的投标人名称；</w:t>
      </w:r>
    </w:p>
    <w:p w14:paraId="6911B477">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（3）宣布开标人、唱标人、记录人等有关人员姓名；</w:t>
      </w:r>
    </w:p>
    <w:p w14:paraId="5AFCF9C3">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（4）开标，公布投标人名称、投标报价及其他内容；</w:t>
      </w:r>
    </w:p>
    <w:p w14:paraId="2891240C">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（5）投标人代表在政采云平台确认报价；</w:t>
      </w:r>
    </w:p>
    <w:p w14:paraId="43B227B3">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（6）开标结束。</w:t>
      </w:r>
    </w:p>
    <w:p w14:paraId="56B9355A">
      <w:pPr>
        <w:autoSpaceDE w:val="0"/>
        <w:autoSpaceDN w:val="0"/>
        <w:adjustRightInd w:val="0"/>
        <w:spacing w:line="360" w:lineRule="auto"/>
        <w:ind w:firstLine="420" w:firstLineChars="200"/>
        <w:jc w:val="left"/>
        <w:rPr>
          <w:highlight w:val="none"/>
        </w:rPr>
      </w:pPr>
      <w:r>
        <w:rPr>
          <w:rFonts w:hint="eastAsia" w:ascii="宋体" w:hAnsi="宋体" w:cs="宋体"/>
          <w:color w:val="000000"/>
          <w:kern w:val="0"/>
          <w:szCs w:val="21"/>
          <w:highlight w:val="none"/>
        </w:rPr>
        <w:t>以上开标程序仅供参考，具体以政采云平台现场为准，政采云开标，只需要解密即可，其他内容，投标人注意观看自己解密电脑屏幕，即可获取开标相关信息。</w:t>
      </w:r>
    </w:p>
    <w:p w14:paraId="53B2E5BD">
      <w:pPr>
        <w:pStyle w:val="5"/>
        <w:numPr>
          <w:ilvl w:val="0"/>
          <w:numId w:val="0"/>
        </w:numPr>
        <w:jc w:val="both"/>
        <w:rPr>
          <w:rFonts w:hint="eastAsia" w:ascii="宋体" w:hAnsi="宋体" w:cs="宋体"/>
          <w:bCs/>
          <w:color w:val="000000"/>
          <w:sz w:val="21"/>
          <w:szCs w:val="21"/>
          <w:highlight w:val="none"/>
        </w:rPr>
      </w:pPr>
      <w:bookmarkStart w:id="27" w:name="_Toc7950"/>
      <w:bookmarkStart w:id="28" w:name="_Toc230599445"/>
      <w:bookmarkStart w:id="29" w:name="_Toc471222469"/>
      <w:bookmarkStart w:id="30" w:name="_Toc452632698"/>
      <w:r>
        <w:rPr>
          <w:rFonts w:hint="eastAsia" w:ascii="宋体" w:hAnsi="宋体" w:cs="宋体"/>
          <w:bCs/>
          <w:color w:val="000000"/>
          <w:sz w:val="21"/>
          <w:szCs w:val="21"/>
          <w:highlight w:val="none"/>
        </w:rPr>
        <w:t>6. 评标</w:t>
      </w:r>
      <w:bookmarkEnd w:id="27"/>
      <w:bookmarkEnd w:id="28"/>
      <w:bookmarkEnd w:id="29"/>
      <w:bookmarkEnd w:id="30"/>
    </w:p>
    <w:p w14:paraId="03D07BE0">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6.1 评标委员会</w:t>
      </w:r>
    </w:p>
    <w:p w14:paraId="49C41527">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6.1.1 评标由采购人依法组建的评标委员会负责。评标委员会成员均为政采云平台专家库随机抽取。评标委员会成员人数以及技术、经济等方面专家的确定方式见投标人须知前附表。</w:t>
      </w:r>
    </w:p>
    <w:p w14:paraId="37AD118C">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6.1.2 评标委员会成员有下列情形之一的，应当回避：</w:t>
      </w:r>
    </w:p>
    <w:p w14:paraId="06FFDA4D">
      <w:pPr>
        <w:autoSpaceDE w:val="0"/>
        <w:autoSpaceDN w:val="0"/>
        <w:adjustRightInd w:val="0"/>
        <w:spacing w:line="360" w:lineRule="auto"/>
        <w:ind w:firstLine="840" w:firstLineChars="4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（1）采购人或投标人的主要负责人的近亲属；</w:t>
      </w:r>
    </w:p>
    <w:p w14:paraId="768CC724">
      <w:pPr>
        <w:autoSpaceDE w:val="0"/>
        <w:autoSpaceDN w:val="0"/>
        <w:adjustRightInd w:val="0"/>
        <w:spacing w:line="360" w:lineRule="auto"/>
        <w:ind w:firstLine="840" w:firstLineChars="4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（2）项目主管部门或者行政监督部门的人员；</w:t>
      </w:r>
    </w:p>
    <w:p w14:paraId="104FF5F6">
      <w:pPr>
        <w:autoSpaceDE w:val="0"/>
        <w:autoSpaceDN w:val="0"/>
        <w:adjustRightInd w:val="0"/>
        <w:spacing w:line="360" w:lineRule="auto"/>
        <w:ind w:firstLine="840" w:firstLineChars="4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（3）与投标人有经济利益关系，可能影响对投标公正评审的；</w:t>
      </w:r>
    </w:p>
    <w:p w14:paraId="1B9D2D28">
      <w:pPr>
        <w:autoSpaceDE w:val="0"/>
        <w:autoSpaceDN w:val="0"/>
        <w:adjustRightInd w:val="0"/>
        <w:spacing w:line="360" w:lineRule="auto"/>
        <w:ind w:firstLine="840" w:firstLineChars="4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（4）曾因在招标、评标以及其他与招标投标有关活动中从事违法行为而受过行政处罚或刑事处罚的。</w:t>
      </w:r>
    </w:p>
    <w:p w14:paraId="2D29B538">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6.2 评标原则</w:t>
      </w:r>
    </w:p>
    <w:p w14:paraId="5EBB195E">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评标活动遵循公平、公正、科学和择优的原则。</w:t>
      </w:r>
    </w:p>
    <w:p w14:paraId="609AA4C2">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6.3 评标</w:t>
      </w:r>
    </w:p>
    <w:p w14:paraId="0338C61F">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评标委员会按照第三章“评标办法”规定的方法、评审因素、标准和程序对投标文件进行评审。第三章“评标办法”没有规定的方法、评审因素和标准，不作为评标依据。</w:t>
      </w:r>
    </w:p>
    <w:p w14:paraId="010E279A">
      <w:pPr>
        <w:pStyle w:val="5"/>
        <w:numPr>
          <w:ilvl w:val="0"/>
          <w:numId w:val="0"/>
        </w:numPr>
        <w:jc w:val="both"/>
        <w:rPr>
          <w:rFonts w:hint="eastAsia" w:ascii="宋体" w:hAnsi="宋体" w:cs="宋体"/>
          <w:bCs/>
          <w:color w:val="000000"/>
          <w:sz w:val="21"/>
          <w:szCs w:val="21"/>
          <w:highlight w:val="none"/>
        </w:rPr>
      </w:pPr>
      <w:bookmarkStart w:id="31" w:name="_Toc230599446"/>
      <w:bookmarkStart w:id="32" w:name="_Toc452632699"/>
      <w:bookmarkStart w:id="33" w:name="_Toc471222470"/>
      <w:bookmarkStart w:id="34" w:name="_Toc20929"/>
      <w:r>
        <w:rPr>
          <w:rFonts w:hint="eastAsia" w:ascii="宋体" w:hAnsi="宋体" w:cs="宋体"/>
          <w:bCs/>
          <w:color w:val="000000"/>
          <w:sz w:val="21"/>
          <w:szCs w:val="21"/>
          <w:highlight w:val="none"/>
        </w:rPr>
        <w:t>7. 合同授予</w:t>
      </w:r>
      <w:bookmarkEnd w:id="31"/>
      <w:bookmarkEnd w:id="32"/>
      <w:bookmarkEnd w:id="33"/>
      <w:bookmarkEnd w:id="34"/>
    </w:p>
    <w:p w14:paraId="2077F768">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7.1 定标方式</w:t>
      </w:r>
    </w:p>
    <w:p w14:paraId="4D7F4E1F">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除投标人须知前附表规定评标委员会直接确定中标人外，采购人依据评标委员会推荐的中标候选人确定中标人，评标委员会推荐中标候选人的人数见投标人须知前附表。</w:t>
      </w:r>
    </w:p>
    <w:p w14:paraId="6FC41CA3">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7.2 中标通知</w:t>
      </w:r>
    </w:p>
    <w:p w14:paraId="0087F1D9">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在本章第3.2款规定的投标有效期内，采购人根据评标报告确定中标人，并同时在发布招标公告的媒介公告中标人情况。采购人同时以书面形式向中标人发出中标通知书。</w:t>
      </w:r>
      <w:r>
        <w:rPr>
          <w:rFonts w:hint="eastAsia" w:ascii="宋体" w:hAnsi="宋体" w:cs="宋体"/>
          <w:bCs/>
          <w:color w:val="000000"/>
          <w:kern w:val="0"/>
          <w:szCs w:val="21"/>
          <w:highlight w:val="none"/>
        </w:rPr>
        <w:t>采购人不保证投标报价最低的投标人中标，也没有义务对未中标的投标人作任何解释和说明。</w:t>
      </w:r>
    </w:p>
    <w:p w14:paraId="37F034F6">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7.3 签订合同</w:t>
      </w:r>
    </w:p>
    <w:p w14:paraId="6FD5F815">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7.3.1 采购人和中标人应当自中标通知书发出之日起30天内，根据招标文件和中标人的投标文件订立书面合同。中标人无正当理由拒签合同的，采购人取消其中标资格，并且对采购人损失进行赔偿。</w:t>
      </w:r>
    </w:p>
    <w:p w14:paraId="692EAF41">
      <w:pPr>
        <w:pStyle w:val="5"/>
        <w:numPr>
          <w:ilvl w:val="0"/>
          <w:numId w:val="0"/>
        </w:numPr>
        <w:jc w:val="both"/>
        <w:rPr>
          <w:rFonts w:hint="eastAsia" w:ascii="宋体" w:hAnsi="宋体" w:cs="宋体"/>
          <w:bCs/>
          <w:color w:val="000000"/>
          <w:sz w:val="21"/>
          <w:szCs w:val="21"/>
          <w:highlight w:val="none"/>
        </w:rPr>
      </w:pPr>
      <w:bookmarkStart w:id="35" w:name="_Toc230599447"/>
      <w:bookmarkStart w:id="36" w:name="_Toc452632700"/>
      <w:bookmarkStart w:id="37" w:name="_Toc8215"/>
      <w:bookmarkStart w:id="38" w:name="_Toc471222471"/>
      <w:r>
        <w:rPr>
          <w:rFonts w:hint="eastAsia" w:ascii="宋体" w:hAnsi="宋体" w:cs="宋体"/>
          <w:bCs/>
          <w:color w:val="000000"/>
          <w:sz w:val="21"/>
          <w:szCs w:val="21"/>
          <w:highlight w:val="none"/>
        </w:rPr>
        <w:t>8. 重新招标和不再招标</w:t>
      </w:r>
      <w:bookmarkEnd w:id="35"/>
      <w:bookmarkEnd w:id="36"/>
      <w:bookmarkEnd w:id="37"/>
      <w:bookmarkEnd w:id="38"/>
    </w:p>
    <w:p w14:paraId="11180EC4">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8.1 重新招标</w:t>
      </w:r>
    </w:p>
    <w:p w14:paraId="6F4CA461">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有下列情形之一的，采购人将重新招标：</w:t>
      </w:r>
    </w:p>
    <w:p w14:paraId="1E0C5F71">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（1）投标截止时间止，投标人少于3 个的；</w:t>
      </w:r>
    </w:p>
    <w:p w14:paraId="24B69207">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（2）经评标委员会评审后否决所有投标的；</w:t>
      </w:r>
    </w:p>
    <w:p w14:paraId="0E22A6F2">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（3）经评标委员会评审后有效投标人不足3家的。</w:t>
      </w:r>
    </w:p>
    <w:p w14:paraId="0E65B0F1">
      <w:pPr>
        <w:pStyle w:val="19"/>
        <w:rPr>
          <w:rFonts w:hint="eastAsia" w:hAnsi="宋体" w:cs="宋体"/>
          <w:highlight w:val="none"/>
        </w:rPr>
      </w:pPr>
      <w:r>
        <w:rPr>
          <w:rFonts w:hint="eastAsia" w:hAnsi="宋体" w:cs="宋体"/>
          <w:highlight w:val="none"/>
        </w:rPr>
        <w:t xml:space="preserve">    （4）法律规定的其他情形</w:t>
      </w:r>
    </w:p>
    <w:p w14:paraId="75C3A7E6">
      <w:pPr>
        <w:pStyle w:val="5"/>
        <w:numPr>
          <w:ilvl w:val="0"/>
          <w:numId w:val="0"/>
        </w:numPr>
        <w:jc w:val="both"/>
        <w:rPr>
          <w:rFonts w:hint="eastAsia" w:ascii="宋体" w:hAnsi="宋体" w:cs="宋体"/>
          <w:bCs/>
          <w:color w:val="000000"/>
          <w:sz w:val="21"/>
          <w:szCs w:val="21"/>
          <w:highlight w:val="none"/>
        </w:rPr>
      </w:pPr>
      <w:bookmarkStart w:id="39" w:name="_Toc452632701"/>
      <w:bookmarkStart w:id="40" w:name="_Toc230599448"/>
      <w:bookmarkStart w:id="41" w:name="_Toc8121"/>
      <w:bookmarkStart w:id="42" w:name="_Toc471222472"/>
      <w:r>
        <w:rPr>
          <w:rFonts w:hint="eastAsia" w:ascii="宋体" w:hAnsi="宋体" w:cs="宋体"/>
          <w:bCs/>
          <w:color w:val="000000"/>
          <w:sz w:val="21"/>
          <w:szCs w:val="21"/>
          <w:highlight w:val="none"/>
        </w:rPr>
        <w:t>9. 纪律和监督</w:t>
      </w:r>
      <w:bookmarkEnd w:id="39"/>
      <w:bookmarkEnd w:id="40"/>
      <w:bookmarkEnd w:id="41"/>
      <w:bookmarkEnd w:id="42"/>
    </w:p>
    <w:p w14:paraId="75D0F83A">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9.1 对采购人的纪律要求</w:t>
      </w:r>
    </w:p>
    <w:p w14:paraId="56337CC3">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采购人不得泄漏招标投标活动中应当保密的情况和资料，不得与投标人串通损害国家利益、社会公共利益或者他人合法权益。</w:t>
      </w:r>
    </w:p>
    <w:p w14:paraId="6841B8C1">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9.2 对投标人的纪律要求</w:t>
      </w:r>
    </w:p>
    <w:p w14:paraId="7776611B">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投标人不得相互串通投标或者与采购人串通投标，不得向采购人或者评标委员会成员行贿谋取中标，不得以他人名义投标或者以其他方式弄虚作假骗取中标；投标人不得以任何方式干扰、影响评标工作。</w:t>
      </w:r>
    </w:p>
    <w:p w14:paraId="15578774">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9.3 对评标委员会成员的纪律要求</w:t>
      </w:r>
    </w:p>
    <w:p w14:paraId="2821B991">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005681E1">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9.4 对与评标活动有关的工作人员的纪律要求</w:t>
      </w:r>
    </w:p>
    <w:p w14:paraId="19A22DE0">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26192E64">
      <w:pPr>
        <w:autoSpaceDE w:val="0"/>
        <w:autoSpaceDN w:val="0"/>
        <w:adjustRightInd w:val="0"/>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9.5 投诉</w:t>
      </w:r>
    </w:p>
    <w:p w14:paraId="5D8CB9D7">
      <w:pPr>
        <w:autoSpaceDE w:val="0"/>
        <w:autoSpaceDN w:val="0"/>
        <w:adjustRightInd w:val="0"/>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投标人和其他利害关系人认为本次招标活动违反法律、法规和规章规定的，有权向有关行政监督部门投诉。</w:t>
      </w:r>
    </w:p>
    <w:p w14:paraId="3B6C2DC5">
      <w:pPr>
        <w:pStyle w:val="5"/>
        <w:numPr>
          <w:ilvl w:val="0"/>
          <w:numId w:val="0"/>
        </w:numPr>
        <w:jc w:val="both"/>
        <w:rPr>
          <w:rFonts w:hint="eastAsia" w:ascii="宋体" w:hAnsi="宋体" w:cs="宋体"/>
          <w:bCs/>
          <w:color w:val="000000"/>
          <w:sz w:val="21"/>
          <w:szCs w:val="21"/>
          <w:highlight w:val="none"/>
        </w:rPr>
      </w:pPr>
      <w:bookmarkStart w:id="43" w:name="_Toc452632702"/>
      <w:bookmarkStart w:id="44" w:name="_Toc18199"/>
      <w:bookmarkStart w:id="45" w:name="_Toc230599449"/>
      <w:bookmarkStart w:id="46" w:name="_Toc471222473"/>
      <w:r>
        <w:rPr>
          <w:rFonts w:hint="eastAsia" w:ascii="宋体" w:hAnsi="宋体" w:cs="宋体"/>
          <w:bCs/>
          <w:color w:val="000000"/>
          <w:sz w:val="21"/>
          <w:szCs w:val="21"/>
          <w:highlight w:val="none"/>
        </w:rPr>
        <w:t>10. 需要补充的其他内容</w:t>
      </w:r>
      <w:bookmarkEnd w:id="43"/>
      <w:bookmarkEnd w:id="44"/>
      <w:bookmarkEnd w:id="45"/>
      <w:bookmarkEnd w:id="46"/>
    </w:p>
    <w:p w14:paraId="5E3CCA84">
      <w:pPr>
        <w:autoSpaceDE w:val="0"/>
        <w:autoSpaceDN w:val="0"/>
        <w:adjustRightInd w:val="0"/>
        <w:spacing w:line="360" w:lineRule="auto"/>
        <w:ind w:firstLine="420" w:firstLineChars="200"/>
        <w:jc w:val="left"/>
        <w:rPr>
          <w:rFonts w:hint="eastAsia" w:ascii="宋体" w:hAnsi="宋体" w:cs="宋体"/>
          <w:color w:val="000000"/>
          <w:kern w:val="0"/>
          <w:sz w:val="24"/>
          <w:highlight w:val="none"/>
          <w:shd w:val="clear" w:color="auto" w:fill="FFFFFF"/>
        </w:rPr>
      </w:pPr>
      <w:r>
        <w:rPr>
          <w:rFonts w:hint="eastAsia" w:ascii="宋体" w:hAnsi="宋体" w:cs="宋体"/>
          <w:color w:val="000000"/>
          <w:kern w:val="0"/>
          <w:szCs w:val="21"/>
          <w:highlight w:val="none"/>
        </w:rPr>
        <w:t>需要补充的其他内容：见投标人须知前附表</w:t>
      </w:r>
    </w:p>
    <w:p w14:paraId="47558D5E">
      <w:pPr>
        <w:pStyle w:val="73"/>
        <w:rPr>
          <w:rFonts w:hint="eastAsia" w:eastAsia="宋体"/>
          <w:highlight w:val="none"/>
          <w:shd w:val="clear" w:color="auto" w:fill="FFFFFF"/>
        </w:rPr>
      </w:pPr>
    </w:p>
    <w:p w14:paraId="6AEAF427">
      <w:pPr>
        <w:pStyle w:val="73"/>
        <w:rPr>
          <w:rFonts w:hint="eastAsia" w:eastAsia="宋体"/>
          <w:highlight w:val="none"/>
          <w:shd w:val="clear" w:color="auto" w:fill="FFFFFF"/>
        </w:rPr>
      </w:pPr>
    </w:p>
    <w:p w14:paraId="456D678C">
      <w:pPr>
        <w:pStyle w:val="73"/>
        <w:rPr>
          <w:rFonts w:hint="eastAsia" w:eastAsia="宋体"/>
          <w:highlight w:val="none"/>
          <w:shd w:val="clear" w:color="auto" w:fill="FFFFFF"/>
        </w:rPr>
      </w:pPr>
    </w:p>
    <w:p w14:paraId="67B24378">
      <w:pPr>
        <w:pStyle w:val="73"/>
        <w:rPr>
          <w:rFonts w:hint="eastAsia" w:eastAsia="宋体"/>
          <w:highlight w:val="none"/>
          <w:shd w:val="clear" w:color="auto" w:fill="FFFFFF"/>
        </w:rPr>
      </w:pPr>
    </w:p>
    <w:p w14:paraId="4AA32095">
      <w:pPr>
        <w:pStyle w:val="73"/>
        <w:rPr>
          <w:rFonts w:hint="eastAsia" w:eastAsia="宋体"/>
          <w:highlight w:val="none"/>
          <w:shd w:val="clear" w:color="auto" w:fill="FFFFFF"/>
        </w:rPr>
      </w:pPr>
    </w:p>
    <w:p w14:paraId="5E5A89C1">
      <w:pPr>
        <w:pStyle w:val="73"/>
        <w:rPr>
          <w:rFonts w:hint="eastAsia" w:eastAsia="宋体"/>
          <w:highlight w:val="none"/>
          <w:shd w:val="clear" w:color="auto" w:fill="FFFFFF"/>
        </w:rPr>
      </w:pPr>
    </w:p>
    <w:p w14:paraId="6872A105">
      <w:pPr>
        <w:pStyle w:val="73"/>
        <w:rPr>
          <w:rFonts w:hint="eastAsia" w:eastAsia="宋体"/>
          <w:highlight w:val="none"/>
          <w:shd w:val="clear" w:color="auto" w:fill="FFFFFF"/>
        </w:rPr>
      </w:pPr>
    </w:p>
    <w:p w14:paraId="7786402E">
      <w:pPr>
        <w:pStyle w:val="73"/>
        <w:rPr>
          <w:rFonts w:hint="eastAsia" w:eastAsia="宋体"/>
          <w:highlight w:val="none"/>
          <w:shd w:val="clear" w:color="auto" w:fill="FFFFFF"/>
        </w:rPr>
      </w:pPr>
    </w:p>
    <w:p w14:paraId="0C73BF26">
      <w:pPr>
        <w:pStyle w:val="73"/>
        <w:rPr>
          <w:rFonts w:hint="eastAsia" w:eastAsia="宋体"/>
          <w:highlight w:val="none"/>
          <w:shd w:val="clear" w:color="auto" w:fill="FFFFFF"/>
        </w:rPr>
      </w:pPr>
    </w:p>
    <w:p w14:paraId="252F5BC0">
      <w:pPr>
        <w:pStyle w:val="73"/>
        <w:rPr>
          <w:rFonts w:hint="eastAsia" w:eastAsia="宋体"/>
          <w:highlight w:val="none"/>
          <w:shd w:val="clear" w:color="auto" w:fill="FFFFFF"/>
        </w:rPr>
      </w:pPr>
    </w:p>
    <w:p w14:paraId="214D96C0">
      <w:pPr>
        <w:rPr>
          <w:rFonts w:hint="eastAsia" w:ascii="宋体" w:hAnsi="宋体" w:cs="宋体"/>
          <w:color w:val="000000"/>
          <w:kern w:val="0"/>
          <w:sz w:val="24"/>
          <w:highlight w:val="none"/>
        </w:rPr>
        <w:sectPr>
          <w:headerReference r:id="rId6" w:type="default"/>
          <w:footerReference r:id="rId7" w:type="default"/>
          <w:pgSz w:w="11906" w:h="16838"/>
          <w:pgMar w:top="1440" w:right="1752" w:bottom="1440" w:left="1797" w:header="680" w:footer="907" w:gutter="0"/>
          <w:cols w:space="720" w:num="1"/>
          <w:docGrid w:linePitch="286" w:charSpace="0"/>
        </w:sectPr>
      </w:pPr>
    </w:p>
    <w:p w14:paraId="3C9D3E1A">
      <w:pPr>
        <w:pStyle w:val="2"/>
        <w:bidi w:val="0"/>
        <w:rPr>
          <w:rFonts w:hint="eastAsia" w:ascii="宋体" w:hAnsi="宋体" w:eastAsia="宋体" w:cs="宋体"/>
          <w:b/>
          <w:bCs/>
          <w:sz w:val="40"/>
          <w:szCs w:val="15"/>
          <w:highlight w:val="none"/>
        </w:rPr>
      </w:pPr>
      <w:bookmarkStart w:id="47" w:name="_Toc230599450"/>
      <w:bookmarkStart w:id="48" w:name="_Toc27551"/>
      <w:bookmarkStart w:id="49" w:name="OLE_LINK2"/>
      <w:r>
        <w:rPr>
          <w:rFonts w:hint="eastAsia" w:ascii="宋体" w:hAnsi="宋体" w:eastAsia="宋体" w:cs="宋体"/>
          <w:b/>
          <w:bCs/>
          <w:sz w:val="40"/>
          <w:szCs w:val="15"/>
          <w:highlight w:val="none"/>
          <w:lang w:val="en-US" w:eastAsia="zh-CN"/>
        </w:rPr>
        <w:t xml:space="preserve">第三章 </w:t>
      </w:r>
      <w:r>
        <w:rPr>
          <w:rFonts w:hint="eastAsia" w:ascii="宋体" w:hAnsi="宋体" w:eastAsia="宋体" w:cs="宋体"/>
          <w:b/>
          <w:bCs/>
          <w:sz w:val="40"/>
          <w:szCs w:val="15"/>
          <w:highlight w:val="none"/>
        </w:rPr>
        <w:t>评标办法</w:t>
      </w:r>
      <w:bookmarkEnd w:id="47"/>
      <w:r>
        <w:rPr>
          <w:rFonts w:hint="eastAsia" w:ascii="宋体" w:hAnsi="宋体" w:eastAsia="宋体" w:cs="宋体"/>
          <w:b/>
          <w:bCs/>
          <w:sz w:val="40"/>
          <w:szCs w:val="15"/>
          <w:highlight w:val="none"/>
        </w:rPr>
        <w:t>（综合评分法）</w:t>
      </w:r>
      <w:bookmarkEnd w:id="48"/>
      <w:bookmarkEnd w:id="49"/>
    </w:p>
    <w:p w14:paraId="79328933">
      <w:pPr>
        <w:autoSpaceDE w:val="0"/>
        <w:autoSpaceDN w:val="0"/>
        <w:adjustRightInd w:val="0"/>
        <w:spacing w:line="400" w:lineRule="exact"/>
        <w:jc w:val="center"/>
        <w:rPr>
          <w:rFonts w:hint="eastAsia" w:ascii="宋体" w:hAnsi="宋体" w:cs="宋体"/>
          <w:b/>
          <w:bCs/>
          <w:szCs w:val="21"/>
          <w:highlight w:val="none"/>
        </w:rPr>
      </w:pPr>
      <w:r>
        <w:rPr>
          <w:rFonts w:hint="eastAsia" w:ascii="宋体" w:hAnsi="宋体" w:cs="宋体"/>
          <w:b/>
          <w:bCs/>
          <w:szCs w:val="21"/>
          <w:highlight w:val="none"/>
        </w:rPr>
        <w:t>资格性审查（一）</w:t>
      </w:r>
      <w:bookmarkStart w:id="50" w:name="_Toc247085757"/>
      <w:bookmarkStart w:id="51" w:name="_Toc246996242"/>
      <w:bookmarkStart w:id="52" w:name="_Toc144974566"/>
      <w:bookmarkStart w:id="53" w:name="_Toc179632617"/>
      <w:bookmarkStart w:id="54" w:name="_Toc468267472"/>
      <w:bookmarkStart w:id="55" w:name="_Toc409424330"/>
      <w:bookmarkStart w:id="56" w:name="_Toc246996985"/>
      <w:bookmarkStart w:id="57" w:name="_Toc152042376"/>
      <w:bookmarkStart w:id="58" w:name="_Toc152045599"/>
      <w:bookmarkStart w:id="59" w:name="_Toc409424391"/>
    </w:p>
    <w:tbl>
      <w:tblPr>
        <w:tblStyle w:val="38"/>
        <w:tblW w:w="81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92"/>
        <w:gridCol w:w="5907"/>
      </w:tblGrid>
      <w:tr w14:paraId="5E97CA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6" w:hRule="atLeast"/>
          <w:tblHeader/>
          <w:jc w:val="center"/>
        </w:trPr>
        <w:tc>
          <w:tcPr>
            <w:tcW w:w="2292" w:type="dxa"/>
            <w:tcBorders>
              <w:top w:val="single" w:color="auto" w:sz="4" w:space="0"/>
              <w:left w:val="single" w:color="auto" w:sz="4" w:space="0"/>
              <w:bottom w:val="single" w:color="auto" w:sz="4" w:space="0"/>
              <w:right w:val="single" w:color="auto" w:sz="4" w:space="0"/>
            </w:tcBorders>
            <w:noWrap w:val="0"/>
            <w:vAlign w:val="center"/>
          </w:tcPr>
          <w:p w14:paraId="517E0493">
            <w:pPr>
              <w:keepNext w:val="0"/>
              <w:keepLines w:val="0"/>
              <w:suppressLineNumbers w:val="0"/>
              <w:spacing w:before="0" w:beforeAutospacing="0" w:after="0" w:afterAutospacing="0" w:line="300" w:lineRule="auto"/>
              <w:ind w:left="0" w:right="0"/>
              <w:jc w:val="center"/>
              <w:rPr>
                <w:rFonts w:hint="eastAsia" w:ascii="宋体" w:hAnsi="宋体" w:cs="宋体"/>
                <w:b/>
                <w:szCs w:val="21"/>
                <w:highlight w:val="none"/>
              </w:rPr>
            </w:pPr>
            <w:r>
              <w:rPr>
                <w:rFonts w:hint="eastAsia" w:ascii="宋体" w:hAnsi="宋体" w:cs="宋体"/>
                <w:b/>
                <w:szCs w:val="21"/>
                <w:highlight w:val="none"/>
              </w:rPr>
              <w:t>评审因素</w:t>
            </w:r>
          </w:p>
        </w:tc>
        <w:tc>
          <w:tcPr>
            <w:tcW w:w="5907" w:type="dxa"/>
            <w:tcBorders>
              <w:top w:val="single" w:color="auto" w:sz="4" w:space="0"/>
              <w:left w:val="single" w:color="auto" w:sz="4" w:space="0"/>
              <w:bottom w:val="single" w:color="auto" w:sz="4" w:space="0"/>
              <w:right w:val="single" w:color="auto" w:sz="4" w:space="0"/>
            </w:tcBorders>
            <w:noWrap w:val="0"/>
            <w:vAlign w:val="center"/>
          </w:tcPr>
          <w:p w14:paraId="629252AC">
            <w:pPr>
              <w:keepNext w:val="0"/>
              <w:keepLines w:val="0"/>
              <w:suppressLineNumbers w:val="0"/>
              <w:spacing w:before="0" w:beforeAutospacing="0" w:after="0" w:afterAutospacing="0" w:line="300" w:lineRule="auto"/>
              <w:ind w:left="0" w:right="0"/>
              <w:jc w:val="center"/>
              <w:rPr>
                <w:rFonts w:hint="eastAsia" w:ascii="宋体" w:hAnsi="宋体" w:cs="宋体"/>
                <w:b/>
                <w:szCs w:val="21"/>
                <w:highlight w:val="none"/>
              </w:rPr>
            </w:pPr>
            <w:r>
              <w:rPr>
                <w:rFonts w:hint="eastAsia" w:ascii="宋体" w:hAnsi="宋体" w:cs="宋体"/>
                <w:b/>
                <w:szCs w:val="21"/>
                <w:highlight w:val="none"/>
              </w:rPr>
              <w:t>评审标准</w:t>
            </w:r>
          </w:p>
        </w:tc>
      </w:tr>
      <w:tr w14:paraId="72A5B1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2292" w:type="dxa"/>
            <w:tcBorders>
              <w:top w:val="single" w:color="auto" w:sz="4" w:space="0"/>
              <w:left w:val="single" w:color="auto" w:sz="4" w:space="0"/>
              <w:bottom w:val="single" w:color="auto" w:sz="4" w:space="0"/>
              <w:right w:val="single" w:color="auto" w:sz="4" w:space="0"/>
            </w:tcBorders>
            <w:noWrap w:val="0"/>
            <w:vAlign w:val="center"/>
          </w:tcPr>
          <w:p w14:paraId="3F3F9059">
            <w:pPr>
              <w:keepNext w:val="0"/>
              <w:keepLines w:val="0"/>
              <w:suppressLineNumbers w:val="0"/>
              <w:spacing w:before="0" w:beforeAutospacing="0" w:after="0" w:afterAutospacing="0" w:line="300" w:lineRule="auto"/>
              <w:ind w:left="0" w:right="0"/>
              <w:jc w:val="center"/>
              <w:rPr>
                <w:rFonts w:hint="eastAsia" w:ascii="宋体" w:hAnsi="宋体" w:cs="宋体"/>
                <w:szCs w:val="21"/>
                <w:highlight w:val="none"/>
              </w:rPr>
            </w:pPr>
            <w:r>
              <w:rPr>
                <w:rFonts w:hint="eastAsia" w:ascii="宋体" w:hAnsi="宋体" w:cs="宋体"/>
                <w:szCs w:val="21"/>
                <w:highlight w:val="none"/>
              </w:rPr>
              <w:t>营业执照</w:t>
            </w:r>
          </w:p>
        </w:tc>
        <w:tc>
          <w:tcPr>
            <w:tcW w:w="5907" w:type="dxa"/>
            <w:tcBorders>
              <w:top w:val="single" w:color="auto" w:sz="4" w:space="0"/>
              <w:left w:val="single" w:color="auto" w:sz="4" w:space="0"/>
              <w:bottom w:val="single" w:color="auto" w:sz="4" w:space="0"/>
              <w:right w:val="single" w:color="auto" w:sz="4" w:space="0"/>
            </w:tcBorders>
            <w:noWrap w:val="0"/>
            <w:vAlign w:val="center"/>
          </w:tcPr>
          <w:p w14:paraId="1A551F26">
            <w:pPr>
              <w:keepNext w:val="0"/>
              <w:keepLines w:val="0"/>
              <w:suppressLineNumbers w:val="0"/>
              <w:spacing w:before="0" w:beforeAutospacing="0" w:after="0" w:afterAutospacing="0" w:line="300" w:lineRule="auto"/>
              <w:ind w:left="0" w:leftChars="0" w:right="0" w:rightChars="0"/>
              <w:rPr>
                <w:rFonts w:hint="eastAsia" w:ascii="宋体" w:hAnsi="宋体" w:cs="宋体"/>
                <w:szCs w:val="21"/>
                <w:highlight w:val="none"/>
              </w:rPr>
            </w:pPr>
            <w:r>
              <w:rPr>
                <w:rFonts w:hint="eastAsia" w:ascii="宋体" w:hAnsi="宋体" w:cs="宋体"/>
                <w:szCs w:val="21"/>
                <w:highlight w:val="none"/>
              </w:rPr>
              <w:t>具备有效的营业执照。标书内附加盖公章的复印件。</w:t>
            </w:r>
          </w:p>
        </w:tc>
      </w:tr>
      <w:tr w14:paraId="34F6FD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2292" w:type="dxa"/>
            <w:tcBorders>
              <w:top w:val="single" w:color="auto" w:sz="4" w:space="0"/>
              <w:left w:val="single" w:color="auto" w:sz="4" w:space="0"/>
              <w:bottom w:val="single" w:color="auto" w:sz="4" w:space="0"/>
              <w:right w:val="single" w:color="auto" w:sz="4" w:space="0"/>
            </w:tcBorders>
            <w:noWrap w:val="0"/>
            <w:vAlign w:val="center"/>
          </w:tcPr>
          <w:p w14:paraId="6BBD65D7">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szCs w:val="21"/>
                <w:highlight w:val="none"/>
              </w:rPr>
            </w:pPr>
            <w:r>
              <w:rPr>
                <w:rFonts w:hint="eastAsia" w:ascii="宋体" w:hAnsi="宋体" w:eastAsia="宋体" w:cs="宋体"/>
                <w:bCs/>
                <w:sz w:val="21"/>
                <w:szCs w:val="21"/>
                <w:highlight w:val="none"/>
                <w:lang w:val="en-US" w:eastAsia="zh-CN"/>
              </w:rPr>
              <w:t>满足《中华人民共和国政府采购法》第二十二条规定</w:t>
            </w:r>
          </w:p>
        </w:tc>
        <w:tc>
          <w:tcPr>
            <w:tcW w:w="5907" w:type="dxa"/>
            <w:tcBorders>
              <w:top w:val="single" w:color="auto" w:sz="4" w:space="0"/>
              <w:left w:val="single" w:color="auto" w:sz="4" w:space="0"/>
              <w:bottom w:val="single" w:color="auto" w:sz="4" w:space="0"/>
              <w:right w:val="single" w:color="auto" w:sz="4" w:space="0"/>
            </w:tcBorders>
            <w:noWrap w:val="0"/>
            <w:vAlign w:val="center"/>
          </w:tcPr>
          <w:p w14:paraId="36F7D2A8">
            <w:pPr>
              <w:keepNext w:val="0"/>
              <w:keepLines w:val="0"/>
              <w:suppressLineNumbers w:val="0"/>
              <w:spacing w:before="0" w:beforeAutospacing="0" w:after="0" w:afterAutospacing="0" w:line="500" w:lineRule="exact"/>
              <w:ind w:left="0" w:leftChars="0" w:right="0" w:rightChars="0"/>
              <w:jc w:val="left"/>
              <w:rPr>
                <w:rFonts w:hint="eastAsia" w:ascii="宋体" w:hAnsi="宋体" w:cs="宋体"/>
                <w:szCs w:val="21"/>
                <w:highlight w:val="none"/>
              </w:rPr>
            </w:pPr>
            <w:r>
              <w:rPr>
                <w:rFonts w:hint="eastAsia" w:ascii="宋体" w:hAnsi="宋体" w:eastAsia="宋体" w:cs="宋体"/>
                <w:sz w:val="21"/>
                <w:szCs w:val="21"/>
                <w:highlight w:val="none"/>
                <w:lang w:val="en-US" w:eastAsia="zh-CN"/>
              </w:rPr>
              <w:t>投标文件中提供资格条件承诺函。</w:t>
            </w:r>
          </w:p>
        </w:tc>
      </w:tr>
      <w:tr w14:paraId="354364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0" w:hRule="atLeast"/>
          <w:jc w:val="center"/>
        </w:trPr>
        <w:tc>
          <w:tcPr>
            <w:tcW w:w="2292" w:type="dxa"/>
            <w:tcBorders>
              <w:top w:val="single" w:color="auto" w:sz="4" w:space="0"/>
              <w:left w:val="single" w:color="auto" w:sz="4" w:space="0"/>
              <w:bottom w:val="single" w:color="auto" w:sz="4" w:space="0"/>
              <w:right w:val="single" w:color="auto" w:sz="4" w:space="0"/>
            </w:tcBorders>
            <w:noWrap w:val="0"/>
            <w:vAlign w:val="center"/>
          </w:tcPr>
          <w:p w14:paraId="6F5A2294">
            <w:pPr>
              <w:keepNext w:val="0"/>
              <w:keepLines w:val="0"/>
              <w:suppressLineNumbers w:val="0"/>
              <w:spacing w:before="0" w:beforeAutospacing="0" w:after="0" w:afterAutospacing="0" w:line="500" w:lineRule="exact"/>
              <w:ind w:left="0" w:right="0"/>
              <w:jc w:val="center"/>
              <w:rPr>
                <w:rFonts w:hint="eastAsia" w:ascii="宋体" w:hAnsi="宋体" w:cs="宋体"/>
                <w:szCs w:val="21"/>
                <w:highlight w:val="none"/>
              </w:rPr>
            </w:pPr>
            <w:r>
              <w:rPr>
                <w:rFonts w:hint="eastAsia" w:ascii="宋体" w:hAnsi="宋体" w:eastAsia="宋体" w:cs="宋体"/>
                <w:color w:val="auto"/>
                <w:sz w:val="21"/>
                <w:szCs w:val="21"/>
                <w:highlight w:val="none"/>
                <w:lang w:val="zh-CN"/>
              </w:rPr>
              <w:t>落实政府采购政策需满足的资格要求</w:t>
            </w:r>
          </w:p>
        </w:tc>
        <w:tc>
          <w:tcPr>
            <w:tcW w:w="5907" w:type="dxa"/>
            <w:tcBorders>
              <w:top w:val="single" w:color="auto" w:sz="4" w:space="0"/>
              <w:left w:val="single" w:color="auto" w:sz="4" w:space="0"/>
              <w:bottom w:val="single" w:color="auto" w:sz="4" w:space="0"/>
              <w:right w:val="single" w:color="auto" w:sz="4" w:space="0"/>
            </w:tcBorders>
            <w:noWrap w:val="0"/>
            <w:vAlign w:val="center"/>
          </w:tcPr>
          <w:p w14:paraId="6FE2EB55">
            <w:pPr>
              <w:keepNext w:val="0"/>
              <w:keepLines w:val="0"/>
              <w:suppressLineNumbers w:val="0"/>
              <w:spacing w:before="0" w:beforeAutospacing="0" w:after="0" w:afterAutospacing="0" w:line="500" w:lineRule="exact"/>
              <w:ind w:left="0" w:leftChars="0" w:right="0" w:rightChars="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本项目专门面向中小企业采购，供应商须是中小微企业，残疾人福利性单位、监狱企业视同小型、微型企业。</w:t>
            </w:r>
          </w:p>
          <w:p w14:paraId="5D939DE8">
            <w:pPr>
              <w:keepNext w:val="0"/>
              <w:keepLines w:val="0"/>
              <w:suppressLineNumbers w:val="0"/>
              <w:spacing w:before="0" w:beforeAutospacing="0" w:after="0" w:afterAutospacing="0" w:line="500" w:lineRule="exact"/>
              <w:ind w:left="0" w:leftChars="0" w:right="0" w:rightChars="0"/>
              <w:jc w:val="left"/>
              <w:rPr>
                <w:rFonts w:ascii="宋体" w:hAnsi="宋体" w:cs="宋体"/>
                <w:szCs w:val="21"/>
                <w:highlight w:val="none"/>
              </w:rPr>
            </w:pPr>
            <w:r>
              <w:rPr>
                <w:rFonts w:hint="eastAsia" w:ascii="宋体" w:hAnsi="宋体" w:eastAsia="宋体" w:cs="宋体"/>
                <w:b w:val="0"/>
                <w:bCs w:val="0"/>
                <w:color w:val="auto"/>
                <w:kern w:val="2"/>
                <w:sz w:val="22"/>
                <w:szCs w:val="22"/>
                <w:highlight w:val="none"/>
                <w:lang w:val="zh-CN" w:eastAsia="zh-CN" w:bidi="ar-SA"/>
              </w:rPr>
              <w:t>标书内附中小企业</w:t>
            </w:r>
            <w:r>
              <w:rPr>
                <w:rFonts w:hint="eastAsia" w:ascii="宋体" w:hAnsi="宋体" w:eastAsia="宋体" w:cs="宋体"/>
                <w:b w:val="0"/>
                <w:bCs w:val="0"/>
                <w:color w:val="auto"/>
                <w:kern w:val="2"/>
                <w:sz w:val="22"/>
                <w:szCs w:val="22"/>
                <w:highlight w:val="none"/>
                <w:lang w:val="en-US" w:eastAsia="zh-CN" w:bidi="ar-SA"/>
              </w:rPr>
              <w:t>声明函</w:t>
            </w:r>
            <w:r>
              <w:rPr>
                <w:rFonts w:hint="eastAsia" w:ascii="宋体" w:hAnsi="宋体" w:eastAsia="宋体" w:cs="宋体"/>
                <w:b w:val="0"/>
                <w:bCs w:val="0"/>
                <w:color w:val="auto"/>
                <w:kern w:val="2"/>
                <w:sz w:val="22"/>
                <w:szCs w:val="22"/>
                <w:highlight w:val="none"/>
                <w:lang w:val="zh-CN" w:eastAsia="zh-CN" w:bidi="ar-SA"/>
              </w:rPr>
              <w:t>复印件加盖公章</w:t>
            </w:r>
            <w:r>
              <w:rPr>
                <w:rFonts w:hint="eastAsia" w:ascii="宋体" w:hAnsi="宋体" w:cs="宋体"/>
                <w:b w:val="0"/>
                <w:bCs w:val="0"/>
                <w:color w:val="auto"/>
                <w:kern w:val="2"/>
                <w:sz w:val="22"/>
                <w:szCs w:val="22"/>
                <w:highlight w:val="none"/>
                <w:lang w:val="zh-CN" w:eastAsia="zh-CN" w:bidi="ar-SA"/>
              </w:rPr>
              <w:t>。</w:t>
            </w:r>
          </w:p>
        </w:tc>
      </w:tr>
      <w:tr w14:paraId="69D069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61" w:hRule="atLeast"/>
          <w:jc w:val="center"/>
        </w:trPr>
        <w:tc>
          <w:tcPr>
            <w:tcW w:w="2292" w:type="dxa"/>
            <w:tcBorders>
              <w:top w:val="single" w:color="auto" w:sz="4" w:space="0"/>
              <w:left w:val="single" w:color="auto" w:sz="4" w:space="0"/>
              <w:right w:val="single" w:color="auto" w:sz="4" w:space="0"/>
            </w:tcBorders>
            <w:noWrap w:val="0"/>
            <w:vAlign w:val="center"/>
          </w:tcPr>
          <w:p w14:paraId="3440ED6F">
            <w:pPr>
              <w:keepNext w:val="0"/>
              <w:keepLines w:val="0"/>
              <w:suppressLineNumbers w:val="0"/>
              <w:spacing w:before="0" w:beforeAutospacing="0" w:after="0" w:afterAutospacing="0" w:line="300" w:lineRule="auto"/>
              <w:ind w:left="0" w:right="0"/>
              <w:jc w:val="center"/>
              <w:rPr>
                <w:rFonts w:hint="eastAsia" w:ascii="宋体" w:hAnsi="宋体" w:cs="宋体"/>
                <w:szCs w:val="21"/>
                <w:highlight w:val="none"/>
              </w:rPr>
            </w:pPr>
            <w:r>
              <w:rPr>
                <w:rFonts w:hint="eastAsia" w:ascii="宋体" w:hAnsi="宋体" w:cs="宋体"/>
                <w:szCs w:val="21"/>
                <w:highlight w:val="none"/>
              </w:rPr>
              <w:t>信誉要求</w:t>
            </w:r>
          </w:p>
        </w:tc>
        <w:tc>
          <w:tcPr>
            <w:tcW w:w="5907" w:type="dxa"/>
            <w:tcBorders>
              <w:top w:val="single" w:color="auto" w:sz="4" w:space="0"/>
              <w:left w:val="single" w:color="auto" w:sz="4" w:space="0"/>
              <w:bottom w:val="single" w:color="auto" w:sz="4" w:space="0"/>
              <w:right w:val="single" w:color="auto" w:sz="4" w:space="0"/>
            </w:tcBorders>
            <w:noWrap w:val="0"/>
            <w:vAlign w:val="center"/>
          </w:tcPr>
          <w:p w14:paraId="02B13D7E">
            <w:pPr>
              <w:keepNext w:val="0"/>
              <w:keepLines w:val="0"/>
              <w:suppressLineNumbers w:val="0"/>
              <w:spacing w:before="0" w:beforeAutospacing="0" w:after="0" w:afterAutospacing="0" w:line="300" w:lineRule="auto"/>
              <w:ind w:left="0" w:right="0"/>
              <w:jc w:val="left"/>
              <w:rPr>
                <w:rFonts w:hint="eastAsia" w:ascii="宋体" w:hAnsi="宋体" w:cs="宋体"/>
                <w:bCs/>
                <w:szCs w:val="21"/>
                <w:highlight w:val="none"/>
                <w:lang w:val="zh-CN"/>
              </w:rPr>
            </w:pPr>
            <w:r>
              <w:rPr>
                <w:rFonts w:hint="eastAsia" w:ascii="宋体" w:hAnsi="宋体" w:cs="宋体"/>
                <w:bCs/>
                <w:szCs w:val="21"/>
                <w:highlight w:val="none"/>
              </w:rPr>
              <w:t>1、</w:t>
            </w:r>
            <w:r>
              <w:rPr>
                <w:rFonts w:hint="eastAsia" w:ascii="宋体" w:hAnsi="宋体" w:cs="宋体"/>
                <w:bCs/>
                <w:szCs w:val="21"/>
                <w:highlight w:val="none"/>
                <w:lang w:val="zh-CN"/>
              </w:rPr>
              <w:t>不接受被政府列入取消投标资格期间的企业或个人参加投标</w:t>
            </w:r>
            <w:r>
              <w:rPr>
                <w:rFonts w:hint="eastAsia" w:ascii="宋体" w:hAnsi="宋体" w:cs="宋体"/>
                <w:spacing w:val="-6"/>
                <w:szCs w:val="21"/>
                <w:highlight w:val="none"/>
              </w:rPr>
              <w:t>，</w:t>
            </w:r>
            <w:r>
              <w:rPr>
                <w:rFonts w:hint="eastAsia" w:ascii="宋体" w:hAnsi="宋体" w:cs="宋体"/>
                <w:bCs/>
                <w:szCs w:val="21"/>
                <w:highlight w:val="none"/>
                <w:lang w:val="zh-CN"/>
              </w:rPr>
              <w:t>参加政府采购活动前3年内在经营活动中没有重大违法记录。</w:t>
            </w:r>
          </w:p>
          <w:p w14:paraId="697E52D2">
            <w:pPr>
              <w:keepNext w:val="0"/>
              <w:keepLines w:val="0"/>
              <w:suppressLineNumbers w:val="0"/>
              <w:spacing w:before="0" w:beforeAutospacing="0" w:after="0" w:afterAutospacing="0" w:line="300" w:lineRule="auto"/>
              <w:ind w:left="0" w:right="0"/>
              <w:jc w:val="left"/>
              <w:rPr>
                <w:rFonts w:hint="eastAsia" w:ascii="宋体" w:hAnsi="宋体" w:cs="宋体"/>
                <w:szCs w:val="21"/>
                <w:highlight w:val="none"/>
                <w:lang w:val="zh-CN"/>
              </w:rPr>
            </w:pPr>
            <w:r>
              <w:rPr>
                <w:rFonts w:hint="eastAsia" w:ascii="宋体" w:hAnsi="宋体" w:cs="宋体"/>
                <w:bCs/>
                <w:szCs w:val="21"/>
                <w:highlight w:val="none"/>
              </w:rPr>
              <w:t>2、</w:t>
            </w:r>
            <w:r>
              <w:rPr>
                <w:rFonts w:hint="eastAsia" w:ascii="宋体" w:hAnsi="宋体" w:cs="宋体"/>
                <w:szCs w:val="21"/>
                <w:highlight w:val="none"/>
                <w:lang w:val="zh-CN"/>
              </w:rPr>
              <w:t>投标人在“信用中国”网（www.creditchina.gov.cn） 未列入失信被执行人和重大税收违法案件当事人名单；投标人在“中国政府采购网”（www.ccgp.gov.cn） 未列入政府采购严重违法失信行为记录名单；</w:t>
            </w:r>
          </w:p>
          <w:p w14:paraId="3E21DE4C">
            <w:pPr>
              <w:keepNext w:val="0"/>
              <w:keepLines w:val="0"/>
              <w:suppressLineNumbers w:val="0"/>
              <w:autoSpaceDE w:val="0"/>
              <w:autoSpaceDN w:val="0"/>
              <w:spacing w:before="0" w:beforeAutospacing="0" w:after="0" w:afterAutospacing="0" w:line="300" w:lineRule="auto"/>
              <w:ind w:left="0" w:leftChars="0" w:right="0" w:rightChars="0"/>
              <w:rPr>
                <w:rFonts w:hint="eastAsia" w:ascii="宋体" w:hAnsi="宋体" w:cs="宋体"/>
                <w:bCs/>
                <w:szCs w:val="21"/>
                <w:highlight w:val="none"/>
              </w:rPr>
            </w:pPr>
            <w:r>
              <w:rPr>
                <w:rFonts w:hint="eastAsia" w:ascii="宋体" w:hAnsi="宋体" w:cs="宋体"/>
                <w:bCs/>
                <w:szCs w:val="21"/>
                <w:highlight w:val="none"/>
                <w:lang w:val="zh-CN"/>
              </w:rPr>
              <w:t>标书内附加盖公章的承诺书。承诺书要求涵盖以上</w:t>
            </w:r>
            <w:r>
              <w:rPr>
                <w:rFonts w:hint="eastAsia" w:ascii="宋体" w:hAnsi="宋体" w:cs="宋体"/>
                <w:bCs/>
                <w:szCs w:val="21"/>
                <w:highlight w:val="none"/>
                <w:lang w:val="en-US" w:eastAsia="zh-CN"/>
              </w:rPr>
              <w:t>2</w:t>
            </w:r>
            <w:r>
              <w:rPr>
                <w:rFonts w:hint="eastAsia" w:ascii="宋体" w:hAnsi="宋体" w:cs="宋体"/>
                <w:bCs/>
                <w:szCs w:val="21"/>
                <w:highlight w:val="none"/>
                <w:lang w:val="zh-CN"/>
              </w:rPr>
              <w:t>点全部内容。不符合要求的承诺书，否决投标。</w:t>
            </w:r>
          </w:p>
        </w:tc>
      </w:tr>
      <w:tr w14:paraId="3F24B7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2292" w:type="dxa"/>
            <w:tcBorders>
              <w:top w:val="single" w:color="auto" w:sz="4" w:space="0"/>
              <w:left w:val="single" w:color="auto" w:sz="4" w:space="0"/>
              <w:right w:val="single" w:color="auto" w:sz="4" w:space="0"/>
            </w:tcBorders>
            <w:noWrap w:val="0"/>
            <w:vAlign w:val="center"/>
          </w:tcPr>
          <w:p w14:paraId="23D55B10">
            <w:pPr>
              <w:keepNext w:val="0"/>
              <w:keepLines w:val="0"/>
              <w:suppressLineNumbers w:val="0"/>
              <w:spacing w:before="0" w:beforeAutospacing="0" w:after="0" w:afterAutospacing="0" w:line="300" w:lineRule="auto"/>
              <w:ind w:left="0" w:right="0"/>
              <w:jc w:val="center"/>
              <w:rPr>
                <w:rFonts w:hint="eastAsia" w:ascii="宋体" w:hAnsi="宋体" w:cs="宋体"/>
                <w:color w:val="000000"/>
                <w:szCs w:val="21"/>
                <w:highlight w:val="none"/>
              </w:rPr>
            </w:pPr>
            <w:r>
              <w:rPr>
                <w:rFonts w:hint="eastAsia" w:ascii="宋体" w:hAnsi="宋体" w:cs="宋体"/>
                <w:color w:val="000000"/>
                <w:szCs w:val="21"/>
                <w:highlight w:val="none"/>
              </w:rPr>
              <w:t>财务、税收、社保要求</w:t>
            </w:r>
          </w:p>
        </w:tc>
        <w:tc>
          <w:tcPr>
            <w:tcW w:w="5907" w:type="dxa"/>
            <w:tcBorders>
              <w:top w:val="single" w:color="auto" w:sz="4" w:space="0"/>
              <w:left w:val="single" w:color="auto" w:sz="4" w:space="0"/>
              <w:bottom w:val="single" w:color="auto" w:sz="4" w:space="0"/>
              <w:right w:val="single" w:color="auto" w:sz="4" w:space="0"/>
            </w:tcBorders>
            <w:noWrap w:val="0"/>
            <w:vAlign w:val="center"/>
          </w:tcPr>
          <w:p w14:paraId="62F09811">
            <w:pPr>
              <w:keepNext w:val="0"/>
              <w:keepLines w:val="0"/>
              <w:suppressLineNumbers w:val="0"/>
              <w:autoSpaceDE w:val="0"/>
              <w:autoSpaceDN w:val="0"/>
              <w:spacing w:before="0" w:beforeAutospacing="0" w:after="0" w:afterAutospacing="0" w:line="300" w:lineRule="auto"/>
              <w:ind w:left="0" w:leftChars="0" w:right="0" w:rightChars="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投标人参加采购活动应当提交反映其财务状况、依法缴纳税收和社保保障资金情况的资格条件承诺函。响应文件内附资格条件承诺函，</w:t>
            </w:r>
            <w:r>
              <w:rPr>
                <w:rFonts w:hint="eastAsia" w:ascii="宋体" w:hAnsi="宋体" w:cs="宋体"/>
                <w:bCs/>
                <w:color w:val="000000"/>
                <w:szCs w:val="21"/>
                <w:highlight w:val="none"/>
              </w:rPr>
              <w:t>法定代表人</w:t>
            </w:r>
            <w:r>
              <w:rPr>
                <w:rFonts w:hint="eastAsia" w:ascii="宋体" w:hAnsi="宋体" w:cs="宋体"/>
                <w:bCs/>
                <w:color w:val="000000"/>
                <w:szCs w:val="21"/>
                <w:highlight w:val="none"/>
                <w:lang w:val="zh-CN"/>
              </w:rPr>
              <w:t>签字并加盖公章。</w:t>
            </w:r>
          </w:p>
        </w:tc>
      </w:tr>
      <w:tr w14:paraId="6FB3AA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81" w:hRule="atLeast"/>
          <w:jc w:val="center"/>
        </w:trPr>
        <w:tc>
          <w:tcPr>
            <w:tcW w:w="2292" w:type="dxa"/>
            <w:tcBorders>
              <w:top w:val="single" w:color="auto" w:sz="4" w:space="0"/>
              <w:left w:val="single" w:color="auto" w:sz="4" w:space="0"/>
              <w:bottom w:val="single" w:color="auto" w:sz="4" w:space="0"/>
              <w:right w:val="single" w:color="auto" w:sz="4" w:space="0"/>
            </w:tcBorders>
            <w:noWrap w:val="0"/>
            <w:vAlign w:val="center"/>
          </w:tcPr>
          <w:p w14:paraId="7687868E">
            <w:pPr>
              <w:keepNext w:val="0"/>
              <w:keepLines w:val="0"/>
              <w:suppressLineNumbers w:val="0"/>
              <w:spacing w:before="0" w:beforeAutospacing="0" w:after="0" w:afterAutospacing="0" w:line="300" w:lineRule="auto"/>
              <w:ind w:left="0" w:right="0"/>
              <w:jc w:val="center"/>
              <w:rPr>
                <w:rFonts w:hint="eastAsia" w:ascii="宋体" w:hAnsi="宋体" w:cs="宋体"/>
                <w:szCs w:val="21"/>
                <w:highlight w:val="none"/>
              </w:rPr>
            </w:pPr>
            <w:r>
              <w:rPr>
                <w:rFonts w:hint="eastAsia" w:ascii="宋体" w:hAnsi="宋体" w:cs="宋体"/>
                <w:szCs w:val="21"/>
                <w:highlight w:val="none"/>
              </w:rPr>
              <w:t>其他要求</w:t>
            </w:r>
          </w:p>
        </w:tc>
        <w:tc>
          <w:tcPr>
            <w:tcW w:w="5907" w:type="dxa"/>
            <w:tcBorders>
              <w:top w:val="single" w:color="auto" w:sz="4" w:space="0"/>
              <w:left w:val="single" w:color="auto" w:sz="4" w:space="0"/>
              <w:bottom w:val="single" w:color="auto" w:sz="4" w:space="0"/>
              <w:right w:val="single" w:color="auto" w:sz="4" w:space="0"/>
            </w:tcBorders>
            <w:noWrap w:val="0"/>
            <w:vAlign w:val="center"/>
          </w:tcPr>
          <w:p w14:paraId="1E9AD612">
            <w:pPr>
              <w:keepNext w:val="0"/>
              <w:keepLines w:val="0"/>
              <w:suppressLineNumbers w:val="0"/>
              <w:autoSpaceDE w:val="0"/>
              <w:autoSpaceDN w:val="0"/>
              <w:spacing w:before="0" w:beforeAutospacing="0" w:after="0" w:afterAutospacing="0" w:line="300" w:lineRule="auto"/>
              <w:ind w:left="0" w:leftChars="0" w:right="0" w:rightChars="0"/>
              <w:rPr>
                <w:rFonts w:hint="eastAsia" w:ascii="宋体" w:hAnsi="宋体" w:cs="宋体"/>
                <w:szCs w:val="21"/>
                <w:highlight w:val="none"/>
              </w:rPr>
            </w:pPr>
            <w:r>
              <w:rPr>
                <w:rFonts w:hint="eastAsia" w:ascii="宋体" w:hAnsi="宋体" w:cs="宋体"/>
                <w:szCs w:val="21"/>
                <w:highlight w:val="none"/>
              </w:rPr>
              <w:t>与采购人存在利害关系可能影响招标公正性的法人、其他组织或者个人，不得参加投标。单位负责人为同一人或者存在控股、管理关系的不同单位，不得参加同一标段投标或者未划分标段的同一招标项目投标。</w:t>
            </w:r>
            <w:r>
              <w:rPr>
                <w:rFonts w:hint="eastAsia" w:ascii="宋体" w:hAnsi="宋体" w:cs="宋体"/>
                <w:bCs/>
                <w:szCs w:val="21"/>
                <w:highlight w:val="none"/>
                <w:lang w:val="zh-CN"/>
              </w:rPr>
              <w:t>标书内附加盖公章的承诺书。</w:t>
            </w:r>
          </w:p>
        </w:tc>
      </w:tr>
    </w:tbl>
    <w:p w14:paraId="75DEFE70">
      <w:pPr>
        <w:autoSpaceDE w:val="0"/>
        <w:autoSpaceDN w:val="0"/>
        <w:adjustRightInd w:val="0"/>
        <w:spacing w:line="440" w:lineRule="exact"/>
        <w:jc w:val="left"/>
        <w:rPr>
          <w:rFonts w:hint="eastAsia" w:ascii="宋体" w:hAnsi="宋体" w:cs="宋体"/>
          <w:kern w:val="0"/>
          <w:szCs w:val="21"/>
          <w:highlight w:val="none"/>
        </w:rPr>
      </w:pPr>
    </w:p>
    <w:p w14:paraId="07F2FA3D">
      <w:pPr>
        <w:jc w:val="center"/>
        <w:rPr>
          <w:rFonts w:hint="eastAsia" w:ascii="宋体" w:hAnsi="宋体" w:cs="宋体"/>
          <w:sz w:val="28"/>
          <w:szCs w:val="28"/>
          <w:highlight w:val="none"/>
        </w:rPr>
      </w:pPr>
      <w:r>
        <w:rPr>
          <w:rFonts w:hint="eastAsia" w:ascii="宋体" w:hAnsi="宋体" w:cs="宋体"/>
          <w:highlight w:val="none"/>
        </w:rPr>
        <w:br w:type="page"/>
      </w:r>
      <w:bookmarkEnd w:id="50"/>
      <w:bookmarkEnd w:id="51"/>
      <w:bookmarkEnd w:id="52"/>
      <w:bookmarkEnd w:id="53"/>
      <w:bookmarkEnd w:id="54"/>
      <w:bookmarkEnd w:id="55"/>
      <w:bookmarkEnd w:id="56"/>
      <w:bookmarkEnd w:id="57"/>
      <w:bookmarkEnd w:id="58"/>
      <w:bookmarkEnd w:id="59"/>
      <w:r>
        <w:rPr>
          <w:rFonts w:hint="eastAsia" w:ascii="宋体" w:hAnsi="宋体" w:cs="宋体"/>
          <w:highlight w:val="none"/>
        </w:rPr>
        <w:t>符合性审查</w:t>
      </w:r>
      <w:r>
        <w:rPr>
          <w:rFonts w:hint="eastAsia" w:ascii="宋体" w:hAnsi="宋体" w:cs="宋体"/>
          <w:b/>
          <w:bCs/>
          <w:szCs w:val="21"/>
          <w:highlight w:val="none"/>
        </w:rPr>
        <w:t>（二）</w:t>
      </w:r>
    </w:p>
    <w:p w14:paraId="0EA91F5D">
      <w:pPr>
        <w:rPr>
          <w:rFonts w:hint="eastAsia" w:ascii="宋体" w:hAnsi="宋体" w:cs="宋体"/>
          <w:highlight w:val="none"/>
        </w:rPr>
      </w:pPr>
    </w:p>
    <w:tbl>
      <w:tblPr>
        <w:tblStyle w:val="38"/>
        <w:tblW w:w="83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39"/>
        <w:gridCol w:w="5940"/>
      </w:tblGrid>
      <w:tr w14:paraId="52D448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359" w:hRule="atLeast"/>
          <w:tblHeader/>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1F688F6D">
            <w:pPr>
              <w:keepNext w:val="0"/>
              <w:keepLines w:val="0"/>
              <w:suppressLineNumbers w:val="0"/>
              <w:spacing w:before="0" w:beforeAutospacing="0" w:after="0" w:afterAutospacing="0" w:line="300" w:lineRule="auto"/>
              <w:ind w:left="0" w:right="0"/>
              <w:jc w:val="both"/>
              <w:rPr>
                <w:rFonts w:hint="eastAsia" w:ascii="宋体" w:hAnsi="宋体" w:cs="宋体"/>
                <w:b/>
                <w:szCs w:val="21"/>
                <w:highlight w:val="none"/>
              </w:rPr>
            </w:pPr>
            <w:r>
              <w:rPr>
                <w:rFonts w:hint="eastAsia" w:ascii="宋体" w:hAnsi="宋体" w:cs="宋体"/>
                <w:b/>
                <w:szCs w:val="21"/>
                <w:highlight w:val="none"/>
              </w:rPr>
              <w:t>评审因素</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649CFF2F">
            <w:pPr>
              <w:keepNext w:val="0"/>
              <w:keepLines w:val="0"/>
              <w:suppressLineNumbers w:val="0"/>
              <w:spacing w:before="0" w:beforeAutospacing="0" w:after="0" w:afterAutospacing="0" w:line="300" w:lineRule="auto"/>
              <w:ind w:left="0" w:right="0"/>
              <w:jc w:val="both"/>
              <w:rPr>
                <w:rFonts w:hint="eastAsia" w:ascii="宋体" w:hAnsi="宋体" w:cs="宋体"/>
                <w:b/>
                <w:szCs w:val="21"/>
                <w:highlight w:val="none"/>
              </w:rPr>
            </w:pPr>
            <w:r>
              <w:rPr>
                <w:rFonts w:hint="eastAsia" w:ascii="宋体" w:hAnsi="宋体" w:cs="宋体"/>
                <w:b/>
                <w:szCs w:val="21"/>
                <w:highlight w:val="none"/>
              </w:rPr>
              <w:t>评审标准</w:t>
            </w:r>
          </w:p>
        </w:tc>
      </w:tr>
      <w:tr w14:paraId="559EB3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8"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72613116">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投标人名称</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0387E458">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与营业执照一致。</w:t>
            </w:r>
          </w:p>
        </w:tc>
      </w:tr>
      <w:tr w14:paraId="507D43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7484896E">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投标文件签字盖章</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11610455">
            <w:pPr>
              <w:keepNext w:val="0"/>
              <w:keepLines w:val="0"/>
              <w:suppressLineNumbers w:val="0"/>
              <w:spacing w:before="0" w:beforeAutospacing="0" w:after="0" w:afterAutospacing="0" w:line="300" w:lineRule="auto"/>
              <w:ind w:left="0" w:right="0"/>
              <w:jc w:val="both"/>
              <w:rPr>
                <w:rFonts w:hint="eastAsia" w:ascii="宋体" w:hAnsi="宋体" w:eastAsia="宋体" w:cs="宋体"/>
                <w:szCs w:val="21"/>
                <w:highlight w:val="none"/>
                <w:lang w:eastAsia="zh-CN"/>
              </w:rPr>
            </w:pPr>
            <w:r>
              <w:rPr>
                <w:rFonts w:hint="eastAsia" w:ascii="宋体" w:hAnsi="宋体" w:cs="宋体"/>
                <w:szCs w:val="21"/>
                <w:highlight w:val="none"/>
              </w:rPr>
              <w:t>严格按照招标文件的要求，不符合予以废标</w:t>
            </w:r>
            <w:r>
              <w:rPr>
                <w:rFonts w:hint="eastAsia" w:ascii="宋体" w:hAnsi="宋体" w:cs="宋体"/>
                <w:szCs w:val="21"/>
                <w:highlight w:val="none"/>
                <w:lang w:eastAsia="zh-CN"/>
              </w:rPr>
              <w:t>。</w:t>
            </w:r>
          </w:p>
        </w:tc>
      </w:tr>
      <w:tr w14:paraId="7DAF2F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7"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39B4AC56">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投标文件格式</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582B5AC7">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符合 “招标文件格式”的要求。</w:t>
            </w:r>
          </w:p>
        </w:tc>
      </w:tr>
      <w:tr w14:paraId="5C6A8C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0"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2CFBADC1">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投标报价</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7A0ABDF3">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只能有一个有效报价且不超过采购预算。</w:t>
            </w:r>
          </w:p>
        </w:tc>
      </w:tr>
      <w:tr w14:paraId="7F8ECE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08C34979">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合同履行期限</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0F49665C">
            <w:pPr>
              <w:keepNext w:val="0"/>
              <w:keepLines w:val="0"/>
              <w:suppressLineNumbers w:val="0"/>
              <w:spacing w:before="0" w:beforeAutospacing="0" w:after="0" w:afterAutospacing="0" w:line="300" w:lineRule="auto"/>
              <w:ind w:left="0" w:right="0"/>
              <w:jc w:val="both"/>
              <w:rPr>
                <w:rFonts w:hint="eastAsia" w:ascii="宋体" w:hAnsi="宋体" w:eastAsia="宋体" w:cs="宋体"/>
                <w:szCs w:val="21"/>
                <w:highlight w:val="none"/>
                <w:lang w:eastAsia="zh-CN"/>
              </w:rPr>
            </w:pPr>
            <w:r>
              <w:rPr>
                <w:rFonts w:hint="eastAsia" w:ascii="宋体" w:hAnsi="宋体" w:cs="宋体"/>
                <w:szCs w:val="21"/>
                <w:highlight w:val="none"/>
              </w:rPr>
              <w:t>自合同签订之日起一年</w:t>
            </w:r>
            <w:r>
              <w:rPr>
                <w:rFonts w:hint="eastAsia" w:ascii="宋体" w:hAnsi="宋体" w:cs="宋体"/>
                <w:szCs w:val="21"/>
                <w:highlight w:val="none"/>
                <w:lang w:eastAsia="zh-CN"/>
              </w:rPr>
              <w:t>。</w:t>
            </w:r>
          </w:p>
        </w:tc>
      </w:tr>
      <w:tr w14:paraId="0C2815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6"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6C5DA383">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服务质量</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1D1E430F">
            <w:pPr>
              <w:keepNext w:val="0"/>
              <w:keepLines w:val="0"/>
              <w:suppressLineNumbers w:val="0"/>
              <w:spacing w:before="0" w:beforeAutospacing="0" w:after="0" w:afterAutospacing="0" w:line="300" w:lineRule="auto"/>
              <w:ind w:left="0" w:right="0"/>
              <w:jc w:val="both"/>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绿化养护一级标准</w:t>
            </w:r>
          </w:p>
        </w:tc>
      </w:tr>
      <w:tr w14:paraId="315658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9"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1A5DE420">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投标有效期</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405DBBAE">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90天。</w:t>
            </w:r>
          </w:p>
        </w:tc>
      </w:tr>
      <w:tr w14:paraId="35ABB1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9"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2F17E5F2">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采购需求</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16722A61">
            <w:pPr>
              <w:keepNext w:val="0"/>
              <w:keepLines w:val="0"/>
              <w:suppressLineNumbers w:val="0"/>
              <w:spacing w:before="0" w:beforeAutospacing="0" w:after="0" w:afterAutospacing="0" w:line="300" w:lineRule="auto"/>
              <w:ind w:left="0" w:right="0"/>
              <w:jc w:val="both"/>
              <w:rPr>
                <w:rFonts w:hint="eastAsia" w:ascii="宋体" w:hAnsi="宋体" w:eastAsia="宋体" w:cs="宋体"/>
                <w:szCs w:val="21"/>
                <w:highlight w:val="none"/>
                <w:lang w:eastAsia="zh-CN"/>
              </w:rPr>
            </w:pPr>
            <w:r>
              <w:rPr>
                <w:rFonts w:hint="eastAsia" w:ascii="宋体" w:hAnsi="宋体" w:cs="宋体"/>
                <w:szCs w:val="21"/>
                <w:highlight w:val="none"/>
              </w:rPr>
              <w:t>满足采购需求</w:t>
            </w:r>
            <w:r>
              <w:rPr>
                <w:rFonts w:hint="eastAsia" w:ascii="宋体" w:hAnsi="宋体" w:cs="宋体"/>
                <w:szCs w:val="21"/>
                <w:highlight w:val="none"/>
                <w:lang w:eastAsia="zh-CN"/>
              </w:rPr>
              <w:t>。</w:t>
            </w:r>
          </w:p>
        </w:tc>
      </w:tr>
      <w:tr w14:paraId="3B2C5C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9"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23CF72F1">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联合体</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4E09D69A">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不是联合体投标</w:t>
            </w:r>
          </w:p>
        </w:tc>
      </w:tr>
      <w:tr w14:paraId="03270D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70"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14:paraId="699659F1">
            <w:pPr>
              <w:keepNext w:val="0"/>
              <w:keepLines w:val="0"/>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其他</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799C5D3B">
            <w:pPr>
              <w:keepNext w:val="0"/>
              <w:keepLines w:val="0"/>
              <w:numPr>
                <w:ilvl w:val="0"/>
                <w:numId w:val="4"/>
              </w:numPr>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是否存在拒绝修正投标报价算术错误的情形；</w:t>
            </w:r>
          </w:p>
          <w:p w14:paraId="7B96FF9C">
            <w:pPr>
              <w:keepNext w:val="0"/>
              <w:keepLines w:val="0"/>
              <w:numPr>
                <w:ilvl w:val="0"/>
                <w:numId w:val="4"/>
              </w:numPr>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是否存在拒按评标委员会要求澄清、说明或纠正的情形；</w:t>
            </w:r>
          </w:p>
          <w:p w14:paraId="003CB283">
            <w:pPr>
              <w:keepNext w:val="0"/>
              <w:keepLines w:val="0"/>
              <w:numPr>
                <w:ilvl w:val="0"/>
                <w:numId w:val="4"/>
              </w:numPr>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是否有串通投标、弄虚作假或行贿等违法行为；</w:t>
            </w:r>
          </w:p>
          <w:p w14:paraId="5541AE68">
            <w:pPr>
              <w:keepNext w:val="0"/>
              <w:keepLines w:val="0"/>
              <w:numPr>
                <w:ilvl w:val="0"/>
                <w:numId w:val="4"/>
              </w:numPr>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是否有其他不符合法律法规和招标文件中规定予以否决的情形；</w:t>
            </w:r>
          </w:p>
          <w:p w14:paraId="0F577B6D">
            <w:pPr>
              <w:keepNext w:val="0"/>
              <w:keepLines w:val="0"/>
              <w:numPr>
                <w:ilvl w:val="0"/>
                <w:numId w:val="4"/>
              </w:numPr>
              <w:suppressLineNumbers w:val="0"/>
              <w:spacing w:before="0" w:beforeAutospacing="0" w:after="0" w:afterAutospacing="0" w:line="300" w:lineRule="auto"/>
              <w:ind w:left="0" w:right="0"/>
              <w:jc w:val="both"/>
              <w:rPr>
                <w:rFonts w:hint="eastAsia" w:ascii="宋体" w:hAnsi="宋体" w:cs="宋体"/>
                <w:szCs w:val="21"/>
                <w:highlight w:val="none"/>
              </w:rPr>
            </w:pPr>
            <w:r>
              <w:rPr>
                <w:rFonts w:hint="eastAsia" w:ascii="宋体" w:hAnsi="宋体" w:cs="宋体"/>
                <w:szCs w:val="21"/>
                <w:highlight w:val="none"/>
              </w:rPr>
              <w:t>法律法规及招标文件规定的其他要求。</w:t>
            </w:r>
          </w:p>
        </w:tc>
      </w:tr>
    </w:tbl>
    <w:p w14:paraId="10E97BC8">
      <w:pPr>
        <w:pStyle w:val="73"/>
        <w:rPr>
          <w:rFonts w:hint="eastAsia" w:eastAsia="宋体"/>
          <w:highlight w:val="none"/>
        </w:rPr>
      </w:pPr>
    </w:p>
    <w:p w14:paraId="26647947">
      <w:pPr>
        <w:autoSpaceDE w:val="0"/>
        <w:autoSpaceDN w:val="0"/>
        <w:adjustRightInd w:val="0"/>
        <w:spacing w:line="540" w:lineRule="exact"/>
        <w:jc w:val="left"/>
        <w:rPr>
          <w:rFonts w:hint="eastAsia" w:ascii="宋体" w:hAnsi="宋体" w:cs="宋体"/>
          <w:szCs w:val="21"/>
          <w:highlight w:val="none"/>
        </w:rPr>
      </w:pPr>
      <w:r>
        <w:rPr>
          <w:rFonts w:hint="eastAsia" w:ascii="宋体" w:hAnsi="宋体" w:cs="宋体"/>
          <w:b/>
          <w:color w:val="000000"/>
          <w:szCs w:val="21"/>
          <w:highlight w:val="none"/>
        </w:rPr>
        <w:t>以上两项审查方式方法以政采云平台电子评标系统为准</w:t>
      </w:r>
    </w:p>
    <w:p w14:paraId="23BF8A52">
      <w:pPr>
        <w:pStyle w:val="2"/>
        <w:rPr>
          <w:rFonts w:hint="eastAsia"/>
          <w:highlight w:val="none"/>
        </w:rPr>
      </w:pPr>
    </w:p>
    <w:p w14:paraId="1D0D74D2">
      <w:pPr>
        <w:autoSpaceDE w:val="0"/>
        <w:autoSpaceDN w:val="0"/>
        <w:adjustRightInd w:val="0"/>
        <w:spacing w:line="400" w:lineRule="exact"/>
        <w:rPr>
          <w:rFonts w:hint="eastAsia" w:ascii="宋体" w:hAnsi="宋体" w:cs="宋体"/>
          <w:b/>
          <w:color w:val="000000"/>
          <w:sz w:val="24"/>
          <w:highlight w:val="none"/>
        </w:rPr>
      </w:pPr>
    </w:p>
    <w:p w14:paraId="29AFCE72">
      <w:pPr>
        <w:autoSpaceDE w:val="0"/>
        <w:autoSpaceDN w:val="0"/>
        <w:adjustRightInd w:val="0"/>
        <w:spacing w:line="400" w:lineRule="exact"/>
        <w:jc w:val="center"/>
        <w:rPr>
          <w:rFonts w:hint="eastAsia" w:ascii="宋体" w:hAnsi="宋体" w:cs="宋体"/>
          <w:b/>
          <w:color w:val="000000"/>
          <w:sz w:val="24"/>
          <w:highlight w:val="none"/>
        </w:rPr>
      </w:pPr>
    </w:p>
    <w:p w14:paraId="5EEBBF94">
      <w:pPr>
        <w:autoSpaceDE w:val="0"/>
        <w:autoSpaceDN w:val="0"/>
        <w:adjustRightInd w:val="0"/>
        <w:spacing w:line="400" w:lineRule="exact"/>
        <w:jc w:val="center"/>
        <w:rPr>
          <w:rFonts w:hint="eastAsia" w:ascii="宋体" w:hAnsi="宋体" w:cs="宋体"/>
          <w:b/>
          <w:color w:val="000000"/>
          <w:sz w:val="24"/>
          <w:highlight w:val="none"/>
        </w:rPr>
      </w:pPr>
    </w:p>
    <w:p w14:paraId="5112D6C8">
      <w:pPr>
        <w:autoSpaceDE w:val="0"/>
        <w:autoSpaceDN w:val="0"/>
        <w:adjustRightInd w:val="0"/>
        <w:spacing w:line="400" w:lineRule="exact"/>
        <w:jc w:val="center"/>
        <w:rPr>
          <w:rFonts w:hint="eastAsia" w:ascii="宋体" w:hAnsi="宋体" w:cs="宋体"/>
          <w:b/>
          <w:color w:val="000000"/>
          <w:sz w:val="24"/>
          <w:highlight w:val="none"/>
        </w:rPr>
      </w:pPr>
    </w:p>
    <w:p w14:paraId="5D912329">
      <w:pPr>
        <w:autoSpaceDE w:val="0"/>
        <w:autoSpaceDN w:val="0"/>
        <w:adjustRightInd w:val="0"/>
        <w:spacing w:line="400" w:lineRule="exact"/>
        <w:jc w:val="center"/>
        <w:rPr>
          <w:rFonts w:hint="eastAsia" w:ascii="宋体" w:hAnsi="宋体" w:cs="宋体"/>
          <w:b/>
          <w:color w:val="000000"/>
          <w:sz w:val="24"/>
          <w:highlight w:val="none"/>
        </w:rPr>
      </w:pPr>
    </w:p>
    <w:p w14:paraId="5D7ADE71">
      <w:pPr>
        <w:pStyle w:val="37"/>
        <w:rPr>
          <w:rFonts w:hint="eastAsia" w:ascii="宋体" w:hAnsi="宋体" w:cs="宋体"/>
          <w:b/>
          <w:color w:val="000000"/>
          <w:sz w:val="24"/>
          <w:highlight w:val="none"/>
        </w:rPr>
      </w:pPr>
    </w:p>
    <w:p w14:paraId="2CF6F03E">
      <w:pPr>
        <w:rPr>
          <w:rFonts w:hint="eastAsia" w:ascii="宋体" w:hAnsi="宋体" w:cs="宋体"/>
          <w:b/>
          <w:color w:val="000000"/>
          <w:sz w:val="24"/>
          <w:highlight w:val="none"/>
        </w:rPr>
      </w:pPr>
    </w:p>
    <w:p w14:paraId="56D5D20F">
      <w:pPr>
        <w:pStyle w:val="37"/>
        <w:rPr>
          <w:rFonts w:hint="eastAsia" w:ascii="宋体" w:hAnsi="宋体" w:cs="宋体"/>
          <w:b/>
          <w:color w:val="000000"/>
          <w:sz w:val="24"/>
          <w:highlight w:val="none"/>
        </w:rPr>
      </w:pPr>
    </w:p>
    <w:p w14:paraId="41006C43">
      <w:pPr>
        <w:rPr>
          <w:rFonts w:hint="eastAsia" w:ascii="宋体" w:hAnsi="宋体" w:cs="宋体"/>
          <w:b/>
          <w:color w:val="000000"/>
          <w:sz w:val="24"/>
          <w:highlight w:val="none"/>
        </w:rPr>
      </w:pPr>
    </w:p>
    <w:p w14:paraId="2B2B3312">
      <w:pPr>
        <w:pStyle w:val="37"/>
        <w:rPr>
          <w:rFonts w:hint="eastAsia" w:ascii="宋体" w:hAnsi="宋体" w:cs="宋体"/>
          <w:b/>
          <w:color w:val="000000"/>
          <w:sz w:val="24"/>
          <w:highlight w:val="none"/>
        </w:rPr>
      </w:pPr>
    </w:p>
    <w:p w14:paraId="2DF7B48E">
      <w:pPr>
        <w:rPr>
          <w:rFonts w:hint="eastAsia" w:ascii="宋体" w:hAnsi="宋体" w:cs="宋体"/>
          <w:b/>
          <w:color w:val="000000"/>
          <w:sz w:val="24"/>
          <w:highlight w:val="none"/>
        </w:rPr>
      </w:pPr>
    </w:p>
    <w:p w14:paraId="6AB92ECC">
      <w:pPr>
        <w:pStyle w:val="37"/>
        <w:rPr>
          <w:rFonts w:hint="eastAsia"/>
          <w:highlight w:val="none"/>
        </w:rPr>
      </w:pPr>
    </w:p>
    <w:p w14:paraId="0CFAF94E">
      <w:pPr>
        <w:autoSpaceDE w:val="0"/>
        <w:autoSpaceDN w:val="0"/>
        <w:adjustRightInd w:val="0"/>
        <w:spacing w:line="400" w:lineRule="exact"/>
        <w:jc w:val="center"/>
        <w:rPr>
          <w:rFonts w:hint="eastAsia" w:ascii="宋体" w:hAnsi="宋体" w:cs="宋体"/>
          <w:b/>
          <w:color w:val="000000"/>
          <w:sz w:val="24"/>
          <w:highlight w:val="none"/>
        </w:rPr>
      </w:pPr>
    </w:p>
    <w:p w14:paraId="2A86CDFC">
      <w:pPr>
        <w:autoSpaceDE w:val="0"/>
        <w:autoSpaceDN w:val="0"/>
        <w:adjustRightInd w:val="0"/>
        <w:spacing w:line="400" w:lineRule="exact"/>
        <w:rPr>
          <w:rFonts w:hint="eastAsia" w:ascii="宋体" w:hAnsi="宋体" w:cs="宋体"/>
          <w:b/>
          <w:color w:val="000000"/>
          <w:sz w:val="24"/>
          <w:highlight w:val="none"/>
        </w:rPr>
      </w:pPr>
    </w:p>
    <w:p w14:paraId="2009FC0F">
      <w:pPr>
        <w:autoSpaceDE w:val="0"/>
        <w:autoSpaceDN w:val="0"/>
        <w:adjustRightInd w:val="0"/>
        <w:spacing w:line="400" w:lineRule="exact"/>
        <w:jc w:val="center"/>
        <w:rPr>
          <w:rFonts w:hint="eastAsia" w:ascii="宋体" w:hAnsi="宋体" w:cs="宋体"/>
          <w:b/>
          <w:color w:val="000000"/>
          <w:sz w:val="24"/>
          <w:highlight w:val="none"/>
        </w:rPr>
      </w:pPr>
      <w:r>
        <w:rPr>
          <w:rFonts w:hint="eastAsia" w:ascii="宋体" w:hAnsi="宋体" w:cs="宋体"/>
          <w:b/>
          <w:color w:val="000000"/>
          <w:sz w:val="24"/>
          <w:highlight w:val="none"/>
        </w:rPr>
        <w:t>评标办法前附表（二）</w:t>
      </w:r>
    </w:p>
    <w:tbl>
      <w:tblPr>
        <w:tblStyle w:val="38"/>
        <w:tblW w:w="8931"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43"/>
        <w:gridCol w:w="4580"/>
        <w:gridCol w:w="615"/>
        <w:gridCol w:w="1042"/>
      </w:tblGrid>
      <w:tr w14:paraId="4371A0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8" w:space="0"/>
              <w:left w:val="single" w:color="auto" w:sz="8" w:space="0"/>
              <w:bottom w:val="single" w:color="auto" w:sz="4" w:space="0"/>
              <w:right w:val="single" w:color="auto" w:sz="4" w:space="0"/>
            </w:tcBorders>
            <w:noWrap w:val="0"/>
            <w:vAlign w:val="center"/>
          </w:tcPr>
          <w:p w14:paraId="6659D90F">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序号</w:t>
            </w:r>
          </w:p>
        </w:tc>
        <w:tc>
          <w:tcPr>
            <w:tcW w:w="1843" w:type="dxa"/>
            <w:tcBorders>
              <w:top w:val="single" w:color="auto" w:sz="8" w:space="0"/>
              <w:left w:val="single" w:color="auto" w:sz="4" w:space="0"/>
              <w:bottom w:val="single" w:color="auto" w:sz="4" w:space="0"/>
              <w:right w:val="single" w:color="auto" w:sz="4" w:space="0"/>
            </w:tcBorders>
            <w:noWrap w:val="0"/>
            <w:vAlign w:val="center"/>
          </w:tcPr>
          <w:p w14:paraId="2D802417">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评审因素</w:t>
            </w:r>
          </w:p>
        </w:tc>
        <w:tc>
          <w:tcPr>
            <w:tcW w:w="4580" w:type="dxa"/>
            <w:tcBorders>
              <w:top w:val="single" w:color="auto" w:sz="8" w:space="0"/>
              <w:left w:val="single" w:color="auto" w:sz="4" w:space="0"/>
              <w:bottom w:val="single" w:color="auto" w:sz="4" w:space="0"/>
              <w:right w:val="single" w:color="auto" w:sz="4" w:space="0"/>
            </w:tcBorders>
            <w:noWrap w:val="0"/>
            <w:vAlign w:val="center"/>
          </w:tcPr>
          <w:p w14:paraId="694DE9C6">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评分标准</w:t>
            </w:r>
          </w:p>
        </w:tc>
        <w:tc>
          <w:tcPr>
            <w:tcW w:w="615" w:type="dxa"/>
            <w:tcBorders>
              <w:top w:val="single" w:color="auto" w:sz="8" w:space="0"/>
              <w:left w:val="single" w:color="auto" w:sz="4" w:space="0"/>
              <w:bottom w:val="single" w:color="auto" w:sz="4" w:space="0"/>
              <w:right w:val="single" w:color="auto" w:sz="4" w:space="0"/>
            </w:tcBorders>
            <w:noWrap w:val="0"/>
            <w:vAlign w:val="center"/>
          </w:tcPr>
          <w:p w14:paraId="7974743F">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分值</w:t>
            </w:r>
          </w:p>
        </w:tc>
        <w:tc>
          <w:tcPr>
            <w:tcW w:w="1042" w:type="dxa"/>
            <w:tcBorders>
              <w:top w:val="single" w:color="auto" w:sz="8" w:space="0"/>
              <w:left w:val="single" w:color="auto" w:sz="4" w:space="0"/>
              <w:bottom w:val="single" w:color="auto" w:sz="4" w:space="0"/>
              <w:right w:val="single" w:color="auto" w:sz="8" w:space="0"/>
            </w:tcBorders>
            <w:noWrap w:val="0"/>
            <w:vAlign w:val="center"/>
          </w:tcPr>
          <w:p w14:paraId="3A5BACB4">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主、客观项</w:t>
            </w:r>
          </w:p>
        </w:tc>
      </w:tr>
      <w:tr w14:paraId="45EA21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31" w:type="dxa"/>
            <w:gridSpan w:val="5"/>
            <w:tcBorders>
              <w:top w:val="single" w:color="auto" w:sz="4" w:space="0"/>
              <w:left w:val="single" w:color="auto" w:sz="8" w:space="0"/>
              <w:bottom w:val="single" w:color="auto" w:sz="4" w:space="0"/>
              <w:right w:val="single" w:color="auto" w:sz="8" w:space="0"/>
            </w:tcBorders>
            <w:noWrap w:val="0"/>
            <w:vAlign w:val="center"/>
          </w:tcPr>
          <w:p w14:paraId="47FEC6BC">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lang w:val="zh-CN"/>
              </w:rPr>
              <w:t xml:space="preserve">（一）价格评分（ </w:t>
            </w:r>
            <w:r>
              <w:rPr>
                <w:rFonts w:hint="eastAsia"/>
                <w:kern w:val="2"/>
                <w:sz w:val="21"/>
                <w:szCs w:val="21"/>
                <w:highlight w:val="none"/>
                <w:lang w:val="en-US" w:eastAsia="zh-CN"/>
              </w:rPr>
              <w:t>30</w:t>
            </w:r>
            <w:r>
              <w:rPr>
                <w:rFonts w:hint="eastAsia"/>
                <w:kern w:val="2"/>
                <w:sz w:val="21"/>
                <w:szCs w:val="21"/>
                <w:highlight w:val="none"/>
                <w:lang w:val="zh-CN"/>
              </w:rPr>
              <w:t xml:space="preserve"> 分）</w:t>
            </w:r>
          </w:p>
        </w:tc>
      </w:tr>
      <w:tr w14:paraId="23E0E7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722361AE">
            <w:pPr>
              <w:pStyle w:val="73"/>
              <w:keepNext w:val="0"/>
              <w:keepLines w:val="0"/>
              <w:suppressLineNumbers w:val="0"/>
              <w:spacing w:before="0" w:beforeAutospacing="0" w:after="0" w:afterAutospacing="0"/>
              <w:ind w:left="0" w:right="0"/>
              <w:rPr>
                <w:rFonts w:hint="eastAsia"/>
                <w:kern w:val="2"/>
                <w:sz w:val="21"/>
                <w:szCs w:val="21"/>
                <w:highlight w:val="none"/>
              </w:rPr>
            </w:pPr>
            <w:bookmarkStart w:id="79" w:name="_GoBack" w:colFirst="1" w:colLast="2"/>
            <w:r>
              <w:rPr>
                <w:rFonts w:hint="eastAsia"/>
                <w:kern w:val="2"/>
                <w:sz w:val="21"/>
                <w:szCs w:val="21"/>
                <w:highlight w:val="none"/>
              </w:rPr>
              <w:t>1</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EA2AC69">
            <w:pPr>
              <w:pStyle w:val="73"/>
              <w:keepNext w:val="0"/>
              <w:keepLines w:val="0"/>
              <w:suppressLineNumbers w:val="0"/>
              <w:spacing w:before="0" w:beforeAutospacing="0" w:after="0" w:afterAutospacing="0"/>
              <w:ind w:left="0" w:right="0"/>
              <w:rPr>
                <w:rFonts w:hint="eastAsia" w:ascii="宋体" w:hAnsi="宋体" w:cs="宋体"/>
                <w:kern w:val="2"/>
                <w:sz w:val="21"/>
                <w:szCs w:val="21"/>
                <w:highlight w:val="none"/>
                <w:lang w:val="zh-CN"/>
              </w:rPr>
            </w:pPr>
            <w:r>
              <w:rPr>
                <w:rFonts w:hint="eastAsia" w:ascii="宋体" w:hAnsi="宋体" w:cs="宋体"/>
                <w:kern w:val="2"/>
                <w:sz w:val="21"/>
                <w:szCs w:val="21"/>
                <w:highlight w:val="none"/>
                <w:lang w:val="zh-CN"/>
              </w:rPr>
              <w:t>价格评分</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3B66C243">
            <w:pPr>
              <w:pStyle w:val="73"/>
              <w:keepNext w:val="0"/>
              <w:keepLines w:val="0"/>
              <w:suppressLineNumbers w:val="0"/>
              <w:spacing w:before="0" w:beforeAutospacing="0" w:after="0" w:afterAutospacing="0"/>
              <w:ind w:left="0" w:right="0"/>
              <w:rPr>
                <w:rFonts w:hint="eastAsia" w:ascii="宋体" w:hAnsi="宋体" w:cs="宋体"/>
                <w:kern w:val="2"/>
                <w:sz w:val="21"/>
                <w:szCs w:val="21"/>
                <w:highlight w:val="none"/>
                <w:lang w:val="en-US" w:eastAsia="zh-CN"/>
              </w:rPr>
            </w:pPr>
            <w:r>
              <w:rPr>
                <w:rFonts w:hint="eastAsia" w:ascii="宋体" w:hAnsi="宋体" w:cs="宋体"/>
                <w:kern w:val="2"/>
                <w:sz w:val="21"/>
                <w:szCs w:val="21"/>
                <w:highlight w:val="none"/>
                <w:lang w:val="en-US" w:eastAsia="zh-CN"/>
              </w:rPr>
              <w:t>所有有效报价中的最低报价作为评标基准价，有效报价最低报价=评标基准价得满分30分。其余供应商的有效评标报价得分按如下公式计算：</w:t>
            </w:r>
          </w:p>
          <w:p w14:paraId="6A82DB13">
            <w:pPr>
              <w:pStyle w:val="73"/>
              <w:keepNext w:val="0"/>
              <w:keepLines w:val="0"/>
              <w:suppressLineNumbers w:val="0"/>
              <w:spacing w:before="0" w:beforeAutospacing="0" w:after="0" w:afterAutospacing="0"/>
              <w:ind w:left="0" w:right="0"/>
              <w:rPr>
                <w:rFonts w:hint="eastAsia" w:ascii="宋体" w:hAnsi="宋体" w:cs="宋体"/>
                <w:kern w:val="2"/>
                <w:sz w:val="21"/>
                <w:szCs w:val="21"/>
                <w:highlight w:val="none"/>
                <w:lang w:val="en-US" w:eastAsia="zh-CN"/>
              </w:rPr>
            </w:pPr>
            <w:r>
              <w:rPr>
                <w:rFonts w:hint="eastAsia" w:ascii="宋体" w:hAnsi="宋体" w:cs="宋体"/>
                <w:kern w:val="2"/>
                <w:sz w:val="21"/>
                <w:szCs w:val="21"/>
                <w:highlight w:val="none"/>
                <w:lang w:val="en-US" w:eastAsia="zh-CN"/>
              </w:rPr>
              <w:t>投标报价得分=(评标基准价／投标报价) ×100 ×价格权值30%</w:t>
            </w:r>
          </w:p>
          <w:p w14:paraId="48149D0D">
            <w:pPr>
              <w:pStyle w:val="73"/>
              <w:keepNext w:val="0"/>
              <w:keepLines w:val="0"/>
              <w:suppressLineNumbers w:val="0"/>
              <w:spacing w:before="0" w:beforeAutospacing="0" w:after="0" w:afterAutospacing="0"/>
              <w:ind w:left="0" w:right="0"/>
              <w:rPr>
                <w:rFonts w:hint="default" w:ascii="宋体" w:hAnsi="宋体" w:cs="宋体"/>
                <w:kern w:val="2"/>
                <w:sz w:val="21"/>
                <w:szCs w:val="21"/>
                <w:highlight w:val="none"/>
                <w:lang w:val="en-US" w:eastAsia="zh-CN"/>
              </w:rPr>
            </w:pPr>
            <w:r>
              <w:rPr>
                <w:rFonts w:hint="eastAsia" w:ascii="宋体" w:hAnsi="宋体" w:cs="宋体"/>
                <w:kern w:val="2"/>
                <w:sz w:val="21"/>
                <w:szCs w:val="21"/>
                <w:highlight w:val="none"/>
                <w:lang w:val="en-US" w:eastAsia="zh-CN"/>
              </w:rPr>
              <w:t>注：如评标委员会认为供应商的投标报价明显低于其他通过符合性审查供应商的报价，有可能影响产品质量或者不能诚信履约的，将要求供应商在评标现场合理的时间内提供书面说明，必要时提交相关证明材料；供应商不能证明其报价合理性的，评标委员会将其作为无效投标处理。</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51EF8F40">
            <w:pPr>
              <w:pStyle w:val="73"/>
              <w:keepNext w:val="0"/>
              <w:keepLines w:val="0"/>
              <w:suppressLineNumbers w:val="0"/>
              <w:spacing w:before="0" w:beforeAutospacing="0" w:after="0" w:afterAutospacing="0"/>
              <w:ind w:left="0" w:right="0"/>
              <w:rPr>
                <w:rFonts w:hint="default"/>
                <w:kern w:val="2"/>
                <w:sz w:val="21"/>
                <w:szCs w:val="21"/>
                <w:highlight w:val="none"/>
                <w:lang w:val="en-US" w:eastAsia="zh-CN"/>
              </w:rPr>
            </w:pPr>
            <w:r>
              <w:rPr>
                <w:rFonts w:hint="eastAsia"/>
                <w:kern w:val="2"/>
                <w:sz w:val="21"/>
                <w:szCs w:val="21"/>
                <w:highlight w:val="none"/>
                <w:lang w:val="en-US" w:eastAsia="zh-CN"/>
              </w:rPr>
              <w:t>30</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72B2A3BA">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rPr>
              <w:t>客观项</w:t>
            </w:r>
          </w:p>
        </w:tc>
      </w:tr>
      <w:bookmarkEnd w:id="79"/>
      <w:tr w14:paraId="4E05FD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31" w:type="dxa"/>
            <w:gridSpan w:val="5"/>
            <w:tcBorders>
              <w:top w:val="single" w:color="auto" w:sz="4" w:space="0"/>
              <w:left w:val="single" w:color="auto" w:sz="8" w:space="0"/>
              <w:bottom w:val="single" w:color="auto" w:sz="4" w:space="0"/>
              <w:right w:val="single" w:color="auto" w:sz="8" w:space="0"/>
            </w:tcBorders>
            <w:noWrap w:val="0"/>
            <w:vAlign w:val="center"/>
          </w:tcPr>
          <w:p w14:paraId="51D9BE50">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lang w:val="zh-CN"/>
              </w:rPr>
              <w:t>（二）技术服务评分（</w:t>
            </w:r>
            <w:r>
              <w:rPr>
                <w:rFonts w:hint="eastAsia" w:eastAsia="宋体"/>
                <w:kern w:val="2"/>
                <w:sz w:val="21"/>
                <w:szCs w:val="21"/>
                <w:highlight w:val="none"/>
                <w:lang w:val="en-US" w:eastAsia="zh-CN"/>
              </w:rPr>
              <w:t>48</w:t>
            </w:r>
            <w:r>
              <w:rPr>
                <w:rFonts w:hint="eastAsia"/>
                <w:kern w:val="2"/>
                <w:sz w:val="21"/>
                <w:szCs w:val="21"/>
                <w:highlight w:val="none"/>
                <w:lang w:val="zh-CN"/>
              </w:rPr>
              <w:t xml:space="preserve"> 分）</w:t>
            </w:r>
          </w:p>
        </w:tc>
      </w:tr>
      <w:tr w14:paraId="605DBA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45C9B70F">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1</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9F6F92C">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养护方案与技术措施</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12457D0B">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rPr>
              <w:t>根据</w:t>
            </w:r>
            <w:r>
              <w:rPr>
                <w:rFonts w:hint="eastAsia"/>
                <w:kern w:val="2"/>
                <w:sz w:val="21"/>
                <w:szCs w:val="21"/>
                <w:highlight w:val="none"/>
                <w:lang w:val="zh-CN"/>
              </w:rPr>
              <w:t>养护方案与技术措施等情况</w:t>
            </w:r>
            <w:r>
              <w:rPr>
                <w:rFonts w:hint="eastAsia"/>
                <w:kern w:val="2"/>
                <w:sz w:val="21"/>
                <w:szCs w:val="21"/>
                <w:highlight w:val="none"/>
              </w:rPr>
              <w:t>，给出得分</w:t>
            </w:r>
            <w:r>
              <w:rPr>
                <w:rFonts w:hint="eastAsia"/>
                <w:kern w:val="2"/>
                <w:sz w:val="21"/>
                <w:szCs w:val="21"/>
                <w:highlight w:val="none"/>
                <w:lang w:eastAsia="zh-CN"/>
              </w:rPr>
              <w:t>，满分</w:t>
            </w:r>
            <w:r>
              <w:rPr>
                <w:rFonts w:hint="eastAsia"/>
                <w:kern w:val="2"/>
                <w:sz w:val="21"/>
                <w:szCs w:val="21"/>
                <w:highlight w:val="none"/>
                <w:lang w:val="en-US" w:eastAsia="zh-CN"/>
              </w:rPr>
              <w:t>7分</w:t>
            </w:r>
            <w:r>
              <w:rPr>
                <w:rFonts w:hint="eastAsia"/>
                <w:kern w:val="2"/>
                <w:sz w:val="21"/>
                <w:szCs w:val="21"/>
                <w:highlight w:val="none"/>
              </w:rPr>
              <w:t>：</w:t>
            </w:r>
          </w:p>
          <w:p w14:paraId="4E08B840">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绿化养护总体安排合理，运用先进、合理的工艺、对绿化养护工作重点有先进和合理的建议，解决方案完整、经济、安全，得</w:t>
            </w:r>
            <w:r>
              <w:rPr>
                <w:rFonts w:hint="eastAsia"/>
                <w:kern w:val="2"/>
                <w:sz w:val="21"/>
                <w:szCs w:val="21"/>
                <w:highlight w:val="none"/>
                <w:lang w:val="en-US" w:eastAsia="zh-CN"/>
              </w:rPr>
              <w:t>7-5</w:t>
            </w:r>
            <w:r>
              <w:rPr>
                <w:rFonts w:hint="eastAsia"/>
                <w:kern w:val="2"/>
                <w:sz w:val="21"/>
                <w:szCs w:val="21"/>
                <w:highlight w:val="none"/>
                <w:lang w:val="zh-CN"/>
              </w:rPr>
              <w:t>分；</w:t>
            </w:r>
          </w:p>
          <w:p w14:paraId="71118676">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绿化养护总体安排比较合理，运用合理的养护工艺、对绿化养护工作</w:t>
            </w:r>
            <w:r>
              <w:rPr>
                <w:rFonts w:hint="eastAsia" w:eastAsia="宋体"/>
                <w:kern w:val="2"/>
                <w:sz w:val="21"/>
                <w:szCs w:val="21"/>
                <w:highlight w:val="none"/>
                <w:lang w:val="en-US" w:eastAsia="zh-CN"/>
              </w:rPr>
              <w:t>中</w:t>
            </w:r>
            <w:r>
              <w:rPr>
                <w:rFonts w:hint="eastAsia"/>
                <w:kern w:val="2"/>
                <w:sz w:val="21"/>
                <w:szCs w:val="21"/>
                <w:highlight w:val="none"/>
                <w:lang w:val="zh-CN"/>
              </w:rPr>
              <w:t>重点有建议，解决方案基本可行，得</w:t>
            </w:r>
            <w:r>
              <w:rPr>
                <w:rFonts w:hint="eastAsia"/>
                <w:kern w:val="2"/>
                <w:sz w:val="21"/>
                <w:szCs w:val="21"/>
                <w:highlight w:val="none"/>
                <w:lang w:val="en-US" w:eastAsia="zh-CN"/>
              </w:rPr>
              <w:t>4-1</w:t>
            </w:r>
            <w:r>
              <w:rPr>
                <w:rFonts w:hint="eastAsia"/>
                <w:kern w:val="2"/>
                <w:sz w:val="21"/>
                <w:szCs w:val="21"/>
                <w:highlight w:val="none"/>
                <w:lang w:val="zh-CN"/>
              </w:rPr>
              <w:t>分；</w:t>
            </w:r>
          </w:p>
          <w:p w14:paraId="71C3F6AF">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绿化养护总体安排不合理，运用不合理的养护工艺、对养护工作重点没有建议，解决方案基本不可行，得</w:t>
            </w:r>
            <w:r>
              <w:rPr>
                <w:rFonts w:hint="eastAsia"/>
                <w:kern w:val="2"/>
                <w:sz w:val="21"/>
                <w:szCs w:val="21"/>
                <w:highlight w:val="none"/>
              </w:rPr>
              <w:t>0</w:t>
            </w:r>
            <w:r>
              <w:rPr>
                <w:rFonts w:hint="eastAsia"/>
                <w:kern w:val="2"/>
                <w:sz w:val="21"/>
                <w:szCs w:val="21"/>
                <w:highlight w:val="none"/>
                <w:lang w:val="zh-CN"/>
              </w:rPr>
              <w:t>分；</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6445823A">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en-US" w:eastAsia="zh-CN"/>
              </w:rPr>
              <w:t>7</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7D231D2B">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主观项</w:t>
            </w:r>
          </w:p>
        </w:tc>
      </w:tr>
      <w:tr w14:paraId="5E19A4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35457A9A">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2</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889CE8E">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质量管理体系与措施</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027C0C47">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rPr>
              <w:t>根据</w:t>
            </w:r>
            <w:r>
              <w:rPr>
                <w:rFonts w:hint="eastAsia"/>
                <w:kern w:val="2"/>
                <w:sz w:val="21"/>
                <w:szCs w:val="21"/>
                <w:highlight w:val="none"/>
                <w:lang w:val="zh-CN"/>
              </w:rPr>
              <w:t>质量管理体系与措施</w:t>
            </w:r>
            <w:r>
              <w:rPr>
                <w:rFonts w:hint="eastAsia"/>
                <w:kern w:val="2"/>
                <w:sz w:val="21"/>
                <w:szCs w:val="21"/>
                <w:highlight w:val="none"/>
              </w:rPr>
              <w:t>等情况，给出得分</w:t>
            </w:r>
            <w:r>
              <w:rPr>
                <w:rFonts w:hint="eastAsia"/>
                <w:kern w:val="2"/>
                <w:sz w:val="21"/>
                <w:szCs w:val="21"/>
                <w:highlight w:val="none"/>
                <w:lang w:eastAsia="zh-CN"/>
              </w:rPr>
              <w:t>，满分</w:t>
            </w:r>
            <w:r>
              <w:rPr>
                <w:rFonts w:hint="eastAsia"/>
                <w:kern w:val="2"/>
                <w:sz w:val="21"/>
                <w:szCs w:val="21"/>
                <w:highlight w:val="none"/>
                <w:lang w:val="en-US" w:eastAsia="zh-CN"/>
              </w:rPr>
              <w:t>7分</w:t>
            </w:r>
            <w:r>
              <w:rPr>
                <w:rFonts w:hint="eastAsia"/>
                <w:kern w:val="2"/>
                <w:sz w:val="21"/>
                <w:szCs w:val="21"/>
                <w:highlight w:val="none"/>
              </w:rPr>
              <w:t>：</w:t>
            </w:r>
          </w:p>
          <w:p w14:paraId="6B590517">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各主要工序质量保障措施齐全、科学、具体、可行，对常见的绿化养护通病的防治措施得力，质量保证体系完善，得</w:t>
            </w:r>
            <w:r>
              <w:rPr>
                <w:rFonts w:hint="eastAsia"/>
                <w:kern w:val="2"/>
                <w:sz w:val="21"/>
                <w:szCs w:val="21"/>
                <w:highlight w:val="none"/>
                <w:lang w:val="en-US" w:eastAsia="zh-CN"/>
              </w:rPr>
              <w:t>7-5</w:t>
            </w:r>
            <w:r>
              <w:rPr>
                <w:rFonts w:hint="eastAsia"/>
                <w:kern w:val="2"/>
                <w:sz w:val="21"/>
                <w:szCs w:val="21"/>
                <w:highlight w:val="none"/>
                <w:lang w:val="zh-CN"/>
              </w:rPr>
              <w:t>分；</w:t>
            </w:r>
          </w:p>
          <w:p w14:paraId="40BB321B">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各主要工序质量保障措施比较齐全、合理，对常见的绿化养护通病的防治措施比较可行，具有质量保证体系，得</w:t>
            </w:r>
            <w:r>
              <w:rPr>
                <w:rFonts w:hint="eastAsia"/>
                <w:kern w:val="2"/>
                <w:sz w:val="21"/>
                <w:szCs w:val="21"/>
                <w:highlight w:val="none"/>
                <w:lang w:val="en-US" w:eastAsia="zh-CN"/>
              </w:rPr>
              <w:t>3-1</w:t>
            </w:r>
            <w:r>
              <w:rPr>
                <w:rFonts w:hint="eastAsia"/>
                <w:kern w:val="2"/>
                <w:sz w:val="21"/>
                <w:szCs w:val="21"/>
                <w:highlight w:val="none"/>
                <w:lang w:val="zh-CN"/>
              </w:rPr>
              <w:t>分；</w:t>
            </w:r>
          </w:p>
          <w:p w14:paraId="71C33CC9">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质量管理目标不清，各阶段养护工作、关键节点质量控制措施及风险防控措施简单、不合理、可行性差的，得0分；</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3BB45942">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en-US" w:eastAsia="zh-CN"/>
              </w:rPr>
              <w:t>7</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66058DCB">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主观项</w:t>
            </w:r>
          </w:p>
        </w:tc>
      </w:tr>
      <w:tr w14:paraId="17C97B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2E2806FC">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3</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D1F9E05">
            <w:pPr>
              <w:pStyle w:val="73"/>
              <w:keepNext w:val="0"/>
              <w:keepLines w:val="0"/>
              <w:suppressLineNumbers w:val="0"/>
              <w:spacing w:before="0" w:beforeAutospacing="0" w:after="0" w:afterAutospacing="0"/>
              <w:ind w:left="0" w:right="0"/>
              <w:rPr>
                <w:rFonts w:hint="eastAsia"/>
                <w:kern w:val="2"/>
                <w:sz w:val="21"/>
                <w:szCs w:val="21"/>
                <w:highlight w:val="none"/>
                <w:lang w:val="zh-CN" w:eastAsia="zh-CN"/>
              </w:rPr>
            </w:pPr>
            <w:r>
              <w:rPr>
                <w:rFonts w:hint="eastAsia"/>
                <w:kern w:val="2"/>
                <w:sz w:val="21"/>
                <w:szCs w:val="21"/>
                <w:highlight w:val="none"/>
                <w:lang w:val="zh-CN"/>
              </w:rPr>
              <w:t>安全管理体系与措施</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64DCC69A">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rPr>
              <w:t>根据</w:t>
            </w:r>
            <w:r>
              <w:rPr>
                <w:rFonts w:hint="eastAsia"/>
                <w:kern w:val="2"/>
                <w:sz w:val="21"/>
                <w:szCs w:val="21"/>
                <w:highlight w:val="none"/>
                <w:lang w:val="zh-CN"/>
              </w:rPr>
              <w:t>安全管理体系与措施</w:t>
            </w:r>
            <w:r>
              <w:rPr>
                <w:rFonts w:hint="eastAsia"/>
                <w:kern w:val="2"/>
                <w:sz w:val="21"/>
                <w:szCs w:val="21"/>
                <w:highlight w:val="none"/>
              </w:rPr>
              <w:t>等情况，给出得分</w:t>
            </w:r>
            <w:r>
              <w:rPr>
                <w:rFonts w:hint="eastAsia"/>
                <w:kern w:val="2"/>
                <w:sz w:val="21"/>
                <w:szCs w:val="21"/>
                <w:highlight w:val="none"/>
                <w:lang w:eastAsia="zh-CN"/>
              </w:rPr>
              <w:t>，满分</w:t>
            </w:r>
            <w:r>
              <w:rPr>
                <w:rFonts w:hint="eastAsia"/>
                <w:kern w:val="2"/>
                <w:sz w:val="21"/>
                <w:szCs w:val="21"/>
                <w:highlight w:val="none"/>
                <w:lang w:val="en-US" w:eastAsia="zh-CN"/>
              </w:rPr>
              <w:t>7分</w:t>
            </w:r>
            <w:r>
              <w:rPr>
                <w:rFonts w:hint="eastAsia"/>
                <w:kern w:val="2"/>
                <w:sz w:val="21"/>
                <w:szCs w:val="21"/>
                <w:highlight w:val="none"/>
              </w:rPr>
              <w:t>：</w:t>
            </w:r>
          </w:p>
          <w:p w14:paraId="720CEB18">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lang w:val="zh-CN"/>
              </w:rPr>
              <w:t>体系与措施合理、可行、全面、有效</w:t>
            </w:r>
            <w:r>
              <w:rPr>
                <w:rFonts w:hint="eastAsia"/>
                <w:kern w:val="2"/>
                <w:sz w:val="21"/>
                <w:szCs w:val="21"/>
                <w:highlight w:val="none"/>
              </w:rPr>
              <w:t>，</w:t>
            </w:r>
            <w:r>
              <w:rPr>
                <w:rFonts w:hint="eastAsia"/>
                <w:kern w:val="2"/>
                <w:sz w:val="21"/>
                <w:szCs w:val="21"/>
                <w:highlight w:val="none"/>
                <w:lang w:val="zh-CN"/>
              </w:rPr>
              <w:t>得</w:t>
            </w:r>
            <w:r>
              <w:rPr>
                <w:rFonts w:hint="eastAsia"/>
                <w:kern w:val="2"/>
                <w:sz w:val="21"/>
                <w:szCs w:val="21"/>
                <w:highlight w:val="none"/>
                <w:lang w:val="en-US" w:eastAsia="zh-CN"/>
              </w:rPr>
              <w:t>6-5</w:t>
            </w:r>
            <w:r>
              <w:rPr>
                <w:rFonts w:hint="eastAsia"/>
                <w:kern w:val="2"/>
                <w:sz w:val="21"/>
                <w:szCs w:val="21"/>
                <w:highlight w:val="none"/>
                <w:lang w:val="zh-CN"/>
              </w:rPr>
              <w:t>分</w:t>
            </w:r>
            <w:r>
              <w:rPr>
                <w:rFonts w:hint="eastAsia"/>
                <w:kern w:val="2"/>
                <w:sz w:val="21"/>
                <w:szCs w:val="21"/>
                <w:highlight w:val="none"/>
              </w:rPr>
              <w:t>；</w:t>
            </w:r>
          </w:p>
          <w:p w14:paraId="1227B70C">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体系与措施比较合理、可行，得</w:t>
            </w:r>
            <w:r>
              <w:rPr>
                <w:rFonts w:hint="eastAsia"/>
                <w:kern w:val="2"/>
                <w:sz w:val="21"/>
                <w:szCs w:val="21"/>
                <w:highlight w:val="none"/>
                <w:lang w:val="en-US" w:eastAsia="zh-CN"/>
              </w:rPr>
              <w:t>4-1</w:t>
            </w:r>
            <w:r>
              <w:rPr>
                <w:rFonts w:hint="eastAsia"/>
                <w:kern w:val="2"/>
                <w:sz w:val="21"/>
                <w:szCs w:val="21"/>
                <w:highlight w:val="none"/>
                <w:lang w:val="zh-CN"/>
              </w:rPr>
              <w:t>分；</w:t>
            </w:r>
          </w:p>
          <w:p w14:paraId="7CEFB78A">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体系与措施不合理、不可行，得</w:t>
            </w:r>
            <w:r>
              <w:rPr>
                <w:rFonts w:hint="eastAsia"/>
                <w:kern w:val="2"/>
                <w:sz w:val="21"/>
                <w:szCs w:val="21"/>
                <w:highlight w:val="none"/>
              </w:rPr>
              <w:t>0</w:t>
            </w:r>
            <w:r>
              <w:rPr>
                <w:rFonts w:hint="eastAsia"/>
                <w:kern w:val="2"/>
                <w:sz w:val="21"/>
                <w:szCs w:val="21"/>
                <w:highlight w:val="none"/>
                <w:lang w:val="zh-CN"/>
              </w:rPr>
              <w:t>分；</w:t>
            </w:r>
          </w:p>
          <w:p w14:paraId="466F2121">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p>
        </w:tc>
        <w:tc>
          <w:tcPr>
            <w:tcW w:w="615" w:type="dxa"/>
            <w:tcBorders>
              <w:top w:val="single" w:color="auto" w:sz="4" w:space="0"/>
              <w:left w:val="single" w:color="auto" w:sz="4" w:space="0"/>
              <w:bottom w:val="single" w:color="auto" w:sz="4" w:space="0"/>
              <w:right w:val="single" w:color="auto" w:sz="4" w:space="0"/>
            </w:tcBorders>
            <w:noWrap w:val="0"/>
            <w:vAlign w:val="center"/>
          </w:tcPr>
          <w:p w14:paraId="105206BC">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en-US" w:eastAsia="zh-CN"/>
              </w:rPr>
              <w:t>7</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4BE54C99">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主观项</w:t>
            </w:r>
          </w:p>
        </w:tc>
      </w:tr>
      <w:tr w14:paraId="50D6DB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7BB72329">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4</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60C1E39">
            <w:pPr>
              <w:pStyle w:val="73"/>
              <w:keepNext w:val="0"/>
              <w:keepLines w:val="0"/>
              <w:suppressLineNumbers w:val="0"/>
              <w:spacing w:before="0" w:beforeAutospacing="0" w:after="0" w:afterAutospacing="0"/>
              <w:ind w:left="0" w:right="0"/>
              <w:rPr>
                <w:rFonts w:hint="eastAsia"/>
                <w:kern w:val="2"/>
                <w:sz w:val="21"/>
                <w:szCs w:val="21"/>
                <w:highlight w:val="none"/>
                <w:lang w:val="zh-CN" w:eastAsia="zh-CN"/>
              </w:rPr>
            </w:pPr>
            <w:r>
              <w:rPr>
                <w:rFonts w:hint="eastAsia"/>
                <w:kern w:val="2"/>
                <w:sz w:val="21"/>
                <w:szCs w:val="21"/>
                <w:highlight w:val="none"/>
                <w:lang w:val="zh-CN"/>
              </w:rPr>
              <w:t>环境保护管理体系与措施</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71817E2A">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rPr>
              <w:t>根据</w:t>
            </w:r>
            <w:r>
              <w:rPr>
                <w:rFonts w:hint="eastAsia"/>
                <w:kern w:val="2"/>
                <w:sz w:val="21"/>
                <w:szCs w:val="21"/>
                <w:highlight w:val="none"/>
                <w:lang w:val="zh-CN"/>
              </w:rPr>
              <w:t>环境保护管理体系与措施</w:t>
            </w:r>
            <w:r>
              <w:rPr>
                <w:rFonts w:hint="eastAsia"/>
                <w:kern w:val="2"/>
                <w:sz w:val="21"/>
                <w:szCs w:val="21"/>
                <w:highlight w:val="none"/>
              </w:rPr>
              <w:t>等情况，给出得分</w:t>
            </w:r>
            <w:r>
              <w:rPr>
                <w:rFonts w:hint="eastAsia"/>
                <w:kern w:val="2"/>
                <w:sz w:val="21"/>
                <w:szCs w:val="21"/>
                <w:highlight w:val="none"/>
                <w:lang w:eastAsia="zh-CN"/>
              </w:rPr>
              <w:t>，满分</w:t>
            </w:r>
            <w:r>
              <w:rPr>
                <w:rFonts w:hint="eastAsia"/>
                <w:kern w:val="2"/>
                <w:sz w:val="21"/>
                <w:szCs w:val="21"/>
                <w:highlight w:val="none"/>
                <w:lang w:val="en-US" w:eastAsia="zh-CN"/>
              </w:rPr>
              <w:t>6分</w:t>
            </w:r>
            <w:r>
              <w:rPr>
                <w:rFonts w:hint="eastAsia"/>
                <w:kern w:val="2"/>
                <w:sz w:val="21"/>
                <w:szCs w:val="21"/>
                <w:highlight w:val="none"/>
              </w:rPr>
              <w:t>：</w:t>
            </w:r>
          </w:p>
          <w:p w14:paraId="539B3FD4">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体系与措施合理、可行、全面、有效，得</w:t>
            </w:r>
            <w:r>
              <w:rPr>
                <w:rFonts w:hint="eastAsia"/>
                <w:kern w:val="2"/>
                <w:sz w:val="21"/>
                <w:szCs w:val="21"/>
                <w:highlight w:val="none"/>
                <w:lang w:val="en-US" w:eastAsia="zh-CN"/>
              </w:rPr>
              <w:t>6-4</w:t>
            </w:r>
            <w:r>
              <w:rPr>
                <w:rFonts w:hint="eastAsia"/>
                <w:kern w:val="2"/>
                <w:sz w:val="21"/>
                <w:szCs w:val="21"/>
                <w:highlight w:val="none"/>
                <w:lang w:val="zh-CN"/>
              </w:rPr>
              <w:t>分；</w:t>
            </w:r>
          </w:p>
          <w:p w14:paraId="766004D9">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体系与措施比较合理、可行，得</w:t>
            </w:r>
            <w:r>
              <w:rPr>
                <w:rFonts w:hint="eastAsia"/>
                <w:kern w:val="2"/>
                <w:sz w:val="21"/>
                <w:szCs w:val="21"/>
                <w:highlight w:val="none"/>
                <w:lang w:val="en-US" w:eastAsia="zh-CN"/>
              </w:rPr>
              <w:t>4-3</w:t>
            </w:r>
            <w:r>
              <w:rPr>
                <w:rFonts w:hint="eastAsia"/>
                <w:kern w:val="2"/>
                <w:sz w:val="21"/>
                <w:szCs w:val="21"/>
                <w:highlight w:val="none"/>
                <w:lang w:val="zh-CN"/>
              </w:rPr>
              <w:t>分；</w:t>
            </w:r>
          </w:p>
          <w:p w14:paraId="48AD5AB3">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体系与措施不合理、不可行，得</w:t>
            </w:r>
            <w:r>
              <w:rPr>
                <w:rFonts w:hint="eastAsia"/>
                <w:kern w:val="2"/>
                <w:sz w:val="21"/>
                <w:szCs w:val="21"/>
                <w:highlight w:val="none"/>
              </w:rPr>
              <w:t>0</w:t>
            </w:r>
            <w:r>
              <w:rPr>
                <w:rFonts w:hint="eastAsia"/>
                <w:kern w:val="2"/>
                <w:sz w:val="21"/>
                <w:szCs w:val="21"/>
                <w:highlight w:val="none"/>
                <w:lang w:val="zh-CN"/>
              </w:rPr>
              <w:t>分；</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3A16F697">
            <w:pPr>
              <w:pStyle w:val="73"/>
              <w:keepNext w:val="0"/>
              <w:keepLines w:val="0"/>
              <w:suppressLineNumbers w:val="0"/>
              <w:spacing w:before="0" w:beforeAutospacing="0" w:after="0" w:afterAutospacing="0"/>
              <w:ind w:left="0" w:right="0"/>
              <w:rPr>
                <w:rFonts w:hint="eastAsia" w:eastAsia="宋体"/>
                <w:kern w:val="2"/>
                <w:sz w:val="21"/>
                <w:szCs w:val="21"/>
                <w:highlight w:val="none"/>
                <w:lang w:val="en-US" w:eastAsia="zh-CN"/>
              </w:rPr>
            </w:pPr>
            <w:r>
              <w:rPr>
                <w:rFonts w:hint="eastAsia" w:eastAsia="宋体"/>
                <w:kern w:val="2"/>
                <w:sz w:val="21"/>
                <w:szCs w:val="21"/>
                <w:highlight w:val="none"/>
                <w:lang w:val="en-US" w:eastAsia="zh-CN"/>
              </w:rPr>
              <w:t>6</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237E87DB">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主观项</w:t>
            </w:r>
          </w:p>
        </w:tc>
      </w:tr>
      <w:tr w14:paraId="5E456B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7BC0008A">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5</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F0D81EB">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绿化养护进度计划与措施</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788B258F">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rPr>
              <w:t>根据</w:t>
            </w:r>
            <w:r>
              <w:rPr>
                <w:rFonts w:hint="eastAsia"/>
                <w:kern w:val="2"/>
                <w:sz w:val="21"/>
                <w:szCs w:val="21"/>
                <w:highlight w:val="none"/>
                <w:lang w:val="zh-CN"/>
              </w:rPr>
              <w:t>绿化养护进度计划与措施</w:t>
            </w:r>
            <w:r>
              <w:rPr>
                <w:rFonts w:hint="eastAsia"/>
                <w:kern w:val="2"/>
                <w:sz w:val="21"/>
                <w:szCs w:val="21"/>
                <w:highlight w:val="none"/>
              </w:rPr>
              <w:t>等情况，给出得分</w:t>
            </w:r>
            <w:r>
              <w:rPr>
                <w:rFonts w:hint="eastAsia"/>
                <w:kern w:val="2"/>
                <w:sz w:val="21"/>
                <w:szCs w:val="21"/>
                <w:highlight w:val="none"/>
                <w:lang w:eastAsia="zh-CN"/>
              </w:rPr>
              <w:t>，满分</w:t>
            </w:r>
            <w:r>
              <w:rPr>
                <w:rFonts w:hint="eastAsia"/>
                <w:kern w:val="2"/>
                <w:sz w:val="21"/>
                <w:szCs w:val="21"/>
                <w:highlight w:val="none"/>
                <w:lang w:val="en-US" w:eastAsia="zh-CN"/>
              </w:rPr>
              <w:t>6分</w:t>
            </w:r>
            <w:r>
              <w:rPr>
                <w:rFonts w:hint="eastAsia"/>
                <w:kern w:val="2"/>
                <w:sz w:val="21"/>
                <w:szCs w:val="21"/>
                <w:highlight w:val="none"/>
              </w:rPr>
              <w:t>：</w:t>
            </w:r>
          </w:p>
          <w:p w14:paraId="6CF8F212">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关键线路清晰、准确、完整，计划编制合理、可行，关键节点的控制措施合理，得</w:t>
            </w:r>
            <w:r>
              <w:rPr>
                <w:rFonts w:hint="eastAsia"/>
                <w:kern w:val="2"/>
                <w:sz w:val="21"/>
                <w:szCs w:val="21"/>
                <w:highlight w:val="none"/>
                <w:lang w:val="en-US" w:eastAsia="zh-CN"/>
              </w:rPr>
              <w:t>6-4</w:t>
            </w:r>
            <w:r>
              <w:rPr>
                <w:rFonts w:hint="eastAsia"/>
                <w:kern w:val="2"/>
                <w:sz w:val="21"/>
                <w:szCs w:val="21"/>
                <w:highlight w:val="none"/>
                <w:lang w:val="zh-CN"/>
              </w:rPr>
              <w:t>分；</w:t>
            </w:r>
          </w:p>
          <w:p w14:paraId="08428F31">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关键线路比较清晰、准确、完整，计划编制比较合理、可行，关键节点的控制措施比较合理，得</w:t>
            </w:r>
            <w:r>
              <w:rPr>
                <w:rFonts w:hint="eastAsia" w:eastAsia="宋体"/>
                <w:kern w:val="2"/>
                <w:sz w:val="21"/>
                <w:szCs w:val="21"/>
                <w:highlight w:val="none"/>
                <w:lang w:val="en-US" w:eastAsia="zh-CN"/>
              </w:rPr>
              <w:t>3-1</w:t>
            </w:r>
            <w:r>
              <w:rPr>
                <w:rFonts w:hint="eastAsia"/>
                <w:kern w:val="2"/>
                <w:sz w:val="21"/>
                <w:szCs w:val="21"/>
                <w:highlight w:val="none"/>
                <w:lang w:val="zh-CN"/>
              </w:rPr>
              <w:t>分；</w:t>
            </w:r>
          </w:p>
          <w:p w14:paraId="67C27FD1">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关键线路不清晰、不准确、不完整，计划编制不合理、不可行，关键节点的控制措施不合理，得</w:t>
            </w:r>
            <w:r>
              <w:rPr>
                <w:rFonts w:hint="eastAsia"/>
                <w:kern w:val="2"/>
                <w:sz w:val="21"/>
                <w:szCs w:val="21"/>
                <w:highlight w:val="none"/>
              </w:rPr>
              <w:t>0</w:t>
            </w:r>
            <w:r>
              <w:rPr>
                <w:rFonts w:hint="eastAsia"/>
                <w:kern w:val="2"/>
                <w:sz w:val="21"/>
                <w:szCs w:val="21"/>
                <w:highlight w:val="none"/>
                <w:lang w:val="zh-CN"/>
              </w:rPr>
              <w:t>分；</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2475CC6C">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en-US" w:eastAsia="zh-CN"/>
              </w:rPr>
              <w:t>6</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432982B5">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主观项</w:t>
            </w:r>
          </w:p>
        </w:tc>
      </w:tr>
      <w:tr w14:paraId="07E9A9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023B5568">
            <w:pPr>
              <w:pStyle w:val="73"/>
              <w:keepNext w:val="0"/>
              <w:keepLines w:val="0"/>
              <w:suppressLineNumbers w:val="0"/>
              <w:spacing w:before="0" w:beforeAutospacing="0" w:after="0" w:afterAutospacing="0"/>
              <w:ind w:left="0" w:right="0"/>
              <w:rPr>
                <w:rFonts w:hint="eastAsia" w:eastAsia="宋体"/>
                <w:kern w:val="2"/>
                <w:sz w:val="21"/>
                <w:szCs w:val="21"/>
                <w:highlight w:val="none"/>
                <w:lang w:val="en-US" w:eastAsia="zh-CN"/>
              </w:rPr>
            </w:pPr>
            <w:r>
              <w:rPr>
                <w:rFonts w:hint="eastAsia" w:eastAsia="宋体"/>
                <w:kern w:val="2"/>
                <w:sz w:val="21"/>
                <w:szCs w:val="21"/>
                <w:highlight w:val="none"/>
                <w:lang w:val="en-US" w:eastAsia="zh-CN"/>
              </w:rPr>
              <w:t>6</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EED39C6">
            <w:pPr>
              <w:pStyle w:val="73"/>
              <w:keepNext w:val="0"/>
              <w:keepLines w:val="0"/>
              <w:suppressLineNumbers w:val="0"/>
              <w:spacing w:before="0" w:beforeAutospacing="0" w:after="0" w:afterAutospacing="0"/>
              <w:ind w:left="0" w:right="0"/>
              <w:rPr>
                <w:rFonts w:hint="eastAsia"/>
                <w:kern w:val="2"/>
                <w:sz w:val="21"/>
                <w:szCs w:val="21"/>
                <w:highlight w:val="none"/>
                <w:lang w:val="zh-CN" w:eastAsia="zh-CN"/>
              </w:rPr>
            </w:pPr>
            <w:r>
              <w:rPr>
                <w:rFonts w:hint="eastAsia"/>
                <w:kern w:val="2"/>
                <w:sz w:val="21"/>
                <w:szCs w:val="21"/>
                <w:highlight w:val="none"/>
                <w:lang w:val="zh-CN"/>
              </w:rPr>
              <w:t>机械设备配置情况</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4807975E">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rPr>
              <w:t>根据</w:t>
            </w:r>
            <w:r>
              <w:rPr>
                <w:rFonts w:hint="eastAsia"/>
                <w:kern w:val="2"/>
                <w:sz w:val="21"/>
                <w:szCs w:val="21"/>
                <w:highlight w:val="none"/>
                <w:lang w:val="zh-CN"/>
              </w:rPr>
              <w:t>需要表中</w:t>
            </w:r>
            <w:r>
              <w:rPr>
                <w:rFonts w:hint="eastAsia" w:eastAsia="宋体"/>
                <w:kern w:val="2"/>
                <w:sz w:val="21"/>
                <w:szCs w:val="21"/>
                <w:highlight w:val="none"/>
                <w:lang w:val="en-US" w:eastAsia="zh-CN"/>
              </w:rPr>
              <w:t>提供</w:t>
            </w:r>
            <w:r>
              <w:rPr>
                <w:rFonts w:hint="eastAsia"/>
                <w:kern w:val="2"/>
                <w:sz w:val="21"/>
                <w:szCs w:val="21"/>
                <w:highlight w:val="none"/>
                <w:lang w:val="zh-CN"/>
              </w:rPr>
              <w:t>养护机械设备情况</w:t>
            </w:r>
            <w:r>
              <w:rPr>
                <w:rFonts w:hint="eastAsia"/>
                <w:kern w:val="2"/>
                <w:sz w:val="21"/>
                <w:szCs w:val="21"/>
                <w:highlight w:val="none"/>
              </w:rPr>
              <w:t>，给出得分</w:t>
            </w:r>
            <w:r>
              <w:rPr>
                <w:rFonts w:hint="eastAsia"/>
                <w:kern w:val="2"/>
                <w:sz w:val="21"/>
                <w:szCs w:val="21"/>
                <w:highlight w:val="none"/>
                <w:lang w:eastAsia="zh-CN"/>
              </w:rPr>
              <w:t>，满分</w:t>
            </w:r>
            <w:r>
              <w:rPr>
                <w:rFonts w:hint="eastAsia"/>
                <w:kern w:val="2"/>
                <w:sz w:val="21"/>
                <w:szCs w:val="21"/>
                <w:highlight w:val="none"/>
                <w:lang w:val="en-US" w:eastAsia="zh-CN"/>
              </w:rPr>
              <w:t>4分</w:t>
            </w:r>
            <w:r>
              <w:rPr>
                <w:rFonts w:hint="eastAsia"/>
                <w:kern w:val="2"/>
                <w:sz w:val="21"/>
                <w:szCs w:val="21"/>
                <w:highlight w:val="none"/>
              </w:rPr>
              <w:t>：</w:t>
            </w:r>
          </w:p>
          <w:p w14:paraId="0677BB6D">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按</w:t>
            </w:r>
            <w:r>
              <w:rPr>
                <w:rFonts w:hint="eastAsia"/>
                <w:kern w:val="2"/>
                <w:sz w:val="21"/>
                <w:szCs w:val="21"/>
                <w:highlight w:val="none"/>
                <w:lang w:val="en-US" w:eastAsia="zh-CN"/>
              </w:rPr>
              <w:t>机械设备需求表</w:t>
            </w:r>
            <w:r>
              <w:rPr>
                <w:rFonts w:hint="eastAsia"/>
                <w:kern w:val="2"/>
                <w:sz w:val="21"/>
                <w:szCs w:val="21"/>
                <w:highlight w:val="none"/>
                <w:lang w:val="zh-CN"/>
              </w:rPr>
              <w:t>要求，提供的设备数量，得</w:t>
            </w:r>
            <w:r>
              <w:rPr>
                <w:rFonts w:hint="eastAsia"/>
                <w:kern w:val="2"/>
                <w:sz w:val="21"/>
                <w:szCs w:val="21"/>
                <w:highlight w:val="none"/>
                <w:lang w:val="en-US" w:eastAsia="zh-CN"/>
              </w:rPr>
              <w:t>0</w:t>
            </w:r>
            <w:r>
              <w:rPr>
                <w:rFonts w:hint="eastAsia"/>
                <w:kern w:val="2"/>
                <w:sz w:val="21"/>
                <w:szCs w:val="21"/>
                <w:highlight w:val="none"/>
                <w:lang w:val="zh-CN"/>
              </w:rPr>
              <w:t>分；</w:t>
            </w:r>
          </w:p>
          <w:p w14:paraId="1607F4B6">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en-US" w:eastAsia="zh-CN"/>
              </w:rPr>
              <w:t>在机械设备需求表基础之上，提供水车、打药车每增加1辆加2分。</w:t>
            </w:r>
          </w:p>
          <w:p w14:paraId="0F0DB86B">
            <w:pPr>
              <w:pStyle w:val="73"/>
              <w:keepNext w:val="0"/>
              <w:keepLines w:val="0"/>
              <w:suppressLineNumbers w:val="0"/>
              <w:spacing w:before="0" w:beforeAutospacing="0" w:after="0" w:afterAutospacing="0"/>
              <w:ind w:left="0" w:right="0"/>
              <w:rPr>
                <w:rFonts w:hint="default"/>
                <w:kern w:val="2"/>
                <w:sz w:val="21"/>
                <w:szCs w:val="21"/>
                <w:highlight w:val="none"/>
                <w:lang w:val="en-US" w:eastAsia="zh-CN"/>
              </w:rPr>
            </w:pPr>
            <w:r>
              <w:rPr>
                <w:rFonts w:hint="eastAsia"/>
                <w:kern w:val="2"/>
                <w:sz w:val="21"/>
                <w:szCs w:val="21"/>
                <w:highlight w:val="none"/>
                <w:lang w:val="en-US" w:eastAsia="zh-CN"/>
              </w:rPr>
              <w:t>在需求表基础之上，提供汽油泵、剪草机、高枝剪、油锯每增加1台加0.5</w:t>
            </w:r>
          </w:p>
          <w:p w14:paraId="4129AA98">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p>
        </w:tc>
        <w:tc>
          <w:tcPr>
            <w:tcW w:w="615" w:type="dxa"/>
            <w:tcBorders>
              <w:top w:val="single" w:color="auto" w:sz="4" w:space="0"/>
              <w:left w:val="single" w:color="auto" w:sz="4" w:space="0"/>
              <w:bottom w:val="single" w:color="auto" w:sz="4" w:space="0"/>
              <w:right w:val="single" w:color="auto" w:sz="4" w:space="0"/>
            </w:tcBorders>
            <w:noWrap w:val="0"/>
            <w:vAlign w:val="center"/>
          </w:tcPr>
          <w:p w14:paraId="5CAF00E2">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en-US" w:eastAsia="zh-CN"/>
              </w:rPr>
              <w:t>4</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4588787C">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eastAsia="zh-CN"/>
              </w:rPr>
              <w:t>客</w:t>
            </w:r>
            <w:r>
              <w:rPr>
                <w:rFonts w:hint="eastAsia"/>
                <w:kern w:val="2"/>
                <w:sz w:val="21"/>
                <w:szCs w:val="21"/>
                <w:highlight w:val="none"/>
              </w:rPr>
              <w:t>观项</w:t>
            </w:r>
          </w:p>
        </w:tc>
      </w:tr>
      <w:tr w14:paraId="46F3CF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2B8C9C74">
            <w:pPr>
              <w:pStyle w:val="73"/>
              <w:keepNext w:val="0"/>
              <w:keepLines w:val="0"/>
              <w:suppressLineNumbers w:val="0"/>
              <w:spacing w:before="0" w:beforeAutospacing="0" w:after="0" w:afterAutospacing="0"/>
              <w:ind w:left="0" w:right="0"/>
              <w:rPr>
                <w:rFonts w:hint="eastAsia" w:eastAsia="宋体"/>
                <w:kern w:val="2"/>
                <w:sz w:val="21"/>
                <w:szCs w:val="21"/>
                <w:highlight w:val="none"/>
                <w:lang w:val="en-US" w:eastAsia="zh-CN"/>
              </w:rPr>
            </w:pPr>
            <w:r>
              <w:rPr>
                <w:rFonts w:hint="eastAsia" w:eastAsia="宋体"/>
                <w:kern w:val="2"/>
                <w:sz w:val="21"/>
                <w:szCs w:val="21"/>
                <w:highlight w:val="none"/>
                <w:lang w:val="en-US" w:eastAsia="zh-CN"/>
              </w:rPr>
              <w:t>7</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6A53DDC4">
            <w:pPr>
              <w:pStyle w:val="73"/>
              <w:keepNext w:val="0"/>
              <w:keepLines w:val="0"/>
              <w:suppressLineNumbers w:val="0"/>
              <w:spacing w:before="0" w:beforeAutospacing="0" w:after="0" w:afterAutospacing="0"/>
              <w:ind w:left="0" w:right="0"/>
              <w:rPr>
                <w:rFonts w:hint="eastAsia"/>
                <w:kern w:val="2"/>
                <w:sz w:val="21"/>
                <w:szCs w:val="21"/>
                <w:highlight w:val="none"/>
                <w:lang w:val="zh-CN" w:eastAsia="zh-CN"/>
              </w:rPr>
            </w:pPr>
            <w:r>
              <w:rPr>
                <w:rFonts w:hint="eastAsia"/>
                <w:kern w:val="2"/>
                <w:sz w:val="21"/>
                <w:szCs w:val="21"/>
                <w:highlight w:val="none"/>
                <w:lang w:val="zh-CN"/>
              </w:rPr>
              <w:t>劳动力安排计划</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1FD74C8A">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rPr>
              <w:t>根据</w:t>
            </w:r>
            <w:r>
              <w:rPr>
                <w:rFonts w:hint="eastAsia"/>
                <w:kern w:val="2"/>
                <w:sz w:val="21"/>
                <w:szCs w:val="21"/>
                <w:highlight w:val="none"/>
                <w:lang w:eastAsia="zh-CN"/>
              </w:rPr>
              <w:t>上述</w:t>
            </w:r>
            <w:r>
              <w:rPr>
                <w:rFonts w:hint="eastAsia"/>
                <w:kern w:val="2"/>
                <w:sz w:val="21"/>
                <w:szCs w:val="21"/>
                <w:highlight w:val="none"/>
                <w:lang w:val="zh-CN"/>
              </w:rPr>
              <w:t>劳动力安排计划等情况</w:t>
            </w:r>
            <w:r>
              <w:rPr>
                <w:rFonts w:hint="eastAsia"/>
                <w:kern w:val="2"/>
                <w:sz w:val="21"/>
                <w:szCs w:val="21"/>
                <w:highlight w:val="none"/>
              </w:rPr>
              <w:t>，给出得分</w:t>
            </w:r>
            <w:r>
              <w:rPr>
                <w:rFonts w:hint="eastAsia"/>
                <w:kern w:val="2"/>
                <w:sz w:val="21"/>
                <w:szCs w:val="21"/>
                <w:highlight w:val="none"/>
                <w:lang w:eastAsia="zh-CN"/>
              </w:rPr>
              <w:t>，满分</w:t>
            </w:r>
            <w:r>
              <w:rPr>
                <w:rFonts w:hint="eastAsia"/>
                <w:kern w:val="2"/>
                <w:sz w:val="21"/>
                <w:szCs w:val="21"/>
                <w:highlight w:val="none"/>
                <w:lang w:val="en-US" w:eastAsia="zh-CN"/>
              </w:rPr>
              <w:t>6分</w:t>
            </w:r>
            <w:r>
              <w:rPr>
                <w:rFonts w:hint="eastAsia"/>
                <w:kern w:val="2"/>
                <w:sz w:val="21"/>
                <w:szCs w:val="21"/>
                <w:highlight w:val="none"/>
              </w:rPr>
              <w:t>：</w:t>
            </w:r>
          </w:p>
          <w:p w14:paraId="4344FCDA">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按照人员要求表一、表二提供人员的，得</w:t>
            </w:r>
            <w:r>
              <w:rPr>
                <w:rFonts w:hint="eastAsia"/>
                <w:kern w:val="2"/>
                <w:sz w:val="21"/>
                <w:szCs w:val="21"/>
                <w:highlight w:val="none"/>
                <w:lang w:val="en-US" w:eastAsia="zh-CN"/>
              </w:rPr>
              <w:t>2</w:t>
            </w:r>
            <w:r>
              <w:rPr>
                <w:rFonts w:hint="eastAsia"/>
                <w:kern w:val="2"/>
                <w:sz w:val="21"/>
                <w:szCs w:val="21"/>
                <w:highlight w:val="none"/>
                <w:lang w:val="zh-CN"/>
              </w:rPr>
              <w:t>分；</w:t>
            </w:r>
          </w:p>
          <w:p w14:paraId="637D6C41">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超出人员要求表一中日常绿化养护人员数量的，每多提供</w:t>
            </w:r>
            <w:r>
              <w:rPr>
                <w:rFonts w:hint="eastAsia"/>
                <w:kern w:val="2"/>
                <w:sz w:val="21"/>
                <w:szCs w:val="21"/>
                <w:highlight w:val="none"/>
                <w:lang w:val="en-US" w:eastAsia="zh-CN"/>
              </w:rPr>
              <w:t>1人加1分</w:t>
            </w:r>
            <w:r>
              <w:rPr>
                <w:rFonts w:hint="eastAsia"/>
                <w:kern w:val="2"/>
                <w:sz w:val="21"/>
                <w:szCs w:val="21"/>
                <w:highlight w:val="none"/>
                <w:lang w:val="zh-CN"/>
              </w:rPr>
              <w:t>；最多得</w:t>
            </w:r>
            <w:r>
              <w:rPr>
                <w:rFonts w:hint="eastAsia"/>
                <w:kern w:val="2"/>
                <w:sz w:val="21"/>
                <w:szCs w:val="21"/>
                <w:highlight w:val="none"/>
                <w:lang w:val="en-US" w:eastAsia="zh-CN"/>
              </w:rPr>
              <w:t>2分；</w:t>
            </w:r>
          </w:p>
          <w:p w14:paraId="5D712AA1">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超出人员要求表二中日常绿化养护人员数量的，每多提供</w:t>
            </w:r>
            <w:r>
              <w:rPr>
                <w:rFonts w:hint="eastAsia"/>
                <w:kern w:val="2"/>
                <w:sz w:val="21"/>
                <w:szCs w:val="21"/>
                <w:highlight w:val="none"/>
                <w:lang w:val="en-US" w:eastAsia="zh-CN"/>
              </w:rPr>
              <w:t>1人加1分</w:t>
            </w:r>
            <w:r>
              <w:rPr>
                <w:rFonts w:hint="eastAsia"/>
                <w:kern w:val="2"/>
                <w:sz w:val="21"/>
                <w:szCs w:val="21"/>
                <w:highlight w:val="none"/>
                <w:lang w:val="zh-CN"/>
              </w:rPr>
              <w:t>；最多得</w:t>
            </w:r>
            <w:r>
              <w:rPr>
                <w:rFonts w:hint="eastAsia"/>
                <w:kern w:val="2"/>
                <w:sz w:val="21"/>
                <w:szCs w:val="21"/>
                <w:highlight w:val="none"/>
                <w:lang w:val="en-US" w:eastAsia="zh-CN"/>
              </w:rPr>
              <w:t>2分；</w:t>
            </w:r>
          </w:p>
          <w:p w14:paraId="6B525641">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p>
        </w:tc>
        <w:tc>
          <w:tcPr>
            <w:tcW w:w="615" w:type="dxa"/>
            <w:tcBorders>
              <w:top w:val="single" w:color="auto" w:sz="4" w:space="0"/>
              <w:left w:val="single" w:color="auto" w:sz="4" w:space="0"/>
              <w:bottom w:val="single" w:color="auto" w:sz="4" w:space="0"/>
              <w:right w:val="single" w:color="auto" w:sz="4" w:space="0"/>
            </w:tcBorders>
            <w:noWrap w:val="0"/>
            <w:vAlign w:val="center"/>
          </w:tcPr>
          <w:p w14:paraId="19261FA3">
            <w:pPr>
              <w:pStyle w:val="73"/>
              <w:keepNext w:val="0"/>
              <w:keepLines w:val="0"/>
              <w:suppressLineNumbers w:val="0"/>
              <w:spacing w:before="0" w:beforeAutospacing="0" w:after="0" w:afterAutospacing="0"/>
              <w:ind w:left="0" w:right="0"/>
              <w:rPr>
                <w:rFonts w:hint="default"/>
                <w:kern w:val="2"/>
                <w:sz w:val="21"/>
                <w:szCs w:val="21"/>
                <w:highlight w:val="none"/>
                <w:lang w:val="en-US" w:eastAsia="zh-CN"/>
              </w:rPr>
            </w:pPr>
            <w:r>
              <w:rPr>
                <w:rFonts w:hint="eastAsia"/>
                <w:kern w:val="2"/>
                <w:sz w:val="21"/>
                <w:szCs w:val="21"/>
                <w:highlight w:val="none"/>
                <w:lang w:val="en-US" w:eastAsia="zh-CN"/>
              </w:rPr>
              <w:t>6</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245F3D07">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eastAsia="zh-CN"/>
              </w:rPr>
              <w:t>客</w:t>
            </w:r>
            <w:r>
              <w:rPr>
                <w:rFonts w:hint="eastAsia"/>
                <w:kern w:val="2"/>
                <w:sz w:val="21"/>
                <w:szCs w:val="21"/>
                <w:highlight w:val="none"/>
              </w:rPr>
              <w:t>观项</w:t>
            </w:r>
          </w:p>
        </w:tc>
      </w:tr>
      <w:tr w14:paraId="6FA19B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2B19E58B">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en-US" w:eastAsia="zh-CN"/>
              </w:rPr>
              <w:t>8</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638CFA0">
            <w:pPr>
              <w:pStyle w:val="73"/>
              <w:keepNext w:val="0"/>
              <w:keepLines w:val="0"/>
              <w:suppressLineNumbers w:val="0"/>
              <w:spacing w:before="0" w:beforeAutospacing="0" w:after="0" w:afterAutospacing="0"/>
              <w:ind w:left="0" w:right="0"/>
              <w:rPr>
                <w:rFonts w:hint="eastAsia"/>
                <w:kern w:val="2"/>
                <w:sz w:val="21"/>
                <w:szCs w:val="21"/>
                <w:highlight w:val="none"/>
                <w:lang w:eastAsia="zh-CN"/>
              </w:rPr>
            </w:pPr>
            <w:r>
              <w:rPr>
                <w:rFonts w:hint="eastAsia"/>
                <w:kern w:val="2"/>
                <w:sz w:val="21"/>
                <w:szCs w:val="21"/>
                <w:highlight w:val="none"/>
                <w:lang w:val="zh-CN" w:eastAsia="zh-CN"/>
              </w:rPr>
              <w:t>药品及材料安排计划</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3701A0DF">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rPr>
              <w:t>根据</w:t>
            </w:r>
            <w:r>
              <w:rPr>
                <w:rFonts w:hint="eastAsia"/>
                <w:kern w:val="2"/>
                <w:sz w:val="21"/>
                <w:szCs w:val="21"/>
                <w:highlight w:val="none"/>
                <w:lang w:val="zh-CN"/>
              </w:rPr>
              <w:t>以上要求的药品和材料情况</w:t>
            </w:r>
            <w:r>
              <w:rPr>
                <w:rFonts w:hint="eastAsia"/>
                <w:kern w:val="2"/>
                <w:sz w:val="21"/>
                <w:szCs w:val="21"/>
                <w:highlight w:val="none"/>
              </w:rPr>
              <w:t>，给出得分</w:t>
            </w:r>
            <w:r>
              <w:rPr>
                <w:rFonts w:hint="eastAsia"/>
                <w:kern w:val="2"/>
                <w:sz w:val="21"/>
                <w:szCs w:val="21"/>
                <w:highlight w:val="none"/>
                <w:lang w:eastAsia="zh-CN"/>
              </w:rPr>
              <w:t>，满分</w:t>
            </w:r>
            <w:r>
              <w:rPr>
                <w:rFonts w:hint="eastAsia"/>
                <w:kern w:val="2"/>
                <w:sz w:val="21"/>
                <w:szCs w:val="21"/>
                <w:highlight w:val="none"/>
                <w:lang w:val="en-US" w:eastAsia="zh-CN"/>
              </w:rPr>
              <w:t>5分</w:t>
            </w:r>
            <w:r>
              <w:rPr>
                <w:rFonts w:hint="eastAsia"/>
                <w:kern w:val="2"/>
                <w:sz w:val="21"/>
                <w:szCs w:val="21"/>
                <w:highlight w:val="none"/>
              </w:rPr>
              <w:t>：</w:t>
            </w:r>
          </w:p>
          <w:p w14:paraId="582CB998">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按材料配置表要求，承诺完全可以按照要求提供数量的，得</w:t>
            </w:r>
            <w:r>
              <w:rPr>
                <w:rFonts w:hint="eastAsia"/>
                <w:kern w:val="2"/>
                <w:sz w:val="21"/>
                <w:szCs w:val="21"/>
                <w:highlight w:val="none"/>
                <w:lang w:val="en-US" w:eastAsia="zh-CN"/>
              </w:rPr>
              <w:t>2</w:t>
            </w:r>
            <w:r>
              <w:rPr>
                <w:rFonts w:hint="eastAsia"/>
                <w:kern w:val="2"/>
                <w:sz w:val="21"/>
                <w:szCs w:val="21"/>
                <w:highlight w:val="none"/>
                <w:lang w:val="zh-CN"/>
              </w:rPr>
              <w:t>分；</w:t>
            </w:r>
          </w:p>
          <w:p w14:paraId="14503F98">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超出材料配置表要求的药瓶种类或数量的，每多提供一箱加</w:t>
            </w:r>
            <w:r>
              <w:rPr>
                <w:rFonts w:hint="eastAsia"/>
                <w:kern w:val="2"/>
                <w:sz w:val="21"/>
                <w:szCs w:val="21"/>
                <w:highlight w:val="none"/>
                <w:lang w:val="en-US" w:eastAsia="zh-CN"/>
              </w:rPr>
              <w:t>1分。</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4CE0EB47">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en-US" w:eastAsia="zh-CN"/>
              </w:rPr>
              <w:t>5</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66FB54E1">
            <w:pPr>
              <w:pStyle w:val="73"/>
              <w:keepNext w:val="0"/>
              <w:keepLines w:val="0"/>
              <w:suppressLineNumbers w:val="0"/>
              <w:spacing w:before="0" w:beforeAutospacing="0" w:after="0" w:afterAutospacing="0"/>
              <w:ind w:left="0" w:right="0"/>
              <w:rPr>
                <w:rFonts w:hint="eastAsia"/>
                <w:kern w:val="2"/>
                <w:sz w:val="21"/>
                <w:szCs w:val="21"/>
                <w:highlight w:val="none"/>
                <w:lang w:eastAsia="zh-CN"/>
              </w:rPr>
            </w:pPr>
            <w:r>
              <w:rPr>
                <w:rFonts w:hint="eastAsia"/>
                <w:kern w:val="2"/>
                <w:sz w:val="21"/>
                <w:szCs w:val="21"/>
                <w:highlight w:val="none"/>
                <w:lang w:eastAsia="zh-CN"/>
              </w:rPr>
              <w:t>客观项</w:t>
            </w:r>
          </w:p>
        </w:tc>
      </w:tr>
      <w:tr w14:paraId="76C162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31" w:type="dxa"/>
            <w:gridSpan w:val="5"/>
            <w:tcBorders>
              <w:top w:val="single" w:color="auto" w:sz="4" w:space="0"/>
              <w:left w:val="single" w:color="auto" w:sz="8" w:space="0"/>
              <w:bottom w:val="single" w:color="auto" w:sz="4" w:space="0"/>
              <w:right w:val="single" w:color="auto" w:sz="8" w:space="0"/>
            </w:tcBorders>
            <w:noWrap w:val="0"/>
            <w:vAlign w:val="center"/>
          </w:tcPr>
          <w:p w14:paraId="385D95C5">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lang w:val="zh-CN"/>
              </w:rPr>
              <w:t>（三）商务评分（</w:t>
            </w:r>
            <w:r>
              <w:rPr>
                <w:rFonts w:hint="eastAsia"/>
                <w:kern w:val="2"/>
                <w:sz w:val="21"/>
                <w:szCs w:val="21"/>
                <w:highlight w:val="none"/>
                <w:lang w:val="en-US" w:eastAsia="zh-CN"/>
              </w:rPr>
              <w:t>22</w:t>
            </w:r>
            <w:r>
              <w:rPr>
                <w:rFonts w:hint="eastAsia"/>
                <w:kern w:val="2"/>
                <w:sz w:val="21"/>
                <w:szCs w:val="21"/>
                <w:highlight w:val="none"/>
                <w:lang w:val="zh-CN"/>
              </w:rPr>
              <w:t>分）</w:t>
            </w:r>
          </w:p>
        </w:tc>
      </w:tr>
      <w:tr w14:paraId="604F78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5ECE5F23">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1</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9358FD9">
            <w:pPr>
              <w:pStyle w:val="73"/>
              <w:keepNext w:val="0"/>
              <w:keepLines w:val="0"/>
              <w:suppressLineNumbers w:val="0"/>
              <w:spacing w:before="0" w:beforeAutospacing="0" w:after="0" w:afterAutospacing="0"/>
              <w:ind w:left="0" w:right="0"/>
              <w:rPr>
                <w:rFonts w:hint="eastAsia"/>
                <w:kern w:val="2"/>
                <w:sz w:val="21"/>
                <w:szCs w:val="21"/>
                <w:highlight w:val="none"/>
                <w:lang w:val="zh-CN" w:eastAsia="zh-CN"/>
              </w:rPr>
            </w:pPr>
            <w:r>
              <w:rPr>
                <w:rFonts w:hint="eastAsia"/>
                <w:kern w:val="2"/>
                <w:sz w:val="21"/>
                <w:szCs w:val="21"/>
                <w:highlight w:val="none"/>
                <w:lang w:val="zh-CN"/>
              </w:rPr>
              <w:t>项目经理</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49461CBF">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lang w:val="zh-CN"/>
              </w:rPr>
              <w:t>项目经理为园林专业中级工程师，得</w:t>
            </w:r>
            <w:r>
              <w:rPr>
                <w:rFonts w:hint="eastAsia"/>
                <w:kern w:val="2"/>
                <w:sz w:val="21"/>
                <w:szCs w:val="21"/>
                <w:highlight w:val="none"/>
                <w:lang w:val="en-US" w:eastAsia="zh-CN"/>
              </w:rPr>
              <w:t>0</w:t>
            </w:r>
            <w:r>
              <w:rPr>
                <w:rFonts w:hint="eastAsia"/>
                <w:kern w:val="2"/>
                <w:sz w:val="21"/>
                <w:szCs w:val="21"/>
                <w:highlight w:val="none"/>
                <w:lang w:val="zh-CN"/>
              </w:rPr>
              <w:t>分</w:t>
            </w:r>
            <w:r>
              <w:rPr>
                <w:rFonts w:hint="eastAsia"/>
                <w:kern w:val="2"/>
                <w:sz w:val="21"/>
                <w:szCs w:val="21"/>
                <w:highlight w:val="none"/>
              </w:rPr>
              <w:t>；</w:t>
            </w:r>
          </w:p>
          <w:p w14:paraId="02FD4564">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lang w:val="zh-CN"/>
              </w:rPr>
              <w:t>项目经理为园林专业高级工程师，得</w:t>
            </w:r>
            <w:r>
              <w:rPr>
                <w:rFonts w:hint="eastAsia"/>
                <w:kern w:val="2"/>
                <w:sz w:val="21"/>
                <w:szCs w:val="21"/>
                <w:highlight w:val="none"/>
                <w:lang w:val="en-US" w:eastAsia="zh-CN"/>
              </w:rPr>
              <w:t>4</w:t>
            </w:r>
            <w:r>
              <w:rPr>
                <w:rFonts w:hint="eastAsia"/>
                <w:kern w:val="2"/>
                <w:sz w:val="21"/>
                <w:szCs w:val="21"/>
                <w:highlight w:val="none"/>
                <w:lang w:val="zh-CN"/>
              </w:rPr>
              <w:t>分</w:t>
            </w:r>
            <w:r>
              <w:rPr>
                <w:rFonts w:hint="eastAsia"/>
                <w:kern w:val="2"/>
                <w:sz w:val="21"/>
                <w:szCs w:val="21"/>
                <w:highlight w:val="none"/>
              </w:rPr>
              <w:t>；</w:t>
            </w:r>
            <w:r>
              <w:rPr>
                <w:rFonts w:hint="eastAsia"/>
                <w:kern w:val="2"/>
                <w:sz w:val="21"/>
                <w:szCs w:val="21"/>
                <w:highlight w:val="none"/>
                <w:lang w:val="zh-CN"/>
              </w:rPr>
              <w:t>（以采购文件中加盖供应商公章的证书扫描件为评分依据）。</w:t>
            </w:r>
          </w:p>
          <w:p w14:paraId="0FC8C433">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rPr>
              <w:t>2.</w:t>
            </w:r>
            <w:r>
              <w:rPr>
                <w:rFonts w:hint="eastAsia"/>
                <w:kern w:val="2"/>
                <w:sz w:val="21"/>
                <w:szCs w:val="21"/>
                <w:highlight w:val="none"/>
                <w:lang w:val="zh-CN"/>
              </w:rPr>
              <w:t>项目经理在投标文件截止日前三年内，担任过类似项目经理的，每提供一项业绩得</w:t>
            </w:r>
            <w:r>
              <w:rPr>
                <w:rFonts w:hint="eastAsia"/>
                <w:kern w:val="2"/>
                <w:sz w:val="21"/>
                <w:szCs w:val="21"/>
                <w:highlight w:val="none"/>
              </w:rPr>
              <w:t>2</w:t>
            </w:r>
            <w:r>
              <w:rPr>
                <w:rFonts w:hint="eastAsia"/>
                <w:kern w:val="2"/>
                <w:sz w:val="21"/>
                <w:szCs w:val="21"/>
                <w:highlight w:val="none"/>
                <w:lang w:val="zh-CN"/>
              </w:rPr>
              <w:t>分，最高得</w:t>
            </w:r>
            <w:r>
              <w:rPr>
                <w:rFonts w:hint="eastAsia" w:eastAsia="宋体"/>
                <w:kern w:val="2"/>
                <w:sz w:val="21"/>
                <w:szCs w:val="21"/>
                <w:highlight w:val="none"/>
                <w:lang w:val="en-US" w:eastAsia="zh-CN"/>
              </w:rPr>
              <w:t>4</w:t>
            </w:r>
            <w:r>
              <w:rPr>
                <w:rFonts w:hint="eastAsia"/>
                <w:kern w:val="2"/>
                <w:sz w:val="21"/>
                <w:szCs w:val="21"/>
                <w:highlight w:val="none"/>
                <w:lang w:val="zh-CN"/>
              </w:rPr>
              <w:t>分，无业绩得0分。</w:t>
            </w:r>
          </w:p>
          <w:p w14:paraId="664D19BD">
            <w:pPr>
              <w:pStyle w:val="73"/>
              <w:keepNext w:val="0"/>
              <w:keepLines w:val="0"/>
              <w:suppressLineNumbers w:val="0"/>
              <w:spacing w:before="0" w:beforeAutospacing="0" w:after="0" w:afterAutospacing="0"/>
              <w:ind w:left="0" w:right="0"/>
              <w:rPr>
                <w:rFonts w:hint="eastAsia"/>
                <w:kern w:val="2"/>
                <w:sz w:val="21"/>
                <w:szCs w:val="21"/>
                <w:highlight w:val="none"/>
                <w:lang w:val="zh-CN" w:eastAsia="zh-CN"/>
              </w:rPr>
            </w:pPr>
            <w:r>
              <w:rPr>
                <w:rFonts w:hint="eastAsia"/>
                <w:kern w:val="2"/>
                <w:sz w:val="21"/>
                <w:szCs w:val="21"/>
                <w:highlight w:val="none"/>
                <w:lang w:val="zh-CN"/>
              </w:rPr>
              <w:t>（以投标文件中加盖供应商公章的施工合同扫描件为评分依据）</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5C90B4DE">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en-US" w:eastAsia="zh-CN"/>
              </w:rPr>
              <w:t>8</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63ADB53D">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客观项</w:t>
            </w:r>
          </w:p>
        </w:tc>
      </w:tr>
      <w:tr w14:paraId="17E948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6EAF39A8">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2</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8EFE5BA">
            <w:pPr>
              <w:pStyle w:val="73"/>
              <w:keepNext w:val="0"/>
              <w:keepLines w:val="0"/>
              <w:suppressLineNumbers w:val="0"/>
              <w:spacing w:before="0" w:beforeAutospacing="0" w:after="0" w:afterAutospacing="0"/>
              <w:ind w:left="0" w:right="0"/>
              <w:rPr>
                <w:rFonts w:hint="eastAsia"/>
                <w:kern w:val="2"/>
                <w:sz w:val="21"/>
                <w:szCs w:val="21"/>
                <w:highlight w:val="none"/>
                <w:lang w:val="zh-CN" w:eastAsia="zh-CN"/>
              </w:rPr>
            </w:pPr>
            <w:r>
              <w:rPr>
                <w:rFonts w:hint="eastAsia"/>
                <w:kern w:val="2"/>
                <w:sz w:val="21"/>
                <w:szCs w:val="21"/>
                <w:highlight w:val="none"/>
                <w:lang w:val="zh-CN"/>
              </w:rPr>
              <w:t>技术负责人资格</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19844FC4">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技术负责人全部具有园林专业助理工程师的，得</w:t>
            </w:r>
            <w:r>
              <w:rPr>
                <w:rFonts w:hint="eastAsia"/>
                <w:kern w:val="2"/>
                <w:sz w:val="21"/>
                <w:szCs w:val="21"/>
                <w:highlight w:val="none"/>
                <w:lang w:val="en-US" w:eastAsia="zh-CN"/>
              </w:rPr>
              <w:t>0分；</w:t>
            </w:r>
            <w:r>
              <w:rPr>
                <w:rFonts w:hint="eastAsia"/>
                <w:kern w:val="2"/>
                <w:sz w:val="21"/>
                <w:szCs w:val="21"/>
                <w:highlight w:val="none"/>
                <w:lang w:val="zh-CN"/>
              </w:rPr>
              <w:t>技术负责人每具有一名园林专业中级工程师的及以上资格的，得</w:t>
            </w:r>
            <w:r>
              <w:rPr>
                <w:rFonts w:hint="eastAsia"/>
                <w:kern w:val="2"/>
                <w:sz w:val="21"/>
                <w:szCs w:val="21"/>
                <w:highlight w:val="none"/>
                <w:lang w:val="en-US" w:eastAsia="zh-CN"/>
              </w:rPr>
              <w:t>2</w:t>
            </w:r>
            <w:r>
              <w:rPr>
                <w:rFonts w:hint="eastAsia"/>
                <w:kern w:val="2"/>
                <w:sz w:val="21"/>
                <w:szCs w:val="21"/>
                <w:highlight w:val="none"/>
                <w:lang w:val="zh-CN"/>
              </w:rPr>
              <w:t>分；最高得</w:t>
            </w:r>
            <w:r>
              <w:rPr>
                <w:rFonts w:hint="eastAsia"/>
                <w:kern w:val="2"/>
                <w:sz w:val="21"/>
                <w:szCs w:val="21"/>
                <w:highlight w:val="none"/>
                <w:lang w:val="en-US" w:eastAsia="zh-CN"/>
              </w:rPr>
              <w:t>4分。</w:t>
            </w:r>
          </w:p>
          <w:p w14:paraId="29250783">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（以投标文件中加盖供应商公章的证书扫描件为评分依据）</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0AABB81C">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en-US" w:eastAsia="zh-CN"/>
              </w:rPr>
              <w:t>4</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04C9B490">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客观项</w:t>
            </w:r>
          </w:p>
        </w:tc>
      </w:tr>
      <w:tr w14:paraId="0DA687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46D497AD">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4</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1BDEF25">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经验与业绩</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067B86EB">
            <w:pPr>
              <w:pStyle w:val="73"/>
              <w:keepNext w:val="0"/>
              <w:keepLines w:val="0"/>
              <w:suppressLineNumbers w:val="0"/>
              <w:spacing w:before="0" w:beforeAutospacing="0" w:after="0" w:afterAutospacing="0"/>
              <w:ind w:left="0" w:right="0"/>
              <w:rPr>
                <w:rFonts w:hint="eastAsia"/>
                <w:kern w:val="2"/>
                <w:sz w:val="21"/>
                <w:szCs w:val="21"/>
                <w:highlight w:val="none"/>
                <w:lang w:val="zh-CN"/>
              </w:rPr>
            </w:pPr>
            <w:r>
              <w:rPr>
                <w:rFonts w:hint="eastAsia"/>
                <w:kern w:val="2"/>
                <w:sz w:val="21"/>
                <w:szCs w:val="21"/>
                <w:highlight w:val="none"/>
                <w:lang w:val="zh-CN"/>
              </w:rPr>
              <w:t>投标人递交投标文件截止日前三年内承担的园林绿化养护服务业绩，每提供一项得</w:t>
            </w:r>
            <w:r>
              <w:rPr>
                <w:rFonts w:hint="eastAsia"/>
                <w:kern w:val="2"/>
                <w:sz w:val="21"/>
                <w:szCs w:val="21"/>
                <w:highlight w:val="none"/>
                <w:lang w:val="en-US" w:eastAsia="zh-CN"/>
              </w:rPr>
              <w:t>2</w:t>
            </w:r>
            <w:r>
              <w:rPr>
                <w:rFonts w:hint="eastAsia"/>
                <w:kern w:val="2"/>
                <w:sz w:val="21"/>
                <w:szCs w:val="21"/>
                <w:highlight w:val="none"/>
                <w:lang w:val="zh-CN"/>
              </w:rPr>
              <w:t>分，最高得</w:t>
            </w:r>
            <w:r>
              <w:rPr>
                <w:rFonts w:hint="eastAsia"/>
                <w:kern w:val="2"/>
                <w:sz w:val="21"/>
                <w:szCs w:val="21"/>
                <w:highlight w:val="none"/>
                <w:lang w:val="en-US" w:eastAsia="zh-CN"/>
              </w:rPr>
              <w:t>4</w:t>
            </w:r>
            <w:r>
              <w:rPr>
                <w:rFonts w:hint="eastAsia"/>
                <w:kern w:val="2"/>
                <w:sz w:val="21"/>
                <w:szCs w:val="21"/>
                <w:highlight w:val="none"/>
                <w:lang w:val="zh-CN"/>
              </w:rPr>
              <w:t>分，否则不得分。</w:t>
            </w:r>
          </w:p>
          <w:p w14:paraId="51B971B8">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（以投标文件中加盖供应商公章的施工合同扫描件为评分依据）</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0C9860CC">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en-US" w:eastAsia="zh-CN"/>
              </w:rPr>
              <w:t>4</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21BB681B">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客观项</w:t>
            </w:r>
          </w:p>
        </w:tc>
      </w:tr>
      <w:tr w14:paraId="1BECF8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51" w:type="dxa"/>
            <w:tcBorders>
              <w:top w:val="single" w:color="auto" w:sz="4" w:space="0"/>
              <w:left w:val="single" w:color="auto" w:sz="8" w:space="0"/>
              <w:bottom w:val="single" w:color="auto" w:sz="4" w:space="0"/>
              <w:right w:val="single" w:color="auto" w:sz="4" w:space="0"/>
            </w:tcBorders>
            <w:noWrap w:val="0"/>
            <w:vAlign w:val="center"/>
          </w:tcPr>
          <w:p w14:paraId="73C6FAC6">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5</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DFFE497">
            <w:pPr>
              <w:pStyle w:val="73"/>
              <w:keepNext w:val="0"/>
              <w:keepLines w:val="0"/>
              <w:suppressLineNumbers w:val="0"/>
              <w:spacing w:before="0" w:beforeAutospacing="0" w:after="0" w:afterAutospacing="0"/>
              <w:ind w:left="0" w:right="0"/>
              <w:rPr>
                <w:rFonts w:hint="default" w:eastAsia="宋体"/>
                <w:kern w:val="2"/>
                <w:sz w:val="21"/>
                <w:szCs w:val="21"/>
                <w:highlight w:val="none"/>
                <w:lang w:val="en-US" w:eastAsia="zh-CN"/>
              </w:rPr>
            </w:pPr>
            <w:r>
              <w:rPr>
                <w:rFonts w:hint="eastAsia" w:eastAsia="宋体"/>
                <w:kern w:val="2"/>
                <w:sz w:val="21"/>
                <w:szCs w:val="21"/>
                <w:highlight w:val="none"/>
                <w:lang w:val="en-US" w:eastAsia="zh-CN"/>
              </w:rPr>
              <w:t>服务承诺</w:t>
            </w:r>
          </w:p>
        </w:tc>
        <w:tc>
          <w:tcPr>
            <w:tcW w:w="4580" w:type="dxa"/>
            <w:tcBorders>
              <w:top w:val="single" w:color="auto" w:sz="4" w:space="0"/>
              <w:left w:val="single" w:color="auto" w:sz="4" w:space="0"/>
              <w:bottom w:val="single" w:color="auto" w:sz="4" w:space="0"/>
              <w:right w:val="single" w:color="auto" w:sz="4" w:space="0"/>
            </w:tcBorders>
            <w:noWrap w:val="0"/>
            <w:vAlign w:val="center"/>
          </w:tcPr>
          <w:p w14:paraId="0A263DA9">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lang w:val="zh-CN"/>
              </w:rPr>
              <w:t>服务承诺基本完善、基本真实可行得</w:t>
            </w:r>
            <w:r>
              <w:rPr>
                <w:rFonts w:hint="eastAsia" w:eastAsia="宋体"/>
                <w:kern w:val="2"/>
                <w:sz w:val="21"/>
                <w:szCs w:val="21"/>
                <w:highlight w:val="none"/>
                <w:lang w:val="en-US" w:eastAsia="zh-CN"/>
              </w:rPr>
              <w:t>6</w:t>
            </w:r>
            <w:r>
              <w:rPr>
                <w:rFonts w:hint="eastAsia"/>
                <w:kern w:val="2"/>
                <w:sz w:val="21"/>
                <w:szCs w:val="21"/>
                <w:highlight w:val="none"/>
                <w:lang w:val="zh-CN"/>
              </w:rPr>
              <w:t>-</w:t>
            </w:r>
            <w:r>
              <w:rPr>
                <w:rFonts w:hint="eastAsia" w:eastAsia="宋体"/>
                <w:kern w:val="2"/>
                <w:sz w:val="21"/>
                <w:szCs w:val="21"/>
                <w:highlight w:val="none"/>
                <w:lang w:val="en-US" w:eastAsia="zh-CN"/>
              </w:rPr>
              <w:t>4</w:t>
            </w:r>
            <w:r>
              <w:rPr>
                <w:rFonts w:hint="eastAsia"/>
                <w:kern w:val="2"/>
                <w:sz w:val="21"/>
                <w:szCs w:val="21"/>
                <w:highlight w:val="none"/>
                <w:lang w:val="zh-CN"/>
              </w:rPr>
              <w:t>分；服务承诺有，但缺项得</w:t>
            </w:r>
            <w:r>
              <w:rPr>
                <w:rFonts w:hint="eastAsia" w:eastAsia="宋体"/>
                <w:kern w:val="2"/>
                <w:sz w:val="21"/>
                <w:szCs w:val="21"/>
                <w:highlight w:val="none"/>
                <w:lang w:val="en-US" w:eastAsia="zh-CN"/>
              </w:rPr>
              <w:t>3</w:t>
            </w:r>
            <w:r>
              <w:rPr>
                <w:rFonts w:hint="eastAsia"/>
                <w:kern w:val="2"/>
                <w:sz w:val="21"/>
                <w:szCs w:val="21"/>
                <w:highlight w:val="none"/>
                <w:lang w:val="zh-CN"/>
              </w:rPr>
              <w:t>-</w:t>
            </w:r>
            <w:r>
              <w:rPr>
                <w:rFonts w:hint="eastAsia" w:eastAsia="宋体"/>
                <w:kern w:val="2"/>
                <w:sz w:val="21"/>
                <w:szCs w:val="21"/>
                <w:highlight w:val="none"/>
                <w:lang w:val="en-US" w:eastAsia="zh-CN"/>
              </w:rPr>
              <w:t>1</w:t>
            </w:r>
            <w:r>
              <w:rPr>
                <w:rFonts w:hint="eastAsia"/>
                <w:kern w:val="2"/>
                <w:sz w:val="21"/>
                <w:szCs w:val="21"/>
                <w:highlight w:val="none"/>
                <w:lang w:val="zh-CN"/>
              </w:rPr>
              <w:t>分；无该服务承诺得0分。</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47AF9A26">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6</w:t>
            </w:r>
          </w:p>
        </w:tc>
        <w:tc>
          <w:tcPr>
            <w:tcW w:w="1042" w:type="dxa"/>
            <w:tcBorders>
              <w:top w:val="single" w:color="auto" w:sz="4" w:space="0"/>
              <w:left w:val="single" w:color="auto" w:sz="4" w:space="0"/>
              <w:bottom w:val="single" w:color="auto" w:sz="4" w:space="0"/>
              <w:right w:val="single" w:color="auto" w:sz="8" w:space="0"/>
            </w:tcBorders>
            <w:noWrap w:val="0"/>
            <w:vAlign w:val="center"/>
          </w:tcPr>
          <w:p w14:paraId="07137B04">
            <w:pPr>
              <w:pStyle w:val="73"/>
              <w:keepNext w:val="0"/>
              <w:keepLines w:val="0"/>
              <w:suppressLineNumbers w:val="0"/>
              <w:spacing w:before="0" w:beforeAutospacing="0" w:after="0" w:afterAutospacing="0"/>
              <w:ind w:left="0" w:right="0"/>
              <w:rPr>
                <w:rFonts w:hint="eastAsia"/>
                <w:kern w:val="2"/>
                <w:sz w:val="21"/>
                <w:szCs w:val="21"/>
                <w:highlight w:val="none"/>
                <w:lang w:val="en-US" w:eastAsia="zh-CN"/>
              </w:rPr>
            </w:pPr>
            <w:r>
              <w:rPr>
                <w:rFonts w:hint="eastAsia"/>
                <w:kern w:val="2"/>
                <w:sz w:val="21"/>
                <w:szCs w:val="21"/>
                <w:highlight w:val="none"/>
              </w:rPr>
              <w:t>客观项</w:t>
            </w:r>
          </w:p>
        </w:tc>
      </w:tr>
      <w:tr w14:paraId="1D0800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31" w:type="dxa"/>
            <w:gridSpan w:val="5"/>
            <w:tcBorders>
              <w:top w:val="single" w:color="auto" w:sz="4" w:space="0"/>
              <w:left w:val="single" w:color="auto" w:sz="8" w:space="0"/>
              <w:bottom w:val="single" w:color="auto" w:sz="8" w:space="0"/>
              <w:right w:val="single" w:color="auto" w:sz="8" w:space="0"/>
            </w:tcBorders>
            <w:noWrap w:val="0"/>
            <w:vAlign w:val="center"/>
          </w:tcPr>
          <w:p w14:paraId="7D355DA1">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rPr>
              <w:t>说明：</w:t>
            </w:r>
          </w:p>
          <w:p w14:paraId="3DA010B8">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rPr>
              <w:t>1、评分标准中有分值区间的，包含区间上限本数，不含下限本数。</w:t>
            </w:r>
          </w:p>
          <w:p w14:paraId="29CC8AB7">
            <w:pPr>
              <w:pStyle w:val="73"/>
              <w:keepNext w:val="0"/>
              <w:keepLines w:val="0"/>
              <w:suppressLineNumbers w:val="0"/>
              <w:spacing w:before="0" w:beforeAutospacing="0" w:after="0" w:afterAutospacing="0"/>
              <w:ind w:left="0" w:right="0"/>
              <w:rPr>
                <w:rFonts w:hint="eastAsia"/>
                <w:kern w:val="2"/>
                <w:sz w:val="21"/>
                <w:szCs w:val="21"/>
                <w:highlight w:val="none"/>
              </w:rPr>
            </w:pPr>
            <w:r>
              <w:rPr>
                <w:rFonts w:hint="eastAsia"/>
                <w:kern w:val="2"/>
                <w:sz w:val="21"/>
                <w:szCs w:val="21"/>
                <w:highlight w:val="none"/>
              </w:rPr>
              <w:t>2、评分因素有时间限制（如投标截止日前三年内）的，所提供的合同、证书、证明等材料的时间，以签署日期、颁发日期或出具日期为准。</w:t>
            </w:r>
          </w:p>
          <w:p w14:paraId="2F328BDD">
            <w:pPr>
              <w:pStyle w:val="73"/>
              <w:keepNext w:val="0"/>
              <w:keepLines w:val="0"/>
              <w:suppressLineNumbers w:val="0"/>
              <w:spacing w:before="0" w:beforeAutospacing="0" w:after="0" w:afterAutospacing="0"/>
              <w:ind w:left="0" w:right="0"/>
              <w:rPr>
                <w:rFonts w:hint="eastAsia"/>
                <w:kern w:val="2"/>
                <w:sz w:val="21"/>
                <w:szCs w:val="21"/>
                <w:highlight w:val="none"/>
              </w:rPr>
            </w:pPr>
          </w:p>
        </w:tc>
      </w:tr>
    </w:tbl>
    <w:p w14:paraId="6B55BDFB">
      <w:pPr>
        <w:pStyle w:val="73"/>
        <w:rPr>
          <w:rFonts w:hint="eastAsia"/>
          <w:highlight w:val="none"/>
        </w:rPr>
      </w:pPr>
    </w:p>
    <w:p w14:paraId="7980D1BF">
      <w:pPr>
        <w:numPr>
          <w:ilvl w:val="0"/>
          <w:numId w:val="5"/>
        </w:numPr>
        <w:autoSpaceDE w:val="0"/>
        <w:autoSpaceDN w:val="0"/>
        <w:adjustRightInd w:val="0"/>
        <w:spacing w:line="360" w:lineRule="auto"/>
        <w:jc w:val="left"/>
        <w:rPr>
          <w:rFonts w:hint="eastAsia" w:ascii="宋体" w:hAnsi="宋体" w:cs="宋体"/>
          <w:color w:val="000000"/>
          <w:szCs w:val="21"/>
          <w:highlight w:val="none"/>
          <w:lang w:val="zh-CN"/>
        </w:rPr>
      </w:pPr>
      <w:r>
        <w:rPr>
          <w:rFonts w:hint="eastAsia" w:ascii="宋体" w:hAnsi="宋体" w:cs="宋体"/>
          <w:color w:val="000000"/>
          <w:szCs w:val="21"/>
          <w:highlight w:val="none"/>
          <w:lang w:val="zh-CN"/>
        </w:rPr>
        <w:t>评标方法说明</w:t>
      </w:r>
    </w:p>
    <w:p w14:paraId="49FA96AB">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1.评委会：依法组建评标委员会。评委会成员人数为5人或5人以上单数。</w:t>
      </w:r>
    </w:p>
    <w:p w14:paraId="7B2D0E31">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2.评审原则：公平、公正、科学、择优的原则。</w:t>
      </w:r>
    </w:p>
    <w:p w14:paraId="61AC80A4">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3.评标方法：综合评分法。</w:t>
      </w:r>
    </w:p>
    <w:p w14:paraId="326D2CCD">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综合评分法，是指投标文件满足招标文件全部实质性要求，且按照评审因素的量化指标评审得分最高的投标人为中标候选人的评标方法。根据投标报价、商务、技术等进行综合打分，满分100分。价格因素并不作为中标的唯一依据。</w:t>
      </w:r>
    </w:p>
    <w:p w14:paraId="2D03B903">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4.评审程序：初步评审/详细评审/推荐中标候选人</w:t>
      </w:r>
    </w:p>
    <w:p w14:paraId="50484DAB">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4.1初步评审：资格审查由采购人或采购代理机构依据《初步评审表》规定的标准对投标文件进行审查。不具备招标文件中规定的资格要求的，投标无效。合格投标人不足3家的，不得评标。</w:t>
      </w:r>
    </w:p>
    <w:p w14:paraId="3DC5891C">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4.2详细评审：评标委员会按《评标办法前附表二》规定的量化因素和分值进行打分，并计算出综合评估得分。评分分值计算保留小数点后两位，小数点后第三位“四舍五入”。</w:t>
      </w:r>
    </w:p>
    <w:p w14:paraId="60865086">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4.3推荐中标候选人</w:t>
      </w:r>
    </w:p>
    <w:p w14:paraId="4E559FA8">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4.4.1汇总各评委得分，投标人最终得分按各位评委打分平均值计取，保留小数点后两位。评标结果按评审后得分由高到低顺序排列。得分相同的，按投标报价由低到高顺序排列。得分且投标报价相同的并列。中标候选人并列的，则按技术评分得分由高到低排序。如技术评分得分相同，按商务评分得分由高到低排列；如商务评分相同的，按节约能源、环境保护产品价格比重由大到小顺序排列；以上均相同的，由评标委员会采取随机抽取方式确定。评委会按照评标结果排列顺序确定前三名的依次为第一中标候选人、第二中标候选人和第三中标候选人。</w:t>
      </w:r>
    </w:p>
    <w:p w14:paraId="5C1E9E4F">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4.4.2评标委员会成员对需要共同认定的事项存在争议的，应当按照少数服从多数的原则作出结论。持不同意见的评标委员会成员应当在评标报告上签署不同意见及理由，否则视为同意评标报告。</w:t>
      </w:r>
    </w:p>
    <w:p w14:paraId="1DEA825E">
      <w:pPr>
        <w:autoSpaceDE w:val="0"/>
        <w:autoSpaceDN w:val="0"/>
        <w:adjustRightInd w:val="0"/>
        <w:spacing w:line="360" w:lineRule="auto"/>
        <w:jc w:val="left"/>
        <w:rPr>
          <w:rFonts w:hint="eastAsia" w:ascii="宋体" w:hAnsi="宋体" w:cs="宋体"/>
          <w:bCs/>
          <w:color w:val="000000"/>
          <w:szCs w:val="21"/>
          <w:highlight w:val="none"/>
          <w:lang w:val="zh-CN"/>
        </w:rPr>
      </w:pPr>
      <w:r>
        <w:rPr>
          <w:rFonts w:hint="eastAsia" w:ascii="宋体" w:hAnsi="宋体" w:cs="宋体"/>
          <w:bCs/>
          <w:color w:val="000000"/>
          <w:szCs w:val="21"/>
          <w:highlight w:val="none"/>
        </w:rPr>
        <w:t>5、</w:t>
      </w:r>
      <w:r>
        <w:rPr>
          <w:rFonts w:hint="eastAsia" w:ascii="宋体" w:hAnsi="宋体" w:cs="宋体"/>
          <w:bCs/>
          <w:color w:val="000000"/>
          <w:szCs w:val="21"/>
          <w:highlight w:val="none"/>
          <w:lang w:val="zh-CN"/>
        </w:rPr>
        <w:t>政府采购政策落实：</w:t>
      </w:r>
    </w:p>
    <w:p w14:paraId="0101E387">
      <w:pPr>
        <w:autoSpaceDE w:val="0"/>
        <w:autoSpaceDN w:val="0"/>
        <w:adjustRightInd w:val="0"/>
        <w:spacing w:line="360" w:lineRule="auto"/>
        <w:ind w:firstLine="411" w:firstLineChars="196"/>
        <w:jc w:val="left"/>
        <w:rPr>
          <w:rFonts w:hint="eastAsia" w:ascii="宋体" w:hAnsi="宋体" w:cs="宋体"/>
          <w:szCs w:val="21"/>
          <w:highlight w:val="none"/>
        </w:rPr>
      </w:pPr>
      <w:r>
        <w:rPr>
          <w:rFonts w:hint="eastAsia" w:ascii="宋体" w:hAnsi="宋体" w:cs="宋体"/>
          <w:szCs w:val="21"/>
          <w:highlight w:val="none"/>
        </w:rPr>
        <w:t>备注：评标委员会在评审时，将按下列规定计算价格扣除（并按扣除后价格作为参与评审价格）：</w:t>
      </w:r>
    </w:p>
    <w:p w14:paraId="7108A11F">
      <w:pPr>
        <w:autoSpaceDE w:val="0"/>
        <w:autoSpaceDN w:val="0"/>
        <w:adjustRightInd w:val="0"/>
        <w:spacing w:line="360" w:lineRule="auto"/>
        <w:rPr>
          <w:rFonts w:hint="eastAsia" w:ascii="宋体" w:hAnsi="宋体" w:cs="宋体"/>
          <w:szCs w:val="21"/>
          <w:highlight w:val="none"/>
        </w:rPr>
      </w:pPr>
      <w:r>
        <w:rPr>
          <w:rFonts w:hint="eastAsia" w:ascii="宋体" w:hAnsi="宋体" w:cs="宋体"/>
          <w:szCs w:val="21"/>
          <w:highlight w:val="none"/>
        </w:rPr>
        <w:t>（1）对于列入财政部、发展改革委、生态环境部发布的《环境标志产品品目清单》的产品，对其投标价格给予3%的价格扣除，并按照扣除后的价格参加评审。采购项目或者分包中既包含环境标志产品也包含非环境标志产品的，只对列入《环境标志产品品目清单》的产品按其在总报价中所占的比例给予价格扣除。</w:t>
      </w:r>
    </w:p>
    <w:p w14:paraId="4761CDC8">
      <w:pPr>
        <w:autoSpaceDE w:val="0"/>
        <w:autoSpaceDN w:val="0"/>
        <w:adjustRightInd w:val="0"/>
        <w:spacing w:line="360" w:lineRule="auto"/>
        <w:rPr>
          <w:rFonts w:hint="eastAsia" w:ascii="宋体" w:hAnsi="宋体" w:cs="宋体"/>
          <w:szCs w:val="21"/>
          <w:highlight w:val="none"/>
        </w:rPr>
      </w:pPr>
      <w:r>
        <w:rPr>
          <w:rFonts w:hint="eastAsia" w:ascii="宋体" w:hAnsi="宋体" w:cs="宋体"/>
          <w:szCs w:val="21"/>
          <w:highlight w:val="none"/>
        </w:rPr>
        <w:t>（2）对于列入财政部、发展改革委、生态环境部发布的《节能产品品目清单》但不属于国家强制采购的产品，对其投标价格给予3%的价格扣除，并按照扣除后的价格参加评审。采购项目或者分包中既包含节能产品也包含非节能产品的，只对列入《节能产品品目清单》但不属于国家强制采购的产品按其在总报价中所占的比例给予价格扣除。</w:t>
      </w:r>
    </w:p>
    <w:p w14:paraId="17A39372">
      <w:pPr>
        <w:autoSpaceDE w:val="0"/>
        <w:autoSpaceDN w:val="0"/>
        <w:adjustRightInd w:val="0"/>
        <w:spacing w:line="360" w:lineRule="auto"/>
        <w:rPr>
          <w:rFonts w:hint="eastAsia" w:ascii="宋体" w:hAnsi="宋体" w:cs="宋体"/>
          <w:szCs w:val="21"/>
          <w:highlight w:val="none"/>
        </w:rPr>
      </w:pPr>
      <w:r>
        <w:rPr>
          <w:rFonts w:hint="eastAsia" w:ascii="宋体" w:hAnsi="宋体" w:cs="宋体"/>
          <w:szCs w:val="21"/>
          <w:highlight w:val="none"/>
        </w:rPr>
        <w:t>（3）对于列入财政部、国家发改委、信息产业部发布的《无线局域网认证产品政府采购清单》的产品，对其投标价格给予3%的价格扣除，并按扣除后的价格参加评审。采购项目或者分包中既包含清单中产品也包含非清单中产品的，只对列入清单的产品按其在总报价中所占的比例给予价格扣除。</w:t>
      </w:r>
    </w:p>
    <w:p w14:paraId="26A006A2">
      <w:pPr>
        <w:autoSpaceDE w:val="0"/>
        <w:autoSpaceDN w:val="0"/>
        <w:adjustRightInd w:val="0"/>
        <w:spacing w:line="360" w:lineRule="auto"/>
        <w:rPr>
          <w:rFonts w:hint="eastAsia" w:ascii="宋体" w:hAnsi="宋体" w:cs="宋体"/>
          <w:szCs w:val="21"/>
          <w:highlight w:val="none"/>
        </w:rPr>
      </w:pPr>
      <w:r>
        <w:rPr>
          <w:rFonts w:hint="eastAsia" w:ascii="宋体" w:hAnsi="宋体" w:cs="宋体"/>
          <w:szCs w:val="21"/>
          <w:highlight w:val="none"/>
        </w:rPr>
        <w:t>（4）投标产品同时列入上述多个清单的，将上述规定的价格扣除比例叠加后计算价格扣除。</w:t>
      </w:r>
    </w:p>
    <w:p w14:paraId="18ECC59B">
      <w:pPr>
        <w:autoSpaceDE w:val="0"/>
        <w:autoSpaceDN w:val="0"/>
        <w:adjustRightInd w:val="0"/>
        <w:spacing w:line="360" w:lineRule="auto"/>
        <w:rPr>
          <w:rFonts w:ascii="宋体" w:hAnsi="宋体" w:cs="宋体"/>
          <w:szCs w:val="21"/>
          <w:highlight w:val="none"/>
        </w:rPr>
      </w:pPr>
      <w:r>
        <w:rPr>
          <w:rFonts w:hint="eastAsia" w:ascii="宋体" w:hAnsi="宋体" w:cs="宋体"/>
          <w:szCs w:val="21"/>
          <w:highlight w:val="none"/>
        </w:rPr>
        <w:t>（5）根据财库【2020】46号文件规定，对小型和微型企业的投标报价给予10%的价格扣除，并按照扣除后的价格参加评审。专门面对中小企业采购的项目不适用本项目。不给予价格扣除。</w:t>
      </w:r>
    </w:p>
    <w:p w14:paraId="0AAC1A99">
      <w:pPr>
        <w:autoSpaceDE w:val="0"/>
        <w:autoSpaceDN w:val="0"/>
        <w:adjustRightInd w:val="0"/>
        <w:spacing w:line="360" w:lineRule="auto"/>
        <w:rPr>
          <w:rFonts w:hint="eastAsia" w:ascii="宋体" w:hAnsi="宋体" w:cs="宋体"/>
          <w:szCs w:val="21"/>
          <w:highlight w:val="none"/>
        </w:rPr>
      </w:pPr>
      <w:r>
        <w:rPr>
          <w:rFonts w:hint="eastAsia" w:ascii="宋体" w:hAnsi="宋体" w:cs="宋体"/>
          <w:szCs w:val="21"/>
          <w:highlight w:val="none"/>
        </w:rPr>
        <w:t>（6）《财政部司法部关于政府采购支持监狱企业发展有关问题的通知》文件规定，在政府采购活动中，监狱企业视同小型、微型企业，享受预留份额、评审中价格扣除等政府采购促进中小企业发展的政府采购政策。对监狱企业的投标报价给予3%的价格扣除，并按照扣除后的价格参加评审。</w:t>
      </w:r>
    </w:p>
    <w:p w14:paraId="1A208C14">
      <w:pPr>
        <w:autoSpaceDE w:val="0"/>
        <w:autoSpaceDN w:val="0"/>
        <w:adjustRightInd w:val="0"/>
        <w:spacing w:line="360" w:lineRule="auto"/>
        <w:rPr>
          <w:rFonts w:hint="eastAsia" w:ascii="宋体" w:hAnsi="宋体" w:cs="宋体"/>
          <w:szCs w:val="21"/>
          <w:highlight w:val="none"/>
        </w:rPr>
      </w:pPr>
      <w:r>
        <w:rPr>
          <w:rFonts w:hint="eastAsia" w:ascii="宋体" w:hAnsi="宋体" w:cs="宋体"/>
          <w:szCs w:val="21"/>
          <w:highlight w:val="none"/>
        </w:rPr>
        <w:t>（7）《关于促进残疾人就业政府采购政策的通知》（财库〔2017〕141号），在政府采购活动中，残疾人福利性单位视同小型、微型企业，对残疾人福利性单位的投标报价给予3%的价格扣除，并按照扣除后的价格参评加审。</w:t>
      </w:r>
    </w:p>
    <w:p w14:paraId="55CF4AFE">
      <w:pPr>
        <w:autoSpaceDE w:val="0"/>
        <w:autoSpaceDN w:val="0"/>
        <w:adjustRightInd w:val="0"/>
        <w:spacing w:line="360" w:lineRule="auto"/>
        <w:rPr>
          <w:rFonts w:hint="eastAsia" w:ascii="宋体" w:hAnsi="宋体" w:cs="宋体"/>
          <w:szCs w:val="21"/>
          <w:highlight w:val="none"/>
        </w:rPr>
      </w:pPr>
      <w:r>
        <w:rPr>
          <w:rFonts w:hint="eastAsia" w:ascii="宋体" w:hAnsi="宋体" w:cs="宋体"/>
          <w:szCs w:val="21"/>
          <w:highlight w:val="none"/>
        </w:rPr>
        <w:t>（8）价格扣除的依据：第（1）至（4）条提供投标货物相关认证证书或证明材料复印件加盖投标人公章。第（5）条提供中小企业声明函（格式参照财库【2020】46号文件规定格式）原件，第（6）条应当提供由省级以上监狱管理局、戒毒管理局(含新疆生产建设兵团)出具的属于监狱企业的证明文件原件。第（7）条执行财库〔2017〕141号文件规定，第（5）条与第（6）条、第（7）条政策不能叠加扣除。</w:t>
      </w:r>
    </w:p>
    <w:p w14:paraId="51C49F74">
      <w:pPr>
        <w:spacing w:line="360" w:lineRule="auto"/>
        <w:rPr>
          <w:rFonts w:hint="eastAsia" w:ascii="宋体" w:hAnsi="宋体" w:cs="宋体"/>
          <w:szCs w:val="21"/>
          <w:highlight w:val="none"/>
        </w:rPr>
      </w:pPr>
      <w:r>
        <w:rPr>
          <w:rFonts w:hint="eastAsia" w:ascii="宋体" w:hAnsi="宋体" w:cs="宋体"/>
          <w:szCs w:val="21"/>
          <w:highlight w:val="none"/>
        </w:rPr>
        <w:t>（9）中小企业认定标准：工信部联企业【2011】300号</w:t>
      </w:r>
    </w:p>
    <w:p w14:paraId="5B2CA2D5">
      <w:pPr>
        <w:spacing w:line="360" w:lineRule="auto"/>
        <w:rPr>
          <w:rFonts w:hint="eastAsia" w:ascii="宋体" w:hAnsi="宋体" w:cs="宋体"/>
          <w:highlight w:val="none"/>
        </w:rPr>
      </w:pPr>
      <w:r>
        <w:rPr>
          <w:rFonts w:hint="eastAsia" w:ascii="宋体" w:hAnsi="宋体" w:cs="宋体"/>
          <w:highlight w:val="none"/>
        </w:rPr>
        <w:t>本项目为服务类项目，以上条款，挑选适合本项目的予以应用。</w:t>
      </w:r>
    </w:p>
    <w:p w14:paraId="4417726B">
      <w:pPr>
        <w:pStyle w:val="73"/>
        <w:rPr>
          <w:rFonts w:hint="eastAsia" w:eastAsia="宋体"/>
          <w:highlight w:val="none"/>
        </w:rPr>
      </w:pPr>
    </w:p>
    <w:p w14:paraId="395B9817">
      <w:pPr>
        <w:pStyle w:val="73"/>
        <w:rPr>
          <w:rFonts w:hint="eastAsia" w:eastAsia="宋体"/>
          <w:highlight w:val="none"/>
        </w:rPr>
      </w:pPr>
    </w:p>
    <w:p w14:paraId="2441DB1F">
      <w:pPr>
        <w:jc w:val="center"/>
        <w:rPr>
          <w:rFonts w:hint="eastAsia" w:ascii="宋体" w:hAnsi="宋体"/>
          <w:b/>
          <w:bCs/>
          <w:sz w:val="28"/>
          <w:szCs w:val="28"/>
          <w:highlight w:val="none"/>
        </w:rPr>
      </w:pPr>
      <w:bookmarkStart w:id="60" w:name="_Toc230599467"/>
    </w:p>
    <w:p w14:paraId="0A2F5C9B">
      <w:pPr>
        <w:jc w:val="center"/>
        <w:rPr>
          <w:rFonts w:hint="eastAsia" w:ascii="宋体" w:hAnsi="宋体"/>
          <w:b/>
          <w:bCs/>
          <w:sz w:val="28"/>
          <w:szCs w:val="28"/>
          <w:highlight w:val="none"/>
        </w:rPr>
      </w:pPr>
    </w:p>
    <w:p w14:paraId="79EE5A0E">
      <w:pPr>
        <w:jc w:val="center"/>
        <w:rPr>
          <w:rFonts w:hint="eastAsia" w:ascii="宋体" w:hAnsi="宋体"/>
          <w:b/>
          <w:bCs/>
          <w:sz w:val="28"/>
          <w:szCs w:val="28"/>
          <w:highlight w:val="none"/>
        </w:rPr>
      </w:pPr>
    </w:p>
    <w:p w14:paraId="5688971F">
      <w:pPr>
        <w:jc w:val="center"/>
        <w:rPr>
          <w:rFonts w:hint="eastAsia" w:ascii="宋体" w:hAnsi="宋体"/>
          <w:b/>
          <w:bCs/>
          <w:sz w:val="28"/>
          <w:szCs w:val="28"/>
          <w:highlight w:val="none"/>
        </w:rPr>
      </w:pPr>
    </w:p>
    <w:p w14:paraId="7522D02A">
      <w:pPr>
        <w:jc w:val="center"/>
        <w:rPr>
          <w:rFonts w:ascii="宋体" w:hAnsi="宋体"/>
          <w:b/>
          <w:bCs/>
          <w:sz w:val="28"/>
          <w:szCs w:val="28"/>
          <w:highlight w:val="none"/>
        </w:rPr>
      </w:pPr>
      <w:r>
        <w:rPr>
          <w:rFonts w:hint="eastAsia" w:ascii="宋体" w:hAnsi="宋体"/>
          <w:b/>
          <w:bCs/>
          <w:sz w:val="28"/>
          <w:szCs w:val="28"/>
          <w:highlight w:val="none"/>
        </w:rPr>
        <w:t>无效投标（报价）文件的认定</w:t>
      </w:r>
    </w:p>
    <w:p w14:paraId="67037FFC">
      <w:pPr>
        <w:spacing w:line="360" w:lineRule="auto"/>
        <w:rPr>
          <w:rFonts w:ascii="宋体" w:hAnsi="宋体"/>
          <w:szCs w:val="21"/>
          <w:highlight w:val="none"/>
        </w:rPr>
      </w:pPr>
    </w:p>
    <w:p w14:paraId="389FA731">
      <w:pPr>
        <w:jc w:val="center"/>
        <w:rPr>
          <w:rFonts w:ascii="宋体" w:hAnsi="宋体"/>
          <w:b/>
          <w:bCs/>
          <w:sz w:val="28"/>
          <w:szCs w:val="28"/>
          <w:highlight w:val="none"/>
        </w:rPr>
      </w:pPr>
    </w:p>
    <w:p w14:paraId="4905AF61">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1、开启标书前，经确认存在下列情况之一的投标（报价）供应商将被取消投标（报价）资格并退回投标（报价）文件：</w:t>
      </w:r>
    </w:p>
    <w:p w14:paraId="6E9DABF5">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 xml:space="preserve">1.1  投标（报价）供应商法定代表人或其授权委托人未按时参加开标会议（已明确不需要参加的除外）； </w:t>
      </w:r>
    </w:p>
    <w:p w14:paraId="5599A8A6">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1.2  投标（报价）文件未能于投标（报价）截止之前递交至指定地点及指定接收人；</w:t>
      </w:r>
    </w:p>
    <w:p w14:paraId="1117E232">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1.3  投标（报价）供应商未按招标文件要求提交</w:t>
      </w:r>
    </w:p>
    <w:p w14:paraId="3F685F3B">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1.4  投标（报价）文件未密封；</w:t>
      </w:r>
    </w:p>
    <w:p w14:paraId="71645D57">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1.5法律、法规规定的其它情形；</w:t>
      </w:r>
    </w:p>
    <w:p w14:paraId="0103A312">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2、开启标书后，经评标机构或招标人委托的工作人员确认有下列情况之一的为无效投标（报价）文件：</w:t>
      </w:r>
    </w:p>
    <w:p w14:paraId="407B4521">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2.1  投标（报价）文件未经投标（报价）供应商法定代表人（法定代表人委托代理人）签署（暗标除外）或未加盖投标（报价）供应商法人章（暗标除外）；</w:t>
      </w:r>
    </w:p>
    <w:p w14:paraId="6BEEF570">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 xml:space="preserve">2.2  投标（报价）文件明显不符合招标文件规定的报价、工期、质量标准、技术规格、技术标准或其它实质性要求； </w:t>
      </w:r>
    </w:p>
    <w:p w14:paraId="679F5962">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2.3  组成联合体投标（报价）的供应商未附《联合体各方共同投标（报价）协议书》；</w:t>
      </w:r>
    </w:p>
    <w:p w14:paraId="39EDB5B9">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2.4  投标（报价）文件正本或副本数目不足，重要内容不全或关键字迹模糊不清；</w:t>
      </w:r>
    </w:p>
    <w:p w14:paraId="694AFDA0">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2.5不同投标（报价）供应商的投标（报价）文件内容、数据大量雷同，或有其它明显串通投标（报价）行为；</w:t>
      </w:r>
    </w:p>
    <w:p w14:paraId="0DAB8256">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2.6投标（报价）文件中存在采购单位不能接受的其它实质性条件或提供虚假文件；</w:t>
      </w:r>
    </w:p>
    <w:p w14:paraId="21CBBC2A">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2.7投标（报价）供应商拒绝对细微偏差做出补正；</w:t>
      </w:r>
    </w:p>
    <w:p w14:paraId="4AFEFE8D">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2.8投标（报价）文件中的其它重大偏差；</w:t>
      </w:r>
    </w:p>
    <w:p w14:paraId="7F2CA40B">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2.9法律、法规规定的其它情形；</w:t>
      </w:r>
    </w:p>
    <w:p w14:paraId="186749DB">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3、评标委员会必须严格按照以上标准认定无效投标（报价）文件，不得使用除此之外的标准作为认定无效投标（报价）文件的依据。</w:t>
      </w:r>
    </w:p>
    <w:p w14:paraId="7F94D6F7">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4、经确认的无效投标（报价）文件，采购代理机构将予以拒绝，并且不允许投标（报价）供应商通过修正或撤消其不符合要求的差异，使之成为具有符合性的投标（报价）文件。</w:t>
      </w:r>
    </w:p>
    <w:p w14:paraId="2729AD1F">
      <w:pPr>
        <w:pStyle w:val="35"/>
        <w:widowControl w:val="0"/>
        <w:adjustRightInd w:val="0"/>
        <w:snapToGrid w:val="0"/>
        <w:spacing w:before="0" w:beforeAutospacing="0" w:after="0" w:afterAutospacing="0" w:line="360" w:lineRule="auto"/>
        <w:ind w:firstLine="420" w:firstLineChars="200"/>
        <w:rPr>
          <w:kern w:val="2"/>
          <w:sz w:val="21"/>
          <w:szCs w:val="21"/>
          <w:highlight w:val="none"/>
        </w:rPr>
      </w:pPr>
      <w:r>
        <w:rPr>
          <w:kern w:val="2"/>
          <w:sz w:val="21"/>
          <w:szCs w:val="21"/>
          <w:highlight w:val="none"/>
        </w:rPr>
        <w:t>5、认定无效投标（报价）后，合格投标（报价）供应商少于3家的，评标委员会应当宣布招标（谈判）活动失败的，重新组织招标（竞争性谈判）。</w:t>
      </w:r>
    </w:p>
    <w:p w14:paraId="1B8E8D99">
      <w:pPr>
        <w:pStyle w:val="73"/>
        <w:rPr>
          <w:rFonts w:hint="eastAsia"/>
          <w:highlight w:val="none"/>
        </w:rPr>
      </w:pPr>
    </w:p>
    <w:p w14:paraId="7F5D3309">
      <w:pPr>
        <w:jc w:val="center"/>
        <w:rPr>
          <w:rFonts w:hint="eastAsia"/>
          <w:sz w:val="30"/>
          <w:szCs w:val="30"/>
          <w:highlight w:val="none"/>
        </w:rPr>
      </w:pPr>
    </w:p>
    <w:p w14:paraId="1AFE6A2D">
      <w:pPr>
        <w:jc w:val="center"/>
        <w:rPr>
          <w:rFonts w:hint="eastAsia"/>
          <w:sz w:val="30"/>
          <w:szCs w:val="30"/>
          <w:highlight w:val="none"/>
        </w:rPr>
      </w:pPr>
    </w:p>
    <w:p w14:paraId="17D98D1C">
      <w:pPr>
        <w:jc w:val="center"/>
        <w:rPr>
          <w:rFonts w:hint="eastAsia"/>
          <w:sz w:val="30"/>
          <w:szCs w:val="30"/>
          <w:highlight w:val="none"/>
        </w:rPr>
      </w:pPr>
    </w:p>
    <w:p w14:paraId="0D6A8FF3">
      <w:pPr>
        <w:jc w:val="center"/>
        <w:rPr>
          <w:rFonts w:ascii="宋体" w:hAnsi="宋体"/>
          <w:b/>
          <w:bCs/>
          <w:sz w:val="28"/>
          <w:szCs w:val="28"/>
          <w:highlight w:val="none"/>
        </w:rPr>
      </w:pPr>
      <w:r>
        <w:rPr>
          <w:rFonts w:hint="eastAsia" w:ascii="宋体" w:hAnsi="宋体"/>
          <w:b/>
          <w:bCs/>
          <w:sz w:val="28"/>
          <w:szCs w:val="28"/>
          <w:highlight w:val="none"/>
        </w:rPr>
        <w:t>串通投标（报价）文件的认定</w:t>
      </w:r>
    </w:p>
    <w:p w14:paraId="239D06C7">
      <w:pPr>
        <w:widowControl/>
        <w:autoSpaceDE w:val="0"/>
        <w:autoSpaceDN w:val="0"/>
        <w:spacing w:line="420" w:lineRule="exact"/>
        <w:textAlignment w:val="bottom"/>
        <w:rPr>
          <w:rFonts w:ascii="宋体" w:hAnsi="宋体"/>
          <w:sz w:val="24"/>
          <w:highlight w:val="none"/>
        </w:rPr>
      </w:pPr>
    </w:p>
    <w:p w14:paraId="29721E23">
      <w:pPr>
        <w:spacing w:line="360" w:lineRule="auto"/>
        <w:rPr>
          <w:rFonts w:ascii="宋体" w:hAnsi="宋体"/>
          <w:bCs/>
          <w:szCs w:val="21"/>
          <w:highlight w:val="none"/>
        </w:rPr>
      </w:pPr>
    </w:p>
    <w:p w14:paraId="022FF456">
      <w:pPr>
        <w:pStyle w:val="35"/>
        <w:widowControl w:val="0"/>
        <w:spacing w:before="0" w:beforeAutospacing="0" w:after="0" w:afterAutospacing="0" w:line="360" w:lineRule="auto"/>
        <w:ind w:firstLine="478" w:firstLineChars="228"/>
        <w:rPr>
          <w:kern w:val="2"/>
          <w:sz w:val="21"/>
          <w:szCs w:val="21"/>
          <w:highlight w:val="none"/>
          <w:lang w:val="zh-CN"/>
        </w:rPr>
      </w:pPr>
      <w:r>
        <w:rPr>
          <w:kern w:val="2"/>
          <w:sz w:val="21"/>
          <w:szCs w:val="21"/>
          <w:highlight w:val="none"/>
          <w:lang w:val="zh-CN"/>
        </w:rPr>
        <w:t>1、不同投标人的投标文件中错、漏之处相同的。</w:t>
      </w:r>
    </w:p>
    <w:p w14:paraId="09916FBE">
      <w:pPr>
        <w:pStyle w:val="35"/>
        <w:widowControl w:val="0"/>
        <w:spacing w:before="0" w:beforeAutospacing="0" w:after="0" w:afterAutospacing="0" w:line="360" w:lineRule="auto"/>
        <w:ind w:firstLine="478" w:firstLineChars="228"/>
        <w:rPr>
          <w:kern w:val="2"/>
          <w:sz w:val="21"/>
          <w:szCs w:val="21"/>
          <w:highlight w:val="none"/>
          <w:lang w:val="zh-CN"/>
        </w:rPr>
      </w:pPr>
      <w:r>
        <w:rPr>
          <w:kern w:val="2"/>
          <w:sz w:val="21"/>
          <w:szCs w:val="21"/>
          <w:highlight w:val="none"/>
          <w:lang w:val="zh-CN"/>
        </w:rPr>
        <w:t>2、不同投标人的投标文件相互混装的，或者相互加盖了对方公章的，或者相互出现了对方法定代表人或者授权代理人签名的，或者相互书写了对方名称的。</w:t>
      </w:r>
    </w:p>
    <w:p w14:paraId="6B5B65E6">
      <w:pPr>
        <w:pStyle w:val="35"/>
        <w:widowControl w:val="0"/>
        <w:spacing w:before="0" w:beforeAutospacing="0" w:after="0" w:afterAutospacing="0" w:line="360" w:lineRule="auto"/>
        <w:ind w:firstLine="478" w:firstLineChars="228"/>
        <w:rPr>
          <w:kern w:val="2"/>
          <w:sz w:val="21"/>
          <w:szCs w:val="21"/>
          <w:highlight w:val="none"/>
          <w:lang w:val="zh-CN"/>
        </w:rPr>
      </w:pPr>
      <w:r>
        <w:rPr>
          <w:kern w:val="2"/>
          <w:sz w:val="21"/>
          <w:szCs w:val="21"/>
          <w:highlight w:val="none"/>
          <w:lang w:val="zh-CN"/>
        </w:rPr>
        <w:t>3、一家投标人的投标文件中加盖了另一家投标人公章的。</w:t>
      </w:r>
    </w:p>
    <w:p w14:paraId="1F8127D8">
      <w:pPr>
        <w:pStyle w:val="35"/>
        <w:widowControl w:val="0"/>
        <w:spacing w:before="0" w:beforeAutospacing="0" w:after="0" w:afterAutospacing="0" w:line="360" w:lineRule="auto"/>
        <w:ind w:firstLine="478" w:firstLineChars="228"/>
        <w:rPr>
          <w:kern w:val="2"/>
          <w:sz w:val="21"/>
          <w:szCs w:val="21"/>
          <w:highlight w:val="none"/>
          <w:lang w:val="zh-CN"/>
        </w:rPr>
      </w:pPr>
      <w:r>
        <w:rPr>
          <w:kern w:val="2"/>
          <w:sz w:val="21"/>
          <w:szCs w:val="21"/>
          <w:highlight w:val="none"/>
          <w:lang w:val="zh-CN"/>
        </w:rPr>
        <w:t>4、不同投标人的投标文件中项目成员出现同一人的。</w:t>
      </w:r>
    </w:p>
    <w:p w14:paraId="6D1B54D5">
      <w:pPr>
        <w:pStyle w:val="35"/>
        <w:widowControl w:val="0"/>
        <w:spacing w:before="0" w:beforeAutospacing="0" w:after="0" w:afterAutospacing="0" w:line="360" w:lineRule="auto"/>
        <w:ind w:firstLine="478" w:firstLineChars="228"/>
        <w:rPr>
          <w:kern w:val="2"/>
          <w:sz w:val="21"/>
          <w:szCs w:val="21"/>
          <w:highlight w:val="none"/>
          <w:lang w:val="zh-CN"/>
        </w:rPr>
      </w:pPr>
      <w:r>
        <w:rPr>
          <w:kern w:val="2"/>
          <w:sz w:val="21"/>
          <w:szCs w:val="21"/>
          <w:highlight w:val="none"/>
          <w:lang w:val="zh-CN"/>
        </w:rPr>
        <w:t>5、不同投标人的投标文件制作非正常一致的。</w:t>
      </w:r>
    </w:p>
    <w:p w14:paraId="238F2D00">
      <w:pPr>
        <w:pStyle w:val="35"/>
        <w:widowControl w:val="0"/>
        <w:spacing w:before="0" w:beforeAutospacing="0" w:after="0" w:afterAutospacing="0" w:line="360" w:lineRule="auto"/>
        <w:ind w:firstLine="478" w:firstLineChars="228"/>
        <w:rPr>
          <w:kern w:val="2"/>
          <w:sz w:val="21"/>
          <w:szCs w:val="21"/>
          <w:highlight w:val="none"/>
          <w:lang w:val="zh-CN"/>
        </w:rPr>
      </w:pPr>
      <w:r>
        <w:rPr>
          <w:kern w:val="2"/>
          <w:sz w:val="21"/>
          <w:szCs w:val="21"/>
          <w:highlight w:val="none"/>
          <w:lang w:val="zh-CN"/>
        </w:rPr>
        <w:t>6、不同投标人的投标文件中相关内容的段落、字句、联系电话、联系人姓名等非正常一致的。</w:t>
      </w:r>
    </w:p>
    <w:p w14:paraId="14E6DC9C">
      <w:pPr>
        <w:pStyle w:val="35"/>
        <w:widowControl w:val="0"/>
        <w:spacing w:before="0" w:beforeAutospacing="0" w:after="0" w:afterAutospacing="0" w:line="360" w:lineRule="auto"/>
        <w:ind w:firstLine="478" w:firstLineChars="228"/>
        <w:rPr>
          <w:kern w:val="2"/>
          <w:sz w:val="21"/>
          <w:szCs w:val="21"/>
          <w:highlight w:val="none"/>
          <w:lang w:val="zh-CN"/>
        </w:rPr>
      </w:pPr>
      <w:r>
        <w:rPr>
          <w:kern w:val="2"/>
          <w:sz w:val="21"/>
          <w:szCs w:val="21"/>
          <w:highlight w:val="none"/>
          <w:lang w:val="zh-CN"/>
        </w:rPr>
        <w:t>7、一家投标人的投标文件中装订了标有另一家投标人名称的文件材料，或者出现了另一家法定代表人或者授权代理人签名的。</w:t>
      </w:r>
    </w:p>
    <w:p w14:paraId="22D50526">
      <w:pPr>
        <w:pStyle w:val="35"/>
        <w:widowControl w:val="0"/>
        <w:spacing w:before="0" w:beforeAutospacing="0" w:after="0" w:afterAutospacing="0" w:line="360" w:lineRule="auto"/>
        <w:ind w:firstLine="478" w:firstLineChars="228"/>
        <w:rPr>
          <w:kern w:val="2"/>
          <w:sz w:val="21"/>
          <w:szCs w:val="21"/>
          <w:highlight w:val="none"/>
          <w:lang w:val="zh-CN"/>
        </w:rPr>
      </w:pPr>
      <w:r>
        <w:rPr>
          <w:kern w:val="2"/>
          <w:sz w:val="21"/>
          <w:szCs w:val="21"/>
          <w:highlight w:val="none"/>
          <w:lang w:val="zh-CN"/>
        </w:rPr>
        <w:t>8、不同投标人的投标文件由同一投标人或者同一个人编制的。</w:t>
      </w:r>
    </w:p>
    <w:p w14:paraId="663BF092">
      <w:pPr>
        <w:pStyle w:val="73"/>
        <w:ind w:firstLine="420" w:firstLineChars="200"/>
        <w:rPr>
          <w:rFonts w:hint="eastAsia" w:eastAsia="宋体"/>
          <w:sz w:val="21"/>
          <w:szCs w:val="21"/>
          <w:highlight w:val="none"/>
        </w:rPr>
      </w:pPr>
      <w:r>
        <w:rPr>
          <w:rFonts w:hint="eastAsia" w:eastAsia="宋体"/>
          <w:sz w:val="21"/>
          <w:szCs w:val="21"/>
          <w:highlight w:val="none"/>
          <w:lang w:val="zh-CN"/>
        </w:rPr>
        <w:t>9、投标人串通投标的其他情形。</w:t>
      </w:r>
    </w:p>
    <w:p w14:paraId="30E5BF98">
      <w:pPr>
        <w:jc w:val="center"/>
        <w:rPr>
          <w:rFonts w:hint="eastAsia"/>
          <w:sz w:val="30"/>
          <w:szCs w:val="30"/>
          <w:highlight w:val="none"/>
        </w:rPr>
      </w:pPr>
    </w:p>
    <w:p w14:paraId="3466C649">
      <w:pPr>
        <w:jc w:val="center"/>
        <w:rPr>
          <w:rFonts w:hint="eastAsia"/>
          <w:sz w:val="30"/>
          <w:szCs w:val="30"/>
          <w:highlight w:val="none"/>
        </w:rPr>
      </w:pPr>
    </w:p>
    <w:p w14:paraId="49DD4B0D">
      <w:pPr>
        <w:jc w:val="center"/>
        <w:rPr>
          <w:rFonts w:hint="eastAsia"/>
          <w:sz w:val="30"/>
          <w:szCs w:val="30"/>
          <w:highlight w:val="none"/>
        </w:rPr>
      </w:pPr>
    </w:p>
    <w:p w14:paraId="5818054E">
      <w:pPr>
        <w:jc w:val="center"/>
        <w:rPr>
          <w:rFonts w:hint="eastAsia"/>
          <w:sz w:val="30"/>
          <w:szCs w:val="30"/>
          <w:highlight w:val="none"/>
        </w:rPr>
      </w:pPr>
    </w:p>
    <w:p w14:paraId="1C34C933">
      <w:pPr>
        <w:jc w:val="center"/>
        <w:rPr>
          <w:rFonts w:hint="eastAsia"/>
          <w:sz w:val="30"/>
          <w:szCs w:val="30"/>
          <w:highlight w:val="none"/>
        </w:rPr>
      </w:pPr>
    </w:p>
    <w:p w14:paraId="3536B1AC">
      <w:pPr>
        <w:jc w:val="center"/>
        <w:rPr>
          <w:rFonts w:hint="eastAsia"/>
          <w:sz w:val="30"/>
          <w:szCs w:val="30"/>
          <w:highlight w:val="none"/>
        </w:rPr>
      </w:pPr>
    </w:p>
    <w:p w14:paraId="0932B385">
      <w:pPr>
        <w:jc w:val="center"/>
        <w:rPr>
          <w:rFonts w:hint="eastAsia"/>
          <w:sz w:val="30"/>
          <w:szCs w:val="30"/>
          <w:highlight w:val="none"/>
        </w:rPr>
      </w:pPr>
    </w:p>
    <w:p w14:paraId="60C80C53">
      <w:pPr>
        <w:jc w:val="center"/>
        <w:rPr>
          <w:rFonts w:hint="eastAsia"/>
          <w:sz w:val="30"/>
          <w:szCs w:val="30"/>
          <w:highlight w:val="none"/>
        </w:rPr>
      </w:pPr>
    </w:p>
    <w:p w14:paraId="33582AB1">
      <w:pPr>
        <w:jc w:val="center"/>
        <w:rPr>
          <w:rFonts w:hint="eastAsia"/>
          <w:sz w:val="30"/>
          <w:szCs w:val="30"/>
          <w:highlight w:val="none"/>
        </w:rPr>
      </w:pPr>
    </w:p>
    <w:p w14:paraId="65CB5447">
      <w:pPr>
        <w:jc w:val="center"/>
        <w:rPr>
          <w:rFonts w:hint="eastAsia"/>
          <w:sz w:val="30"/>
          <w:szCs w:val="30"/>
          <w:highlight w:val="none"/>
        </w:rPr>
      </w:pPr>
    </w:p>
    <w:p w14:paraId="120315AC">
      <w:pPr>
        <w:jc w:val="center"/>
        <w:rPr>
          <w:rFonts w:hint="eastAsia"/>
          <w:sz w:val="30"/>
          <w:szCs w:val="30"/>
          <w:highlight w:val="none"/>
        </w:rPr>
      </w:pPr>
    </w:p>
    <w:p w14:paraId="734CB1F7">
      <w:pPr>
        <w:jc w:val="center"/>
        <w:rPr>
          <w:rFonts w:hint="eastAsia"/>
          <w:sz w:val="30"/>
          <w:szCs w:val="30"/>
          <w:highlight w:val="none"/>
        </w:rPr>
      </w:pPr>
    </w:p>
    <w:p w14:paraId="58735B1E">
      <w:pPr>
        <w:jc w:val="center"/>
        <w:rPr>
          <w:rFonts w:hint="eastAsia"/>
          <w:sz w:val="30"/>
          <w:szCs w:val="30"/>
          <w:highlight w:val="none"/>
        </w:rPr>
      </w:pPr>
    </w:p>
    <w:p w14:paraId="545AF70D">
      <w:pPr>
        <w:jc w:val="center"/>
        <w:rPr>
          <w:rFonts w:hint="eastAsia"/>
          <w:sz w:val="30"/>
          <w:szCs w:val="30"/>
          <w:highlight w:val="none"/>
        </w:rPr>
      </w:pPr>
    </w:p>
    <w:p w14:paraId="44E04A22">
      <w:pPr>
        <w:jc w:val="center"/>
        <w:rPr>
          <w:rFonts w:hint="eastAsia"/>
          <w:sz w:val="30"/>
          <w:szCs w:val="30"/>
          <w:highlight w:val="none"/>
        </w:rPr>
      </w:pPr>
    </w:p>
    <w:p w14:paraId="0B854F46">
      <w:pPr>
        <w:jc w:val="center"/>
        <w:rPr>
          <w:rFonts w:hint="eastAsia"/>
          <w:sz w:val="30"/>
          <w:szCs w:val="30"/>
          <w:highlight w:val="none"/>
        </w:rPr>
      </w:pPr>
    </w:p>
    <w:p w14:paraId="229710C4">
      <w:pPr>
        <w:jc w:val="center"/>
        <w:rPr>
          <w:rFonts w:hint="eastAsia"/>
          <w:sz w:val="30"/>
          <w:szCs w:val="30"/>
          <w:highlight w:val="none"/>
        </w:rPr>
      </w:pPr>
    </w:p>
    <w:p w14:paraId="52EF04CB">
      <w:pPr>
        <w:jc w:val="center"/>
        <w:rPr>
          <w:rFonts w:hint="eastAsia"/>
          <w:sz w:val="30"/>
          <w:szCs w:val="30"/>
          <w:highlight w:val="none"/>
        </w:rPr>
      </w:pPr>
    </w:p>
    <w:p w14:paraId="674931AD">
      <w:pPr>
        <w:jc w:val="center"/>
        <w:rPr>
          <w:rFonts w:hint="eastAsia"/>
          <w:sz w:val="30"/>
          <w:szCs w:val="30"/>
          <w:highlight w:val="none"/>
        </w:rPr>
      </w:pPr>
    </w:p>
    <w:p w14:paraId="58CF46F4">
      <w:pPr>
        <w:jc w:val="center"/>
        <w:rPr>
          <w:rFonts w:hint="eastAsia"/>
          <w:sz w:val="30"/>
          <w:szCs w:val="30"/>
          <w:highlight w:val="none"/>
        </w:rPr>
      </w:pPr>
    </w:p>
    <w:p w14:paraId="7AEDF614">
      <w:pPr>
        <w:pStyle w:val="73"/>
        <w:rPr>
          <w:rFonts w:hint="eastAsia"/>
          <w:highlight w:val="none"/>
        </w:rPr>
      </w:pPr>
    </w:p>
    <w:p w14:paraId="3BB5A3C5">
      <w:pPr>
        <w:pStyle w:val="73"/>
        <w:rPr>
          <w:rFonts w:hint="eastAsia"/>
          <w:highlight w:val="none"/>
        </w:rPr>
      </w:pPr>
    </w:p>
    <w:p w14:paraId="10C4DDFB">
      <w:pPr>
        <w:rPr>
          <w:rFonts w:hint="eastAsia"/>
          <w:sz w:val="30"/>
          <w:szCs w:val="30"/>
          <w:highlight w:val="none"/>
        </w:rPr>
      </w:pPr>
    </w:p>
    <w:p w14:paraId="79C8234D">
      <w:pPr>
        <w:pStyle w:val="2"/>
        <w:bidi w:val="0"/>
        <w:rPr>
          <w:rFonts w:hint="eastAsia" w:ascii="宋体" w:hAnsi="宋体" w:eastAsia="宋体" w:cs="宋体"/>
          <w:b/>
          <w:bCs/>
          <w:sz w:val="44"/>
          <w:szCs w:val="16"/>
          <w:highlight w:val="none"/>
        </w:rPr>
      </w:pPr>
      <w:bookmarkStart w:id="61" w:name="_Toc22736"/>
      <w:r>
        <w:rPr>
          <w:rFonts w:hint="eastAsia" w:ascii="宋体" w:hAnsi="宋体" w:eastAsia="宋体" w:cs="宋体"/>
          <w:b/>
          <w:bCs/>
          <w:sz w:val="44"/>
          <w:szCs w:val="16"/>
          <w:highlight w:val="none"/>
        </w:rPr>
        <w:t>第四章 合同条款及格式</w:t>
      </w:r>
      <w:bookmarkEnd w:id="60"/>
      <w:bookmarkEnd w:id="61"/>
      <w:bookmarkStart w:id="62" w:name="_Toc230599474"/>
    </w:p>
    <w:p w14:paraId="5428DAE1">
      <w:pPr>
        <w:pStyle w:val="73"/>
        <w:rPr>
          <w:rFonts w:hint="eastAsia"/>
          <w:highlight w:val="none"/>
        </w:rPr>
      </w:pPr>
    </w:p>
    <w:p w14:paraId="0C42DC8E">
      <w:pPr>
        <w:pStyle w:val="3"/>
        <w:jc w:val="center"/>
        <w:rPr>
          <w:rStyle w:val="40"/>
          <w:rFonts w:hint="eastAsia" w:ascii="黑体" w:hAnsi="黑体" w:eastAsia="黑体" w:cs="黑体"/>
          <w:b/>
          <w:color w:val="000000"/>
          <w:sz w:val="48"/>
          <w:szCs w:val="48"/>
          <w:highlight w:val="none"/>
          <w:shd w:val="clear" w:color="auto" w:fill="auto"/>
          <w:lang w:val="en-US" w:eastAsia="zh-CN"/>
        </w:rPr>
      </w:pPr>
    </w:p>
    <w:p w14:paraId="53209E5C">
      <w:pPr>
        <w:pStyle w:val="3"/>
        <w:jc w:val="center"/>
        <w:rPr>
          <w:rStyle w:val="40"/>
          <w:rFonts w:hint="eastAsia" w:ascii="黑体" w:hAnsi="黑体" w:eastAsia="黑体" w:cs="黑体"/>
          <w:b/>
          <w:color w:val="000000"/>
          <w:sz w:val="48"/>
          <w:szCs w:val="48"/>
          <w:highlight w:val="none"/>
          <w:shd w:val="clear" w:color="auto" w:fill="auto"/>
          <w:lang w:val="en-US" w:eastAsia="zh-CN"/>
        </w:rPr>
      </w:pPr>
    </w:p>
    <w:bookmarkEnd w:id="62"/>
    <w:p w14:paraId="77775FF0">
      <w:pPr>
        <w:jc w:val="center"/>
        <w:rPr>
          <w:rFonts w:ascii="仿宋" w:hAnsi="仿宋" w:eastAsia="仿宋"/>
          <w:b/>
          <w:sz w:val="28"/>
          <w:szCs w:val="28"/>
        </w:rPr>
      </w:pPr>
      <w:bookmarkStart w:id="63" w:name="_Toc230599478"/>
      <w:r>
        <w:rPr>
          <w:rFonts w:hint="eastAsia" w:ascii="仿宋" w:hAnsi="仿宋" w:eastAsia="仿宋"/>
          <w:b/>
          <w:sz w:val="28"/>
          <w:szCs w:val="28"/>
        </w:rPr>
        <w:t>以实际签订为准</w:t>
      </w:r>
    </w:p>
    <w:p w14:paraId="19C421D2">
      <w:pPr>
        <w:rPr>
          <w:rFonts w:hint="eastAsia" w:eastAsia="宋体"/>
          <w:b/>
          <w:sz w:val="32"/>
          <w:szCs w:val="32"/>
          <w:highlight w:val="none"/>
        </w:rPr>
      </w:pPr>
      <w:r>
        <w:rPr>
          <w:rFonts w:hint="eastAsia" w:eastAsia="宋体"/>
          <w:b/>
          <w:sz w:val="32"/>
          <w:szCs w:val="32"/>
          <w:highlight w:val="none"/>
        </w:rPr>
        <w:br w:type="page"/>
      </w:r>
    </w:p>
    <w:p w14:paraId="46E60289">
      <w:pPr>
        <w:pStyle w:val="2"/>
        <w:bidi w:val="0"/>
        <w:rPr>
          <w:rFonts w:hint="eastAsia" w:ascii="宋体" w:hAnsi="宋体" w:eastAsia="宋体" w:cs="宋体"/>
          <w:b/>
          <w:bCs/>
          <w:sz w:val="44"/>
          <w:szCs w:val="16"/>
          <w:highlight w:val="none"/>
        </w:rPr>
      </w:pPr>
      <w:r>
        <w:rPr>
          <w:rFonts w:hint="eastAsia" w:ascii="宋体" w:hAnsi="宋体" w:eastAsia="宋体" w:cs="宋体"/>
          <w:b/>
          <w:bCs/>
          <w:sz w:val="44"/>
          <w:szCs w:val="16"/>
          <w:highlight w:val="none"/>
        </w:rPr>
        <w:t>第五章 采购需求（服务要求）</w:t>
      </w:r>
    </w:p>
    <w:p w14:paraId="35EA2013">
      <w:pPr>
        <w:pStyle w:val="3"/>
        <w:rPr>
          <w:rFonts w:hint="eastAsia"/>
        </w:rPr>
      </w:pPr>
    </w:p>
    <w:p w14:paraId="2F828F56">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一、修剪。</w:t>
      </w:r>
    </w:p>
    <w:p w14:paraId="4D4E1FE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1、乔木修剪</w:t>
      </w:r>
    </w:p>
    <w:p w14:paraId="401233B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仿宋"/>
          <w:spacing w:val="-13"/>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）标准：每</w:t>
      </w:r>
      <w:r>
        <w:rPr>
          <w:rFonts w:hint="eastAsia" w:ascii="仿宋" w:hAnsi="仿宋" w:eastAsia="仿宋" w:cs="仿宋"/>
          <w:sz w:val="32"/>
          <w:szCs w:val="32"/>
          <w:lang w:val="en-US" w:eastAsia="zh-CN"/>
        </w:rPr>
        <w:t>月乔木进行修剪不少于2次</w:t>
      </w:r>
      <w:r>
        <w:rPr>
          <w:rFonts w:hint="eastAsia" w:eastAsia="仿宋"/>
          <w:spacing w:val="-13"/>
          <w:lang w:eastAsia="zh-CN"/>
        </w:rPr>
        <w:t>。</w:t>
      </w:r>
    </w:p>
    <w:p w14:paraId="559C888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）要求：</w:t>
      </w:r>
      <w:r>
        <w:rPr>
          <w:rFonts w:hint="eastAsia" w:ascii="仿宋" w:hAnsi="仿宋" w:eastAsia="仿宋" w:cs="仿宋"/>
          <w:sz w:val="32"/>
          <w:szCs w:val="32"/>
        </w:rPr>
        <w:t>保证乔木生长健壮，树冠无枯枝、死枝、折枝、病虫枝，保持植株叶色正常，及时清理徒长枝及萌蘖。高大乔木（6米以上）要求</w:t>
      </w:r>
      <w:r>
        <w:rPr>
          <w:rFonts w:hint="eastAsia" w:ascii="仿宋" w:hAnsi="仿宋" w:eastAsia="仿宋" w:cs="仿宋"/>
          <w:sz w:val="32"/>
          <w:szCs w:val="32"/>
          <w:lang w:val="en-US" w:eastAsia="zh-CN"/>
        </w:rPr>
        <w:t>4</w:t>
      </w:r>
      <w:r>
        <w:rPr>
          <w:rFonts w:hint="eastAsia" w:ascii="仿宋" w:hAnsi="仿宋" w:eastAsia="仿宋" w:cs="仿宋"/>
          <w:sz w:val="32"/>
          <w:szCs w:val="32"/>
        </w:rPr>
        <w:t>米以下无萌蘖；亚乔木（6米以下）要求树冠下无萌蘖。施工产生的垃圾，随产随清。通过修剪调整树形，均衡树势。因特殊观赏需要，可根据树木生长、发育的特型，对树木进行整形，将树冠修剪成设计的形状。修剪应遵循“先上后下，先内后外，去弱留强，去老留新”的原则，促使树木枝条分布均匀，疏密得当，树形丰满。</w:t>
      </w:r>
    </w:p>
    <w:p w14:paraId="54C77A4B">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灌木修剪</w:t>
      </w:r>
    </w:p>
    <w:p w14:paraId="79B9F83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）标准：每年的</w:t>
      </w:r>
      <w:r>
        <w:rPr>
          <w:rFonts w:hint="eastAsia" w:ascii="仿宋" w:hAnsi="仿宋" w:eastAsia="仿宋" w:cs="仿宋"/>
          <w:sz w:val="32"/>
          <w:szCs w:val="32"/>
          <w:lang w:val="en-US" w:eastAsia="zh-CN"/>
        </w:rPr>
        <w:t>5月至9月期间</w:t>
      </w:r>
      <w:r>
        <w:rPr>
          <w:rFonts w:hint="eastAsia" w:ascii="仿宋" w:hAnsi="仿宋" w:eastAsia="仿宋" w:cs="仿宋"/>
          <w:sz w:val="32"/>
          <w:szCs w:val="32"/>
          <w:lang w:eastAsia="zh-CN"/>
        </w:rPr>
        <w:t>灌木每月修剪1次。</w:t>
      </w:r>
    </w:p>
    <w:p w14:paraId="3807A51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要求：</w:t>
      </w:r>
      <w:r>
        <w:rPr>
          <w:rFonts w:hint="eastAsia" w:ascii="仿宋" w:hAnsi="仿宋" w:eastAsia="仿宋" w:cs="仿宋"/>
          <w:sz w:val="32"/>
          <w:szCs w:val="32"/>
          <w:lang w:eastAsia="zh-CN"/>
        </w:rPr>
        <w:t>保证植株生长健壮，主侧枝分布匀称，通风透光。确保植株无枯枝、死枝、折枝、病虫枝、下垂枝，无徒长枝及萌蘖。修剪应有利于侧芽、不定芽发育，促进短枝形成，使其枝叶繁茂，分布匀称；开花灌木的修剪，应有利于促进短枝和花</w:t>
      </w:r>
      <w:r>
        <w:rPr>
          <w:rFonts w:hint="eastAsia" w:ascii="仿宋" w:hAnsi="仿宋" w:eastAsia="仿宋" w:cs="仿宋"/>
          <w:sz w:val="32"/>
          <w:szCs w:val="32"/>
        </w:rPr>
        <w:t>芽形成；多季开花灌木要有目的地培养花枝。施工产生的垃圾，随产随清。</w:t>
      </w:r>
    </w:p>
    <w:p w14:paraId="44FF59A3">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绿篱</w:t>
      </w:r>
      <w:r>
        <w:rPr>
          <w:rFonts w:hint="eastAsia" w:ascii="仿宋" w:hAnsi="仿宋" w:eastAsia="仿宋" w:cs="仿宋"/>
          <w:sz w:val="32"/>
          <w:szCs w:val="32"/>
          <w:lang w:eastAsia="zh-CN"/>
        </w:rPr>
        <w:t>修剪</w:t>
      </w:r>
    </w:p>
    <w:p w14:paraId="0AE00672">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标准</w:t>
      </w:r>
      <w:r>
        <w:rPr>
          <w:rFonts w:hint="eastAsia" w:ascii="仿宋" w:hAnsi="仿宋" w:eastAsia="仿宋" w:cs="仿宋"/>
          <w:sz w:val="32"/>
          <w:szCs w:val="32"/>
        </w:rPr>
        <w:t>：绿篱每1至2年进行一次回缩修剪，正常养护期</w:t>
      </w:r>
      <w:r>
        <w:rPr>
          <w:rFonts w:hint="eastAsia" w:ascii="仿宋" w:hAnsi="仿宋" w:eastAsia="仿宋" w:cs="仿宋"/>
          <w:sz w:val="32"/>
          <w:szCs w:val="32"/>
          <w:lang w:eastAsia="zh-CN"/>
        </w:rPr>
        <w:t>每年的</w:t>
      </w:r>
      <w:r>
        <w:rPr>
          <w:rFonts w:hint="eastAsia" w:ascii="仿宋" w:hAnsi="仿宋" w:eastAsia="仿宋" w:cs="仿宋"/>
          <w:sz w:val="32"/>
          <w:szCs w:val="32"/>
          <w:lang w:val="en-US" w:eastAsia="zh-CN"/>
        </w:rPr>
        <w:t>5月至9月期间</w:t>
      </w:r>
      <w:r>
        <w:rPr>
          <w:rFonts w:hint="eastAsia" w:ascii="仿宋" w:hAnsi="仿宋" w:eastAsia="仿宋" w:cs="仿宋"/>
          <w:sz w:val="32"/>
          <w:szCs w:val="32"/>
        </w:rPr>
        <w:t>每月修剪</w:t>
      </w:r>
      <w:r>
        <w:rPr>
          <w:rFonts w:hint="eastAsia" w:ascii="仿宋" w:hAnsi="仿宋" w:eastAsia="仿宋" w:cs="仿宋"/>
          <w:sz w:val="32"/>
          <w:szCs w:val="32"/>
          <w:lang w:val="en-US" w:eastAsia="zh-CN"/>
        </w:rPr>
        <w:t>1</w:t>
      </w:r>
      <w:r>
        <w:rPr>
          <w:rFonts w:hint="eastAsia" w:ascii="仿宋" w:hAnsi="仿宋" w:eastAsia="仿宋" w:cs="仿宋"/>
          <w:sz w:val="32"/>
          <w:szCs w:val="32"/>
        </w:rPr>
        <w:t>次。每次修剪应较上一次提高或扩宽1cm-2cm，以保证其正常生长。</w:t>
      </w:r>
    </w:p>
    <w:p w14:paraId="036BE35F">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要求：</w:t>
      </w:r>
      <w:r>
        <w:rPr>
          <w:rFonts w:hint="eastAsia" w:ascii="仿宋" w:hAnsi="仿宋" w:eastAsia="仿宋" w:cs="仿宋"/>
          <w:sz w:val="32"/>
          <w:szCs w:val="32"/>
        </w:rPr>
        <w:t>修剪做到剪口整齐，横平竖直，弧线圆润无毛刺，修剪时去除枯死枝、折枝、病虫枝及底角萌蘖。施工产生的垃圾，随产随清。</w:t>
      </w:r>
    </w:p>
    <w:p w14:paraId="1693CA2A">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草坪及花卉的修剪：</w:t>
      </w:r>
    </w:p>
    <w:p w14:paraId="4F9D40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标准</w:t>
      </w:r>
      <w:r>
        <w:rPr>
          <w:rFonts w:hint="eastAsia" w:ascii="仿宋" w:hAnsi="仿宋" w:eastAsia="仿宋" w:cs="仿宋"/>
          <w:sz w:val="32"/>
          <w:szCs w:val="32"/>
        </w:rPr>
        <w:t>：</w:t>
      </w:r>
      <w:r>
        <w:rPr>
          <w:rFonts w:hint="eastAsia" w:ascii="仿宋" w:hAnsi="仿宋" w:eastAsia="仿宋" w:cs="仿宋"/>
          <w:sz w:val="32"/>
          <w:szCs w:val="32"/>
          <w:lang w:eastAsia="zh-CN"/>
        </w:rPr>
        <w:t>每年的</w:t>
      </w:r>
      <w:r>
        <w:rPr>
          <w:rFonts w:hint="eastAsia" w:ascii="仿宋" w:hAnsi="仿宋" w:eastAsia="仿宋" w:cs="仿宋"/>
          <w:sz w:val="32"/>
          <w:szCs w:val="32"/>
          <w:lang w:val="en-US" w:eastAsia="zh-CN"/>
        </w:rPr>
        <w:t>5月至9月期间</w:t>
      </w:r>
      <w:r>
        <w:rPr>
          <w:rFonts w:hint="eastAsia" w:ascii="仿宋" w:hAnsi="仿宋" w:eastAsia="仿宋" w:cs="仿宋"/>
          <w:sz w:val="32"/>
          <w:szCs w:val="32"/>
        </w:rPr>
        <w:t>每月修剪 1 次，修剪高度控制在 8-10cm。每次修剪时，剪掉叶片部分应少于叶片总量的1/3。枯萎的花蒂和黄叶及时剪除，保持花卉清洁。宿根花卉生长结束后</w:t>
      </w:r>
      <w:r>
        <w:rPr>
          <w:rFonts w:hint="eastAsia" w:ascii="仿宋" w:hAnsi="仿宋" w:eastAsia="仿宋" w:cs="仿宋"/>
          <w:sz w:val="32"/>
          <w:szCs w:val="32"/>
          <w:lang w:eastAsia="zh-CN"/>
        </w:rPr>
        <w:t>，</w:t>
      </w:r>
      <w:r>
        <w:rPr>
          <w:rFonts w:hint="eastAsia" w:ascii="仿宋" w:hAnsi="仿宋" w:eastAsia="仿宋" w:cs="仿宋"/>
          <w:sz w:val="32"/>
          <w:szCs w:val="32"/>
        </w:rPr>
        <w:t>马上剪除地上部分。</w:t>
      </w:r>
    </w:p>
    <w:p w14:paraId="32A02C1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要求</w:t>
      </w:r>
      <w:r>
        <w:rPr>
          <w:rFonts w:hint="eastAsia" w:ascii="仿宋" w:hAnsi="仿宋" w:eastAsia="仿宋" w:cs="仿宋"/>
          <w:sz w:val="32"/>
          <w:szCs w:val="32"/>
        </w:rPr>
        <w:t>：修剪后草坪平整、切边整齐，及时浇水</w:t>
      </w:r>
      <w:r>
        <w:rPr>
          <w:rFonts w:hint="eastAsia" w:ascii="仿宋" w:hAnsi="仿宋" w:eastAsia="仿宋" w:cs="仿宋"/>
          <w:sz w:val="32"/>
          <w:szCs w:val="32"/>
          <w:lang w:eastAsia="zh-CN"/>
        </w:rPr>
        <w:t>，</w:t>
      </w:r>
      <w:r>
        <w:rPr>
          <w:rFonts w:hint="eastAsia" w:ascii="仿宋" w:hAnsi="仿宋" w:eastAsia="仿宋" w:cs="仿宋"/>
          <w:sz w:val="32"/>
          <w:szCs w:val="32"/>
        </w:rPr>
        <w:t>草坪内乔木、花灌木等根部无打破皮现象。施工产生的垃圾，随产随清。</w:t>
      </w:r>
    </w:p>
    <w:p w14:paraId="09FF037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4、造型树修剪</w:t>
      </w:r>
    </w:p>
    <w:p w14:paraId="680EF8A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标准</w:t>
      </w:r>
      <w:r>
        <w:rPr>
          <w:rFonts w:hint="eastAsia" w:ascii="仿宋" w:hAnsi="仿宋" w:eastAsia="仿宋" w:cs="仿宋"/>
          <w:sz w:val="32"/>
          <w:szCs w:val="32"/>
        </w:rPr>
        <w:t>：对金叶榆球、灌木球等造型植物的修剪，</w:t>
      </w:r>
      <w:r>
        <w:rPr>
          <w:rFonts w:hint="eastAsia" w:ascii="仿宋" w:hAnsi="仿宋" w:eastAsia="仿宋" w:cs="仿宋"/>
          <w:sz w:val="32"/>
          <w:szCs w:val="32"/>
          <w:lang w:eastAsia="zh-CN"/>
        </w:rPr>
        <w:t>每年的</w:t>
      </w:r>
      <w:r>
        <w:rPr>
          <w:rFonts w:hint="eastAsia" w:ascii="仿宋" w:hAnsi="仿宋" w:eastAsia="仿宋" w:cs="仿宋"/>
          <w:sz w:val="32"/>
          <w:szCs w:val="32"/>
          <w:lang w:val="en-US" w:eastAsia="zh-CN"/>
        </w:rPr>
        <w:t>5月至9月期间</w:t>
      </w:r>
      <w:r>
        <w:rPr>
          <w:rFonts w:hint="eastAsia" w:ascii="仿宋" w:hAnsi="仿宋" w:eastAsia="仿宋" w:cs="仿宋"/>
          <w:sz w:val="32"/>
          <w:szCs w:val="32"/>
        </w:rPr>
        <w:t>每月修剪1次，严禁将球形植物修剪成球不像球，柱不像柱，影响艺术效果。</w:t>
      </w:r>
    </w:p>
    <w:p w14:paraId="547C14F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要求</w:t>
      </w:r>
      <w:r>
        <w:rPr>
          <w:rFonts w:hint="eastAsia" w:ascii="仿宋" w:hAnsi="仿宋" w:eastAsia="仿宋" w:cs="仿宋"/>
          <w:sz w:val="32"/>
          <w:szCs w:val="32"/>
        </w:rPr>
        <w:t>：造型植物的表面流畅，构图清晰，层次分明，均衡稳定，艺术感强。对造型植物一定要认真修剪，确保其状态始终符合规定要求。</w:t>
      </w:r>
    </w:p>
    <w:p w14:paraId="180F1019">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二、中耕除杂。</w:t>
      </w:r>
    </w:p>
    <w:p w14:paraId="25DEA91A">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乔木</w:t>
      </w:r>
    </w:p>
    <w:p w14:paraId="7FAA2EF5">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标准</w:t>
      </w:r>
      <w:r>
        <w:rPr>
          <w:rFonts w:hint="eastAsia" w:ascii="仿宋" w:hAnsi="仿宋" w:eastAsia="仿宋" w:cs="仿宋"/>
          <w:sz w:val="32"/>
          <w:szCs w:val="32"/>
        </w:rPr>
        <w:t>：每月除杂</w:t>
      </w:r>
      <w:r>
        <w:rPr>
          <w:rFonts w:hint="eastAsia" w:ascii="仿宋" w:hAnsi="仿宋" w:eastAsia="仿宋" w:cs="仿宋"/>
          <w:sz w:val="32"/>
          <w:szCs w:val="32"/>
          <w:lang w:val="en-US" w:eastAsia="zh-CN"/>
        </w:rPr>
        <w:t>1</w:t>
      </w:r>
      <w:r>
        <w:rPr>
          <w:rFonts w:hint="eastAsia" w:ascii="仿宋" w:hAnsi="仿宋" w:eastAsia="仿宋" w:cs="仿宋"/>
          <w:sz w:val="32"/>
          <w:szCs w:val="32"/>
        </w:rPr>
        <w:t>次，铲除乔木下的大型野草及对树木危害严重的各类藤蔓，及树木分枝点下萌枝。</w:t>
      </w:r>
    </w:p>
    <w:p w14:paraId="47F243B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）要求</w:t>
      </w:r>
      <w:r>
        <w:rPr>
          <w:rFonts w:hint="eastAsia" w:ascii="仿宋" w:hAnsi="仿宋" w:eastAsia="仿宋" w:cs="仿宋"/>
          <w:sz w:val="32"/>
          <w:szCs w:val="32"/>
        </w:rPr>
        <w:t>：植株上无钉、捆、挂、贴、涂等私牵乱挂现象。保证树穴内无覆盖物、无堆弃物，树穴内有树篦子或填充物的，要保持干净整洁。树木根部附近的土壤要保持疏松、易板结的土壤要及时松土，中耕的深度不能影响根系生长。施工产生的垃圾，随产随清。</w:t>
      </w:r>
    </w:p>
    <w:p w14:paraId="0B043F44">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灌木</w:t>
      </w:r>
    </w:p>
    <w:p w14:paraId="2339E323">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标准</w:t>
      </w:r>
      <w:r>
        <w:rPr>
          <w:rFonts w:hint="eastAsia" w:ascii="仿宋" w:hAnsi="仿宋" w:eastAsia="仿宋" w:cs="仿宋"/>
          <w:sz w:val="32"/>
          <w:szCs w:val="32"/>
        </w:rPr>
        <w:t>：每月除杂1次</w:t>
      </w:r>
      <w:r>
        <w:rPr>
          <w:rFonts w:hint="eastAsia" w:ascii="仿宋" w:hAnsi="仿宋" w:eastAsia="仿宋" w:cs="仿宋"/>
          <w:sz w:val="32"/>
          <w:szCs w:val="32"/>
          <w:lang w:eastAsia="zh-CN"/>
        </w:rPr>
        <w:t>，</w:t>
      </w:r>
      <w:r>
        <w:rPr>
          <w:rFonts w:hint="eastAsia" w:ascii="仿宋" w:hAnsi="仿宋" w:eastAsia="仿宋" w:cs="仿宋"/>
          <w:sz w:val="32"/>
          <w:szCs w:val="32"/>
        </w:rPr>
        <w:t>及时去除灌木、绿篱内杂草和杂物，除草时，应用尖锐工具将草根除净。</w:t>
      </w:r>
    </w:p>
    <w:p w14:paraId="04ADBD4B">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要求：</w:t>
      </w:r>
      <w:r>
        <w:rPr>
          <w:rFonts w:hint="eastAsia" w:ascii="仿宋" w:hAnsi="仿宋" w:eastAsia="仿宋" w:cs="仿宋"/>
          <w:sz w:val="32"/>
          <w:szCs w:val="32"/>
        </w:rPr>
        <w:t>无钉、捆、挂、贴、涂等私牵乱挂现象。施工产生的垃圾，随产随清。</w:t>
      </w:r>
    </w:p>
    <w:p w14:paraId="2B303A09">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地被、草坪及花卉</w:t>
      </w:r>
    </w:p>
    <w:p w14:paraId="7D4CA937">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标准</w:t>
      </w:r>
      <w:r>
        <w:rPr>
          <w:rFonts w:hint="eastAsia" w:ascii="仿宋" w:hAnsi="仿宋" w:eastAsia="仿宋" w:cs="仿宋"/>
          <w:sz w:val="32"/>
          <w:szCs w:val="32"/>
        </w:rPr>
        <w:t>：每月除杂</w:t>
      </w:r>
      <w:r>
        <w:rPr>
          <w:rFonts w:hint="eastAsia" w:ascii="仿宋" w:hAnsi="仿宋" w:eastAsia="仿宋" w:cs="仿宋"/>
          <w:sz w:val="32"/>
          <w:szCs w:val="32"/>
          <w:lang w:val="en-US" w:eastAsia="zh-CN"/>
        </w:rPr>
        <w:t>1</w:t>
      </w:r>
      <w:r>
        <w:rPr>
          <w:rFonts w:hint="eastAsia" w:ascii="仿宋" w:hAnsi="仿宋" w:eastAsia="仿宋" w:cs="仿宋"/>
          <w:sz w:val="32"/>
          <w:szCs w:val="32"/>
        </w:rPr>
        <w:t>次，及时去地被、草坪和花卉内的杂草</w:t>
      </w:r>
      <w:r>
        <w:rPr>
          <w:rFonts w:hint="eastAsia" w:ascii="仿宋" w:hAnsi="仿宋" w:eastAsia="仿宋" w:cs="仿宋"/>
          <w:sz w:val="32"/>
          <w:szCs w:val="32"/>
          <w:lang w:eastAsia="zh-CN"/>
        </w:rPr>
        <w:t>。</w:t>
      </w:r>
    </w:p>
    <w:p w14:paraId="6C6F1A1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）要求：</w:t>
      </w:r>
      <w:r>
        <w:rPr>
          <w:rFonts w:hint="eastAsia" w:ascii="仿宋" w:hAnsi="仿宋" w:eastAsia="仿宋" w:cs="仿宋"/>
          <w:sz w:val="32"/>
          <w:szCs w:val="32"/>
        </w:rPr>
        <w:t>除草时，应用尖锐工具将草根除净。及时去除地被和花卉内的枯花、枯叶，花卉及其它地被植物交汇处边缘清晰、整齐。绿化地内应全年保持干净整洁，不应有杂草、杂物。施工产生的垃圾，随产随清。</w:t>
      </w:r>
    </w:p>
    <w:p w14:paraId="0FDEDE0A">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三、枯死植物的处理。</w:t>
      </w:r>
    </w:p>
    <w:p w14:paraId="2E111E5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1、枯死苗木</w:t>
      </w:r>
    </w:p>
    <w:p w14:paraId="59201D6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）标准：</w:t>
      </w:r>
      <w:r>
        <w:rPr>
          <w:rFonts w:hint="eastAsia" w:ascii="仿宋" w:hAnsi="仿宋" w:eastAsia="仿宋" w:cs="仿宋"/>
          <w:sz w:val="32"/>
          <w:szCs w:val="32"/>
          <w:lang w:val="en-US" w:eastAsia="zh-CN"/>
        </w:rPr>
        <w:t>树木保存率达100%为合格，每年5月底-10月中旬缺株率应小于1%，一处地点树木保存率不得低于70%，综合保存率在90%以上。并于春秋季进行补植，补植</w:t>
      </w:r>
      <w:r>
        <w:rPr>
          <w:rFonts w:hint="eastAsia" w:ascii="仿宋" w:hAnsi="仿宋" w:eastAsia="仿宋" w:cs="仿宋"/>
          <w:sz w:val="32"/>
          <w:szCs w:val="32"/>
          <w:lang w:eastAsia="zh-CN"/>
        </w:rPr>
        <w:t>品种与原街路绿化保持一致，</w:t>
      </w:r>
      <w:r>
        <w:rPr>
          <w:rFonts w:hint="eastAsia" w:ascii="仿宋" w:hAnsi="仿宋" w:eastAsia="仿宋" w:cs="仿宋"/>
          <w:sz w:val="32"/>
          <w:szCs w:val="32"/>
          <w:lang w:val="en-US" w:eastAsia="zh-CN"/>
        </w:rPr>
        <w:t>树冠应丰满、完整，</w:t>
      </w:r>
      <w:r>
        <w:rPr>
          <w:rFonts w:hint="eastAsia" w:ascii="仿宋" w:hAnsi="仿宋" w:eastAsia="仿宋" w:cs="仿宋"/>
          <w:sz w:val="32"/>
          <w:szCs w:val="32"/>
          <w:lang w:eastAsia="zh-CN"/>
        </w:rPr>
        <w:t>树木生长健壮，枝叶茂盛。</w:t>
      </w:r>
    </w:p>
    <w:p w14:paraId="2A62E49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（2）要求：缺株、枯树、危树</w:t>
      </w:r>
      <w:r>
        <w:rPr>
          <w:rFonts w:hint="eastAsia" w:ascii="仿宋" w:hAnsi="仿宋" w:eastAsia="仿宋" w:cs="仿宋"/>
          <w:sz w:val="32"/>
          <w:szCs w:val="32"/>
        </w:rPr>
        <w:t>及时处理，连同根部及时挖出，并填平坑槽。待适合季节进行补植。因病虫害致死的树木，应按照植保技术人员意见，进行清理、消毒等处理后再进行补植。树木有破损的及时修复。树木有倾斜倒伏的，及时扶正并支撑、浇水。</w:t>
      </w:r>
    </w:p>
    <w:p w14:paraId="769492C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2、地被、草坪及花卉</w:t>
      </w:r>
    </w:p>
    <w:p w14:paraId="6100EA2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(1)标准：应季花卉栽植应在每年5月20日前完成，10月20日前清理干净，保存率不得低于70%。草坪高度在10cm以下，杂草高度在15cm以下。</w:t>
      </w:r>
    </w:p>
    <w:p w14:paraId="7B12ECF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）要求：花卉生长健壮，植株整齐，花开茂盛，无缺株死株，</w:t>
      </w:r>
      <w:r>
        <w:rPr>
          <w:rFonts w:hint="eastAsia" w:ascii="仿宋" w:hAnsi="仿宋" w:eastAsia="仿宋" w:cs="仿宋"/>
          <w:sz w:val="32"/>
          <w:szCs w:val="32"/>
        </w:rPr>
        <w:t>枯死</w:t>
      </w:r>
      <w:r>
        <w:rPr>
          <w:rFonts w:hint="eastAsia" w:ascii="仿宋" w:hAnsi="仿宋" w:eastAsia="仿宋" w:cs="仿宋"/>
          <w:sz w:val="32"/>
          <w:szCs w:val="32"/>
          <w:lang w:eastAsia="zh-CN"/>
        </w:rPr>
        <w:t>、残株</w:t>
      </w:r>
      <w:r>
        <w:rPr>
          <w:rFonts w:hint="eastAsia" w:ascii="仿宋" w:hAnsi="仿宋" w:eastAsia="仿宋" w:cs="仿宋"/>
          <w:sz w:val="32"/>
          <w:szCs w:val="32"/>
        </w:rPr>
        <w:t>及时清理，及时补植。</w:t>
      </w:r>
      <w:r>
        <w:rPr>
          <w:rFonts w:hint="eastAsia" w:ascii="仿宋" w:hAnsi="仿宋" w:eastAsia="仿宋" w:cs="仿宋"/>
          <w:sz w:val="32"/>
          <w:szCs w:val="32"/>
          <w:lang w:eastAsia="zh-CN"/>
        </w:rPr>
        <w:t>草坪生长良好，色泽正常，无斑秃、枯黄现象，无病虫害。</w:t>
      </w:r>
    </w:p>
    <w:p w14:paraId="6BBD9E90">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四、绿化附属设施的维护。</w:t>
      </w:r>
    </w:p>
    <w:p w14:paraId="623EBC7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）要求：</w:t>
      </w:r>
      <w:r>
        <w:rPr>
          <w:rFonts w:hint="eastAsia" w:ascii="仿宋" w:hAnsi="仿宋" w:eastAsia="仿宋" w:cs="仿宋"/>
          <w:sz w:val="32"/>
          <w:szCs w:val="32"/>
        </w:rPr>
        <w:t>街路及绿地内有树木架杆、花箱、花架、围栏、树池盖板、树穴内填充物等绿化设施的，保持其干净整洁，损坏或丢失的立即维修，保证花箱、花架、围栏等设施内 部没有纸屑</w:t>
      </w:r>
      <w:r>
        <w:rPr>
          <w:rFonts w:hint="eastAsia" w:ascii="仿宋" w:hAnsi="仿宋" w:eastAsia="仿宋" w:cs="仿宋"/>
          <w:sz w:val="32"/>
          <w:szCs w:val="32"/>
          <w:lang w:eastAsia="zh-CN"/>
        </w:rPr>
        <w:t>、</w:t>
      </w:r>
      <w:r>
        <w:rPr>
          <w:rFonts w:hint="eastAsia" w:ascii="仿宋" w:hAnsi="仿宋" w:eastAsia="仿宋" w:cs="仿宋"/>
          <w:sz w:val="32"/>
          <w:szCs w:val="32"/>
        </w:rPr>
        <w:t>果皮、塑料袋及其他废弃物。</w:t>
      </w:r>
    </w:p>
    <w:p w14:paraId="01A1974B">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五、树木涂白。</w:t>
      </w:r>
    </w:p>
    <w:p w14:paraId="37B86F2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）标准：每年</w:t>
      </w:r>
      <w:r>
        <w:rPr>
          <w:rFonts w:hint="eastAsia" w:ascii="仿宋" w:hAnsi="仿宋" w:eastAsia="仿宋" w:cs="仿宋"/>
          <w:sz w:val="32"/>
          <w:szCs w:val="32"/>
          <w:lang w:val="en-US" w:eastAsia="zh-CN"/>
        </w:rPr>
        <w:t>5月1日和10月1日之前所有乔木和亚乔木分别完成一次树木涂白，</w:t>
      </w:r>
      <w:r>
        <w:rPr>
          <w:rFonts w:hint="eastAsia" w:ascii="仿宋" w:hAnsi="仿宋" w:eastAsia="仿宋" w:cs="仿宋"/>
          <w:sz w:val="32"/>
          <w:szCs w:val="32"/>
        </w:rPr>
        <w:t>涂白高度为乔木1-1.2m，亚乔类0.6m。</w:t>
      </w:r>
    </w:p>
    <w:p w14:paraId="7D99EEC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）要求：</w:t>
      </w:r>
      <w:r>
        <w:rPr>
          <w:rFonts w:hint="eastAsia" w:ascii="仿宋" w:hAnsi="仿宋" w:eastAsia="仿宋" w:cs="仿宋"/>
          <w:sz w:val="32"/>
          <w:szCs w:val="32"/>
        </w:rPr>
        <w:t>在同一路段涂白高度保持一致，边缘整齐，增加美观度。涂白时，自上而下，涂刷均匀，保持地面及周边植物干净整洁，无残留涂白剂。</w:t>
      </w:r>
    </w:p>
    <w:p w14:paraId="23451D7C">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六、浇水。</w:t>
      </w:r>
    </w:p>
    <w:p w14:paraId="60874EA4">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乔灌木</w:t>
      </w:r>
    </w:p>
    <w:p w14:paraId="7B9FE36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）标准</w:t>
      </w:r>
      <w:r>
        <w:rPr>
          <w:rFonts w:hint="eastAsia" w:ascii="仿宋" w:hAnsi="仿宋" w:eastAsia="仿宋" w:cs="仿宋"/>
          <w:sz w:val="32"/>
          <w:szCs w:val="32"/>
        </w:rPr>
        <w:t>：</w:t>
      </w:r>
      <w:r>
        <w:rPr>
          <w:rFonts w:hint="eastAsia" w:ascii="仿宋" w:hAnsi="仿宋" w:eastAsia="仿宋" w:cs="仿宋"/>
          <w:sz w:val="32"/>
          <w:szCs w:val="32"/>
          <w:lang w:eastAsia="zh-CN"/>
        </w:rPr>
        <w:t>新植乔木</w:t>
      </w:r>
      <w:r>
        <w:rPr>
          <w:rFonts w:hint="eastAsia" w:ascii="仿宋" w:hAnsi="仿宋" w:eastAsia="仿宋" w:cs="仿宋"/>
          <w:sz w:val="32"/>
          <w:szCs w:val="32"/>
        </w:rPr>
        <w:t>连续浇透3次水（当日、3日内、7日内），之后2年内需保障充足供水</w:t>
      </w:r>
      <w:r>
        <w:rPr>
          <w:rFonts w:hint="eastAsia" w:ascii="仿宋" w:hAnsi="仿宋" w:eastAsia="仿宋" w:cs="仿宋"/>
          <w:sz w:val="32"/>
          <w:szCs w:val="32"/>
          <w:lang w:eastAsia="zh-CN"/>
        </w:rPr>
        <w:t>；</w:t>
      </w:r>
      <w:r>
        <w:rPr>
          <w:rFonts w:hint="eastAsia" w:ascii="仿宋" w:hAnsi="仿宋" w:eastAsia="仿宋" w:cs="仿宋"/>
          <w:sz w:val="32"/>
          <w:szCs w:val="32"/>
        </w:rPr>
        <w:t>成熟乔木生长期每月深层浇水1–2次，渗透深度≥40 cm；干旱期树冠喷雾辅助降温</w:t>
      </w:r>
      <w:r>
        <w:rPr>
          <w:rFonts w:hint="eastAsia" w:ascii="仿宋" w:hAnsi="仿宋" w:eastAsia="仿宋" w:cs="仿宋"/>
          <w:sz w:val="32"/>
          <w:szCs w:val="32"/>
          <w:lang w:eastAsia="zh-CN"/>
        </w:rPr>
        <w:t>；灌木</w:t>
      </w:r>
      <w:r>
        <w:rPr>
          <w:rFonts w:hint="eastAsia" w:ascii="仿宋" w:hAnsi="仿宋" w:eastAsia="仿宋" w:cs="仿宋"/>
          <w:sz w:val="32"/>
          <w:szCs w:val="32"/>
        </w:rPr>
        <w:t>夏季每3–5天浇水一次，春秋每周1次，渗透深度20–30cm。入冬前（11月初）需浇灌封冻水</w:t>
      </w:r>
      <w:r>
        <w:rPr>
          <w:rFonts w:hint="eastAsia" w:ascii="仿宋" w:hAnsi="仿宋" w:eastAsia="仿宋" w:cs="仿宋"/>
          <w:sz w:val="32"/>
          <w:szCs w:val="32"/>
          <w:lang w:eastAsia="zh-CN"/>
        </w:rPr>
        <w:t>，开春（</w:t>
      </w:r>
      <w:r>
        <w:rPr>
          <w:rFonts w:hint="eastAsia" w:ascii="仿宋" w:hAnsi="仿宋" w:eastAsia="仿宋" w:cs="仿宋"/>
          <w:sz w:val="32"/>
          <w:szCs w:val="32"/>
          <w:lang w:val="en-US" w:eastAsia="zh-CN"/>
        </w:rPr>
        <w:t>3月</w:t>
      </w:r>
      <w:r>
        <w:rPr>
          <w:rFonts w:hint="eastAsia" w:ascii="仿宋" w:hAnsi="仿宋" w:eastAsia="仿宋" w:cs="仿宋"/>
          <w:sz w:val="32"/>
          <w:szCs w:val="32"/>
          <w:lang w:eastAsia="zh-CN"/>
        </w:rPr>
        <w:t>）需浇返青水</w:t>
      </w:r>
      <w:r>
        <w:rPr>
          <w:rFonts w:hint="eastAsia" w:ascii="仿宋" w:hAnsi="仿宋" w:eastAsia="仿宋" w:cs="仿宋"/>
          <w:sz w:val="32"/>
          <w:szCs w:val="32"/>
        </w:rPr>
        <w:t xml:space="preserve">。 </w:t>
      </w:r>
    </w:p>
    <w:p w14:paraId="4264BC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）要求：</w:t>
      </w:r>
      <w:r>
        <w:rPr>
          <w:rFonts w:hint="eastAsia" w:ascii="仿宋" w:hAnsi="仿宋" w:eastAsia="仿宋" w:cs="仿宋"/>
          <w:sz w:val="32"/>
          <w:szCs w:val="32"/>
        </w:rPr>
        <w:t>根据不同树木不同生长季节及天气情况合理灌溉，夏季灌溉应避开中午烈日。灌溉前应先松土，打好围堰，一次浇透，相对均匀，不出现明显的局部积水现象。灌溉结束，水完全渗净后，应适当封穴或松土，防止土壤龟裂，尤其是新植树木</w:t>
      </w:r>
      <w:r>
        <w:rPr>
          <w:rFonts w:hint="eastAsia" w:ascii="仿宋" w:hAnsi="仿宋" w:eastAsia="仿宋" w:cs="仿宋"/>
          <w:sz w:val="32"/>
          <w:szCs w:val="32"/>
          <w:lang w:eastAsia="zh-CN"/>
        </w:rPr>
        <w:t>头三遍水浇完后，</w:t>
      </w:r>
      <w:r>
        <w:rPr>
          <w:rFonts w:hint="eastAsia" w:ascii="仿宋" w:hAnsi="仿宋" w:eastAsia="仿宋" w:cs="仿宋"/>
          <w:sz w:val="32"/>
          <w:szCs w:val="32"/>
          <w:lang w:val="en-US" w:eastAsia="zh-CN"/>
        </w:rPr>
        <w:t>7-10天浇水1次，雨季除外</w:t>
      </w:r>
      <w:r>
        <w:rPr>
          <w:rFonts w:hint="eastAsia" w:ascii="仿宋" w:hAnsi="仿宋" w:eastAsia="仿宋" w:cs="仿宋"/>
          <w:sz w:val="32"/>
          <w:szCs w:val="32"/>
        </w:rPr>
        <w:t>。</w:t>
      </w:r>
    </w:p>
    <w:p w14:paraId="2ED3360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街路植物应加强叶面冲洗，减少叶面的灰尘杂物，防止病虫害发生。叶面冲洗工作须避开正午高温。针叶树宜在清明后（5月）开始叶面冲洗工作，阔叶树宜在立夏后（6月）开始叶面冲洗工作。</w:t>
      </w:r>
    </w:p>
    <w:p w14:paraId="12293E2A">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地被及花卉</w:t>
      </w:r>
    </w:p>
    <w:p w14:paraId="49165F4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）要求</w:t>
      </w:r>
      <w:r>
        <w:rPr>
          <w:rFonts w:hint="eastAsia" w:ascii="仿宋" w:hAnsi="仿宋" w:eastAsia="仿宋" w:cs="仿宋"/>
          <w:sz w:val="32"/>
          <w:szCs w:val="32"/>
        </w:rPr>
        <w:t>：天气干旱、土壤干燥时，要根据不同品种适时、适量进行灌溉，</w:t>
      </w:r>
      <w:r>
        <w:rPr>
          <w:rFonts w:hint="eastAsia" w:ascii="仿宋" w:hAnsi="仿宋" w:eastAsia="仿宋" w:cs="仿宋"/>
          <w:sz w:val="32"/>
          <w:szCs w:val="32"/>
          <w:lang w:eastAsia="zh-CN"/>
        </w:rPr>
        <w:t>每</w:t>
      </w:r>
      <w:r>
        <w:rPr>
          <w:rFonts w:hint="eastAsia" w:ascii="仿宋" w:hAnsi="仿宋" w:eastAsia="仿宋" w:cs="仿宋"/>
          <w:sz w:val="32"/>
          <w:szCs w:val="32"/>
          <w:lang w:val="en-US" w:eastAsia="zh-CN"/>
        </w:rPr>
        <w:t>1-2天浇水1次，</w:t>
      </w:r>
      <w:r>
        <w:rPr>
          <w:rFonts w:hint="eastAsia" w:ascii="仿宋" w:hAnsi="仿宋" w:eastAsia="仿宋" w:cs="仿宋"/>
          <w:sz w:val="32"/>
          <w:szCs w:val="32"/>
        </w:rPr>
        <w:t>确保不出现萎蔫现象。夏季灌溉应避开中午烈日。灌溉做到一次浇透，相对均匀，不出现明显的局部积水现象。</w:t>
      </w:r>
    </w:p>
    <w:p w14:paraId="3BF56EB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3、草坪</w:t>
      </w:r>
    </w:p>
    <w:p w14:paraId="2299424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）标准：</w:t>
      </w:r>
      <w:r>
        <w:rPr>
          <w:rFonts w:hint="eastAsia" w:ascii="仿宋" w:hAnsi="仿宋" w:eastAsia="仿宋" w:cs="仿宋"/>
          <w:sz w:val="32"/>
          <w:szCs w:val="32"/>
        </w:rPr>
        <w:t>正常养护期，每次要浇透浇足，渗透深度不低于20cm。在</w:t>
      </w:r>
      <w:r>
        <w:rPr>
          <w:rFonts w:hint="eastAsia" w:ascii="仿宋" w:hAnsi="仿宋" w:eastAsia="仿宋" w:cs="仿宋"/>
          <w:sz w:val="32"/>
          <w:szCs w:val="32"/>
          <w:lang w:eastAsia="zh-CN"/>
        </w:rPr>
        <w:t>夏</w:t>
      </w:r>
      <w:r>
        <w:rPr>
          <w:rFonts w:hint="eastAsia" w:ascii="仿宋" w:hAnsi="仿宋" w:eastAsia="仿宋" w:cs="仿宋"/>
          <w:sz w:val="32"/>
          <w:szCs w:val="32"/>
        </w:rPr>
        <w:t>季，或保水力差的草地，每天宜灌 1-2 次，水量以渗透根系层为主</w:t>
      </w:r>
      <w:r>
        <w:rPr>
          <w:rFonts w:hint="eastAsia" w:ascii="仿宋" w:hAnsi="仿宋" w:eastAsia="仿宋" w:cs="仿宋"/>
          <w:sz w:val="32"/>
          <w:szCs w:val="32"/>
          <w:lang w:val="en-US" w:eastAsia="zh-CN"/>
        </w:rPr>
        <w:t>。</w:t>
      </w:r>
    </w:p>
    <w:p w14:paraId="49386DC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）要求</w:t>
      </w:r>
      <w:r>
        <w:rPr>
          <w:rFonts w:hint="eastAsia" w:ascii="仿宋" w:hAnsi="仿宋" w:eastAsia="仿宋" w:cs="仿宋"/>
          <w:sz w:val="32"/>
          <w:szCs w:val="32"/>
        </w:rPr>
        <w:t>：根据季节、气候、草种、土壤、养护水平、受践踏的程度等情况进行合理灌溉，确保草坪无干枯现象。</w:t>
      </w:r>
    </w:p>
    <w:p w14:paraId="0229A06C">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七、病虫害防治。</w:t>
      </w:r>
    </w:p>
    <w:p w14:paraId="2AC1FFF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）标准：病虫害防治主要以预防为主治疗为辅，每年</w:t>
      </w:r>
      <w:r>
        <w:rPr>
          <w:rFonts w:hint="eastAsia" w:ascii="仿宋" w:hAnsi="仿宋" w:eastAsia="仿宋" w:cs="仿宋"/>
          <w:sz w:val="32"/>
          <w:szCs w:val="32"/>
          <w:lang w:val="en-US" w:eastAsia="zh-CN"/>
        </w:rPr>
        <w:t>3月份开始进行物理预防，每年5月-9月期间每月都要进行病虫害防治1次</w:t>
      </w:r>
      <w:r>
        <w:rPr>
          <w:rFonts w:hint="eastAsia" w:ascii="仿宋" w:hAnsi="仿宋" w:eastAsia="仿宋" w:cs="仿宋"/>
          <w:sz w:val="32"/>
          <w:szCs w:val="32"/>
        </w:rPr>
        <w:t>，</w:t>
      </w:r>
      <w:r>
        <w:rPr>
          <w:rFonts w:hint="eastAsia" w:ascii="仿宋" w:hAnsi="仿宋" w:eastAsia="仿宋" w:cs="仿宋"/>
          <w:sz w:val="32"/>
          <w:szCs w:val="32"/>
          <w:lang w:eastAsia="zh-CN"/>
        </w:rPr>
        <w:t>以减少病虫害的发生。</w:t>
      </w:r>
    </w:p>
    <w:p w14:paraId="0FF7320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）要求：</w:t>
      </w:r>
      <w:r>
        <w:rPr>
          <w:rFonts w:hint="eastAsia" w:ascii="仿宋" w:hAnsi="仿宋" w:eastAsia="仿宋" w:cs="仿宋"/>
          <w:sz w:val="32"/>
          <w:szCs w:val="32"/>
        </w:rPr>
        <w:t>严格遵照防治时限和防治规程操作，应全年避免植物病虫害的发生和传播，确保病虫害发生率控制在5%以下。要积极主动进行巡线检查病虫害发生情况</w:t>
      </w:r>
      <w:r>
        <w:rPr>
          <w:rFonts w:hint="eastAsia" w:ascii="仿宋" w:hAnsi="仿宋" w:eastAsia="仿宋" w:cs="仿宋"/>
          <w:sz w:val="32"/>
          <w:szCs w:val="32"/>
          <w:lang w:eastAsia="zh-CN"/>
        </w:rPr>
        <w:t>，</w:t>
      </w:r>
      <w:r>
        <w:rPr>
          <w:rFonts w:hint="eastAsia" w:ascii="仿宋" w:hAnsi="仿宋" w:eastAsia="仿宋" w:cs="仿宋"/>
          <w:sz w:val="32"/>
          <w:szCs w:val="32"/>
        </w:rPr>
        <w:t>及时上报、防治。</w:t>
      </w:r>
    </w:p>
    <w:p w14:paraId="35023D7B">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八、施肥。</w:t>
      </w:r>
    </w:p>
    <w:p w14:paraId="2D30701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根据树木品种、规格、生长期和土壤缺肥状况合理定量施肥。施肥应以有机肥料为主，无机肥料为辅。</w:t>
      </w:r>
    </w:p>
    <w:p w14:paraId="5BA5AF1D">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乔灌木</w:t>
      </w:r>
    </w:p>
    <w:p w14:paraId="1F5793F7">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标准</w:t>
      </w:r>
      <w:r>
        <w:rPr>
          <w:rFonts w:hint="eastAsia" w:ascii="仿宋" w:hAnsi="仿宋" w:eastAsia="仿宋" w:cs="仿宋"/>
          <w:sz w:val="32"/>
          <w:szCs w:val="32"/>
        </w:rPr>
        <w:t>：乔灌木种植三年内，每年的春、夏各施追肥一次。</w:t>
      </w:r>
    </w:p>
    <w:p w14:paraId="44C748FA">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要求：</w:t>
      </w:r>
      <w:r>
        <w:rPr>
          <w:rFonts w:hint="eastAsia" w:ascii="仿宋" w:hAnsi="仿宋" w:eastAsia="仿宋" w:cs="仿宋"/>
          <w:sz w:val="32"/>
          <w:szCs w:val="32"/>
        </w:rPr>
        <w:t>肥料宜穴施或沟施，肥穴的规格一般为0.3m×0.3m×O.4m，挖沟的规格为0.3m×0.4m。挖穴或开沟的位置一般位于树冠外缘的投影线上(行道树除外)，穴施时一般每株树应挖对称的两穴或四穴，或根据树木规格酌情增加肥穴数量和药量。施肥后原土填回、踏实、浇透水，切忌肥料裸露。施肥应避免在雨天进行。除根外追肥外，肥料不得触及叶片。施肥应以有机肥料为主，无机肥料为辅。</w:t>
      </w:r>
    </w:p>
    <w:p w14:paraId="1C66503D">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地被</w:t>
      </w:r>
    </w:p>
    <w:p w14:paraId="17F50F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）要求</w:t>
      </w:r>
      <w:r>
        <w:rPr>
          <w:rFonts w:hint="eastAsia" w:ascii="仿宋" w:hAnsi="仿宋" w:eastAsia="仿宋" w:cs="仿宋"/>
          <w:sz w:val="32"/>
          <w:szCs w:val="32"/>
        </w:rPr>
        <w:t>：施肥应遵循适时、适量、对症原则，避免肥害。施肥后及时灌透水。施肥应避免在雨天进行。除根外追肥外，肥料不得触及叶片。施肥应以有机肥料为主，无机肥料为辅。</w:t>
      </w:r>
    </w:p>
    <w:p w14:paraId="46F96F6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3、花卉</w:t>
      </w:r>
    </w:p>
    <w:p w14:paraId="29A5D99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）要求</w:t>
      </w:r>
      <w:r>
        <w:rPr>
          <w:rFonts w:hint="eastAsia" w:ascii="仿宋" w:hAnsi="仿宋" w:eastAsia="仿宋" w:cs="仿宋"/>
          <w:sz w:val="32"/>
          <w:szCs w:val="32"/>
        </w:rPr>
        <w:t>：早春发芽前期应采取薄肥勤施的方法进行施肥。应在花前和花后各施一次追肥，肥料以腐熟的有机肥为主。</w:t>
      </w:r>
    </w:p>
    <w:p w14:paraId="562A746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4、草坪</w:t>
      </w:r>
    </w:p>
    <w:p w14:paraId="646D2B3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）要求</w:t>
      </w:r>
      <w:r>
        <w:rPr>
          <w:rFonts w:hint="eastAsia" w:ascii="仿宋" w:hAnsi="仿宋" w:eastAsia="仿宋" w:cs="仿宋"/>
          <w:sz w:val="32"/>
          <w:szCs w:val="32"/>
        </w:rPr>
        <w:t>：生长季节可根据具体情况施用追肥,施用方法和用量要科学，防止过量或不均匀引起肥害。追肥的时间和数量应根据土壤肥力、品种和草坪生长情况而定，以勤施薄施为原则，可采用撒施和根外追肥。</w:t>
      </w:r>
    </w:p>
    <w:p w14:paraId="1C992093">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九、垃圾清理。</w:t>
      </w:r>
    </w:p>
    <w:p w14:paraId="23E3994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街路、绿地产生的绿化作业垃圾及时清运。</w:t>
      </w:r>
    </w:p>
    <w:p w14:paraId="27FFCCF7">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十、排水。</w:t>
      </w:r>
    </w:p>
    <w:p w14:paraId="1A66D2D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绿地应有排水</w:t>
      </w:r>
      <w:r>
        <w:rPr>
          <w:rFonts w:hint="eastAsia" w:ascii="仿宋" w:hAnsi="仿宋" w:eastAsia="仿宋" w:cs="仿宋"/>
          <w:sz w:val="32"/>
          <w:szCs w:val="32"/>
          <w:lang w:eastAsia="zh-CN"/>
        </w:rPr>
        <w:t>应急措施</w:t>
      </w:r>
      <w:r>
        <w:rPr>
          <w:rFonts w:hint="eastAsia" w:ascii="仿宋" w:hAnsi="仿宋" w:eastAsia="仿宋" w:cs="仿宋"/>
          <w:sz w:val="32"/>
          <w:szCs w:val="32"/>
        </w:rPr>
        <w:t>，暴雨后应</w:t>
      </w:r>
      <w:r>
        <w:rPr>
          <w:rFonts w:hint="eastAsia" w:ascii="仿宋" w:hAnsi="仿宋" w:eastAsia="仿宋" w:cs="仿宋"/>
          <w:sz w:val="32"/>
          <w:szCs w:val="32"/>
          <w:lang w:eastAsia="zh-CN"/>
        </w:rPr>
        <w:t>及时</w:t>
      </w:r>
      <w:r>
        <w:rPr>
          <w:rFonts w:hint="eastAsia" w:ascii="仿宋" w:hAnsi="仿宋" w:eastAsia="仿宋" w:cs="仿宋"/>
          <w:sz w:val="32"/>
          <w:szCs w:val="32"/>
        </w:rPr>
        <w:t>排除树木周围的积水，凡低洼常年积水处，要填平或做前沟排水，防止积涝。</w:t>
      </w:r>
    </w:p>
    <w:p w14:paraId="14A433B2">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十一、防寒。</w:t>
      </w:r>
    </w:p>
    <w:p w14:paraId="5F6C754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针对不耐寒树种，冬季需采取防寒措施，以保安全越冬。</w:t>
      </w:r>
    </w:p>
    <w:p w14:paraId="27B49F41">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十二、街路巡视。</w:t>
      </w:r>
    </w:p>
    <w:p w14:paraId="04C5F06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每天巡视所辖街路，巡路时配备油锯、高枝剪等常用工具，及时处理倒树、挂枝等险情；加强树木的看管保护，遇人为破坏及时制止，同时做好防火工作。</w:t>
      </w:r>
    </w:p>
    <w:p w14:paraId="71E4CB97">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十三、应急处理。</w:t>
      </w:r>
    </w:p>
    <w:p w14:paraId="4E07CF0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公共绿地范围内，如因大风、暴雨等恶劣天气产生折枝、倒伏等应急险情时，绿化单位应实时响应，提前配备应急队伍、车辆等，确保应急险情能够及时处理，保护人身安全，避免受到财产损失。</w:t>
      </w:r>
    </w:p>
    <w:p w14:paraId="0DB6313D">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十四、保险工作。</w:t>
      </w:r>
    </w:p>
    <w:p w14:paraId="5D8C915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公共绿地范围内发生树木损坏车辆及人员伤亡时，首先要进行现场取证，上报园林局及保险公司进行现场勘测确定责任，配合保险公司及当事人履行所涉及的保险手续等事宜。</w:t>
      </w:r>
    </w:p>
    <w:p w14:paraId="42E59013">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十五、配合电力部门修剪</w:t>
      </w:r>
    </w:p>
    <w:p w14:paraId="FF3A166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汽开区公共绿地范围内去发生高大乔木树枝与高压线相连或者间距小于2米，电力相关部门要先向园林局申请，各养护单位接到通知后应配合电力部门对该树木进行修剪，修剪幅度不能影响树木的整体树形及美观，修剪下的树枝要及时清运，避免影响行人及街路美观。</w:t>
      </w:r>
    </w:p>
    <w:p w14:paraId="2AB8D54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p>
    <w:p w14:paraId="60DC74DA">
      <w:pPr>
        <w:rPr>
          <w:rFonts w:hint="eastAsia" w:ascii="宋体" w:hAnsi="宋体" w:eastAsia="宋体" w:cs="宋体"/>
          <w:b/>
          <w:bCs/>
          <w:spacing w:val="-2"/>
          <w:sz w:val="48"/>
          <w:szCs w:val="48"/>
          <w:lang w:eastAsia="zh-CN"/>
        </w:rPr>
      </w:pPr>
      <w:r>
        <w:rPr>
          <w:rFonts w:hint="eastAsia" w:ascii="宋体" w:hAnsi="宋体" w:eastAsia="宋体" w:cs="宋体"/>
          <w:b/>
          <w:bCs/>
          <w:spacing w:val="-2"/>
          <w:sz w:val="48"/>
          <w:szCs w:val="48"/>
          <w:lang w:eastAsia="zh-CN"/>
        </w:rPr>
        <w:br w:type="page"/>
      </w:r>
    </w:p>
    <w:p w14:paraId="05810120">
      <w:pPr>
        <w:jc w:val="center"/>
        <w:rPr>
          <w:rFonts w:hint="eastAsia" w:ascii="宋体" w:hAnsi="宋体" w:eastAsia="宋体" w:cs="宋体"/>
          <w:b/>
          <w:bCs/>
          <w:spacing w:val="-2"/>
          <w:sz w:val="32"/>
          <w:szCs w:val="32"/>
          <w:lang w:eastAsia="zh-CN"/>
        </w:rPr>
      </w:pPr>
      <w:r>
        <w:rPr>
          <w:rFonts w:hint="eastAsia" w:ascii="宋体" w:hAnsi="宋体" w:eastAsia="宋体" w:cs="宋体"/>
          <w:b/>
          <w:bCs/>
          <w:spacing w:val="-2"/>
          <w:sz w:val="32"/>
          <w:szCs w:val="32"/>
          <w:lang w:eastAsia="zh-CN"/>
        </w:rPr>
        <w:t>全年绿化养护工作</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2"/>
        <w:gridCol w:w="7501"/>
      </w:tblGrid>
      <w:tr w14:paraId="2C2BF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165" w:type="dxa"/>
            <w:vAlign w:val="center"/>
          </w:tcPr>
          <w:p w14:paraId="6515E0D1">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月份</w:t>
            </w:r>
          </w:p>
        </w:tc>
        <w:tc>
          <w:tcPr>
            <w:tcW w:w="8580" w:type="dxa"/>
            <w:vAlign w:val="center"/>
          </w:tcPr>
          <w:p w14:paraId="1FA41EB9">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sz w:val="28"/>
                <w:szCs w:val="28"/>
                <w:vertAlign w:val="baseline"/>
                <w:lang w:val="en-US" w:eastAsia="zh-CN"/>
              </w:rPr>
            </w:pPr>
            <w:r>
              <w:rPr>
                <w:rStyle w:val="41"/>
                <w:rFonts w:hint="default" w:ascii="Segoe UI" w:hAnsi="Segoe UI" w:eastAsia="Segoe UI" w:cs="Segoe UI"/>
                <w:b/>
                <w:bCs/>
                <w:i w:val="0"/>
                <w:iCs w:val="0"/>
                <w:color w:val="1F2328"/>
                <w:spacing w:val="0"/>
                <w:kern w:val="0"/>
                <w:sz w:val="28"/>
                <w:szCs w:val="28"/>
                <w:lang w:val="en-US" w:eastAsia="zh-CN" w:bidi="ar"/>
              </w:rPr>
              <w:t>养护任务详细说明</w:t>
            </w:r>
          </w:p>
        </w:tc>
      </w:tr>
      <w:tr w14:paraId="4DC58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165" w:type="dxa"/>
            <w:vAlign w:val="center"/>
          </w:tcPr>
          <w:p w14:paraId="1F9B8ED7">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一月</w:t>
            </w:r>
          </w:p>
        </w:tc>
        <w:tc>
          <w:tcPr>
            <w:tcW w:w="8580" w:type="dxa"/>
            <w:vAlign w:val="center"/>
          </w:tcPr>
          <w:p w14:paraId="4ABF504A">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 xml:space="preserve">① </w:t>
            </w:r>
            <w:r>
              <w:rPr>
                <w:rFonts w:hint="eastAsia" w:ascii="Segoe UI" w:hAnsi="Segoe UI" w:eastAsia="Segoe UI" w:cs="Segoe UI"/>
                <w:i w:val="0"/>
                <w:iCs w:val="0"/>
                <w:color w:val="1F2328"/>
                <w:spacing w:val="0"/>
                <w:kern w:val="0"/>
                <w:sz w:val="28"/>
                <w:szCs w:val="28"/>
                <w:lang w:val="en-US" w:eastAsia="zh-CN" w:bidi="ar"/>
              </w:rPr>
              <w:t>日常巡视，发现断枝等及时</w:t>
            </w:r>
            <w:r>
              <w:rPr>
                <w:rFonts w:hint="default" w:ascii="Segoe UI" w:hAnsi="Segoe UI" w:eastAsia="Segoe UI" w:cs="Segoe UI"/>
                <w:i w:val="0"/>
                <w:iCs w:val="0"/>
                <w:color w:val="1F2328"/>
                <w:spacing w:val="0"/>
                <w:kern w:val="0"/>
                <w:sz w:val="28"/>
                <w:szCs w:val="28"/>
                <w:lang w:val="en-US" w:eastAsia="zh-CN" w:bidi="ar"/>
              </w:rPr>
              <w:t>修剪</w:t>
            </w:r>
            <w:r>
              <w:rPr>
                <w:rFonts w:hint="eastAsia" w:ascii="Segoe UI" w:hAnsi="Segoe UI" w:eastAsia="Segoe UI" w:cs="Segoe UI"/>
                <w:i w:val="0"/>
                <w:iCs w:val="0"/>
                <w:color w:val="1F2328"/>
                <w:spacing w:val="0"/>
                <w:kern w:val="0"/>
                <w:sz w:val="28"/>
                <w:szCs w:val="28"/>
                <w:lang w:val="en-US" w:eastAsia="zh-CN" w:bidi="ar"/>
              </w:rPr>
              <w:t>，并</w:t>
            </w:r>
            <w:r>
              <w:rPr>
                <w:rFonts w:hint="default" w:ascii="Segoe UI" w:hAnsi="Segoe UI" w:eastAsia="Segoe UI" w:cs="Segoe UI"/>
                <w:i w:val="0"/>
                <w:iCs w:val="0"/>
                <w:color w:val="1F2328"/>
                <w:spacing w:val="0"/>
                <w:kern w:val="0"/>
                <w:sz w:val="28"/>
                <w:szCs w:val="28"/>
                <w:lang w:val="en-US" w:eastAsia="zh-CN" w:bidi="ar"/>
              </w:rPr>
              <w:t>清理现场</w:t>
            </w:r>
            <w:r>
              <w:rPr>
                <w:rFonts w:hint="eastAsia" w:ascii="Segoe UI" w:hAnsi="Segoe UI" w:eastAsia="Segoe UI" w:cs="Segoe UI"/>
                <w:i w:val="0"/>
                <w:iCs w:val="0"/>
                <w:color w:val="1F2328"/>
                <w:spacing w:val="0"/>
                <w:kern w:val="0"/>
                <w:sz w:val="28"/>
                <w:szCs w:val="28"/>
                <w:lang w:val="en-US" w:eastAsia="zh-CN" w:bidi="ar"/>
              </w:rPr>
              <w:t>。</w:t>
            </w:r>
          </w:p>
        </w:tc>
      </w:tr>
      <w:tr w14:paraId="7C905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165" w:type="dxa"/>
            <w:vAlign w:val="center"/>
          </w:tcPr>
          <w:p w14:paraId="082F3119">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二月</w:t>
            </w:r>
          </w:p>
        </w:tc>
        <w:tc>
          <w:tcPr>
            <w:tcW w:w="8580" w:type="dxa"/>
            <w:vAlign w:val="center"/>
          </w:tcPr>
          <w:p w14:paraId="11CDE4CA">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 xml:space="preserve">① </w:t>
            </w:r>
            <w:r>
              <w:rPr>
                <w:rFonts w:hint="eastAsia" w:ascii="Segoe UI" w:hAnsi="Segoe UI" w:eastAsia="Segoe UI" w:cs="Segoe UI"/>
                <w:i w:val="0"/>
                <w:iCs w:val="0"/>
                <w:color w:val="1F2328"/>
                <w:spacing w:val="0"/>
                <w:kern w:val="0"/>
                <w:sz w:val="28"/>
                <w:szCs w:val="28"/>
                <w:lang w:val="en-US" w:eastAsia="zh-CN" w:bidi="ar"/>
              </w:rPr>
              <w:t>日常巡视，</w:t>
            </w:r>
            <w:r>
              <w:rPr>
                <w:rFonts w:hint="default" w:ascii="Segoe UI" w:hAnsi="Segoe UI" w:eastAsia="Segoe UI" w:cs="Segoe UI"/>
                <w:i w:val="0"/>
                <w:iCs w:val="0"/>
                <w:color w:val="1F2328"/>
                <w:spacing w:val="0"/>
                <w:kern w:val="0"/>
                <w:sz w:val="28"/>
                <w:szCs w:val="28"/>
                <w:lang w:val="en-US" w:eastAsia="zh-CN" w:bidi="ar"/>
              </w:rPr>
              <w:t>关注极端天气</w:t>
            </w:r>
            <w:r>
              <w:rPr>
                <w:rFonts w:hint="eastAsia" w:ascii="Segoe UI" w:hAnsi="Segoe UI" w:eastAsia="Segoe UI" w:cs="Segoe UI"/>
                <w:i w:val="0"/>
                <w:iCs w:val="0"/>
                <w:color w:val="1F2328"/>
                <w:spacing w:val="0"/>
                <w:kern w:val="0"/>
                <w:sz w:val="28"/>
                <w:szCs w:val="28"/>
                <w:lang w:val="en-US" w:eastAsia="zh-CN" w:bidi="ar"/>
              </w:rPr>
              <w:t>，大雪天气安排人员清理松树冠上积雪，防止压断枝条。</w:t>
            </w:r>
          </w:p>
        </w:tc>
      </w:tr>
      <w:tr w14:paraId="33940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165" w:type="dxa"/>
            <w:vAlign w:val="center"/>
          </w:tcPr>
          <w:p w14:paraId="280A6E2D">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三月</w:t>
            </w:r>
          </w:p>
        </w:tc>
        <w:tc>
          <w:tcPr>
            <w:tcW w:w="8580" w:type="dxa"/>
            <w:vAlign w:val="center"/>
          </w:tcPr>
          <w:p w14:paraId="4B7A974C">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① 清理绿地内枯枝落叶及</w:t>
            </w:r>
            <w:r>
              <w:rPr>
                <w:rFonts w:hint="eastAsia" w:ascii="Segoe UI" w:hAnsi="Segoe UI" w:eastAsia="Segoe UI" w:cs="Segoe UI"/>
                <w:i w:val="0"/>
                <w:iCs w:val="0"/>
                <w:color w:val="1F2328"/>
                <w:spacing w:val="0"/>
                <w:kern w:val="0"/>
                <w:sz w:val="28"/>
                <w:szCs w:val="28"/>
                <w:lang w:val="en-US" w:eastAsia="zh-CN" w:bidi="ar"/>
              </w:rPr>
              <w:t>残枝；</w:t>
            </w:r>
            <w:r>
              <w:rPr>
                <w:rFonts w:hint="default" w:ascii="Segoe UI" w:hAnsi="Segoe UI" w:eastAsia="Segoe UI" w:cs="Segoe UI"/>
                <w:i w:val="0"/>
                <w:iCs w:val="0"/>
                <w:color w:val="1F2328"/>
                <w:spacing w:val="0"/>
                <w:kern w:val="0"/>
                <w:sz w:val="28"/>
                <w:szCs w:val="28"/>
                <w:lang w:val="en-US" w:eastAsia="zh-CN" w:bidi="ar"/>
              </w:rPr>
              <w:t xml:space="preserve">② </w:t>
            </w:r>
            <w:r>
              <w:rPr>
                <w:rFonts w:hint="eastAsia" w:ascii="Segoe UI" w:hAnsi="Segoe UI" w:eastAsia="Segoe UI" w:cs="Segoe UI"/>
                <w:i w:val="0"/>
                <w:iCs w:val="0"/>
                <w:color w:val="1F2328"/>
                <w:spacing w:val="0"/>
                <w:kern w:val="0"/>
                <w:sz w:val="28"/>
                <w:szCs w:val="28"/>
                <w:lang w:val="en-US" w:eastAsia="zh-CN" w:bidi="ar"/>
              </w:rPr>
              <w:t>进行街路补植；③</w:t>
            </w:r>
            <w:r>
              <w:rPr>
                <w:rFonts w:hint="default" w:ascii="Segoe UI" w:hAnsi="Segoe UI" w:eastAsia="Segoe UI" w:cs="Segoe UI"/>
                <w:i w:val="0"/>
                <w:iCs w:val="0"/>
                <w:color w:val="1F2328"/>
                <w:spacing w:val="0"/>
                <w:kern w:val="0"/>
                <w:sz w:val="28"/>
                <w:szCs w:val="28"/>
                <w:lang w:val="en-US" w:eastAsia="zh-CN" w:bidi="ar"/>
              </w:rPr>
              <w:t xml:space="preserve"> </w:t>
            </w:r>
            <w:r>
              <w:rPr>
                <w:rFonts w:hint="eastAsia" w:ascii="Segoe UI" w:hAnsi="Segoe UI" w:eastAsia="Segoe UI" w:cs="Segoe UI"/>
                <w:i w:val="0"/>
                <w:iCs w:val="0"/>
                <w:color w:val="1F2328"/>
                <w:spacing w:val="0"/>
                <w:kern w:val="0"/>
                <w:sz w:val="28"/>
                <w:szCs w:val="28"/>
                <w:lang w:val="en-US" w:eastAsia="zh-CN" w:bidi="ar"/>
              </w:rPr>
              <w:t>日常巡视。</w:t>
            </w:r>
          </w:p>
        </w:tc>
      </w:tr>
      <w:tr w14:paraId="26F95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165" w:type="dxa"/>
            <w:vAlign w:val="center"/>
          </w:tcPr>
          <w:p w14:paraId="3607942B">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四月</w:t>
            </w:r>
          </w:p>
        </w:tc>
        <w:tc>
          <w:tcPr>
            <w:tcW w:w="8580" w:type="dxa"/>
            <w:vAlign w:val="center"/>
          </w:tcPr>
          <w:p w14:paraId="7423CB62">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①根据植物需水特性，开始适量浇水</w:t>
            </w:r>
            <w:r>
              <w:rPr>
                <w:rFonts w:hint="eastAsia" w:ascii="Segoe UI" w:hAnsi="Segoe UI" w:eastAsia="Segoe UI" w:cs="Segoe UI"/>
                <w:i w:val="0"/>
                <w:iCs w:val="0"/>
                <w:color w:val="1F2328"/>
                <w:spacing w:val="0"/>
                <w:kern w:val="0"/>
                <w:sz w:val="28"/>
                <w:szCs w:val="28"/>
                <w:lang w:val="en-US" w:eastAsia="zh-CN" w:bidi="ar"/>
              </w:rPr>
              <w:t>；</w:t>
            </w:r>
            <w:r>
              <w:rPr>
                <w:rFonts w:hint="default" w:ascii="Segoe UI" w:hAnsi="Segoe UI" w:eastAsia="Segoe UI" w:cs="Segoe UI"/>
                <w:i w:val="0"/>
                <w:iCs w:val="0"/>
                <w:color w:val="1F2328"/>
                <w:spacing w:val="0"/>
                <w:kern w:val="0"/>
                <w:sz w:val="28"/>
                <w:szCs w:val="28"/>
                <w:lang w:val="en-US" w:eastAsia="zh-CN" w:bidi="ar"/>
              </w:rPr>
              <w:t xml:space="preserve"> ②防治春季常见病虫害，如蚜虫、螨类等</w:t>
            </w:r>
            <w:r>
              <w:rPr>
                <w:rFonts w:hint="eastAsia" w:ascii="Segoe UI" w:hAnsi="Segoe UI" w:eastAsia="Segoe UI" w:cs="Segoe UI"/>
                <w:i w:val="0"/>
                <w:iCs w:val="0"/>
                <w:color w:val="1F2328"/>
                <w:spacing w:val="0"/>
                <w:kern w:val="0"/>
                <w:sz w:val="28"/>
                <w:szCs w:val="28"/>
                <w:lang w:val="en-US" w:eastAsia="zh-CN" w:bidi="ar"/>
              </w:rPr>
              <w:t>；③</w:t>
            </w:r>
            <w:r>
              <w:rPr>
                <w:rFonts w:hint="default" w:ascii="Segoe UI" w:hAnsi="Segoe UI" w:eastAsia="Segoe UI" w:cs="Segoe UI"/>
                <w:i w:val="0"/>
                <w:iCs w:val="0"/>
                <w:color w:val="1F2328"/>
                <w:spacing w:val="0"/>
                <w:kern w:val="0"/>
                <w:sz w:val="28"/>
                <w:szCs w:val="28"/>
                <w:lang w:val="en-US" w:eastAsia="zh-CN" w:bidi="ar"/>
              </w:rPr>
              <w:t xml:space="preserve"> </w:t>
            </w:r>
            <w:r>
              <w:rPr>
                <w:rFonts w:hint="eastAsia" w:ascii="Segoe UI" w:hAnsi="Segoe UI" w:eastAsia="Segoe UI" w:cs="Segoe UI"/>
                <w:i w:val="0"/>
                <w:iCs w:val="0"/>
                <w:color w:val="1F2328"/>
                <w:spacing w:val="0"/>
                <w:kern w:val="0"/>
                <w:sz w:val="28"/>
                <w:szCs w:val="28"/>
                <w:lang w:val="en-US" w:eastAsia="zh-CN" w:bidi="ar"/>
              </w:rPr>
              <w:t>日常巡视。</w:t>
            </w:r>
          </w:p>
        </w:tc>
      </w:tr>
      <w:tr w14:paraId="0FCA0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exact"/>
          <w:jc w:val="center"/>
        </w:trPr>
        <w:tc>
          <w:tcPr>
            <w:tcW w:w="1165" w:type="dxa"/>
            <w:vAlign w:val="center"/>
          </w:tcPr>
          <w:p w14:paraId="6C69EBB7">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五月</w:t>
            </w:r>
          </w:p>
        </w:tc>
        <w:tc>
          <w:tcPr>
            <w:tcW w:w="8580" w:type="dxa"/>
            <w:vAlign w:val="center"/>
          </w:tcPr>
          <w:p w14:paraId="79D9A85B">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① 加强浇水与施肥，满足旺盛生长需求</w:t>
            </w:r>
            <w:r>
              <w:rPr>
                <w:rFonts w:hint="eastAsia" w:ascii="Segoe UI" w:hAnsi="Segoe UI" w:eastAsia="Segoe UI" w:cs="Segoe UI"/>
                <w:i w:val="0"/>
                <w:iCs w:val="0"/>
                <w:color w:val="1F2328"/>
                <w:spacing w:val="0"/>
                <w:kern w:val="0"/>
                <w:sz w:val="28"/>
                <w:szCs w:val="28"/>
                <w:lang w:val="en-US" w:eastAsia="zh-CN" w:bidi="ar"/>
              </w:rPr>
              <w:t>；</w:t>
            </w:r>
            <w:r>
              <w:rPr>
                <w:rFonts w:hint="default" w:ascii="Segoe UI" w:hAnsi="Segoe UI" w:eastAsia="Segoe UI" w:cs="Segoe UI"/>
                <w:i w:val="0"/>
                <w:iCs w:val="0"/>
                <w:color w:val="1F2328"/>
                <w:spacing w:val="0"/>
                <w:kern w:val="0"/>
                <w:sz w:val="28"/>
                <w:szCs w:val="28"/>
                <w:lang w:val="en-US" w:eastAsia="zh-CN" w:bidi="ar"/>
              </w:rPr>
              <w:t>② 监测病虫害发生情况，及时防治</w:t>
            </w:r>
            <w:r>
              <w:rPr>
                <w:rFonts w:hint="eastAsia" w:ascii="Segoe UI" w:hAnsi="Segoe UI" w:eastAsia="Segoe UI" w:cs="Segoe UI"/>
                <w:i w:val="0"/>
                <w:iCs w:val="0"/>
                <w:color w:val="1F2328"/>
                <w:spacing w:val="0"/>
                <w:kern w:val="0"/>
                <w:sz w:val="28"/>
                <w:szCs w:val="28"/>
                <w:lang w:val="en-US" w:eastAsia="zh-CN" w:bidi="ar"/>
              </w:rPr>
              <w:t>。③</w:t>
            </w:r>
            <w:r>
              <w:rPr>
                <w:rFonts w:hint="default" w:ascii="Segoe UI" w:hAnsi="Segoe UI" w:eastAsia="Segoe UI" w:cs="Segoe UI"/>
                <w:i w:val="0"/>
                <w:iCs w:val="0"/>
                <w:color w:val="1F2328"/>
                <w:spacing w:val="0"/>
                <w:kern w:val="0"/>
                <w:sz w:val="28"/>
                <w:szCs w:val="28"/>
                <w:lang w:val="en-US" w:eastAsia="zh-CN" w:bidi="ar"/>
              </w:rPr>
              <w:t xml:space="preserve"> 定期修剪</w:t>
            </w:r>
            <w:r>
              <w:rPr>
                <w:rFonts w:hint="eastAsia" w:ascii="Segoe UI" w:hAnsi="Segoe UI" w:eastAsia="Segoe UI" w:cs="Segoe UI"/>
                <w:i w:val="0"/>
                <w:iCs w:val="0"/>
                <w:color w:val="1F2328"/>
                <w:spacing w:val="0"/>
                <w:kern w:val="0"/>
                <w:sz w:val="28"/>
                <w:szCs w:val="28"/>
                <w:lang w:val="en-US" w:eastAsia="zh-CN" w:bidi="ar"/>
              </w:rPr>
              <w:t>；</w:t>
            </w:r>
            <w:r>
              <w:rPr>
                <w:rFonts w:hint="default" w:ascii="Arial" w:hAnsi="Arial" w:cs="Arial"/>
                <w:i w:val="0"/>
                <w:iCs w:val="0"/>
                <w:color w:val="333333"/>
                <w:spacing w:val="0"/>
                <w:sz w:val="28"/>
                <w:szCs w:val="28"/>
                <w:shd w:val="clear" w:fill="FFFFFF"/>
              </w:rPr>
              <w:t>④</w:t>
            </w:r>
            <w:r>
              <w:rPr>
                <w:rFonts w:hint="default" w:ascii="Segoe UI" w:hAnsi="Segoe UI" w:eastAsia="Segoe UI" w:cs="Segoe UI"/>
                <w:i w:val="0"/>
                <w:iCs w:val="0"/>
                <w:color w:val="1F2328"/>
                <w:spacing w:val="0"/>
                <w:kern w:val="0"/>
                <w:sz w:val="28"/>
                <w:szCs w:val="28"/>
                <w:lang w:val="en-US" w:eastAsia="zh-CN" w:bidi="ar"/>
              </w:rPr>
              <w:t xml:space="preserve"> </w:t>
            </w:r>
            <w:r>
              <w:rPr>
                <w:rFonts w:hint="eastAsia" w:ascii="Segoe UI" w:hAnsi="Segoe UI" w:eastAsia="Segoe UI" w:cs="Segoe UI"/>
                <w:i w:val="0"/>
                <w:iCs w:val="0"/>
                <w:color w:val="1F2328"/>
                <w:spacing w:val="0"/>
                <w:kern w:val="0"/>
                <w:sz w:val="28"/>
                <w:szCs w:val="28"/>
                <w:lang w:val="en-US" w:eastAsia="zh-CN" w:bidi="ar"/>
              </w:rPr>
              <w:t>对树木进行涂白；⑤日常巡视。</w:t>
            </w:r>
          </w:p>
        </w:tc>
      </w:tr>
      <w:tr w14:paraId="4816C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vAlign w:val="center"/>
          </w:tcPr>
          <w:p w14:paraId="3F8A2C35">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六月</w:t>
            </w:r>
          </w:p>
        </w:tc>
        <w:tc>
          <w:tcPr>
            <w:tcW w:w="8580" w:type="dxa"/>
            <w:vAlign w:val="center"/>
          </w:tcPr>
          <w:p w14:paraId="21258CB1">
            <w:pPr>
              <w:keepNext w:val="0"/>
              <w:keepLines w:val="0"/>
              <w:widowControl/>
              <w:suppressLineNumbers w:val="0"/>
              <w:spacing w:before="0" w:beforeAutospacing="0" w:after="0" w:afterAutospacing="0"/>
              <w:ind w:left="0" w:right="0"/>
              <w:jc w:val="left"/>
              <w:rPr>
                <w:rFonts w:hint="default" w:ascii="Segoe UI" w:hAnsi="Segoe UI" w:cs="Segoe UI" w:eastAsia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① 高温期间注意适时灌溉，防止干旱</w:t>
            </w:r>
            <w:r>
              <w:rPr>
                <w:rFonts w:hint="eastAsia" w:ascii="Segoe UI" w:hAnsi="Segoe UI" w:eastAsia="Segoe UI" w:cs="Segoe UI"/>
                <w:i w:val="0"/>
                <w:iCs w:val="0"/>
                <w:color w:val="1F2328"/>
                <w:spacing w:val="0"/>
                <w:kern w:val="0"/>
                <w:sz w:val="28"/>
                <w:szCs w:val="28"/>
                <w:lang w:val="en-US" w:eastAsia="zh-CN" w:bidi="ar"/>
              </w:rPr>
              <w:t>；</w:t>
            </w:r>
            <w:r>
              <w:rPr>
                <w:rFonts w:hint="default" w:ascii="Segoe UI" w:hAnsi="Segoe UI" w:eastAsia="Segoe UI" w:cs="Segoe UI"/>
                <w:i w:val="0"/>
                <w:iCs w:val="0"/>
                <w:color w:val="1F2328"/>
                <w:spacing w:val="0"/>
                <w:kern w:val="0"/>
                <w:sz w:val="28"/>
                <w:szCs w:val="28"/>
                <w:lang w:val="en-US" w:eastAsia="zh-CN" w:bidi="ar"/>
              </w:rPr>
              <w:t>② 监测病虫害发生情况，及时防治</w:t>
            </w:r>
            <w:r>
              <w:rPr>
                <w:rFonts w:hint="eastAsia" w:ascii="Segoe UI" w:hAnsi="Segoe UI" w:eastAsia="Segoe UI" w:cs="Segoe UI"/>
                <w:i w:val="0"/>
                <w:iCs w:val="0"/>
                <w:color w:val="1F2328"/>
                <w:spacing w:val="0"/>
                <w:kern w:val="0"/>
                <w:sz w:val="28"/>
                <w:szCs w:val="28"/>
                <w:lang w:val="en-US" w:eastAsia="zh-CN" w:bidi="ar"/>
              </w:rPr>
              <w:t>。③</w:t>
            </w:r>
            <w:r>
              <w:rPr>
                <w:rFonts w:hint="default" w:ascii="Segoe UI" w:hAnsi="Segoe UI" w:eastAsia="Segoe UI" w:cs="Segoe UI"/>
                <w:i w:val="0"/>
                <w:iCs w:val="0"/>
                <w:color w:val="1F2328"/>
                <w:spacing w:val="0"/>
                <w:kern w:val="0"/>
                <w:sz w:val="28"/>
                <w:szCs w:val="28"/>
                <w:lang w:val="en-US" w:eastAsia="zh-CN" w:bidi="ar"/>
              </w:rPr>
              <w:t xml:space="preserve"> 定期修剪，改善植株通风透光条件</w:t>
            </w:r>
            <w:r>
              <w:rPr>
                <w:rFonts w:hint="eastAsia" w:ascii="Segoe UI" w:hAnsi="Segoe UI" w:eastAsia="Segoe UI" w:cs="Segoe UI"/>
                <w:i w:val="0"/>
                <w:iCs w:val="0"/>
                <w:color w:val="1F2328"/>
                <w:spacing w:val="0"/>
                <w:kern w:val="0"/>
                <w:sz w:val="28"/>
                <w:szCs w:val="28"/>
                <w:lang w:val="en-US" w:eastAsia="zh-CN" w:bidi="ar"/>
              </w:rPr>
              <w:t>；④日常巡视。</w:t>
            </w:r>
          </w:p>
        </w:tc>
      </w:tr>
      <w:tr w14:paraId="0FBD4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165" w:type="dxa"/>
            <w:vAlign w:val="center"/>
          </w:tcPr>
          <w:p w14:paraId="20BC8CD8">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七月</w:t>
            </w:r>
          </w:p>
        </w:tc>
        <w:tc>
          <w:tcPr>
            <w:tcW w:w="8580" w:type="dxa"/>
            <w:vAlign w:val="center"/>
          </w:tcPr>
          <w:p w14:paraId="485BE6D5">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420" w:lineRule="atLeast"/>
              <w:ind w:left="0" w:right="0" w:firstLine="0"/>
              <w:jc w:val="both"/>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① 高温期间注意适时灌溉，防止干旱</w:t>
            </w:r>
            <w:r>
              <w:rPr>
                <w:rFonts w:hint="eastAsia" w:ascii="Segoe UI" w:hAnsi="Segoe UI" w:eastAsia="Segoe UI" w:cs="Segoe UI"/>
                <w:i w:val="0"/>
                <w:iCs w:val="0"/>
                <w:color w:val="1F2328"/>
                <w:spacing w:val="0"/>
                <w:kern w:val="0"/>
                <w:sz w:val="28"/>
                <w:szCs w:val="28"/>
                <w:lang w:val="en-US" w:eastAsia="zh-CN" w:bidi="ar"/>
              </w:rPr>
              <w:t>；</w:t>
            </w:r>
            <w:r>
              <w:rPr>
                <w:rFonts w:hint="default" w:ascii="Segoe UI" w:hAnsi="Segoe UI" w:eastAsia="Segoe UI" w:cs="Segoe UI"/>
                <w:i w:val="0"/>
                <w:iCs w:val="0"/>
                <w:color w:val="1F2328"/>
                <w:spacing w:val="0"/>
                <w:kern w:val="0"/>
                <w:sz w:val="28"/>
                <w:szCs w:val="28"/>
                <w:lang w:val="en-US" w:eastAsia="zh-CN" w:bidi="ar"/>
              </w:rPr>
              <w:t>② 加强对夏季高发病虫害的监测与防治，如白粉病、红蜘蛛等</w:t>
            </w:r>
            <w:r>
              <w:rPr>
                <w:rFonts w:hint="eastAsia" w:ascii="Segoe UI" w:hAnsi="Segoe UI" w:eastAsia="Segoe UI" w:cs="Segoe UI"/>
                <w:i w:val="0"/>
                <w:iCs w:val="0"/>
                <w:color w:val="1F2328"/>
                <w:spacing w:val="0"/>
                <w:kern w:val="0"/>
                <w:sz w:val="28"/>
                <w:szCs w:val="28"/>
                <w:lang w:val="en-US" w:eastAsia="zh-CN" w:bidi="ar"/>
              </w:rPr>
              <w:t>；③</w:t>
            </w:r>
            <w:r>
              <w:rPr>
                <w:rFonts w:hint="default" w:ascii="Segoe UI" w:hAnsi="Segoe UI" w:eastAsia="Segoe UI" w:cs="Segoe UI"/>
                <w:i w:val="0"/>
                <w:iCs w:val="0"/>
                <w:color w:val="1F2328"/>
                <w:spacing w:val="0"/>
                <w:kern w:val="0"/>
                <w:sz w:val="28"/>
                <w:szCs w:val="28"/>
                <w:lang w:val="en-US" w:eastAsia="zh-CN" w:bidi="ar"/>
              </w:rPr>
              <w:t xml:space="preserve"> 定期修剪，改善植株通风透光条件</w:t>
            </w:r>
            <w:r>
              <w:rPr>
                <w:rFonts w:hint="eastAsia" w:ascii="Segoe UI" w:hAnsi="Segoe UI" w:eastAsia="Segoe UI" w:cs="Segoe UI"/>
                <w:i w:val="0"/>
                <w:iCs w:val="0"/>
                <w:color w:val="1F2328"/>
                <w:spacing w:val="0"/>
                <w:kern w:val="0"/>
                <w:sz w:val="28"/>
                <w:szCs w:val="28"/>
                <w:lang w:val="en-US" w:eastAsia="zh-CN" w:bidi="ar"/>
              </w:rPr>
              <w:t>。</w:t>
            </w:r>
            <w:r>
              <w:rPr>
                <w:rFonts w:hint="default" w:ascii="Arial" w:hAnsi="Arial" w:cs="Arial"/>
                <w:i w:val="0"/>
                <w:iCs w:val="0"/>
                <w:color w:val="333333"/>
                <w:spacing w:val="0"/>
                <w:sz w:val="28"/>
                <w:szCs w:val="28"/>
                <w:shd w:val="clear" w:fill="FFFFFF"/>
              </w:rPr>
              <w:t>④</w:t>
            </w:r>
            <w:r>
              <w:rPr>
                <w:rFonts w:hint="default" w:ascii="Segoe UI" w:hAnsi="Segoe UI" w:eastAsia="Segoe UI" w:cs="Segoe UI"/>
                <w:i w:val="0"/>
                <w:iCs w:val="0"/>
                <w:color w:val="1F2328"/>
                <w:spacing w:val="0"/>
                <w:kern w:val="0"/>
                <w:sz w:val="28"/>
                <w:szCs w:val="28"/>
                <w:lang w:val="en-US" w:eastAsia="zh-CN" w:bidi="ar"/>
              </w:rPr>
              <w:t xml:space="preserve"> 对草坪进行定期修剪，保持适宜高度</w:t>
            </w:r>
            <w:r>
              <w:rPr>
                <w:rFonts w:hint="eastAsia" w:ascii="Segoe UI" w:hAnsi="Segoe UI" w:eastAsia="Segoe UI" w:cs="Segoe UI"/>
                <w:i w:val="0"/>
                <w:iCs w:val="0"/>
                <w:color w:val="1F2328"/>
                <w:spacing w:val="0"/>
                <w:kern w:val="0"/>
                <w:sz w:val="28"/>
                <w:szCs w:val="28"/>
                <w:lang w:val="en-US" w:eastAsia="zh-CN" w:bidi="ar"/>
              </w:rPr>
              <w:t>；⑤日常巡视。</w:t>
            </w:r>
          </w:p>
        </w:tc>
      </w:tr>
      <w:tr w14:paraId="303FC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165" w:type="dxa"/>
            <w:vAlign w:val="center"/>
          </w:tcPr>
          <w:p w14:paraId="620627FD">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八月</w:t>
            </w:r>
          </w:p>
        </w:tc>
        <w:tc>
          <w:tcPr>
            <w:tcW w:w="8580" w:type="dxa"/>
            <w:vAlign w:val="center"/>
          </w:tcPr>
          <w:p w14:paraId="3A982085">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① 继续做好高温季节的水分管理，防止干旱与涝害</w:t>
            </w:r>
            <w:r>
              <w:rPr>
                <w:rFonts w:hint="eastAsia" w:ascii="Segoe UI" w:hAnsi="Segoe UI" w:eastAsia="Segoe UI" w:cs="Segoe UI"/>
                <w:i w:val="0"/>
                <w:iCs w:val="0"/>
                <w:color w:val="1F2328"/>
                <w:spacing w:val="0"/>
                <w:kern w:val="0"/>
                <w:sz w:val="28"/>
                <w:szCs w:val="28"/>
                <w:lang w:val="en-US" w:eastAsia="zh-CN" w:bidi="ar"/>
              </w:rPr>
              <w:t>；</w:t>
            </w:r>
            <w:r>
              <w:rPr>
                <w:rFonts w:hint="default" w:ascii="Segoe UI" w:hAnsi="Segoe UI" w:eastAsia="Segoe UI" w:cs="Segoe UI"/>
                <w:i w:val="0"/>
                <w:iCs w:val="0"/>
                <w:color w:val="1F2328"/>
                <w:spacing w:val="0"/>
                <w:kern w:val="0"/>
                <w:sz w:val="28"/>
                <w:szCs w:val="28"/>
                <w:lang w:val="en-US" w:eastAsia="zh-CN" w:bidi="ar"/>
              </w:rPr>
              <w:t>② 对草坪进行定期修剪，保持适宜高度</w:t>
            </w:r>
            <w:r>
              <w:rPr>
                <w:rFonts w:hint="eastAsia" w:ascii="Segoe UI" w:hAnsi="Segoe UI" w:eastAsia="Segoe UI" w:cs="Segoe UI"/>
                <w:i w:val="0"/>
                <w:iCs w:val="0"/>
                <w:color w:val="1F2328"/>
                <w:spacing w:val="0"/>
                <w:kern w:val="0"/>
                <w:sz w:val="28"/>
                <w:szCs w:val="28"/>
                <w:lang w:val="en-US" w:eastAsia="zh-CN" w:bidi="ar"/>
              </w:rPr>
              <w:t>；③</w:t>
            </w:r>
            <w:r>
              <w:rPr>
                <w:rFonts w:hint="default" w:ascii="Segoe UI" w:hAnsi="Segoe UI" w:eastAsia="Segoe UI" w:cs="Segoe UI"/>
                <w:i w:val="0"/>
                <w:iCs w:val="0"/>
                <w:color w:val="1F2328"/>
                <w:spacing w:val="0"/>
                <w:kern w:val="0"/>
                <w:sz w:val="28"/>
                <w:szCs w:val="28"/>
                <w:lang w:val="en-US" w:eastAsia="zh-CN" w:bidi="ar"/>
              </w:rPr>
              <w:t xml:space="preserve"> </w:t>
            </w:r>
            <w:r>
              <w:rPr>
                <w:rFonts w:hint="eastAsia" w:ascii="Segoe UI" w:hAnsi="Segoe UI" w:eastAsia="Segoe UI" w:cs="Segoe UI"/>
                <w:i w:val="0"/>
                <w:iCs w:val="0"/>
                <w:color w:val="1F2328"/>
                <w:spacing w:val="0"/>
                <w:kern w:val="0"/>
                <w:sz w:val="28"/>
                <w:szCs w:val="28"/>
                <w:lang w:val="en-US" w:eastAsia="zh-CN" w:bidi="ar"/>
              </w:rPr>
              <w:t>日常巡视。</w:t>
            </w:r>
          </w:p>
        </w:tc>
      </w:tr>
      <w:tr w14:paraId="50479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165" w:type="dxa"/>
            <w:vAlign w:val="center"/>
          </w:tcPr>
          <w:p w14:paraId="669CAD9D">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九月</w:t>
            </w:r>
          </w:p>
        </w:tc>
        <w:tc>
          <w:tcPr>
            <w:tcW w:w="8580" w:type="dxa"/>
            <w:vAlign w:val="center"/>
          </w:tcPr>
          <w:p w14:paraId="6500CEF5">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① 开始秋季施肥，促进植物积累养分过冬</w:t>
            </w:r>
            <w:r>
              <w:rPr>
                <w:rFonts w:hint="eastAsia" w:ascii="Segoe UI" w:hAnsi="Segoe UI" w:eastAsia="Segoe UI" w:cs="Segoe UI"/>
                <w:i w:val="0"/>
                <w:iCs w:val="0"/>
                <w:color w:val="1F2328"/>
                <w:spacing w:val="0"/>
                <w:kern w:val="0"/>
                <w:sz w:val="28"/>
                <w:szCs w:val="28"/>
                <w:lang w:val="en-US" w:eastAsia="zh-CN" w:bidi="ar"/>
              </w:rPr>
              <w:t>；</w:t>
            </w:r>
            <w:r>
              <w:rPr>
                <w:rFonts w:hint="default" w:ascii="Segoe UI" w:hAnsi="Segoe UI" w:eastAsia="Segoe UI" w:cs="Segoe UI"/>
                <w:i w:val="0"/>
                <w:iCs w:val="0"/>
                <w:color w:val="1F2328"/>
                <w:spacing w:val="0"/>
                <w:kern w:val="0"/>
                <w:sz w:val="28"/>
                <w:szCs w:val="28"/>
                <w:lang w:val="en-US" w:eastAsia="zh-CN" w:bidi="ar"/>
              </w:rPr>
              <w:t>② 对草坪进行最后一次重度修剪，准备越冬</w:t>
            </w:r>
            <w:r>
              <w:rPr>
                <w:rFonts w:hint="eastAsia" w:ascii="Segoe UI" w:hAnsi="Segoe UI" w:eastAsia="Segoe UI" w:cs="Segoe UI"/>
                <w:i w:val="0"/>
                <w:iCs w:val="0"/>
                <w:color w:val="1F2328"/>
                <w:spacing w:val="0"/>
                <w:kern w:val="0"/>
                <w:sz w:val="28"/>
                <w:szCs w:val="28"/>
                <w:lang w:val="en-US" w:eastAsia="zh-CN" w:bidi="ar"/>
              </w:rPr>
              <w:t>；③开展秋季绿化彩化工作；④日常巡视。</w:t>
            </w:r>
          </w:p>
        </w:tc>
      </w:tr>
      <w:tr w14:paraId="03F4B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165" w:type="dxa"/>
            <w:vAlign w:val="center"/>
          </w:tcPr>
          <w:p w14:paraId="5F2BD20A">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十月</w:t>
            </w:r>
          </w:p>
        </w:tc>
        <w:tc>
          <w:tcPr>
            <w:tcW w:w="8580" w:type="dxa"/>
            <w:vAlign w:val="center"/>
          </w:tcPr>
          <w:p w14:paraId="32914C99">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 xml:space="preserve">① </w:t>
            </w:r>
            <w:r>
              <w:rPr>
                <w:rFonts w:hint="eastAsia" w:ascii="Segoe UI" w:hAnsi="Segoe UI" w:eastAsia="Segoe UI" w:cs="Segoe UI"/>
                <w:i w:val="0"/>
                <w:iCs w:val="0"/>
                <w:color w:val="1F2328"/>
                <w:spacing w:val="0"/>
                <w:kern w:val="0"/>
                <w:sz w:val="28"/>
                <w:szCs w:val="28"/>
                <w:lang w:val="en-US" w:eastAsia="zh-CN" w:bidi="ar"/>
              </w:rPr>
              <w:t>进行封冻水浇灌；</w:t>
            </w:r>
            <w:r>
              <w:rPr>
                <w:rFonts w:hint="default" w:ascii="Segoe UI" w:hAnsi="Segoe UI" w:eastAsia="Segoe UI" w:cs="Segoe UI"/>
                <w:i w:val="0"/>
                <w:iCs w:val="0"/>
                <w:color w:val="1F2328"/>
                <w:spacing w:val="0"/>
                <w:kern w:val="0"/>
                <w:sz w:val="28"/>
                <w:szCs w:val="28"/>
                <w:lang w:val="en-US" w:eastAsia="zh-CN" w:bidi="ar"/>
              </w:rPr>
              <w:t>② 清理绿地，</w:t>
            </w:r>
            <w:r>
              <w:rPr>
                <w:rFonts w:hint="eastAsia" w:ascii="Segoe UI" w:hAnsi="Segoe UI" w:eastAsia="Segoe UI" w:cs="Segoe UI"/>
                <w:i w:val="0"/>
                <w:iCs w:val="0"/>
                <w:color w:val="1F2328"/>
                <w:spacing w:val="0"/>
                <w:kern w:val="0"/>
                <w:sz w:val="28"/>
                <w:szCs w:val="28"/>
                <w:lang w:val="en-US" w:eastAsia="zh-CN" w:bidi="ar"/>
              </w:rPr>
              <w:t>清</w:t>
            </w:r>
            <w:r>
              <w:rPr>
                <w:rFonts w:hint="default" w:ascii="Segoe UI" w:hAnsi="Segoe UI" w:eastAsia="Segoe UI" w:cs="Segoe UI"/>
                <w:i w:val="0"/>
                <w:iCs w:val="0"/>
                <w:color w:val="1F2328"/>
                <w:spacing w:val="0"/>
                <w:kern w:val="0"/>
                <w:sz w:val="28"/>
                <w:szCs w:val="28"/>
                <w:lang w:val="en-US" w:eastAsia="zh-CN" w:bidi="ar"/>
              </w:rPr>
              <w:t>除病虫害潜伏</w:t>
            </w:r>
            <w:r>
              <w:rPr>
                <w:rFonts w:hint="eastAsia" w:ascii="Segoe UI" w:hAnsi="Segoe UI" w:eastAsia="Segoe UI" w:cs="Segoe UI"/>
                <w:i w:val="0"/>
                <w:iCs w:val="0"/>
                <w:color w:val="1F2328"/>
                <w:spacing w:val="0"/>
                <w:kern w:val="0"/>
                <w:sz w:val="28"/>
                <w:szCs w:val="28"/>
                <w:lang w:val="en-US" w:eastAsia="zh-CN" w:bidi="ar"/>
              </w:rPr>
              <w:t>区域；③对树木进行涂白；④日常巡视。</w:t>
            </w:r>
          </w:p>
        </w:tc>
      </w:tr>
      <w:tr w14:paraId="4A81B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165" w:type="dxa"/>
            <w:vAlign w:val="center"/>
          </w:tcPr>
          <w:p w14:paraId="5AB96E57">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十一月</w:t>
            </w:r>
          </w:p>
        </w:tc>
        <w:tc>
          <w:tcPr>
            <w:tcW w:w="8580" w:type="dxa"/>
            <w:vAlign w:val="center"/>
          </w:tcPr>
          <w:p w14:paraId="48217CE4">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① 对常绿乔木进行轻度修剪，保持树形</w:t>
            </w:r>
            <w:r>
              <w:rPr>
                <w:rFonts w:hint="eastAsia" w:ascii="Segoe UI" w:hAnsi="Segoe UI" w:eastAsia="Segoe UI" w:cs="Segoe UI"/>
                <w:i w:val="0"/>
                <w:iCs w:val="0"/>
                <w:color w:val="1F2328"/>
                <w:spacing w:val="0"/>
                <w:kern w:val="0"/>
                <w:sz w:val="28"/>
                <w:szCs w:val="28"/>
                <w:lang w:val="en-US" w:eastAsia="zh-CN" w:bidi="ar"/>
              </w:rPr>
              <w:t>；</w:t>
            </w:r>
            <w:r>
              <w:rPr>
                <w:rFonts w:hint="default" w:ascii="Segoe UI" w:hAnsi="Segoe UI" w:eastAsia="Segoe UI" w:cs="Segoe UI"/>
                <w:i w:val="0"/>
                <w:iCs w:val="0"/>
                <w:color w:val="1F2328"/>
                <w:spacing w:val="0"/>
                <w:kern w:val="0"/>
                <w:sz w:val="28"/>
                <w:szCs w:val="28"/>
                <w:lang w:val="en-US" w:eastAsia="zh-CN" w:bidi="ar"/>
              </w:rPr>
              <w:t>② 对落叶树木进行冬季修剪和整形</w:t>
            </w:r>
            <w:r>
              <w:rPr>
                <w:rFonts w:hint="eastAsia" w:ascii="Segoe UI" w:hAnsi="Segoe UI" w:eastAsia="Segoe UI" w:cs="Segoe UI"/>
                <w:i w:val="0"/>
                <w:iCs w:val="0"/>
                <w:color w:val="1F2328"/>
                <w:spacing w:val="0"/>
                <w:kern w:val="0"/>
                <w:sz w:val="28"/>
                <w:szCs w:val="28"/>
                <w:lang w:val="en-US" w:eastAsia="zh-CN" w:bidi="ar"/>
              </w:rPr>
              <w:t>；③</w:t>
            </w:r>
            <w:r>
              <w:rPr>
                <w:rFonts w:hint="default" w:ascii="Segoe UI" w:hAnsi="Segoe UI" w:eastAsia="Segoe UI" w:cs="Segoe UI"/>
                <w:i w:val="0"/>
                <w:iCs w:val="0"/>
                <w:color w:val="1F2328"/>
                <w:spacing w:val="0"/>
                <w:kern w:val="0"/>
                <w:sz w:val="28"/>
                <w:szCs w:val="28"/>
                <w:lang w:val="en-US" w:eastAsia="zh-CN" w:bidi="ar"/>
              </w:rPr>
              <w:t xml:space="preserve"> </w:t>
            </w:r>
            <w:r>
              <w:rPr>
                <w:rFonts w:hint="eastAsia" w:ascii="Segoe UI" w:hAnsi="Segoe UI" w:eastAsia="Segoe UI" w:cs="Segoe UI"/>
                <w:i w:val="0"/>
                <w:iCs w:val="0"/>
                <w:color w:val="1F2328"/>
                <w:spacing w:val="0"/>
                <w:kern w:val="0"/>
                <w:sz w:val="28"/>
                <w:szCs w:val="28"/>
                <w:lang w:val="en-US" w:eastAsia="zh-CN" w:bidi="ar"/>
              </w:rPr>
              <w:t>日常巡视。</w:t>
            </w:r>
          </w:p>
        </w:tc>
      </w:tr>
      <w:tr w14:paraId="3580D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1165" w:type="dxa"/>
            <w:vAlign w:val="center"/>
          </w:tcPr>
          <w:p w14:paraId="51300716">
            <w:pPr>
              <w:keepNext w:val="0"/>
              <w:keepLines w:val="0"/>
              <w:widowControl/>
              <w:suppressLineNumbers w:val="0"/>
              <w:spacing w:before="0" w:beforeAutospacing="0" w:after="0" w:afterAutospacing="0"/>
              <w:ind w:left="0" w:right="0"/>
              <w:jc w:val="center"/>
              <w:rPr>
                <w:rFonts w:hint="default" w:asciiTheme="minorEastAsia" w:hAnsiTheme="minorEastAsia" w:eastAsiaTheme="minorEastAsia" w:cstheme="minorEastAsia"/>
                <w:b w:val="0"/>
                <w:bCs w:val="0"/>
                <w:sz w:val="28"/>
                <w:szCs w:val="28"/>
                <w:vertAlign w:val="baseline"/>
                <w:lang w:val="en-US" w:eastAsia="zh-CN"/>
              </w:rPr>
            </w:pPr>
            <w:r>
              <w:rPr>
                <w:rStyle w:val="41"/>
                <w:rFonts w:hint="default" w:ascii="Segoe UI" w:hAnsi="Segoe UI" w:eastAsia="Segoe UI" w:cs="Segoe UI"/>
                <w:b w:val="0"/>
                <w:bCs w:val="0"/>
                <w:i w:val="0"/>
                <w:iCs w:val="0"/>
                <w:color w:val="1F2328"/>
                <w:spacing w:val="0"/>
                <w:kern w:val="0"/>
                <w:sz w:val="28"/>
                <w:szCs w:val="28"/>
                <w:lang w:val="en-US" w:eastAsia="zh-CN" w:bidi="ar"/>
              </w:rPr>
              <w:t>十二月</w:t>
            </w:r>
          </w:p>
        </w:tc>
        <w:tc>
          <w:tcPr>
            <w:tcW w:w="8580" w:type="dxa"/>
            <w:vAlign w:val="center"/>
          </w:tcPr>
          <w:p w14:paraId="57C74E63">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sz w:val="28"/>
                <w:szCs w:val="28"/>
                <w:vertAlign w:val="baseline"/>
                <w:lang w:val="en-US" w:eastAsia="zh-CN"/>
              </w:rPr>
            </w:pPr>
            <w:r>
              <w:rPr>
                <w:rFonts w:hint="default" w:ascii="Segoe UI" w:hAnsi="Segoe UI" w:eastAsia="Segoe UI" w:cs="Segoe UI"/>
                <w:i w:val="0"/>
                <w:iCs w:val="0"/>
                <w:color w:val="1F2328"/>
                <w:spacing w:val="0"/>
                <w:kern w:val="0"/>
                <w:sz w:val="28"/>
                <w:szCs w:val="28"/>
                <w:lang w:val="en-US" w:eastAsia="zh-CN" w:bidi="ar"/>
              </w:rPr>
              <w:t>① 全面检查绿化设施，修复损坏部分</w:t>
            </w:r>
            <w:r>
              <w:rPr>
                <w:rFonts w:hint="eastAsia" w:ascii="Segoe UI" w:hAnsi="Segoe UI" w:eastAsia="Segoe UI" w:cs="Segoe UI"/>
                <w:i w:val="0"/>
                <w:iCs w:val="0"/>
                <w:color w:val="1F2328"/>
                <w:spacing w:val="0"/>
                <w:kern w:val="0"/>
                <w:sz w:val="28"/>
                <w:szCs w:val="28"/>
                <w:lang w:val="en-US" w:eastAsia="zh-CN" w:bidi="ar"/>
              </w:rPr>
              <w:t>；</w:t>
            </w:r>
            <w:r>
              <w:rPr>
                <w:rFonts w:hint="default" w:ascii="Segoe UI" w:hAnsi="Segoe UI" w:eastAsia="Segoe UI" w:cs="Segoe UI"/>
                <w:i w:val="0"/>
                <w:iCs w:val="0"/>
                <w:color w:val="1F2328"/>
                <w:spacing w:val="0"/>
                <w:kern w:val="0"/>
                <w:sz w:val="28"/>
                <w:szCs w:val="28"/>
                <w:lang w:val="en-US" w:eastAsia="zh-CN" w:bidi="ar"/>
              </w:rPr>
              <w:t>② 总结全年养护工作，规划下一年度计划</w:t>
            </w:r>
            <w:r>
              <w:rPr>
                <w:rFonts w:hint="eastAsia" w:ascii="Segoe UI" w:hAnsi="Segoe UI" w:eastAsia="Segoe UI" w:cs="Segoe UI"/>
                <w:i w:val="0"/>
                <w:iCs w:val="0"/>
                <w:color w:val="1F2328"/>
                <w:spacing w:val="0"/>
                <w:kern w:val="0"/>
                <w:sz w:val="28"/>
                <w:szCs w:val="28"/>
                <w:lang w:val="en-US" w:eastAsia="zh-CN" w:bidi="ar"/>
              </w:rPr>
              <w:t>；③</w:t>
            </w:r>
            <w:r>
              <w:rPr>
                <w:rFonts w:hint="default" w:ascii="Segoe UI" w:hAnsi="Segoe UI" w:eastAsia="Segoe UI" w:cs="Segoe UI"/>
                <w:i w:val="0"/>
                <w:iCs w:val="0"/>
                <w:color w:val="1F2328"/>
                <w:spacing w:val="0"/>
                <w:kern w:val="0"/>
                <w:sz w:val="28"/>
                <w:szCs w:val="28"/>
                <w:lang w:val="en-US" w:eastAsia="zh-CN" w:bidi="ar"/>
              </w:rPr>
              <w:t xml:space="preserve"> </w:t>
            </w:r>
            <w:r>
              <w:rPr>
                <w:rFonts w:hint="eastAsia" w:ascii="Segoe UI" w:hAnsi="Segoe UI" w:eastAsia="Segoe UI" w:cs="Segoe UI"/>
                <w:i w:val="0"/>
                <w:iCs w:val="0"/>
                <w:color w:val="1F2328"/>
                <w:spacing w:val="0"/>
                <w:kern w:val="0"/>
                <w:sz w:val="28"/>
                <w:szCs w:val="28"/>
                <w:lang w:val="en-US" w:eastAsia="zh-CN" w:bidi="ar"/>
              </w:rPr>
              <w:t>日常巡视。</w:t>
            </w:r>
          </w:p>
        </w:tc>
      </w:tr>
    </w:tbl>
    <w:p w14:paraId="57F97B6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p>
    <w:p w14:paraId="7CEEB4C2">
      <w:pPr>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考核要求</w:t>
      </w:r>
    </w:p>
    <w:tbl>
      <w:tblPr>
        <w:tblStyle w:val="38"/>
        <w:tblW w:w="0" w:type="auto"/>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8797"/>
      </w:tblGrid>
      <w:tr w14:paraId="3BE74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467" w:type="dxa"/>
            <w:vAlign w:val="center"/>
          </w:tcPr>
          <w:p w14:paraId="5F00E65A">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序号</w:t>
            </w:r>
          </w:p>
        </w:tc>
        <w:tc>
          <w:tcPr>
            <w:tcW w:w="8797" w:type="dxa"/>
          </w:tcPr>
          <w:p w14:paraId="4091FEC2">
            <w:pPr>
              <w:keepNext w:val="0"/>
              <w:keepLines w:val="0"/>
              <w:suppressLineNumbers w:val="0"/>
              <w:spacing w:before="0" w:beforeAutospacing="0" w:after="0" w:afterAutospacing="0"/>
              <w:ind w:left="0" w:right="0"/>
              <w:jc w:val="center"/>
              <w:rPr>
                <w:rFonts w:ascii="宋体" w:hAnsi="宋体" w:cs="宋体"/>
                <w:b/>
                <w:bCs/>
                <w:sz w:val="30"/>
                <w:szCs w:val="30"/>
              </w:rPr>
            </w:pPr>
            <w:r>
              <w:rPr>
                <w:rFonts w:hint="eastAsia" w:ascii="宋体" w:hAnsi="宋体" w:cs="宋体"/>
                <w:b/>
                <w:bCs/>
                <w:sz w:val="30"/>
                <w:szCs w:val="30"/>
              </w:rPr>
              <w:t>考核内容及扣分标准</w:t>
            </w:r>
          </w:p>
        </w:tc>
      </w:tr>
      <w:tr w14:paraId="47E97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467" w:type="dxa"/>
            <w:vAlign w:val="center"/>
          </w:tcPr>
          <w:p w14:paraId="3195E72C">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1</w:t>
            </w:r>
          </w:p>
        </w:tc>
        <w:tc>
          <w:tcPr>
            <w:tcW w:w="8797" w:type="dxa"/>
          </w:tcPr>
          <w:p w14:paraId="5ED2613E">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树木</w:t>
            </w:r>
          </w:p>
        </w:tc>
      </w:tr>
      <w:tr w14:paraId="005C9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3" w:hRule="atLeast"/>
        </w:trPr>
        <w:tc>
          <w:tcPr>
            <w:tcW w:w="467" w:type="dxa"/>
            <w:vAlign w:val="center"/>
          </w:tcPr>
          <w:p w14:paraId="622E9D17">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⑴</w:t>
            </w:r>
          </w:p>
        </w:tc>
        <w:tc>
          <w:tcPr>
            <w:tcW w:w="8797" w:type="dxa"/>
            <w:vAlign w:val="center"/>
          </w:tcPr>
          <w:p w14:paraId="314D5FB0">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树木保存率达100%为合格(经招标人认定的自然灾害造成损失除外)；每年春植秋植期间，绿地每缺损一株树木，扣0.1—0.5分(根据树的品种、大小)，每年5月底-10月中旬缺株暂不扣分，但缺株率应小于1%，大于1%，扣1-2分。一处地点树木保存率低于70%，则不支付该地点树木的全年抚育管理费，已支付部分，将在剩余付款或次年付款中扣除，综合保存率在90%以下者，视为管理不良，协议终止，并且招标人不为中标人所做的抚育管理工作支付任何费用。</w:t>
            </w:r>
          </w:p>
        </w:tc>
      </w:tr>
      <w:tr w14:paraId="0CF3D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467" w:type="dxa"/>
            <w:vAlign w:val="center"/>
          </w:tcPr>
          <w:p w14:paraId="7C4243D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⑵</w:t>
            </w:r>
          </w:p>
        </w:tc>
        <w:tc>
          <w:tcPr>
            <w:tcW w:w="8797" w:type="dxa"/>
            <w:vAlign w:val="center"/>
          </w:tcPr>
          <w:p w14:paraId="1530D1F8">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质量要求：树木生长健壮，枝叶茂盛。树冠不完整、不丰满，树体歪斜，每株扣0.1-0.2分。</w:t>
            </w:r>
          </w:p>
        </w:tc>
      </w:tr>
      <w:tr w14:paraId="63615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467" w:type="dxa"/>
            <w:vAlign w:val="center"/>
          </w:tcPr>
          <w:p w14:paraId="00950A5E">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⑶</w:t>
            </w:r>
          </w:p>
        </w:tc>
        <w:tc>
          <w:tcPr>
            <w:tcW w:w="8797" w:type="dxa"/>
            <w:vAlign w:val="center"/>
          </w:tcPr>
          <w:p w14:paraId="70BB7AC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保持树木基本挺直。倾斜度不超过10度，每发现1株不合格扣0.1分.</w:t>
            </w:r>
          </w:p>
        </w:tc>
      </w:tr>
      <w:tr w14:paraId="66EA3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trPr>
        <w:tc>
          <w:tcPr>
            <w:tcW w:w="467" w:type="dxa"/>
            <w:vAlign w:val="center"/>
          </w:tcPr>
          <w:p w14:paraId="2760C6F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⑷</w:t>
            </w:r>
          </w:p>
        </w:tc>
        <w:tc>
          <w:tcPr>
            <w:tcW w:w="8797" w:type="dxa"/>
            <w:vAlign w:val="center"/>
          </w:tcPr>
          <w:p w14:paraId="46BD4AC5">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植物有病虫枝、枯死枝、折枝、衰弱枝、下垂枝、过密枝、根糵和侧芽。每发现1株不合格扣0.1分。</w:t>
            </w:r>
          </w:p>
        </w:tc>
      </w:tr>
      <w:tr w14:paraId="27691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 w:hRule="atLeast"/>
        </w:trPr>
        <w:tc>
          <w:tcPr>
            <w:tcW w:w="467" w:type="dxa"/>
            <w:vAlign w:val="center"/>
          </w:tcPr>
          <w:p w14:paraId="41412275">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⑸</w:t>
            </w:r>
          </w:p>
        </w:tc>
        <w:tc>
          <w:tcPr>
            <w:tcW w:w="8797" w:type="dxa"/>
            <w:vAlign w:val="center"/>
          </w:tcPr>
          <w:p w14:paraId="7AD3B8E5">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补植规则式行道树时，在同一路段内要求分枝点高度、胸径大体一致。如品种不一致，配置不合理、规格悬殊影响观赏效果的，每株扣0.2分，并限期整改。</w:t>
            </w:r>
          </w:p>
        </w:tc>
      </w:tr>
      <w:tr w14:paraId="5E11C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467" w:type="dxa"/>
            <w:vAlign w:val="center"/>
          </w:tcPr>
          <w:p w14:paraId="05215F00">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⑹</w:t>
            </w:r>
          </w:p>
        </w:tc>
        <w:tc>
          <w:tcPr>
            <w:tcW w:w="8797" w:type="dxa"/>
            <w:vAlign w:val="center"/>
          </w:tcPr>
          <w:p w14:paraId="6C463FFD">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枯树、危树及有潜在危险的树木及时申报,经批准后,立即伐除.未申报或批准后未及时伐除,每株扣0.5—1分。在无绿地占用审批手续的情况下，树木被损毁或被第三方砍伐未能有效制止的，1株（或一延米绿篱）扣1-2分。</w:t>
            </w:r>
          </w:p>
        </w:tc>
      </w:tr>
      <w:tr w14:paraId="79E32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trPr>
        <w:tc>
          <w:tcPr>
            <w:tcW w:w="467" w:type="dxa"/>
            <w:vAlign w:val="center"/>
          </w:tcPr>
          <w:p w14:paraId="6B21ECDA">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⑺</w:t>
            </w:r>
          </w:p>
        </w:tc>
        <w:tc>
          <w:tcPr>
            <w:tcW w:w="8797" w:type="dxa"/>
            <w:vAlign w:val="center"/>
          </w:tcPr>
          <w:p w14:paraId="0F88459C">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树穴内无杂草，无倾倒污水、树上无钉钉、绑铁丝、拴绳现象；树冠上无缠绕其它攀援物。对树穴、绿带要留3 —5厘米水口，对过低者要添土补齐，对超出部分残土应铲除，如发现1株不合格扣0.2分。</w:t>
            </w:r>
          </w:p>
        </w:tc>
      </w:tr>
      <w:tr w14:paraId="32B51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467" w:type="dxa"/>
            <w:vAlign w:val="center"/>
          </w:tcPr>
          <w:p w14:paraId="19517D46">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⑻</w:t>
            </w:r>
          </w:p>
        </w:tc>
        <w:tc>
          <w:tcPr>
            <w:tcW w:w="8797" w:type="dxa"/>
            <w:vAlign w:val="center"/>
          </w:tcPr>
          <w:p w14:paraId="663FA54B">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死树及时清除。每发现1株扣0.2分</w:t>
            </w:r>
          </w:p>
        </w:tc>
      </w:tr>
      <w:tr w14:paraId="11AD2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67" w:type="dxa"/>
            <w:vAlign w:val="center"/>
          </w:tcPr>
          <w:p w14:paraId="684B8B69">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⑼</w:t>
            </w:r>
          </w:p>
        </w:tc>
        <w:tc>
          <w:tcPr>
            <w:tcW w:w="8797" w:type="dxa"/>
            <w:vAlign w:val="center"/>
          </w:tcPr>
          <w:p w14:paraId="35301BF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行道树叶片按实际情况定期浇水，保持叶面颜色，无严重灰尘覆盖现象。如一处不合要求扣0.5-2分。</w:t>
            </w:r>
          </w:p>
        </w:tc>
      </w:tr>
      <w:tr w14:paraId="76B6C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467" w:type="dxa"/>
            <w:vAlign w:val="center"/>
          </w:tcPr>
          <w:p w14:paraId="3BAB8A91">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⑽</w:t>
            </w:r>
          </w:p>
          <w:p w14:paraId="3EEFA761">
            <w:pPr>
              <w:keepNext w:val="0"/>
              <w:keepLines w:val="0"/>
              <w:suppressLineNumbers w:val="0"/>
              <w:spacing w:before="0" w:beforeAutospacing="0" w:after="0" w:afterAutospacing="0"/>
              <w:ind w:left="0" w:right="0"/>
              <w:rPr>
                <w:rFonts w:ascii="宋体" w:hAnsi="宋体" w:cs="宋体"/>
                <w:szCs w:val="21"/>
              </w:rPr>
            </w:pPr>
          </w:p>
        </w:tc>
        <w:tc>
          <w:tcPr>
            <w:tcW w:w="8797" w:type="dxa"/>
            <w:vAlign w:val="center"/>
          </w:tcPr>
          <w:p w14:paraId="0AF511C1">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树木涂白2次，5月1日前、10月1日前完成。每1株漏刷或者不合格，扣0.2分。未按期完成，每超期1天扣2分。</w:t>
            </w:r>
          </w:p>
        </w:tc>
      </w:tr>
      <w:tr w14:paraId="1C5DD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467" w:type="dxa"/>
            <w:vAlign w:val="center"/>
          </w:tcPr>
          <w:p w14:paraId="5C07A338">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⑾</w:t>
            </w:r>
          </w:p>
        </w:tc>
        <w:tc>
          <w:tcPr>
            <w:tcW w:w="8797" w:type="dxa"/>
            <w:vAlign w:val="center"/>
          </w:tcPr>
          <w:p w14:paraId="2C0D7C1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按照园林养护管理季节性特点进行春、冬季植物修剪，修剪要适当，不影响树木生长及观赏价值，发现一株修剪不合格扣0.2-0.5分</w:t>
            </w:r>
          </w:p>
        </w:tc>
      </w:tr>
      <w:tr w14:paraId="21920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467" w:type="dxa"/>
            <w:vAlign w:val="center"/>
          </w:tcPr>
          <w:p w14:paraId="56484FB7">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2</w:t>
            </w:r>
          </w:p>
          <w:p w14:paraId="2F27102D">
            <w:pPr>
              <w:keepNext w:val="0"/>
              <w:keepLines w:val="0"/>
              <w:suppressLineNumbers w:val="0"/>
              <w:spacing w:before="0" w:beforeAutospacing="0" w:after="0" w:afterAutospacing="0"/>
              <w:ind w:left="0" w:right="0"/>
              <w:rPr>
                <w:rFonts w:ascii="宋体" w:hAnsi="宋体" w:cs="宋体"/>
                <w:szCs w:val="21"/>
              </w:rPr>
            </w:pPr>
          </w:p>
        </w:tc>
        <w:tc>
          <w:tcPr>
            <w:tcW w:w="8797" w:type="dxa"/>
            <w:vAlign w:val="center"/>
          </w:tcPr>
          <w:p w14:paraId="08A44905">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草坪及杂草</w:t>
            </w:r>
          </w:p>
        </w:tc>
      </w:tr>
      <w:tr w14:paraId="7486F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467" w:type="dxa"/>
            <w:vAlign w:val="center"/>
          </w:tcPr>
          <w:p w14:paraId="7939B80B">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⑴</w:t>
            </w:r>
          </w:p>
          <w:p w14:paraId="36567030">
            <w:pPr>
              <w:keepNext w:val="0"/>
              <w:keepLines w:val="0"/>
              <w:suppressLineNumbers w:val="0"/>
              <w:spacing w:before="0" w:beforeAutospacing="0" w:after="0" w:afterAutospacing="0"/>
              <w:ind w:left="0" w:right="0"/>
              <w:rPr>
                <w:rFonts w:ascii="宋体" w:hAnsi="宋体" w:cs="宋体"/>
                <w:szCs w:val="21"/>
              </w:rPr>
            </w:pPr>
          </w:p>
        </w:tc>
        <w:tc>
          <w:tcPr>
            <w:tcW w:w="8797" w:type="dxa"/>
            <w:vAlign w:val="center"/>
          </w:tcPr>
          <w:p w14:paraId="2D1AB46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草坪长势良好，色泽正常，无斑秃、枯黄现象，无病虫害,每片（块）草坪不合格大于1%，扣0.1-0.2分。如一处地点草坪保存率低于70%，则不支付该地点草坪的全年抚育管理费，已支付部分，将在剩余付款或次年付款中扣除，</w:t>
            </w:r>
          </w:p>
        </w:tc>
      </w:tr>
      <w:tr w14:paraId="07163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467" w:type="dxa"/>
            <w:vAlign w:val="center"/>
          </w:tcPr>
          <w:p w14:paraId="77BFF4AD">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⑵</w:t>
            </w:r>
          </w:p>
        </w:tc>
        <w:tc>
          <w:tcPr>
            <w:tcW w:w="8797" w:type="dxa"/>
            <w:vAlign w:val="center"/>
          </w:tcPr>
          <w:p w14:paraId="1A1A8969">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草坪的高度应在10cm以下，高于10cm，每片（块）草坪扣0.5-1分</w:t>
            </w:r>
          </w:p>
        </w:tc>
      </w:tr>
      <w:tr w14:paraId="5FB77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467" w:type="dxa"/>
            <w:vAlign w:val="center"/>
          </w:tcPr>
          <w:p w14:paraId="7B6EB81A">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⑶</w:t>
            </w:r>
          </w:p>
        </w:tc>
        <w:tc>
          <w:tcPr>
            <w:tcW w:w="8797" w:type="dxa"/>
            <w:vAlign w:val="center"/>
          </w:tcPr>
          <w:p w14:paraId="6199AE10">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绿地内杂草每100平方米超过1%，每块绿地扣0.1-0.2分。</w:t>
            </w:r>
          </w:p>
        </w:tc>
      </w:tr>
      <w:tr w14:paraId="62834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467" w:type="dxa"/>
            <w:vAlign w:val="center"/>
          </w:tcPr>
          <w:p w14:paraId="1C34D8D3">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⑷</w:t>
            </w:r>
          </w:p>
        </w:tc>
        <w:tc>
          <w:tcPr>
            <w:tcW w:w="8797" w:type="dxa"/>
            <w:vAlign w:val="center"/>
          </w:tcPr>
          <w:p w14:paraId="326EDF8F">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杂草及时修剪，杂草高度保持在15cm以下。每片（块）不合格，扣0.5-1分</w:t>
            </w:r>
          </w:p>
        </w:tc>
      </w:tr>
      <w:tr w14:paraId="346B3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467" w:type="dxa"/>
            <w:vAlign w:val="center"/>
          </w:tcPr>
          <w:p w14:paraId="6054EA83">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3</w:t>
            </w:r>
          </w:p>
        </w:tc>
        <w:tc>
          <w:tcPr>
            <w:tcW w:w="8797" w:type="dxa"/>
            <w:vAlign w:val="center"/>
          </w:tcPr>
          <w:p w14:paraId="34B5903D">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绿篱和模纹</w:t>
            </w:r>
          </w:p>
        </w:tc>
      </w:tr>
      <w:tr w14:paraId="626A2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467" w:type="dxa"/>
            <w:vAlign w:val="center"/>
          </w:tcPr>
          <w:p w14:paraId="100A10CD">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⑴</w:t>
            </w:r>
          </w:p>
        </w:tc>
        <w:tc>
          <w:tcPr>
            <w:tcW w:w="8797" w:type="dxa"/>
            <w:vAlign w:val="center"/>
          </w:tcPr>
          <w:p w14:paraId="6D3341A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绿篱模纹修剪不整齐，每延米扣0.1-0.2分</w:t>
            </w:r>
          </w:p>
        </w:tc>
      </w:tr>
      <w:tr w14:paraId="7873C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467" w:type="dxa"/>
            <w:vAlign w:val="center"/>
          </w:tcPr>
          <w:p w14:paraId="1C85758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⑵</w:t>
            </w:r>
          </w:p>
        </w:tc>
        <w:tc>
          <w:tcPr>
            <w:tcW w:w="8797" w:type="dxa"/>
            <w:vAlign w:val="center"/>
          </w:tcPr>
          <w:p w14:paraId="46F9CE7F">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绿篱模纹枝叶稀疏，有秃裸，每延米扣0.1-0.2分</w:t>
            </w:r>
          </w:p>
        </w:tc>
      </w:tr>
      <w:tr w14:paraId="5C97F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467" w:type="dxa"/>
            <w:vAlign w:val="center"/>
          </w:tcPr>
          <w:p w14:paraId="0CEF6645">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⑶</w:t>
            </w:r>
          </w:p>
        </w:tc>
        <w:tc>
          <w:tcPr>
            <w:tcW w:w="8797" w:type="dxa"/>
            <w:vAlign w:val="center"/>
          </w:tcPr>
          <w:p w14:paraId="57330D7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绿篱模纹有缺株、有枯死株，每株扣0.1-0.2分</w:t>
            </w:r>
          </w:p>
        </w:tc>
      </w:tr>
      <w:tr w14:paraId="69CEC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trPr>
        <w:tc>
          <w:tcPr>
            <w:tcW w:w="467" w:type="dxa"/>
            <w:vAlign w:val="center"/>
          </w:tcPr>
          <w:p w14:paraId="4C113931">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4</w:t>
            </w:r>
          </w:p>
        </w:tc>
        <w:tc>
          <w:tcPr>
            <w:tcW w:w="8797" w:type="dxa"/>
            <w:vAlign w:val="center"/>
          </w:tcPr>
          <w:p w14:paraId="4BCBF04E">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花卉和宿根地被</w:t>
            </w:r>
          </w:p>
        </w:tc>
      </w:tr>
      <w:tr w14:paraId="69241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467" w:type="dxa"/>
            <w:vAlign w:val="center"/>
          </w:tcPr>
          <w:p w14:paraId="3C0B1389">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⑴</w:t>
            </w:r>
          </w:p>
        </w:tc>
        <w:tc>
          <w:tcPr>
            <w:tcW w:w="8797" w:type="dxa"/>
            <w:vAlign w:val="center"/>
          </w:tcPr>
          <w:p w14:paraId="0FF946F7">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花卉生长健壮，植株整齐，花开茂盛、无缺株或死株，每个地点成活率降低1个百分点，扣0.2-1分；一处地点保存率低于70%，则不支付该地点的全年抚育管理费，已支付部分，将在剩余付款或次年付款中扣除</w:t>
            </w:r>
          </w:p>
        </w:tc>
      </w:tr>
      <w:tr w14:paraId="66BCD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467" w:type="dxa"/>
            <w:vAlign w:val="center"/>
          </w:tcPr>
          <w:p w14:paraId="2980A1C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⑵</w:t>
            </w:r>
          </w:p>
        </w:tc>
        <w:tc>
          <w:tcPr>
            <w:tcW w:w="8797" w:type="dxa"/>
            <w:vAlign w:val="center"/>
          </w:tcPr>
          <w:p w14:paraId="46CAA230">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花卉生长后期后，花卉残株没有及时清理干净，每片（块）扣0.2-0.5分</w:t>
            </w:r>
          </w:p>
        </w:tc>
      </w:tr>
      <w:tr w14:paraId="6D726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467" w:type="dxa"/>
            <w:vAlign w:val="center"/>
          </w:tcPr>
          <w:p w14:paraId="75B4FD7B">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⑶</w:t>
            </w:r>
          </w:p>
        </w:tc>
        <w:tc>
          <w:tcPr>
            <w:tcW w:w="8797" w:type="dxa"/>
            <w:vAlign w:val="center"/>
          </w:tcPr>
          <w:p w14:paraId="3B6D5C15">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应季花卉栽植时间在每年5月20日前完成，10月20日前清理干净。否则每延误一天扣2-10分。</w:t>
            </w:r>
          </w:p>
        </w:tc>
      </w:tr>
      <w:tr w14:paraId="4F569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467" w:type="dxa"/>
            <w:vAlign w:val="center"/>
          </w:tcPr>
          <w:p w14:paraId="59582EDA">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⑷</w:t>
            </w:r>
          </w:p>
        </w:tc>
        <w:tc>
          <w:tcPr>
            <w:tcW w:w="8797" w:type="dxa"/>
            <w:vAlign w:val="center"/>
          </w:tcPr>
          <w:p w14:paraId="270A406E">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有枯花、枯叶、倒伏、杂草，每平米不合格扣0.2分</w:t>
            </w:r>
          </w:p>
        </w:tc>
      </w:tr>
      <w:tr w14:paraId="384BB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67" w:type="dxa"/>
            <w:vAlign w:val="center"/>
          </w:tcPr>
          <w:p w14:paraId="46F75411">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5</w:t>
            </w:r>
          </w:p>
        </w:tc>
        <w:tc>
          <w:tcPr>
            <w:tcW w:w="8797" w:type="dxa"/>
            <w:vAlign w:val="center"/>
          </w:tcPr>
          <w:p w14:paraId="1960F961">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病虫害防治</w:t>
            </w:r>
          </w:p>
        </w:tc>
      </w:tr>
      <w:tr w14:paraId="47E76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467" w:type="dxa"/>
            <w:vAlign w:val="center"/>
          </w:tcPr>
          <w:p w14:paraId="4B10099A">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⑴</w:t>
            </w:r>
          </w:p>
        </w:tc>
        <w:tc>
          <w:tcPr>
            <w:tcW w:w="8797" w:type="dxa"/>
            <w:vAlign w:val="center"/>
          </w:tcPr>
          <w:p w14:paraId="414D273F">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病虫害防治及时。及时上报辖区内病虫发生、发展情况，并根据有关病虫预测、预报，合理制定防治计划，并严格按防治计划执行操作。如未及时上报或未按计划执行一次扣0.5-1分。</w:t>
            </w:r>
          </w:p>
        </w:tc>
      </w:tr>
      <w:tr w14:paraId="18A81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467" w:type="dxa"/>
            <w:vAlign w:val="center"/>
          </w:tcPr>
          <w:p w14:paraId="148B1E88">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⑵</w:t>
            </w:r>
          </w:p>
        </w:tc>
        <w:tc>
          <w:tcPr>
            <w:tcW w:w="8797" w:type="dxa"/>
            <w:vAlign w:val="center"/>
          </w:tcPr>
          <w:p w14:paraId="381F024D">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有病虫害危害迹象，每发现1株（1米绿篱或1平米草坪）树木扣0.1分。病虫害造成植物死亡的，每1株（1米绿篱或1平米草坪）树木扣0.2-0.5分</w:t>
            </w:r>
          </w:p>
        </w:tc>
      </w:tr>
      <w:tr w14:paraId="76035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trPr>
        <w:tc>
          <w:tcPr>
            <w:tcW w:w="467" w:type="dxa"/>
          </w:tcPr>
          <w:p w14:paraId="03395580">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5</w:t>
            </w:r>
          </w:p>
        </w:tc>
        <w:tc>
          <w:tcPr>
            <w:tcW w:w="8797" w:type="dxa"/>
          </w:tcPr>
          <w:p w14:paraId="4991B616">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其它：</w:t>
            </w:r>
          </w:p>
        </w:tc>
      </w:tr>
      <w:tr w14:paraId="6C675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467" w:type="dxa"/>
          </w:tcPr>
          <w:p w14:paraId="797026F8">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(1)</w:t>
            </w:r>
          </w:p>
        </w:tc>
        <w:tc>
          <w:tcPr>
            <w:tcW w:w="8797" w:type="dxa"/>
          </w:tcPr>
          <w:p w14:paraId="5E93EFE7">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绿化现状图详实准确，符合甲方要求，一处地点不合格扣0.2-5分</w:t>
            </w:r>
          </w:p>
        </w:tc>
      </w:tr>
      <w:tr w14:paraId="4C7C6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467" w:type="dxa"/>
          </w:tcPr>
          <w:p w14:paraId="543B28A9">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⑵</w:t>
            </w:r>
          </w:p>
        </w:tc>
        <w:tc>
          <w:tcPr>
            <w:tcW w:w="8797" w:type="dxa"/>
          </w:tcPr>
          <w:p w14:paraId="7C93C869">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如因乙方自检不到位,造成绿化植物及绿化设施损毁，具有负面影响力的,根据情节一处扣1 -10分。</w:t>
            </w:r>
          </w:p>
        </w:tc>
      </w:tr>
      <w:tr w14:paraId="25BA9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467" w:type="dxa"/>
            <w:vAlign w:val="center"/>
          </w:tcPr>
          <w:p w14:paraId="5CC9092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3 \* GB2 \* MERGEFORMAT </w:instrText>
            </w:r>
            <w:r>
              <w:rPr>
                <w:rFonts w:hint="eastAsia" w:ascii="宋体" w:hAnsi="宋体" w:cs="宋体"/>
                <w:szCs w:val="21"/>
              </w:rPr>
              <w:fldChar w:fldCharType="separate"/>
            </w:r>
            <w:r>
              <w:rPr>
                <w:rFonts w:hint="eastAsia" w:ascii="宋体" w:hAnsi="宋体" w:cs="宋体"/>
                <w:szCs w:val="21"/>
              </w:rPr>
              <w:t>⑶</w:t>
            </w:r>
            <w:r>
              <w:rPr>
                <w:rFonts w:hint="eastAsia" w:ascii="宋体" w:hAnsi="宋体" w:cs="宋体"/>
                <w:szCs w:val="21"/>
              </w:rPr>
              <w:fldChar w:fldCharType="end"/>
            </w:r>
          </w:p>
        </w:tc>
        <w:tc>
          <w:tcPr>
            <w:tcW w:w="8797" w:type="dxa"/>
            <w:vAlign w:val="center"/>
          </w:tcPr>
          <w:p w14:paraId="2770996C">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上报计划及各种材料、数据及时、准确。如未及时或不准确上报一次，扣0.1分，未上报，每次扣0.5分。如未按计划实施，每次扣0.5—2分。</w:t>
            </w:r>
          </w:p>
        </w:tc>
      </w:tr>
      <w:tr w14:paraId="01750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trPr>
        <w:tc>
          <w:tcPr>
            <w:tcW w:w="467" w:type="dxa"/>
            <w:vAlign w:val="center"/>
          </w:tcPr>
          <w:p w14:paraId="02D65603">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⑷</w:t>
            </w:r>
          </w:p>
        </w:tc>
        <w:tc>
          <w:tcPr>
            <w:tcW w:w="8797" w:type="dxa"/>
            <w:vAlign w:val="center"/>
          </w:tcPr>
          <w:p w14:paraId="73AE516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工程施工过程中，要做到日产日清。每发现1次现场未及时清理，扣.1 -2分。因补植树木造成树池周边方砖塌陷，应及时调整，否则每处扣0.1-0.2分.</w:t>
            </w:r>
          </w:p>
        </w:tc>
      </w:tr>
      <w:tr w14:paraId="3AAAD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467" w:type="dxa"/>
            <w:vAlign w:val="center"/>
          </w:tcPr>
          <w:p w14:paraId="00C5C2CB">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⑸</w:t>
            </w:r>
          </w:p>
        </w:tc>
        <w:tc>
          <w:tcPr>
            <w:tcW w:w="8797" w:type="dxa"/>
            <w:vAlign w:val="center"/>
          </w:tcPr>
          <w:p w14:paraId="3DCE9EB1">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安全生产.每次施工作业时要安全教育及放置安全警示,如因管理不当出现安全事故,责任由乙方负责,产生负面影响的,每次扣1-5分.</w:t>
            </w:r>
          </w:p>
        </w:tc>
      </w:tr>
      <w:tr w14:paraId="68170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467" w:type="dxa"/>
            <w:vAlign w:val="center"/>
          </w:tcPr>
          <w:p w14:paraId="467E46D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6</w:t>
            </w:r>
          </w:p>
        </w:tc>
        <w:tc>
          <w:tcPr>
            <w:tcW w:w="8797" w:type="dxa"/>
            <w:vAlign w:val="center"/>
          </w:tcPr>
          <w:p w14:paraId="7570165E">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补植树木挖坑、植树时间间隔不得超过2天，每超过一天扣2分。</w:t>
            </w:r>
          </w:p>
        </w:tc>
      </w:tr>
      <w:tr w14:paraId="5EEC2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467" w:type="dxa"/>
            <w:vAlign w:val="center"/>
          </w:tcPr>
          <w:p w14:paraId="579FDC03">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7</w:t>
            </w:r>
          </w:p>
        </w:tc>
        <w:tc>
          <w:tcPr>
            <w:tcW w:w="8797" w:type="dxa"/>
            <w:vAlign w:val="center"/>
          </w:tcPr>
          <w:p w14:paraId="2AC83D80">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绿地内无砖块、堆物等杂物，树冠上无悬挂物，保持清洁，无小围圈、自留地等乱占绿地现象，有一处扣0.1—1分。</w:t>
            </w:r>
          </w:p>
        </w:tc>
      </w:tr>
      <w:tr w14:paraId="15C5D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467" w:type="dxa"/>
            <w:vAlign w:val="center"/>
          </w:tcPr>
          <w:p w14:paraId="256A3113">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(8)</w:t>
            </w:r>
          </w:p>
        </w:tc>
        <w:tc>
          <w:tcPr>
            <w:tcW w:w="8797" w:type="dxa"/>
            <w:vAlign w:val="center"/>
          </w:tcPr>
          <w:p w14:paraId="75E9649D">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凡新闻媒体曝光，市、区、局领导批示的群众信件中提出批评，情况属实或整改不及时的，扣1-5分。</w:t>
            </w:r>
          </w:p>
        </w:tc>
      </w:tr>
      <w:tr w14:paraId="1DAA7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trPr>
        <w:tc>
          <w:tcPr>
            <w:tcW w:w="467" w:type="dxa"/>
          </w:tcPr>
          <w:p w14:paraId="62A962A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6</w:t>
            </w:r>
          </w:p>
        </w:tc>
        <w:tc>
          <w:tcPr>
            <w:tcW w:w="8797" w:type="dxa"/>
          </w:tcPr>
          <w:p w14:paraId="1739C0EA">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奖励加分</w:t>
            </w:r>
          </w:p>
        </w:tc>
      </w:tr>
      <w:tr w14:paraId="3D58C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467" w:type="dxa"/>
            <w:vAlign w:val="center"/>
          </w:tcPr>
          <w:p w14:paraId="30E023C6">
            <w:pPr>
              <w:keepNext w:val="0"/>
              <w:keepLines w:val="0"/>
              <w:numPr>
                <w:ilvl w:val="0"/>
                <w:numId w:val="15"/>
              </w:numPr>
              <w:suppressLineNumbers w:val="0"/>
              <w:spacing w:before="0" w:beforeAutospacing="0" w:after="0" w:afterAutospacing="0"/>
              <w:ind w:right="0"/>
              <w:rPr>
                <w:rFonts w:ascii="宋体" w:hAnsi="宋体" w:cs="宋体"/>
                <w:szCs w:val="21"/>
              </w:rPr>
            </w:pPr>
          </w:p>
        </w:tc>
        <w:tc>
          <w:tcPr>
            <w:tcW w:w="8797" w:type="dxa"/>
            <w:vAlign w:val="center"/>
          </w:tcPr>
          <w:p w14:paraId="21C929E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对管理部门临时安排的额外工作,按要求保质保量完成任务,给予奖励1-10分。</w:t>
            </w:r>
          </w:p>
        </w:tc>
      </w:tr>
      <w:tr w14:paraId="19DE2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467" w:type="dxa"/>
            <w:vAlign w:val="center"/>
          </w:tcPr>
          <w:p w14:paraId="115D781B">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⑵</w:t>
            </w:r>
          </w:p>
        </w:tc>
        <w:tc>
          <w:tcPr>
            <w:tcW w:w="8797" w:type="dxa"/>
            <w:vAlign w:val="center"/>
          </w:tcPr>
          <w:p w14:paraId="49D5605A">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市、区、局领导对养护管理提出表扬的给予奖励1-10分。</w:t>
            </w:r>
          </w:p>
        </w:tc>
      </w:tr>
    </w:tbl>
    <w:p w14:paraId="17782C29">
      <w:pPr>
        <w:rPr>
          <w:rFonts w:hint="eastAsia" w:ascii="仿宋" w:hAnsi="仿宋" w:eastAsia="仿宋" w:cs="仿宋"/>
          <w:sz w:val="22"/>
          <w:szCs w:val="28"/>
        </w:rPr>
      </w:pPr>
    </w:p>
    <w:tbl>
      <w:tblPr>
        <w:tblStyle w:val="38"/>
        <w:tblW w:w="9264"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8795"/>
      </w:tblGrid>
      <w:tr w14:paraId="1194E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469" w:type="dxa"/>
            <w:tcBorders>
              <w:top w:val="single" w:color="auto" w:sz="4" w:space="0"/>
              <w:left w:val="single" w:color="auto" w:sz="4" w:space="0"/>
              <w:bottom w:val="single" w:color="auto" w:sz="4" w:space="0"/>
              <w:right w:val="single" w:color="auto" w:sz="4" w:space="0"/>
            </w:tcBorders>
            <w:vAlign w:val="center"/>
          </w:tcPr>
          <w:p w14:paraId="78EDDF2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序号</w:t>
            </w:r>
          </w:p>
        </w:tc>
        <w:tc>
          <w:tcPr>
            <w:tcW w:w="8795" w:type="dxa"/>
            <w:tcBorders>
              <w:top w:val="single" w:color="auto" w:sz="4" w:space="0"/>
              <w:left w:val="single" w:color="auto" w:sz="4" w:space="0"/>
              <w:bottom w:val="single" w:color="auto" w:sz="4" w:space="0"/>
              <w:right w:val="single" w:color="auto" w:sz="4" w:space="0"/>
            </w:tcBorders>
          </w:tcPr>
          <w:p w14:paraId="58961AF4">
            <w:pPr>
              <w:keepNext w:val="0"/>
              <w:keepLines w:val="0"/>
              <w:suppressLineNumbers w:val="0"/>
              <w:spacing w:before="0" w:beforeAutospacing="0" w:after="0" w:afterAutospacing="0"/>
              <w:ind w:left="0" w:right="0"/>
              <w:jc w:val="center"/>
              <w:rPr>
                <w:rFonts w:ascii="宋体" w:hAnsi="宋体" w:cs="宋体"/>
                <w:b/>
                <w:bCs/>
                <w:sz w:val="30"/>
                <w:szCs w:val="30"/>
              </w:rPr>
            </w:pPr>
            <w:r>
              <w:rPr>
                <w:rFonts w:hint="eastAsia" w:ascii="宋体" w:hAnsi="宋体" w:cs="宋体"/>
                <w:b/>
                <w:bCs/>
                <w:sz w:val="30"/>
                <w:szCs w:val="30"/>
                <w:lang w:eastAsia="zh-CN"/>
              </w:rPr>
              <w:t>公园</w:t>
            </w:r>
            <w:r>
              <w:rPr>
                <w:rFonts w:hint="eastAsia" w:ascii="宋体" w:hAnsi="宋体" w:cs="宋体"/>
                <w:b/>
                <w:bCs/>
                <w:sz w:val="30"/>
                <w:szCs w:val="30"/>
              </w:rPr>
              <w:t>考核内容及扣分标准</w:t>
            </w:r>
          </w:p>
        </w:tc>
      </w:tr>
      <w:tr w14:paraId="2EFC8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469" w:type="dxa"/>
            <w:tcBorders>
              <w:top w:val="single" w:color="auto" w:sz="4" w:space="0"/>
              <w:left w:val="single" w:color="auto" w:sz="4" w:space="0"/>
              <w:bottom w:val="single" w:color="auto" w:sz="4" w:space="0"/>
              <w:right w:val="single" w:color="auto" w:sz="4" w:space="0"/>
            </w:tcBorders>
            <w:vAlign w:val="center"/>
          </w:tcPr>
          <w:p w14:paraId="18C9961D">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1</w:t>
            </w:r>
          </w:p>
        </w:tc>
        <w:tc>
          <w:tcPr>
            <w:tcW w:w="8795" w:type="dxa"/>
            <w:tcBorders>
              <w:top w:val="single" w:color="auto" w:sz="4" w:space="0"/>
              <w:left w:val="single" w:color="auto" w:sz="4" w:space="0"/>
              <w:bottom w:val="single" w:color="auto" w:sz="4" w:space="0"/>
              <w:right w:val="single" w:color="auto" w:sz="4" w:space="0"/>
            </w:tcBorders>
          </w:tcPr>
          <w:p w14:paraId="08909DA5">
            <w:pPr>
              <w:keepNext w:val="0"/>
              <w:keepLines w:val="0"/>
              <w:suppressLineNumbers w:val="0"/>
              <w:spacing w:before="0" w:beforeAutospacing="0" w:after="0" w:afterAutospacing="0"/>
              <w:ind w:left="0" w:right="0"/>
              <w:jc w:val="left"/>
              <w:rPr>
                <w:rFonts w:ascii="宋体" w:hAnsi="宋体" w:cs="宋体"/>
                <w:szCs w:val="21"/>
              </w:rPr>
            </w:pPr>
            <w:r>
              <w:rPr>
                <w:rFonts w:hint="eastAsia" w:ascii="宋体" w:hAnsi="宋体" w:cs="宋体"/>
                <w:szCs w:val="21"/>
              </w:rPr>
              <w:t>人员管理</w:t>
            </w:r>
          </w:p>
        </w:tc>
      </w:tr>
      <w:tr w14:paraId="18589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trPr>
        <w:tc>
          <w:tcPr>
            <w:tcW w:w="469" w:type="dxa"/>
            <w:tcBorders>
              <w:top w:val="single" w:color="auto" w:sz="4" w:space="0"/>
              <w:left w:val="single" w:color="auto" w:sz="4" w:space="0"/>
              <w:bottom w:val="single" w:color="auto" w:sz="4" w:space="0"/>
              <w:right w:val="single" w:color="auto" w:sz="4" w:space="0"/>
            </w:tcBorders>
            <w:vAlign w:val="center"/>
          </w:tcPr>
          <w:p w14:paraId="28827F96">
            <w:pPr>
              <w:pStyle w:val="66"/>
              <w:keepNext w:val="0"/>
              <w:keepLines w:val="0"/>
              <w:numPr>
                <w:ilvl w:val="0"/>
                <w:numId w:val="16"/>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31655AC9">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保证公园的安保、保洁人员编制人数,每缺少1人，扣除缺少人员的当月人工费用外并限期整改，两次以上仍然不能定岗定编的，按实际人数支付费用外，扣1-5分</w:t>
            </w:r>
          </w:p>
        </w:tc>
      </w:tr>
      <w:tr w14:paraId="76ED6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469" w:type="dxa"/>
            <w:tcBorders>
              <w:top w:val="single" w:color="auto" w:sz="4" w:space="0"/>
              <w:left w:val="single" w:color="auto" w:sz="4" w:space="0"/>
              <w:bottom w:val="single" w:color="auto" w:sz="4" w:space="0"/>
              <w:right w:val="single" w:color="auto" w:sz="4" w:space="0"/>
            </w:tcBorders>
            <w:vAlign w:val="center"/>
          </w:tcPr>
          <w:p w14:paraId="1A386746">
            <w:pPr>
              <w:pStyle w:val="66"/>
              <w:keepNext w:val="0"/>
              <w:keepLines w:val="0"/>
              <w:numPr>
                <w:ilvl w:val="0"/>
                <w:numId w:val="16"/>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00DE9B03">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公园必须保证夜晚更夫在岗，白天保安巡岗，抽查每空岗一次，扣0.2-0.5分</w:t>
            </w:r>
          </w:p>
        </w:tc>
      </w:tr>
      <w:tr w14:paraId="49FF6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469" w:type="dxa"/>
            <w:tcBorders>
              <w:top w:val="single" w:color="auto" w:sz="4" w:space="0"/>
              <w:left w:val="single" w:color="auto" w:sz="4" w:space="0"/>
              <w:bottom w:val="single" w:color="auto" w:sz="4" w:space="0"/>
              <w:right w:val="single" w:color="auto" w:sz="4" w:space="0"/>
            </w:tcBorders>
            <w:vAlign w:val="center"/>
          </w:tcPr>
          <w:p w14:paraId="0C824759">
            <w:pPr>
              <w:pStyle w:val="66"/>
              <w:keepNext w:val="0"/>
              <w:keepLines w:val="0"/>
              <w:numPr>
                <w:ilvl w:val="0"/>
                <w:numId w:val="16"/>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7CF7D04F">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注重服务礼仪，按规定着装整齐，佩带服务标识，服务态度端正、服务技能过硬、服务用语文明、服务纪律严明，群众满意度高。发现一次不合格扣0.1-0.5分</w:t>
            </w:r>
          </w:p>
        </w:tc>
      </w:tr>
      <w:tr w14:paraId="1582A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trPr>
        <w:tc>
          <w:tcPr>
            <w:tcW w:w="469" w:type="dxa"/>
            <w:tcBorders>
              <w:top w:val="single" w:color="auto" w:sz="4" w:space="0"/>
              <w:left w:val="single" w:color="auto" w:sz="4" w:space="0"/>
              <w:bottom w:val="single" w:color="auto" w:sz="4" w:space="0"/>
              <w:right w:val="single" w:color="auto" w:sz="4" w:space="0"/>
            </w:tcBorders>
            <w:vAlign w:val="center"/>
          </w:tcPr>
          <w:p w14:paraId="6577A51C">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2</w:t>
            </w:r>
          </w:p>
        </w:tc>
        <w:tc>
          <w:tcPr>
            <w:tcW w:w="8795" w:type="dxa"/>
            <w:tcBorders>
              <w:top w:val="single" w:color="auto" w:sz="4" w:space="0"/>
              <w:left w:val="single" w:color="auto" w:sz="4" w:space="0"/>
              <w:bottom w:val="single" w:color="auto" w:sz="4" w:space="0"/>
              <w:right w:val="single" w:color="auto" w:sz="4" w:space="0"/>
            </w:tcBorders>
            <w:vAlign w:val="center"/>
          </w:tcPr>
          <w:p w14:paraId="3A060F38">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设施维护</w:t>
            </w:r>
          </w:p>
        </w:tc>
      </w:tr>
      <w:tr w14:paraId="1C908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trPr>
        <w:tc>
          <w:tcPr>
            <w:tcW w:w="469" w:type="dxa"/>
            <w:tcBorders>
              <w:top w:val="single" w:color="auto" w:sz="4" w:space="0"/>
              <w:left w:val="single" w:color="auto" w:sz="4" w:space="0"/>
              <w:bottom w:val="single" w:color="auto" w:sz="4" w:space="0"/>
              <w:right w:val="single" w:color="auto" w:sz="4" w:space="0"/>
            </w:tcBorders>
          </w:tcPr>
          <w:p w14:paraId="5166EEA9">
            <w:pPr>
              <w:pStyle w:val="66"/>
              <w:keepNext w:val="0"/>
              <w:keepLines w:val="0"/>
              <w:numPr>
                <w:ilvl w:val="0"/>
                <w:numId w:val="17"/>
              </w:numPr>
              <w:suppressLineNumbers w:val="0"/>
              <w:spacing w:before="0" w:beforeAutospacing="0" w:after="0" w:afterAutospacing="0"/>
              <w:ind w:right="0" w:firstLineChars="0"/>
            </w:pPr>
          </w:p>
        </w:tc>
        <w:tc>
          <w:tcPr>
            <w:tcW w:w="8795" w:type="dxa"/>
            <w:tcBorders>
              <w:top w:val="single" w:color="auto" w:sz="4" w:space="0"/>
              <w:left w:val="single" w:color="auto" w:sz="4" w:space="0"/>
              <w:bottom w:val="single" w:color="auto" w:sz="4" w:space="0"/>
              <w:right w:val="single" w:color="auto" w:sz="4" w:space="0"/>
            </w:tcBorders>
          </w:tcPr>
          <w:p w14:paraId="74DEA5EE">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公园内各类设施设备坚持好巡检制度，周检查、月总检，发现问题立即整改并做好记录，确保安全。无巡检记录扣0.5分，巡检未记录的每发现一处扣0.2分。</w:t>
            </w:r>
          </w:p>
        </w:tc>
      </w:tr>
      <w:tr w14:paraId="7320E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469" w:type="dxa"/>
            <w:tcBorders>
              <w:top w:val="single" w:color="auto" w:sz="4" w:space="0"/>
              <w:left w:val="single" w:color="auto" w:sz="4" w:space="0"/>
              <w:bottom w:val="single" w:color="auto" w:sz="4" w:space="0"/>
              <w:right w:val="single" w:color="auto" w:sz="4" w:space="0"/>
            </w:tcBorders>
            <w:vAlign w:val="center"/>
          </w:tcPr>
          <w:p w14:paraId="6ED0E732">
            <w:pPr>
              <w:pStyle w:val="66"/>
              <w:keepNext w:val="0"/>
              <w:keepLines w:val="0"/>
              <w:numPr>
                <w:ilvl w:val="0"/>
                <w:numId w:val="17"/>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5F4252D0">
            <w:pPr>
              <w:keepNext w:val="0"/>
              <w:keepLines w:val="0"/>
              <w:suppressLineNumbers w:val="0"/>
              <w:spacing w:before="0" w:beforeAutospacing="0" w:after="0" w:afterAutospacing="0" w:line="300" w:lineRule="exact"/>
              <w:ind w:left="0" w:right="0"/>
              <w:rPr>
                <w:rFonts w:ascii="宋体" w:hAnsi="宋体" w:cs="宋体"/>
                <w:szCs w:val="21"/>
              </w:rPr>
            </w:pPr>
            <w:r>
              <w:rPr>
                <w:rFonts w:hint="eastAsia" w:ascii="宋体" w:hAnsi="宋体" w:cs="宋体"/>
                <w:szCs w:val="21"/>
              </w:rPr>
              <w:t>按照要求配备消防和救护器材，并登记造册，专人管理，定期检查维修保养，保持完好、安全、有效。未登记造册的扣0.5分，器材未定期保养的每发现一处扣0.2分。</w:t>
            </w:r>
          </w:p>
          <w:p w14:paraId="0E6FD3E7">
            <w:pPr>
              <w:keepNext w:val="0"/>
              <w:keepLines w:val="0"/>
              <w:suppressLineNumbers w:val="0"/>
              <w:spacing w:before="0" w:beforeAutospacing="0" w:after="0" w:afterAutospacing="0"/>
              <w:ind w:left="0" w:right="0"/>
              <w:rPr>
                <w:rFonts w:ascii="宋体" w:hAnsi="宋体" w:cs="宋体"/>
                <w:szCs w:val="21"/>
              </w:rPr>
            </w:pPr>
          </w:p>
        </w:tc>
      </w:tr>
      <w:tr w14:paraId="5C6EB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trPr>
        <w:tc>
          <w:tcPr>
            <w:tcW w:w="469" w:type="dxa"/>
            <w:tcBorders>
              <w:top w:val="single" w:color="auto" w:sz="4" w:space="0"/>
              <w:left w:val="single" w:color="auto" w:sz="4" w:space="0"/>
              <w:bottom w:val="single" w:color="auto" w:sz="4" w:space="0"/>
              <w:right w:val="single" w:color="auto" w:sz="4" w:space="0"/>
            </w:tcBorders>
            <w:vAlign w:val="center"/>
          </w:tcPr>
          <w:p w14:paraId="5117412F">
            <w:pPr>
              <w:pStyle w:val="66"/>
              <w:keepNext w:val="0"/>
              <w:keepLines w:val="0"/>
              <w:numPr>
                <w:ilvl w:val="0"/>
                <w:numId w:val="17"/>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042C8CDB">
            <w:pPr>
              <w:keepNext w:val="0"/>
              <w:keepLines w:val="0"/>
              <w:suppressLineNumbers w:val="0"/>
              <w:spacing w:before="0" w:beforeAutospacing="0" w:after="0" w:afterAutospacing="0" w:line="300" w:lineRule="exact"/>
              <w:ind w:left="0" w:right="0"/>
              <w:rPr>
                <w:rFonts w:ascii="宋体" w:hAnsi="宋体" w:cs="宋体"/>
                <w:szCs w:val="21"/>
              </w:rPr>
            </w:pPr>
            <w:r>
              <w:rPr>
                <w:rFonts w:hint="eastAsia" w:ascii="宋体" w:hAnsi="宋体" w:cs="宋体"/>
                <w:szCs w:val="21"/>
              </w:rPr>
              <w:t>座椅、果皮箱、健身器材、亭、廊等设施应当每日清洁，定期消毒，做到整洁美观。设施脏污、破损、痰迹的每发现一处扣0.2分。</w:t>
            </w:r>
          </w:p>
          <w:p w14:paraId="3C246CCC">
            <w:pPr>
              <w:keepNext w:val="0"/>
              <w:keepLines w:val="0"/>
              <w:suppressLineNumbers w:val="0"/>
              <w:spacing w:before="0" w:beforeAutospacing="0" w:after="0" w:afterAutospacing="0"/>
              <w:ind w:left="0" w:right="0"/>
              <w:rPr>
                <w:rFonts w:ascii="宋体" w:hAnsi="宋体" w:cs="宋体"/>
                <w:szCs w:val="21"/>
              </w:rPr>
            </w:pPr>
          </w:p>
        </w:tc>
      </w:tr>
      <w:tr w14:paraId="6B563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469" w:type="dxa"/>
            <w:tcBorders>
              <w:top w:val="single" w:color="auto" w:sz="4" w:space="0"/>
              <w:left w:val="single" w:color="auto" w:sz="4" w:space="0"/>
              <w:bottom w:val="single" w:color="auto" w:sz="4" w:space="0"/>
              <w:right w:val="single" w:color="auto" w:sz="4" w:space="0"/>
            </w:tcBorders>
            <w:vAlign w:val="center"/>
          </w:tcPr>
          <w:p w14:paraId="1DEE52C7">
            <w:pPr>
              <w:pStyle w:val="66"/>
              <w:keepNext w:val="0"/>
              <w:keepLines w:val="0"/>
              <w:numPr>
                <w:ilvl w:val="0"/>
                <w:numId w:val="17"/>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5AEA589C">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园林建筑、园路、园灯、广场、湖堤护岸、亭、廊、桥等基础设施无破损、无刻划，定期保养，及时修复。设施有破损、刻划，未及时修复的，每发现一处扣0.2-0.5分。</w:t>
            </w:r>
          </w:p>
        </w:tc>
      </w:tr>
      <w:tr w14:paraId="252BB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69" w:type="dxa"/>
            <w:tcBorders>
              <w:top w:val="single" w:color="auto" w:sz="4" w:space="0"/>
              <w:left w:val="single" w:color="auto" w:sz="4" w:space="0"/>
              <w:bottom w:val="single" w:color="auto" w:sz="4" w:space="0"/>
              <w:right w:val="single" w:color="auto" w:sz="4" w:space="0"/>
            </w:tcBorders>
            <w:vAlign w:val="center"/>
          </w:tcPr>
          <w:p w14:paraId="66216EA5">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3</w:t>
            </w:r>
          </w:p>
        </w:tc>
        <w:tc>
          <w:tcPr>
            <w:tcW w:w="8795" w:type="dxa"/>
            <w:tcBorders>
              <w:top w:val="single" w:color="auto" w:sz="4" w:space="0"/>
              <w:left w:val="single" w:color="auto" w:sz="4" w:space="0"/>
              <w:bottom w:val="single" w:color="auto" w:sz="4" w:space="0"/>
              <w:right w:val="single" w:color="auto" w:sz="4" w:space="0"/>
            </w:tcBorders>
            <w:vAlign w:val="center"/>
          </w:tcPr>
          <w:p w14:paraId="2B9EAA73">
            <w:pPr>
              <w:keepNext w:val="0"/>
              <w:keepLines w:val="0"/>
              <w:suppressLineNumbers w:val="0"/>
              <w:spacing w:before="0" w:beforeAutospacing="0" w:after="0" w:afterAutospacing="0" w:line="320" w:lineRule="exact"/>
              <w:ind w:left="0" w:right="0"/>
              <w:rPr>
                <w:rFonts w:ascii="宋体" w:hAnsi="宋体" w:cs="宋体"/>
                <w:szCs w:val="21"/>
              </w:rPr>
            </w:pPr>
            <w:r>
              <w:rPr>
                <w:rFonts w:hint="eastAsia" w:ascii="宋体" w:hAnsi="宋体" w:cs="宋体"/>
                <w:szCs w:val="21"/>
              </w:rPr>
              <w:t>环境卫生</w:t>
            </w:r>
          </w:p>
          <w:p w14:paraId="00FDD6F2">
            <w:pPr>
              <w:keepNext w:val="0"/>
              <w:keepLines w:val="0"/>
              <w:suppressLineNumbers w:val="0"/>
              <w:spacing w:before="0" w:beforeAutospacing="0" w:after="0" w:afterAutospacing="0"/>
              <w:ind w:left="0" w:right="0"/>
              <w:rPr>
                <w:rFonts w:ascii="宋体" w:hAnsi="宋体" w:cs="宋体"/>
                <w:szCs w:val="21"/>
              </w:rPr>
            </w:pPr>
          </w:p>
        </w:tc>
      </w:tr>
      <w:tr w14:paraId="6A239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469" w:type="dxa"/>
            <w:tcBorders>
              <w:top w:val="single" w:color="auto" w:sz="4" w:space="0"/>
              <w:left w:val="single" w:color="auto" w:sz="4" w:space="0"/>
              <w:bottom w:val="single" w:color="auto" w:sz="4" w:space="0"/>
              <w:right w:val="single" w:color="auto" w:sz="4" w:space="0"/>
            </w:tcBorders>
            <w:vAlign w:val="center"/>
          </w:tcPr>
          <w:p w14:paraId="19BAC4EB">
            <w:pPr>
              <w:pStyle w:val="66"/>
              <w:keepNext w:val="0"/>
              <w:keepLines w:val="0"/>
              <w:numPr>
                <w:ilvl w:val="0"/>
                <w:numId w:val="18"/>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2D211B5D">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公园办公室内卫生清洁，用品摆放整齐，室内景点有明显禁烟标志，无吸烟现象，办公秩序良好。每发现一处不合格扣0.1分。</w:t>
            </w:r>
          </w:p>
        </w:tc>
      </w:tr>
      <w:tr w14:paraId="37321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469" w:type="dxa"/>
            <w:tcBorders>
              <w:top w:val="single" w:color="auto" w:sz="4" w:space="0"/>
              <w:left w:val="single" w:color="auto" w:sz="4" w:space="0"/>
              <w:bottom w:val="single" w:color="auto" w:sz="4" w:space="0"/>
              <w:right w:val="single" w:color="auto" w:sz="4" w:space="0"/>
            </w:tcBorders>
            <w:vAlign w:val="center"/>
          </w:tcPr>
          <w:p w14:paraId="71B8BE56">
            <w:pPr>
              <w:pStyle w:val="66"/>
              <w:keepNext w:val="0"/>
              <w:keepLines w:val="0"/>
              <w:numPr>
                <w:ilvl w:val="0"/>
                <w:numId w:val="18"/>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576ACC7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环境清新、整洁、美观。无瓜果皮核，无废弃物，无烟头，无痰迹，林地无杂物、无白色垃圾，垃圾日产日清，清运率达100%</w:t>
            </w:r>
            <w:r>
              <w:rPr>
                <w:rFonts w:hint="eastAsia" w:ascii="宋体" w:hAnsi="宋体" w:cs="宋体"/>
                <w:b/>
                <w:szCs w:val="21"/>
              </w:rPr>
              <w:t>。</w:t>
            </w:r>
            <w:r>
              <w:rPr>
                <w:rFonts w:hint="eastAsia" w:ascii="宋体" w:hAnsi="宋体" w:cs="宋体"/>
                <w:szCs w:val="21"/>
              </w:rPr>
              <w:t>园内发现垃圾每处扣0.2分。</w:t>
            </w:r>
          </w:p>
        </w:tc>
      </w:tr>
      <w:tr w14:paraId="79AAA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469" w:type="dxa"/>
            <w:tcBorders>
              <w:top w:val="single" w:color="auto" w:sz="4" w:space="0"/>
              <w:left w:val="single" w:color="auto" w:sz="4" w:space="0"/>
              <w:bottom w:val="single" w:color="auto" w:sz="4" w:space="0"/>
              <w:right w:val="single" w:color="auto" w:sz="4" w:space="0"/>
            </w:tcBorders>
            <w:vAlign w:val="center"/>
          </w:tcPr>
          <w:p w14:paraId="18BAEDB3">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3 \* GB2 \* MERGEFORMAT </w:instrText>
            </w:r>
            <w:r>
              <w:rPr>
                <w:rFonts w:hint="eastAsia" w:ascii="宋体" w:hAnsi="宋体" w:cs="宋体"/>
                <w:szCs w:val="21"/>
              </w:rPr>
              <w:fldChar w:fldCharType="separate"/>
            </w:r>
            <w:r>
              <w:rPr>
                <w:rFonts w:hint="eastAsia" w:ascii="宋体" w:hAnsi="宋体" w:cs="宋体"/>
                <w:szCs w:val="21"/>
              </w:rPr>
              <w:t>⑶</w:t>
            </w:r>
            <w:r>
              <w:rPr>
                <w:rFonts w:hint="eastAsia" w:ascii="宋体" w:hAnsi="宋体" w:cs="宋体"/>
                <w:szCs w:val="21"/>
              </w:rPr>
              <w:fldChar w:fldCharType="end"/>
            </w:r>
          </w:p>
        </w:tc>
        <w:tc>
          <w:tcPr>
            <w:tcW w:w="8795" w:type="dxa"/>
            <w:tcBorders>
              <w:top w:val="single" w:color="auto" w:sz="4" w:space="0"/>
              <w:left w:val="single" w:color="auto" w:sz="4" w:space="0"/>
              <w:bottom w:val="single" w:color="auto" w:sz="4" w:space="0"/>
              <w:right w:val="single" w:color="auto" w:sz="4" w:space="0"/>
            </w:tcBorders>
            <w:vAlign w:val="center"/>
          </w:tcPr>
          <w:p w14:paraId="563D9C5B">
            <w:pPr>
              <w:keepNext w:val="0"/>
              <w:keepLines w:val="0"/>
              <w:suppressLineNumbers w:val="0"/>
              <w:spacing w:before="0" w:beforeAutospacing="0" w:after="0" w:afterAutospacing="0" w:line="300" w:lineRule="exact"/>
              <w:ind w:left="0" w:right="0"/>
              <w:rPr>
                <w:rFonts w:ascii="宋体" w:hAnsi="宋体" w:cs="宋体"/>
                <w:szCs w:val="21"/>
              </w:rPr>
            </w:pPr>
            <w:r>
              <w:rPr>
                <w:rFonts w:hint="eastAsia" w:ascii="宋体" w:hAnsi="宋体" w:cs="宋体"/>
                <w:szCs w:val="21"/>
              </w:rPr>
              <w:t>公厕设专人管理，通风照明良好，定时清理，无蚊蝇，水洗厕所无异味。有蚊蝇、臭味、污垢、污迹、污物、积水、乱堆物现象，每发现一处扣0.2分。</w:t>
            </w:r>
          </w:p>
          <w:p w14:paraId="14A42EF8">
            <w:pPr>
              <w:keepNext w:val="0"/>
              <w:keepLines w:val="0"/>
              <w:suppressLineNumbers w:val="0"/>
              <w:spacing w:before="0" w:beforeAutospacing="0" w:after="0" w:afterAutospacing="0"/>
              <w:ind w:left="0" w:right="0"/>
              <w:rPr>
                <w:rFonts w:ascii="宋体" w:hAnsi="宋体" w:cs="宋体"/>
                <w:szCs w:val="21"/>
              </w:rPr>
            </w:pPr>
          </w:p>
        </w:tc>
      </w:tr>
      <w:tr w14:paraId="3F782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469" w:type="dxa"/>
            <w:tcBorders>
              <w:top w:val="single" w:color="auto" w:sz="4" w:space="0"/>
              <w:left w:val="single" w:color="auto" w:sz="4" w:space="0"/>
              <w:bottom w:val="single" w:color="auto" w:sz="4" w:space="0"/>
              <w:right w:val="single" w:color="auto" w:sz="4" w:space="0"/>
            </w:tcBorders>
            <w:vAlign w:val="center"/>
          </w:tcPr>
          <w:p w14:paraId="22CBF89B">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⑷</w:t>
            </w:r>
          </w:p>
        </w:tc>
        <w:tc>
          <w:tcPr>
            <w:tcW w:w="8795" w:type="dxa"/>
            <w:tcBorders>
              <w:top w:val="single" w:color="auto" w:sz="4" w:space="0"/>
              <w:left w:val="single" w:color="auto" w:sz="4" w:space="0"/>
              <w:bottom w:val="single" w:color="auto" w:sz="4" w:space="0"/>
              <w:right w:val="single" w:color="auto" w:sz="4" w:space="0"/>
            </w:tcBorders>
            <w:vAlign w:val="center"/>
          </w:tcPr>
          <w:p w14:paraId="060D18AC">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路面和边石要定期清理，夏季路面定期洒水；路面完好率达95%；雨后路面无积水。每发现一次不合格扣0.2-1分。</w:t>
            </w:r>
          </w:p>
        </w:tc>
      </w:tr>
      <w:tr w14:paraId="4A3DE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469" w:type="dxa"/>
            <w:tcBorders>
              <w:top w:val="single" w:color="auto" w:sz="4" w:space="0"/>
              <w:left w:val="single" w:color="auto" w:sz="4" w:space="0"/>
              <w:bottom w:val="single" w:color="auto" w:sz="4" w:space="0"/>
              <w:right w:val="single" w:color="auto" w:sz="4" w:space="0"/>
            </w:tcBorders>
            <w:vAlign w:val="center"/>
          </w:tcPr>
          <w:p w14:paraId="7E9AB922">
            <w:pPr>
              <w:pStyle w:val="66"/>
              <w:keepNext w:val="0"/>
              <w:keepLines w:val="0"/>
              <w:numPr>
                <w:ilvl w:val="0"/>
                <w:numId w:val="17"/>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10BD53A0">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湖面每日定时清理，水面无垃圾、漂浮物等；岸坡整洁，无垃圾杂物，一次不合格扣0.2分</w:t>
            </w:r>
          </w:p>
        </w:tc>
      </w:tr>
      <w:tr w14:paraId="56B8E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469" w:type="dxa"/>
            <w:tcBorders>
              <w:top w:val="single" w:color="auto" w:sz="4" w:space="0"/>
              <w:left w:val="single" w:color="auto" w:sz="4" w:space="0"/>
              <w:bottom w:val="single" w:color="auto" w:sz="4" w:space="0"/>
              <w:right w:val="single" w:color="auto" w:sz="4" w:space="0"/>
            </w:tcBorders>
            <w:vAlign w:val="center"/>
          </w:tcPr>
          <w:p w14:paraId="43F1C883">
            <w:pPr>
              <w:pStyle w:val="66"/>
              <w:keepNext w:val="0"/>
              <w:keepLines w:val="0"/>
              <w:numPr>
                <w:ilvl w:val="0"/>
                <w:numId w:val="17"/>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2DA60FCD">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乱涂、乱画、乱张贴现象，每发现一处扣0.1分。</w:t>
            </w:r>
          </w:p>
        </w:tc>
      </w:tr>
      <w:tr w14:paraId="695C1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469" w:type="dxa"/>
            <w:tcBorders>
              <w:top w:val="single" w:color="auto" w:sz="4" w:space="0"/>
              <w:left w:val="single" w:color="auto" w:sz="4" w:space="0"/>
              <w:bottom w:val="single" w:color="auto" w:sz="4" w:space="0"/>
              <w:right w:val="single" w:color="auto" w:sz="4" w:space="0"/>
            </w:tcBorders>
            <w:vAlign w:val="center"/>
          </w:tcPr>
          <w:p w14:paraId="0E7034E4">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4</w:t>
            </w:r>
          </w:p>
        </w:tc>
        <w:tc>
          <w:tcPr>
            <w:tcW w:w="8795" w:type="dxa"/>
            <w:tcBorders>
              <w:top w:val="single" w:color="auto" w:sz="4" w:space="0"/>
              <w:left w:val="single" w:color="auto" w:sz="4" w:space="0"/>
              <w:bottom w:val="single" w:color="auto" w:sz="4" w:space="0"/>
              <w:right w:val="single" w:color="auto" w:sz="4" w:space="0"/>
            </w:tcBorders>
            <w:vAlign w:val="center"/>
          </w:tcPr>
          <w:p w14:paraId="01A9C7A1">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安全工作</w:t>
            </w:r>
          </w:p>
        </w:tc>
      </w:tr>
      <w:tr w14:paraId="622CD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469" w:type="dxa"/>
            <w:tcBorders>
              <w:top w:val="single" w:color="auto" w:sz="4" w:space="0"/>
              <w:left w:val="single" w:color="auto" w:sz="4" w:space="0"/>
              <w:bottom w:val="single" w:color="auto" w:sz="4" w:space="0"/>
              <w:right w:val="single" w:color="auto" w:sz="4" w:space="0"/>
            </w:tcBorders>
            <w:vAlign w:val="center"/>
          </w:tcPr>
          <w:p w14:paraId="0C4B105C">
            <w:pPr>
              <w:pStyle w:val="66"/>
              <w:keepNext w:val="0"/>
              <w:keepLines w:val="0"/>
              <w:numPr>
                <w:ilvl w:val="0"/>
                <w:numId w:val="19"/>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36BF40FC">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除老、幼、病、残者专用的非机动车外，其他车辆未经允许不得进入公园；园内作业车辆禁止鸣笛，开文明车。</w:t>
            </w:r>
            <w:r>
              <w:rPr>
                <w:rFonts w:hint="eastAsia" w:ascii="仿宋" w:hAnsi="仿宋" w:eastAsia="仿宋"/>
                <w:szCs w:val="21"/>
              </w:rPr>
              <w:t>.</w:t>
            </w:r>
            <w:r>
              <w:rPr>
                <w:rFonts w:hint="eastAsia" w:ascii="宋体" w:hAnsi="宋体" w:cs="宋体"/>
                <w:szCs w:val="21"/>
              </w:rPr>
              <w:t>发现一次机动车辆扣0.5分，非机动车辆扣0.2分。</w:t>
            </w:r>
          </w:p>
        </w:tc>
      </w:tr>
      <w:tr w14:paraId="4C4CD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469" w:type="dxa"/>
            <w:tcBorders>
              <w:top w:val="single" w:color="auto" w:sz="4" w:space="0"/>
              <w:left w:val="single" w:color="auto" w:sz="4" w:space="0"/>
              <w:bottom w:val="single" w:color="auto" w:sz="4" w:space="0"/>
              <w:right w:val="single" w:color="auto" w:sz="4" w:space="0"/>
            </w:tcBorders>
            <w:vAlign w:val="center"/>
          </w:tcPr>
          <w:p w14:paraId="6DABF6D8">
            <w:pPr>
              <w:pStyle w:val="66"/>
              <w:keepNext w:val="0"/>
              <w:keepLines w:val="0"/>
              <w:numPr>
                <w:ilvl w:val="0"/>
                <w:numId w:val="19"/>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79299BD9">
            <w:pPr>
              <w:keepNext w:val="0"/>
              <w:keepLines w:val="0"/>
              <w:suppressLineNumbers w:val="0"/>
              <w:spacing w:before="0" w:beforeAutospacing="0" w:after="0" w:afterAutospacing="0" w:line="300" w:lineRule="exact"/>
              <w:ind w:left="0" w:right="0"/>
              <w:rPr>
                <w:rFonts w:ascii="宋体" w:hAnsi="宋体" w:cs="宋体"/>
                <w:szCs w:val="21"/>
              </w:rPr>
            </w:pPr>
            <w:r>
              <w:rPr>
                <w:rFonts w:hint="eastAsia" w:ascii="宋体" w:hAnsi="宋体" w:cs="宋体"/>
                <w:szCs w:val="21"/>
              </w:rPr>
              <w:t>应急预案完备，并定期组织演练。应急预案不完备，未定期组织演练的，扣3分。</w:t>
            </w:r>
          </w:p>
        </w:tc>
      </w:tr>
      <w:tr w14:paraId="7C32C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469" w:type="dxa"/>
            <w:tcBorders>
              <w:top w:val="single" w:color="auto" w:sz="4" w:space="0"/>
              <w:left w:val="single" w:color="auto" w:sz="4" w:space="0"/>
              <w:bottom w:val="single" w:color="auto" w:sz="4" w:space="0"/>
              <w:right w:val="single" w:color="auto" w:sz="4" w:space="0"/>
            </w:tcBorders>
            <w:vAlign w:val="center"/>
          </w:tcPr>
          <w:p w14:paraId="3BC25FC2">
            <w:pPr>
              <w:pStyle w:val="66"/>
              <w:keepNext w:val="0"/>
              <w:keepLines w:val="0"/>
              <w:numPr>
                <w:ilvl w:val="0"/>
                <w:numId w:val="19"/>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2AE05BE9">
            <w:pPr>
              <w:keepNext w:val="0"/>
              <w:keepLines w:val="0"/>
              <w:suppressLineNumbers w:val="0"/>
              <w:spacing w:before="0" w:beforeAutospacing="0" w:after="0" w:afterAutospacing="0" w:line="300" w:lineRule="exact"/>
              <w:ind w:left="0" w:right="0"/>
              <w:rPr>
                <w:rFonts w:ascii="宋体" w:hAnsi="宋体" w:cs="宋体"/>
                <w:szCs w:val="21"/>
              </w:rPr>
            </w:pPr>
            <w:r>
              <w:rPr>
                <w:rFonts w:hint="eastAsia" w:ascii="宋体" w:hAnsi="宋体" w:cs="宋体"/>
                <w:szCs w:val="21"/>
              </w:rPr>
              <w:t>建立安全用电制度，严禁违章用电，超负荷用电，保证用电安全。劳动机器设备、工具，定期维护，妥善保管。安全检查记录、会议记录不完备的扣0.3分。</w:t>
            </w:r>
          </w:p>
        </w:tc>
      </w:tr>
      <w:tr w14:paraId="6444A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469" w:type="dxa"/>
            <w:tcBorders>
              <w:top w:val="single" w:color="auto" w:sz="4" w:space="0"/>
              <w:left w:val="single" w:color="auto" w:sz="4" w:space="0"/>
              <w:bottom w:val="single" w:color="auto" w:sz="4" w:space="0"/>
              <w:right w:val="single" w:color="auto" w:sz="4" w:space="0"/>
            </w:tcBorders>
            <w:vAlign w:val="center"/>
          </w:tcPr>
          <w:p w14:paraId="436C9ECA">
            <w:pPr>
              <w:pStyle w:val="66"/>
              <w:keepNext w:val="0"/>
              <w:keepLines w:val="0"/>
              <w:numPr>
                <w:ilvl w:val="0"/>
                <w:numId w:val="19"/>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39148BD1">
            <w:pPr>
              <w:keepNext w:val="0"/>
              <w:keepLines w:val="0"/>
              <w:suppressLineNumbers w:val="0"/>
              <w:spacing w:before="0" w:beforeAutospacing="0" w:after="0" w:afterAutospacing="0" w:line="300" w:lineRule="exact"/>
              <w:ind w:left="0" w:right="0"/>
              <w:rPr>
                <w:rFonts w:ascii="仿宋" w:hAnsi="仿宋" w:eastAsia="仿宋"/>
                <w:szCs w:val="21"/>
              </w:rPr>
            </w:pPr>
            <w:r>
              <w:rPr>
                <w:rFonts w:hint="eastAsia" w:ascii="宋体" w:hAnsi="宋体" w:cs="宋体"/>
                <w:szCs w:val="21"/>
              </w:rPr>
              <w:t>危险区域设置安全警示标识；游乐、健身设施安全提示标识明显清晰。安全警示标识有残缺、字迹不清晰、文字和图形不规范，每发现一处扣0.3分。</w:t>
            </w:r>
          </w:p>
        </w:tc>
      </w:tr>
      <w:tr w14:paraId="30162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trPr>
        <w:tc>
          <w:tcPr>
            <w:tcW w:w="469" w:type="dxa"/>
            <w:tcBorders>
              <w:top w:val="single" w:color="auto" w:sz="4" w:space="0"/>
              <w:left w:val="single" w:color="auto" w:sz="4" w:space="0"/>
              <w:bottom w:val="single" w:color="auto" w:sz="4" w:space="0"/>
              <w:right w:val="single" w:color="auto" w:sz="4" w:space="0"/>
            </w:tcBorders>
            <w:vAlign w:val="center"/>
          </w:tcPr>
          <w:p w14:paraId="3807A20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5</w:t>
            </w:r>
          </w:p>
        </w:tc>
        <w:tc>
          <w:tcPr>
            <w:tcW w:w="8795" w:type="dxa"/>
            <w:tcBorders>
              <w:top w:val="single" w:color="auto" w:sz="4" w:space="0"/>
              <w:left w:val="single" w:color="auto" w:sz="4" w:space="0"/>
              <w:bottom w:val="single" w:color="auto" w:sz="4" w:space="0"/>
              <w:right w:val="single" w:color="auto" w:sz="4" w:space="0"/>
            </w:tcBorders>
            <w:vAlign w:val="center"/>
          </w:tcPr>
          <w:p w14:paraId="17DEEF8F">
            <w:pPr>
              <w:keepNext w:val="0"/>
              <w:keepLines w:val="0"/>
              <w:suppressLineNumbers w:val="0"/>
              <w:spacing w:before="0" w:beforeAutospacing="0" w:after="0" w:afterAutospacing="0" w:line="320" w:lineRule="exact"/>
              <w:ind w:left="0" w:right="0"/>
              <w:rPr>
                <w:rFonts w:ascii="宋体" w:hAnsi="宋体" w:cs="宋体"/>
                <w:szCs w:val="21"/>
              </w:rPr>
            </w:pPr>
            <w:r>
              <w:rPr>
                <w:rFonts w:hint="eastAsia" w:ascii="宋体" w:hAnsi="宋体" w:cs="宋体"/>
                <w:szCs w:val="21"/>
              </w:rPr>
              <w:t>冬季清雪</w:t>
            </w:r>
          </w:p>
          <w:p w14:paraId="5E9909B4">
            <w:pPr>
              <w:keepNext w:val="0"/>
              <w:keepLines w:val="0"/>
              <w:suppressLineNumbers w:val="0"/>
              <w:spacing w:before="0" w:beforeAutospacing="0" w:after="0" w:afterAutospacing="0"/>
              <w:ind w:left="0" w:right="0"/>
              <w:rPr>
                <w:rFonts w:ascii="宋体" w:hAnsi="宋体" w:cs="宋体"/>
                <w:szCs w:val="21"/>
              </w:rPr>
            </w:pPr>
          </w:p>
        </w:tc>
      </w:tr>
      <w:tr w14:paraId="3C1AA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469" w:type="dxa"/>
            <w:tcBorders>
              <w:top w:val="single" w:color="auto" w:sz="4" w:space="0"/>
              <w:left w:val="single" w:color="auto" w:sz="4" w:space="0"/>
              <w:bottom w:val="single" w:color="auto" w:sz="4" w:space="0"/>
              <w:right w:val="single" w:color="auto" w:sz="4" w:space="0"/>
            </w:tcBorders>
            <w:vAlign w:val="center"/>
          </w:tcPr>
          <w:p w14:paraId="5CD16867">
            <w:pPr>
              <w:pStyle w:val="66"/>
              <w:keepNext w:val="0"/>
              <w:keepLines w:val="0"/>
              <w:numPr>
                <w:ilvl w:val="0"/>
                <w:numId w:val="20"/>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689F2350">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公园内主要园路、公园出入口、主要景点及其他游客密集区域应及时清雪。每发现一处不合格扣0.2分</w:t>
            </w:r>
          </w:p>
        </w:tc>
      </w:tr>
      <w:tr w14:paraId="40CDB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469" w:type="dxa"/>
            <w:tcBorders>
              <w:top w:val="single" w:color="auto" w:sz="4" w:space="0"/>
              <w:left w:val="single" w:color="auto" w:sz="4" w:space="0"/>
              <w:bottom w:val="single" w:color="auto" w:sz="4" w:space="0"/>
              <w:right w:val="single" w:color="auto" w:sz="4" w:space="0"/>
            </w:tcBorders>
            <w:vAlign w:val="center"/>
          </w:tcPr>
          <w:p w14:paraId="64FE8358">
            <w:pPr>
              <w:pStyle w:val="66"/>
              <w:keepNext w:val="0"/>
              <w:keepLines w:val="0"/>
              <w:numPr>
                <w:ilvl w:val="0"/>
                <w:numId w:val="20"/>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1301A2C2">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清雪区域应做到干净、整洁，不危及游客安全，所清的积雪应堆放整齐，不影响公园景观。积雪清理不干净，积雪堆放不整齐，每发现一处0.2分。</w:t>
            </w:r>
          </w:p>
        </w:tc>
      </w:tr>
      <w:tr w14:paraId="6211C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469" w:type="dxa"/>
            <w:tcBorders>
              <w:top w:val="single" w:color="auto" w:sz="4" w:space="0"/>
              <w:left w:val="single" w:color="auto" w:sz="4" w:space="0"/>
              <w:bottom w:val="single" w:color="auto" w:sz="4" w:space="0"/>
              <w:right w:val="single" w:color="auto" w:sz="4" w:space="0"/>
            </w:tcBorders>
            <w:vAlign w:val="center"/>
          </w:tcPr>
          <w:p w14:paraId="2E6C638F">
            <w:pPr>
              <w:pStyle w:val="66"/>
              <w:keepNext w:val="0"/>
              <w:keepLines w:val="0"/>
              <w:numPr>
                <w:ilvl w:val="0"/>
                <w:numId w:val="20"/>
              </w:numPr>
              <w:suppressLineNumbers w:val="0"/>
              <w:spacing w:before="0" w:beforeAutospacing="0" w:after="0" w:afterAutospacing="0"/>
              <w:ind w:right="0" w:firstLineChars="0"/>
              <w:rPr>
                <w:rFonts w:ascii="宋体" w:hAnsi="宋体" w:cs="宋体"/>
                <w:szCs w:val="21"/>
              </w:rPr>
            </w:pPr>
          </w:p>
        </w:tc>
        <w:tc>
          <w:tcPr>
            <w:tcW w:w="8795" w:type="dxa"/>
            <w:tcBorders>
              <w:top w:val="single" w:color="auto" w:sz="4" w:space="0"/>
              <w:left w:val="single" w:color="auto" w:sz="4" w:space="0"/>
              <w:bottom w:val="single" w:color="auto" w:sz="4" w:space="0"/>
              <w:right w:val="single" w:color="auto" w:sz="4" w:space="0"/>
            </w:tcBorders>
            <w:vAlign w:val="center"/>
          </w:tcPr>
          <w:p w14:paraId="0F343CEB">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公园应做到小雪当日清，中雪三日清，暴雪五日清。未按时限完成清雪的，扣1-3分</w:t>
            </w:r>
          </w:p>
        </w:tc>
      </w:tr>
      <w:tr w14:paraId="17C9C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469" w:type="dxa"/>
            <w:tcBorders>
              <w:top w:val="single" w:color="auto" w:sz="4" w:space="0"/>
              <w:left w:val="single" w:color="auto" w:sz="4" w:space="0"/>
              <w:bottom w:val="single" w:color="auto" w:sz="4" w:space="0"/>
              <w:right w:val="single" w:color="auto" w:sz="4" w:space="0"/>
            </w:tcBorders>
            <w:vAlign w:val="center"/>
          </w:tcPr>
          <w:p w14:paraId="5E0AA435">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6</w:t>
            </w:r>
          </w:p>
        </w:tc>
        <w:tc>
          <w:tcPr>
            <w:tcW w:w="8795" w:type="dxa"/>
            <w:tcBorders>
              <w:top w:val="single" w:color="auto" w:sz="4" w:space="0"/>
              <w:left w:val="single" w:color="auto" w:sz="4" w:space="0"/>
              <w:bottom w:val="single" w:color="auto" w:sz="4" w:space="0"/>
              <w:right w:val="single" w:color="auto" w:sz="4" w:space="0"/>
            </w:tcBorders>
            <w:vAlign w:val="center"/>
          </w:tcPr>
          <w:p w14:paraId="594A707A">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加扣分事项</w:t>
            </w:r>
          </w:p>
        </w:tc>
      </w:tr>
      <w:tr w14:paraId="7C084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469" w:type="dxa"/>
          </w:tcPr>
          <w:p w14:paraId="3425E55A">
            <w:pPr>
              <w:pStyle w:val="66"/>
              <w:keepNext w:val="0"/>
              <w:keepLines w:val="0"/>
              <w:numPr>
                <w:ilvl w:val="0"/>
                <w:numId w:val="21"/>
              </w:numPr>
              <w:suppressLineNumbers w:val="0"/>
              <w:spacing w:before="0" w:beforeAutospacing="0" w:after="0" w:afterAutospacing="0"/>
              <w:ind w:right="0" w:firstLineChars="0"/>
            </w:pPr>
          </w:p>
        </w:tc>
        <w:tc>
          <w:tcPr>
            <w:tcW w:w="8795" w:type="dxa"/>
          </w:tcPr>
          <w:p w14:paraId="2CDC861D">
            <w:pPr>
              <w:keepNext w:val="0"/>
              <w:keepLines w:val="0"/>
              <w:numPr>
                <w:ilvl w:val="0"/>
                <w:numId w:val="22"/>
              </w:numPr>
              <w:suppressLineNumbers w:val="0"/>
              <w:spacing w:before="0" w:beforeAutospacing="0" w:after="0" w:afterAutospacing="0" w:line="320" w:lineRule="exact"/>
              <w:ind w:right="0"/>
              <w:jc w:val="left"/>
              <w:rPr>
                <w:rFonts w:ascii="宋体" w:hAnsi="宋体" w:cs="宋体"/>
                <w:szCs w:val="21"/>
              </w:rPr>
            </w:pPr>
            <w:r>
              <w:rPr>
                <w:rFonts w:hint="eastAsia" w:ascii="宋体" w:hAnsi="宋体" w:cs="宋体"/>
                <w:szCs w:val="21"/>
              </w:rPr>
              <w:t>各公园充分结合自身特点，挖掘公园文化内涵，培育公园文化氛围，开展公园主题文化活动成绩突出的，给予加1-5分。</w:t>
            </w:r>
          </w:p>
          <w:p w14:paraId="2311C6E7">
            <w:pPr>
              <w:keepNext w:val="0"/>
              <w:keepLines w:val="0"/>
              <w:suppressLineNumbers w:val="0"/>
              <w:spacing w:before="0" w:beforeAutospacing="0" w:after="0" w:afterAutospacing="0"/>
              <w:ind w:left="0" w:right="0"/>
              <w:rPr>
                <w:rFonts w:ascii="宋体" w:hAnsi="宋体" w:cs="宋体"/>
                <w:szCs w:val="21"/>
              </w:rPr>
            </w:pPr>
          </w:p>
        </w:tc>
      </w:tr>
      <w:tr w14:paraId="1D64B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469" w:type="dxa"/>
          </w:tcPr>
          <w:p w14:paraId="639FF56C">
            <w:pPr>
              <w:pStyle w:val="66"/>
              <w:keepNext w:val="0"/>
              <w:keepLines w:val="0"/>
              <w:numPr>
                <w:ilvl w:val="0"/>
                <w:numId w:val="21"/>
              </w:numPr>
              <w:suppressLineNumbers w:val="0"/>
              <w:spacing w:before="0" w:beforeAutospacing="0" w:after="0" w:afterAutospacing="0"/>
              <w:ind w:right="0" w:firstLineChars="0"/>
            </w:pPr>
          </w:p>
        </w:tc>
        <w:tc>
          <w:tcPr>
            <w:tcW w:w="8795" w:type="dxa"/>
          </w:tcPr>
          <w:p w14:paraId="0A97189D">
            <w:pPr>
              <w:keepNext w:val="0"/>
              <w:keepLines w:val="0"/>
              <w:numPr>
                <w:ilvl w:val="0"/>
                <w:numId w:val="22"/>
              </w:numPr>
              <w:suppressLineNumbers w:val="0"/>
              <w:spacing w:before="0" w:beforeAutospacing="0" w:after="0" w:afterAutospacing="0" w:line="320" w:lineRule="exact"/>
              <w:ind w:right="0"/>
              <w:jc w:val="left"/>
              <w:rPr>
                <w:rFonts w:ascii="宋体" w:hAnsi="宋体" w:cs="宋体"/>
                <w:szCs w:val="21"/>
              </w:rPr>
            </w:pPr>
            <w:r>
              <w:rPr>
                <w:rFonts w:hint="eastAsia" w:ascii="宋体" w:hAnsi="宋体" w:cs="宋体"/>
                <w:szCs w:val="21"/>
              </w:rPr>
              <w:t>各公园因成绩突出，受市主要领导签批表彰，省市主流媒体宣传报道的，给予加1-5分。</w:t>
            </w:r>
          </w:p>
          <w:p w14:paraId="6197F37C">
            <w:pPr>
              <w:keepNext w:val="0"/>
              <w:keepLines w:val="0"/>
              <w:suppressLineNumbers w:val="0"/>
              <w:spacing w:before="0" w:beforeAutospacing="0" w:after="0" w:afterAutospacing="0"/>
              <w:ind w:left="0" w:right="0"/>
              <w:rPr>
                <w:rFonts w:ascii="宋体" w:hAnsi="宋体" w:cs="宋体"/>
                <w:szCs w:val="21"/>
              </w:rPr>
            </w:pPr>
          </w:p>
        </w:tc>
      </w:tr>
      <w:tr w14:paraId="1FFEF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69" w:type="dxa"/>
          </w:tcPr>
          <w:p w14:paraId="3C7D0D4F">
            <w:pPr>
              <w:pStyle w:val="66"/>
              <w:keepNext w:val="0"/>
              <w:keepLines w:val="0"/>
              <w:numPr>
                <w:ilvl w:val="0"/>
                <w:numId w:val="21"/>
              </w:numPr>
              <w:suppressLineNumbers w:val="0"/>
              <w:spacing w:before="0" w:beforeAutospacing="0" w:after="0" w:afterAutospacing="0"/>
              <w:ind w:right="0" w:firstLineChars="0"/>
            </w:pPr>
          </w:p>
        </w:tc>
        <w:tc>
          <w:tcPr>
            <w:tcW w:w="8795" w:type="dxa"/>
          </w:tcPr>
          <w:p w14:paraId="247462CC">
            <w:pPr>
              <w:keepNext w:val="0"/>
              <w:keepLines w:val="0"/>
              <w:suppressLineNumbers w:val="0"/>
              <w:spacing w:before="0" w:beforeAutospacing="0" w:after="0" w:afterAutospacing="0"/>
              <w:ind w:left="0" w:right="0"/>
              <w:rPr>
                <w:rFonts w:ascii="宋体" w:hAnsi="宋体" w:cs="宋体"/>
                <w:szCs w:val="21"/>
              </w:rPr>
            </w:pPr>
            <w:r>
              <w:rPr>
                <w:rFonts w:hint="eastAsia" w:ascii="宋体" w:hAnsi="宋体" w:cs="宋体"/>
                <w:szCs w:val="21"/>
              </w:rPr>
              <w:t>各公园因重大失误、重大事故、重要事项，受市主要领导签批，省市主流媒体曝光，12345市长公开电话举报批评，经核实，扣1-5分</w:t>
            </w:r>
          </w:p>
        </w:tc>
      </w:tr>
    </w:tbl>
    <w:p w14:paraId="125B1212">
      <w:pPr>
        <w:rPr>
          <w:rFonts w:ascii="宋体" w:hAnsi="宋体" w:cs="宋体"/>
          <w:szCs w:val="21"/>
        </w:rPr>
      </w:pPr>
      <w:r>
        <w:rPr>
          <w:rFonts w:hint="eastAsia" w:ascii="宋体" w:hAnsi="宋体" w:cs="宋体"/>
          <w:szCs w:val="21"/>
        </w:rPr>
        <w:t>注:每1分代表1000元.</w:t>
      </w:r>
    </w:p>
    <w:p w14:paraId="4AD0E90C">
      <w:pPr>
        <w:rPr>
          <w:rFonts w:cs="宋体"/>
          <w:szCs w:val="21"/>
        </w:rPr>
      </w:pPr>
    </w:p>
    <w:p w14:paraId="5AFBAF68">
      <w:pPr>
        <w:rPr>
          <w:rFonts w:hint="eastAsia" w:ascii="仿宋" w:hAnsi="仿宋" w:eastAsia="仿宋" w:cs="仿宋"/>
          <w:sz w:val="22"/>
          <w:szCs w:val="28"/>
        </w:rPr>
      </w:pPr>
    </w:p>
    <w:p w14:paraId="770D81D5">
      <w:pPr>
        <w:rPr>
          <w:rFonts w:hint="eastAsia" w:ascii="宋体" w:hAnsi="宋体" w:eastAsia="宋体" w:cs="宋体"/>
          <w:b/>
          <w:bCs/>
          <w:sz w:val="36"/>
          <w:szCs w:val="22"/>
          <w:highlight w:val="none"/>
        </w:rPr>
      </w:pPr>
      <w:r>
        <w:rPr>
          <w:rFonts w:hint="eastAsia" w:ascii="宋体" w:hAnsi="宋体" w:cs="宋体"/>
          <w:b/>
          <w:bCs/>
          <w:sz w:val="36"/>
          <w:szCs w:val="22"/>
          <w:highlight w:val="none"/>
          <w:lang w:val="en-US" w:eastAsia="zh-CN"/>
        </w:rPr>
        <w:t>工程量清单详见附件。</w:t>
      </w:r>
      <w:r>
        <w:rPr>
          <w:rFonts w:hint="eastAsia" w:ascii="宋体" w:hAnsi="宋体" w:eastAsia="宋体" w:cs="宋体"/>
          <w:b/>
          <w:bCs/>
          <w:sz w:val="36"/>
          <w:szCs w:val="22"/>
          <w:highlight w:val="none"/>
        </w:rPr>
        <w:br w:type="page"/>
      </w:r>
    </w:p>
    <w:p w14:paraId="17C0F79B">
      <w:pPr>
        <w:pStyle w:val="73"/>
        <w:rPr>
          <w:rFonts w:hint="eastAsia" w:eastAsia="宋体"/>
          <w:b/>
          <w:sz w:val="32"/>
          <w:szCs w:val="32"/>
          <w:highlight w:val="none"/>
        </w:rPr>
      </w:pPr>
    </w:p>
    <w:p w14:paraId="4821CC5B">
      <w:pPr>
        <w:pStyle w:val="73"/>
        <w:rPr>
          <w:rFonts w:hint="eastAsia" w:eastAsia="宋体"/>
          <w:b/>
          <w:sz w:val="32"/>
          <w:szCs w:val="32"/>
          <w:highlight w:val="none"/>
        </w:rPr>
      </w:pPr>
    </w:p>
    <w:p w14:paraId="79B92649">
      <w:pPr>
        <w:pStyle w:val="2"/>
        <w:bidi w:val="0"/>
        <w:rPr>
          <w:rFonts w:hint="eastAsia"/>
          <w:sz w:val="44"/>
          <w:szCs w:val="16"/>
          <w:highlight w:val="none"/>
        </w:rPr>
      </w:pPr>
      <w:bookmarkStart w:id="64" w:name="_Toc25373"/>
      <w:r>
        <w:rPr>
          <w:rFonts w:hint="eastAsia"/>
          <w:sz w:val="44"/>
          <w:szCs w:val="16"/>
          <w:highlight w:val="none"/>
        </w:rPr>
        <w:t>第六章 投标文件格式</w:t>
      </w:r>
      <w:bookmarkEnd w:id="63"/>
      <w:bookmarkEnd w:id="64"/>
    </w:p>
    <w:p w14:paraId="7E906306">
      <w:pPr>
        <w:pStyle w:val="2"/>
        <w:bidi w:val="0"/>
        <w:rPr>
          <w:rFonts w:hint="eastAsia"/>
          <w:highlight w:val="none"/>
        </w:rPr>
      </w:pPr>
    </w:p>
    <w:p w14:paraId="5D01A22A">
      <w:pPr>
        <w:spacing w:line="360" w:lineRule="auto"/>
        <w:jc w:val="center"/>
        <w:rPr>
          <w:rFonts w:hint="eastAsia" w:ascii="宋体" w:hAnsi="宋体" w:cs="宋体"/>
          <w:color w:val="000000"/>
          <w:highlight w:val="none"/>
        </w:rPr>
      </w:pPr>
    </w:p>
    <w:p w14:paraId="0A69EBE8">
      <w:pPr>
        <w:spacing w:line="360" w:lineRule="auto"/>
        <w:jc w:val="center"/>
        <w:rPr>
          <w:rFonts w:hint="eastAsia" w:ascii="宋体" w:hAnsi="宋体" w:cs="宋体"/>
          <w:b/>
          <w:bCs/>
          <w:color w:val="000000"/>
          <w:sz w:val="30"/>
          <w:szCs w:val="30"/>
          <w:highlight w:val="none"/>
          <w:u w:val="single"/>
        </w:rPr>
      </w:pPr>
      <w:r>
        <w:rPr>
          <w:rFonts w:hint="eastAsia" w:ascii="宋体" w:hAnsi="宋体" w:cs="宋体"/>
          <w:b/>
          <w:bCs/>
          <w:color w:val="000000"/>
          <w:sz w:val="30"/>
          <w:szCs w:val="30"/>
          <w:highlight w:val="none"/>
          <w:u w:val="single"/>
          <w:lang w:val="zh-CN"/>
        </w:rPr>
        <w:t>（项目名称）</w:t>
      </w:r>
    </w:p>
    <w:p w14:paraId="6297A271">
      <w:pPr>
        <w:pStyle w:val="5"/>
        <w:tabs>
          <w:tab w:val="clear" w:pos="720"/>
        </w:tabs>
        <w:autoSpaceDE w:val="0"/>
        <w:autoSpaceDN w:val="0"/>
        <w:adjustRightInd w:val="0"/>
        <w:rPr>
          <w:rFonts w:hint="eastAsia" w:ascii="宋体" w:hAnsi="宋体" w:cs="宋体"/>
          <w:color w:val="000000"/>
          <w:highlight w:val="none"/>
        </w:rPr>
      </w:pPr>
    </w:p>
    <w:p w14:paraId="38193936">
      <w:pPr>
        <w:autoSpaceDE w:val="0"/>
        <w:autoSpaceDN w:val="0"/>
        <w:adjustRightInd w:val="0"/>
        <w:ind w:firstLine="1120" w:firstLineChars="400"/>
        <w:jc w:val="left"/>
        <w:rPr>
          <w:rFonts w:hint="eastAsia" w:ascii="宋体" w:hAnsi="宋体" w:cs="宋体"/>
          <w:color w:val="000000"/>
          <w:kern w:val="0"/>
          <w:sz w:val="28"/>
          <w:szCs w:val="28"/>
          <w:highlight w:val="none"/>
          <w:u w:val="single"/>
        </w:rPr>
      </w:pPr>
    </w:p>
    <w:p w14:paraId="2832B5C0">
      <w:pPr>
        <w:wordWrap w:val="0"/>
        <w:overflowPunct/>
        <w:bidi w:val="0"/>
        <w:spacing w:line="360" w:lineRule="auto"/>
        <w:ind w:firstLine="1400" w:firstLineChars="500"/>
        <w:rPr>
          <w:rFonts w:hint="eastAsia" w:ascii="宋体" w:hAnsi="宋体" w:eastAsia="宋体" w:cs="宋体"/>
          <w:sz w:val="20"/>
          <w:highlight w:val="none"/>
          <w:lang w:eastAsia="zh-CN"/>
        </w:rPr>
      </w:pP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项目名称</w:t>
      </w:r>
      <w:r>
        <w:rPr>
          <w:rFonts w:hint="eastAsia" w:ascii="宋体" w:hAnsi="宋体" w:eastAsia="宋体" w:cs="宋体"/>
          <w:sz w:val="28"/>
          <w:szCs w:val="28"/>
          <w:highlight w:val="none"/>
          <w:lang w:eastAsia="zh-CN"/>
        </w:rPr>
        <w:t>)</w:t>
      </w:r>
    </w:p>
    <w:p w14:paraId="15FB7D67">
      <w:pPr>
        <w:wordWrap w:val="0"/>
        <w:overflowPunct/>
        <w:bidi w:val="0"/>
        <w:spacing w:line="360" w:lineRule="auto"/>
        <w:jc w:val="both"/>
        <w:rPr>
          <w:rFonts w:hint="eastAsia" w:ascii="宋体" w:hAnsi="宋体" w:eastAsia="宋体" w:cs="宋体"/>
          <w:sz w:val="72"/>
          <w:szCs w:val="72"/>
          <w:highlight w:val="none"/>
        </w:rPr>
      </w:pPr>
    </w:p>
    <w:p w14:paraId="64207527">
      <w:pPr>
        <w:wordWrap w:val="0"/>
        <w:overflowPunct/>
        <w:bidi w:val="0"/>
        <w:spacing w:line="360" w:lineRule="auto"/>
        <w:jc w:val="center"/>
        <w:rPr>
          <w:rFonts w:hint="eastAsia" w:ascii="宋体" w:hAnsi="宋体" w:eastAsia="宋体" w:cs="宋体"/>
          <w:sz w:val="72"/>
          <w:szCs w:val="72"/>
          <w:highlight w:val="none"/>
          <w:lang w:eastAsia="zh-CN"/>
        </w:rPr>
      </w:pPr>
      <w:r>
        <w:rPr>
          <w:rFonts w:hint="eastAsia" w:ascii="宋体" w:hAnsi="宋体" w:eastAsia="宋体" w:cs="宋体"/>
          <w:sz w:val="72"/>
          <w:szCs w:val="72"/>
          <w:highlight w:val="none"/>
          <w:lang w:eastAsia="zh-CN"/>
        </w:rPr>
        <w:t>投标文件</w:t>
      </w:r>
    </w:p>
    <w:p w14:paraId="240131AD">
      <w:pPr>
        <w:wordWrap w:val="0"/>
        <w:overflowPunct/>
        <w:bidi w:val="0"/>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项目编号：</w:t>
      </w:r>
    </w:p>
    <w:p w14:paraId="0E92E09C">
      <w:pPr>
        <w:wordWrap w:val="0"/>
        <w:overflowPunct/>
        <w:bidi w:val="0"/>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p>
    <w:p w14:paraId="4F2A45C5">
      <w:pPr>
        <w:wordWrap w:val="0"/>
        <w:overflowPunct/>
        <w:bidi w:val="0"/>
        <w:spacing w:line="360" w:lineRule="auto"/>
        <w:rPr>
          <w:rFonts w:hint="eastAsia" w:ascii="宋体" w:hAnsi="宋体" w:eastAsia="宋体" w:cs="宋体"/>
          <w:sz w:val="28"/>
          <w:szCs w:val="28"/>
          <w:highlight w:val="none"/>
        </w:rPr>
      </w:pPr>
    </w:p>
    <w:p w14:paraId="1407C1CC">
      <w:pPr>
        <w:wordWrap w:val="0"/>
        <w:overflowPunct/>
        <w:bidi w:val="0"/>
        <w:spacing w:line="360" w:lineRule="auto"/>
        <w:rPr>
          <w:rFonts w:hint="eastAsia" w:ascii="宋体" w:hAnsi="宋体" w:eastAsia="宋体" w:cs="宋体"/>
          <w:sz w:val="28"/>
          <w:szCs w:val="28"/>
          <w:highlight w:val="none"/>
        </w:rPr>
      </w:pPr>
    </w:p>
    <w:p w14:paraId="7F981690">
      <w:pPr>
        <w:wordWrap w:val="0"/>
        <w:overflowPunct/>
        <w:bidi w:val="0"/>
        <w:spacing w:line="360" w:lineRule="auto"/>
        <w:rPr>
          <w:rFonts w:hint="eastAsia" w:ascii="宋体" w:hAnsi="宋体" w:eastAsia="宋体" w:cs="宋体"/>
          <w:sz w:val="28"/>
          <w:szCs w:val="28"/>
          <w:highlight w:val="none"/>
        </w:rPr>
      </w:pPr>
    </w:p>
    <w:p w14:paraId="5017D9B0">
      <w:pPr>
        <w:wordWrap w:val="0"/>
        <w:overflowPunct/>
        <w:bidi w:val="0"/>
        <w:spacing w:line="360" w:lineRule="auto"/>
        <w:jc w:val="center"/>
        <w:rPr>
          <w:rFonts w:hint="eastAsia" w:ascii="宋体" w:hAnsi="宋体" w:eastAsia="宋体" w:cs="宋体"/>
          <w:sz w:val="28"/>
          <w:szCs w:val="28"/>
          <w:highlight w:val="none"/>
          <w:u w:val="single"/>
          <w:lang w:eastAsia="zh-CN"/>
        </w:rPr>
      </w:pPr>
      <w:r>
        <w:rPr>
          <w:rFonts w:hint="eastAsia" w:ascii="宋体" w:hAnsi="宋体" w:eastAsia="宋体" w:cs="宋体"/>
          <w:sz w:val="28"/>
          <w:szCs w:val="28"/>
          <w:highlight w:val="none"/>
        </w:rPr>
        <w:t xml:space="preserve"> 供应商</w:t>
      </w:r>
      <w:r>
        <w:rPr>
          <w:rFonts w:hint="eastAsia" w:ascii="宋体" w:hAnsi="宋体" w:eastAsia="宋体" w:cs="宋体"/>
          <w:sz w:val="28"/>
          <w:szCs w:val="28"/>
          <w:highlight w:val="none"/>
          <w:lang w:val="en-US" w:eastAsia="zh-CN"/>
        </w:rPr>
        <w:t>(单位全称)</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盖单位章</w:t>
      </w:r>
      <w:r>
        <w:rPr>
          <w:rFonts w:hint="eastAsia" w:ascii="宋体" w:hAnsi="宋体" w:eastAsia="宋体" w:cs="宋体"/>
          <w:sz w:val="28"/>
          <w:szCs w:val="28"/>
          <w:highlight w:val="none"/>
          <w:lang w:eastAsia="zh-CN"/>
        </w:rPr>
        <w:t>)</w:t>
      </w:r>
    </w:p>
    <w:p w14:paraId="113DF165">
      <w:pPr>
        <w:wordWrap w:val="0"/>
        <w:overflowPunct/>
        <w:bidi w:val="0"/>
        <w:spacing w:line="360" w:lineRule="auto"/>
        <w:jc w:val="left"/>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法定代表人或其委托代理人：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签字</w:t>
      </w:r>
      <w:r>
        <w:rPr>
          <w:rFonts w:hint="eastAsia" w:ascii="宋体" w:hAnsi="宋体" w:eastAsia="宋体" w:cs="宋体"/>
          <w:sz w:val="28"/>
          <w:szCs w:val="28"/>
          <w:highlight w:val="none"/>
          <w:lang w:eastAsia="zh-CN"/>
        </w:rPr>
        <w:t>)</w:t>
      </w:r>
    </w:p>
    <w:p w14:paraId="3451F318">
      <w:pPr>
        <w:wordWrap w:val="0"/>
        <w:overflowPunct/>
        <w:bidi w:val="0"/>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14:paraId="7D842FB2">
      <w:pPr>
        <w:wordWrap w:val="0"/>
        <w:overflowPunct/>
        <w:autoSpaceDE w:val="0"/>
        <w:autoSpaceDN w:val="0"/>
        <w:bidi w:val="0"/>
        <w:adjustRightInd w:val="0"/>
        <w:spacing w:line="360" w:lineRule="auto"/>
        <w:jc w:val="center"/>
        <w:rPr>
          <w:rFonts w:hint="eastAsia" w:ascii="宋体" w:hAnsi="宋体" w:eastAsia="宋体" w:cs="宋体"/>
          <w:sz w:val="44"/>
          <w:szCs w:val="44"/>
          <w:highlight w:val="none"/>
          <w:lang w:val="zh-CN"/>
        </w:rPr>
      </w:pPr>
    </w:p>
    <w:p w14:paraId="76691E18">
      <w:pPr>
        <w:wordWrap w:val="0"/>
        <w:overflowPunct/>
        <w:autoSpaceDE w:val="0"/>
        <w:autoSpaceDN w:val="0"/>
        <w:bidi w:val="0"/>
        <w:adjustRightInd w:val="0"/>
        <w:spacing w:line="360" w:lineRule="auto"/>
        <w:jc w:val="center"/>
        <w:rPr>
          <w:rFonts w:hint="eastAsia" w:ascii="宋体" w:hAnsi="宋体" w:eastAsia="宋体" w:cs="宋体"/>
          <w:sz w:val="44"/>
          <w:szCs w:val="44"/>
          <w:highlight w:val="none"/>
          <w:lang w:val="zh-CN"/>
        </w:rPr>
      </w:pPr>
    </w:p>
    <w:p w14:paraId="1101DE2F">
      <w:pPr>
        <w:wordWrap w:val="0"/>
        <w:overflowPunct/>
        <w:autoSpaceDE w:val="0"/>
        <w:autoSpaceDN w:val="0"/>
        <w:bidi w:val="0"/>
        <w:adjustRightInd w:val="0"/>
        <w:spacing w:line="360" w:lineRule="auto"/>
        <w:jc w:val="center"/>
        <w:rPr>
          <w:rFonts w:hint="eastAsia" w:ascii="宋体" w:hAnsi="宋体" w:eastAsia="宋体" w:cs="宋体"/>
          <w:sz w:val="44"/>
          <w:szCs w:val="44"/>
          <w:highlight w:val="none"/>
          <w:lang w:val="zh-CN"/>
        </w:rPr>
      </w:pPr>
    </w:p>
    <w:p w14:paraId="08F62E96">
      <w:pPr>
        <w:autoSpaceDE w:val="0"/>
        <w:autoSpaceDN w:val="0"/>
        <w:adjustRightInd w:val="0"/>
        <w:spacing w:line="360" w:lineRule="auto"/>
        <w:jc w:val="center"/>
        <w:rPr>
          <w:rFonts w:hint="eastAsia" w:ascii="宋体" w:hAnsi="宋体" w:cs="宋体"/>
          <w:b/>
          <w:bCs/>
          <w:color w:val="000000"/>
          <w:sz w:val="28"/>
          <w:szCs w:val="28"/>
          <w:highlight w:val="none"/>
          <w:lang w:val="zh-CN"/>
        </w:rPr>
      </w:pPr>
      <w:r>
        <w:rPr>
          <w:rFonts w:hint="eastAsia" w:ascii="宋体" w:hAnsi="宋体" w:cs="宋体"/>
          <w:b/>
          <w:bCs/>
          <w:color w:val="000000"/>
          <w:sz w:val="28"/>
          <w:szCs w:val="28"/>
          <w:highlight w:val="none"/>
          <w:lang w:val="zh-CN"/>
        </w:rPr>
        <w:t>目  录</w:t>
      </w:r>
    </w:p>
    <w:p w14:paraId="618C71E5">
      <w:pPr>
        <w:autoSpaceDE w:val="0"/>
        <w:autoSpaceDN w:val="0"/>
        <w:adjustRightInd w:val="0"/>
        <w:jc w:val="center"/>
        <w:rPr>
          <w:rFonts w:hint="eastAsia" w:ascii="宋体" w:hAnsi="宋体" w:cs="宋体"/>
          <w:bCs/>
          <w:color w:val="000000"/>
          <w:sz w:val="24"/>
          <w:highlight w:val="none"/>
          <w:lang w:val="zh-CN"/>
        </w:rPr>
      </w:pPr>
    </w:p>
    <w:p w14:paraId="4CF15B30">
      <w:pPr>
        <w:autoSpaceDE w:val="0"/>
        <w:autoSpaceDN w:val="0"/>
        <w:adjustRightInd w:val="0"/>
        <w:spacing w:line="360" w:lineRule="auto"/>
        <w:jc w:val="left"/>
        <w:rPr>
          <w:rFonts w:hint="eastAsia" w:ascii="宋体" w:hAnsi="宋体" w:cs="宋体"/>
          <w:b/>
          <w:color w:val="000000"/>
          <w:szCs w:val="21"/>
          <w:highlight w:val="none"/>
          <w:lang w:val="zh-CN"/>
        </w:rPr>
      </w:pPr>
      <w:r>
        <w:rPr>
          <w:rFonts w:hint="eastAsia" w:ascii="宋体" w:hAnsi="宋体" w:cs="宋体"/>
          <w:b/>
          <w:color w:val="000000"/>
          <w:szCs w:val="21"/>
          <w:highlight w:val="none"/>
          <w:lang w:val="zh-CN"/>
        </w:rPr>
        <w:t>第一部分、商务文件</w:t>
      </w:r>
    </w:p>
    <w:p w14:paraId="07832A11">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一、投标函</w:t>
      </w:r>
    </w:p>
    <w:p w14:paraId="2DC95F4E">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二、法定代表人身份证明及法定代表人授权书</w:t>
      </w:r>
      <w:r>
        <w:rPr>
          <w:rFonts w:hint="eastAsia" w:ascii="宋体" w:hAnsi="宋体" w:cs="宋体"/>
          <w:bCs/>
          <w:color w:val="000000"/>
          <w:szCs w:val="21"/>
          <w:highlight w:val="none"/>
        </w:rPr>
        <w:t xml:space="preserve"> </w:t>
      </w:r>
    </w:p>
    <w:p w14:paraId="4CEB528A">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三、开标一览表</w:t>
      </w:r>
    </w:p>
    <w:p w14:paraId="041FB05F">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四、偏离表</w:t>
      </w:r>
    </w:p>
    <w:p w14:paraId="4A7E9CFC">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五、投标人基本情况</w:t>
      </w:r>
    </w:p>
    <w:p w14:paraId="4DF393E0">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六、投标保证金</w:t>
      </w:r>
    </w:p>
    <w:p w14:paraId="4E7056E2">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七、投标人资格声明</w:t>
      </w:r>
    </w:p>
    <w:p w14:paraId="44AF3804">
      <w:pPr>
        <w:autoSpaceDE w:val="0"/>
        <w:autoSpaceDN w:val="0"/>
        <w:adjustRightInd w:val="0"/>
        <w:spacing w:line="360" w:lineRule="auto"/>
        <w:rPr>
          <w:rFonts w:hint="eastAsia" w:ascii="宋体" w:hAnsi="宋体" w:cs="宋体"/>
          <w:bCs/>
          <w:color w:val="000000"/>
          <w:szCs w:val="21"/>
          <w:highlight w:val="none"/>
        </w:rPr>
      </w:pPr>
      <w:r>
        <w:rPr>
          <w:rFonts w:hint="eastAsia" w:ascii="宋体" w:hAnsi="宋体" w:cs="宋体"/>
          <w:bCs/>
          <w:color w:val="000000"/>
          <w:szCs w:val="21"/>
          <w:highlight w:val="none"/>
        </w:rPr>
        <w:t>八、类似项目业绩统计表</w:t>
      </w:r>
    </w:p>
    <w:p w14:paraId="672F274F">
      <w:pPr>
        <w:autoSpaceDE w:val="0"/>
        <w:autoSpaceDN w:val="0"/>
        <w:adjustRightInd w:val="0"/>
        <w:spacing w:line="360" w:lineRule="auto"/>
        <w:rPr>
          <w:rFonts w:hint="eastAsia" w:ascii="宋体" w:hAnsi="宋体" w:cs="宋体"/>
          <w:bCs/>
          <w:color w:val="000000"/>
          <w:szCs w:val="21"/>
          <w:highlight w:val="none"/>
        </w:rPr>
      </w:pPr>
      <w:r>
        <w:rPr>
          <w:rFonts w:hint="eastAsia" w:ascii="宋体" w:hAnsi="宋体" w:cs="宋体"/>
          <w:bCs/>
          <w:color w:val="000000"/>
          <w:szCs w:val="21"/>
          <w:highlight w:val="none"/>
        </w:rPr>
        <w:t>九</w:t>
      </w:r>
      <w:r>
        <w:rPr>
          <w:rFonts w:hint="eastAsia" w:ascii="宋体" w:hAnsi="宋体" w:cs="宋体"/>
          <w:bCs/>
          <w:color w:val="000000"/>
          <w:szCs w:val="21"/>
          <w:highlight w:val="none"/>
          <w:lang w:val="zh-CN"/>
        </w:rPr>
        <w:t>、</w:t>
      </w:r>
      <w:r>
        <w:rPr>
          <w:rFonts w:hint="eastAsia" w:ascii="宋体" w:hAnsi="宋体" w:cs="宋体"/>
          <w:bCs/>
          <w:color w:val="000000"/>
          <w:szCs w:val="21"/>
          <w:highlight w:val="none"/>
        </w:rPr>
        <w:t>服务承诺</w:t>
      </w:r>
    </w:p>
    <w:p w14:paraId="39DEA333">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十、承诺书</w:t>
      </w:r>
    </w:p>
    <w:p w14:paraId="477287DF">
      <w:pPr>
        <w:autoSpaceDE w:val="0"/>
        <w:autoSpaceDN w:val="0"/>
        <w:adjustRightInd w:val="0"/>
        <w:spacing w:line="360" w:lineRule="auto"/>
        <w:rPr>
          <w:rFonts w:hint="eastAsia" w:ascii="宋体" w:hAnsi="宋体" w:cs="宋体"/>
          <w:bCs/>
          <w:color w:val="000000"/>
          <w:szCs w:val="21"/>
          <w:highlight w:val="none"/>
        </w:rPr>
      </w:pPr>
      <w:r>
        <w:rPr>
          <w:rFonts w:hint="eastAsia" w:ascii="宋体" w:hAnsi="宋体" w:cs="宋体"/>
          <w:bCs/>
          <w:color w:val="000000"/>
          <w:szCs w:val="21"/>
          <w:highlight w:val="none"/>
          <w:lang w:val="zh-CN"/>
        </w:rPr>
        <w:t>十</w:t>
      </w:r>
      <w:r>
        <w:rPr>
          <w:rFonts w:hint="eastAsia" w:ascii="宋体" w:hAnsi="宋体" w:cs="宋体"/>
          <w:bCs/>
          <w:color w:val="000000"/>
          <w:szCs w:val="21"/>
          <w:highlight w:val="none"/>
        </w:rPr>
        <w:t>一</w:t>
      </w:r>
      <w:r>
        <w:rPr>
          <w:rFonts w:hint="eastAsia" w:ascii="宋体" w:hAnsi="宋体" w:cs="宋体"/>
          <w:bCs/>
          <w:color w:val="000000"/>
          <w:szCs w:val="21"/>
          <w:highlight w:val="none"/>
          <w:lang w:val="zh-CN"/>
        </w:rPr>
        <w:t>、</w:t>
      </w:r>
      <w:r>
        <w:rPr>
          <w:rFonts w:hint="eastAsia" w:ascii="宋体" w:hAnsi="宋体" w:cs="宋体"/>
          <w:bCs/>
          <w:color w:val="000000"/>
          <w:szCs w:val="21"/>
          <w:highlight w:val="none"/>
        </w:rPr>
        <w:t>中小企业声明函</w:t>
      </w:r>
    </w:p>
    <w:p w14:paraId="64B61A75">
      <w:pPr>
        <w:autoSpaceDE w:val="0"/>
        <w:autoSpaceDN w:val="0"/>
        <w:adjustRightInd w:val="0"/>
        <w:spacing w:line="360" w:lineRule="auto"/>
        <w:rPr>
          <w:rFonts w:hint="eastAsia" w:ascii="宋体" w:hAnsi="宋体" w:cs="宋体"/>
          <w:b/>
          <w:bCs/>
          <w:color w:val="000000"/>
          <w:szCs w:val="21"/>
          <w:highlight w:val="none"/>
          <w:lang w:val="zh-CN"/>
        </w:rPr>
      </w:pPr>
      <w:r>
        <w:rPr>
          <w:rFonts w:hint="eastAsia" w:ascii="宋体" w:hAnsi="宋体" w:cs="宋体"/>
          <w:b/>
          <w:bCs/>
          <w:color w:val="000000"/>
          <w:szCs w:val="21"/>
          <w:highlight w:val="none"/>
          <w:lang w:val="zh-CN"/>
        </w:rPr>
        <w:t>第二部分、技术文件</w:t>
      </w:r>
    </w:p>
    <w:p w14:paraId="025C39D1">
      <w:pPr>
        <w:pStyle w:val="73"/>
        <w:spacing w:line="360" w:lineRule="auto"/>
        <w:rPr>
          <w:rFonts w:hint="default" w:eastAsia="宋体"/>
          <w:sz w:val="21"/>
          <w:szCs w:val="21"/>
          <w:highlight w:val="none"/>
          <w:lang w:val="en-US" w:eastAsia="zh-CN"/>
        </w:rPr>
      </w:pPr>
      <w:r>
        <w:rPr>
          <w:rFonts w:hint="eastAsia" w:eastAsia="宋体"/>
          <w:sz w:val="21"/>
          <w:szCs w:val="21"/>
          <w:highlight w:val="none"/>
          <w:lang w:val="zh-CN"/>
        </w:rPr>
        <w:t>根据评标办法逐条列出</w:t>
      </w:r>
    </w:p>
    <w:p w14:paraId="638E181A">
      <w:pPr>
        <w:autoSpaceDE w:val="0"/>
        <w:autoSpaceDN w:val="0"/>
        <w:adjustRightInd w:val="0"/>
        <w:spacing w:line="360" w:lineRule="auto"/>
        <w:rPr>
          <w:rFonts w:hint="eastAsia" w:ascii="宋体" w:hAnsi="宋体" w:cs="宋体"/>
          <w:bCs/>
          <w:color w:val="000000"/>
          <w:szCs w:val="21"/>
          <w:highlight w:val="none"/>
        </w:rPr>
      </w:pPr>
      <w:r>
        <w:rPr>
          <w:rFonts w:hint="eastAsia" w:ascii="宋体" w:hAnsi="宋体" w:cs="宋体"/>
          <w:b/>
          <w:color w:val="000000"/>
          <w:szCs w:val="21"/>
          <w:highlight w:val="none"/>
        </w:rPr>
        <w:t>第三部分、投标人认为有必要提供的其他材料</w:t>
      </w:r>
    </w:p>
    <w:p w14:paraId="628D788A">
      <w:pPr>
        <w:autoSpaceDE w:val="0"/>
        <w:autoSpaceDN w:val="0"/>
        <w:adjustRightInd w:val="0"/>
        <w:spacing w:line="360" w:lineRule="auto"/>
        <w:rPr>
          <w:rFonts w:hint="eastAsia" w:ascii="宋体" w:hAnsi="宋体" w:cs="宋体"/>
          <w:bCs/>
          <w:color w:val="000000"/>
          <w:szCs w:val="21"/>
          <w:highlight w:val="none"/>
        </w:rPr>
      </w:pPr>
      <w:r>
        <w:rPr>
          <w:rFonts w:hint="eastAsia" w:ascii="宋体" w:hAnsi="宋体" w:cs="宋体"/>
          <w:bCs/>
          <w:color w:val="000000"/>
          <w:szCs w:val="21"/>
          <w:highlight w:val="none"/>
        </w:rPr>
        <w:t>注：为了方便评标，投标人可根据本目录格式进行填充，建议投标人自行制作评标索引。</w:t>
      </w:r>
    </w:p>
    <w:p w14:paraId="4391687F">
      <w:pPr>
        <w:autoSpaceDE w:val="0"/>
        <w:autoSpaceDN w:val="0"/>
        <w:adjustRightInd w:val="0"/>
        <w:jc w:val="center"/>
        <w:rPr>
          <w:rFonts w:hint="eastAsia" w:ascii="宋体" w:hAnsi="宋体" w:cs="宋体"/>
          <w:bCs/>
          <w:color w:val="000000"/>
          <w:sz w:val="32"/>
          <w:szCs w:val="32"/>
          <w:highlight w:val="none"/>
        </w:rPr>
      </w:pPr>
    </w:p>
    <w:p w14:paraId="7E7EEF73">
      <w:pPr>
        <w:autoSpaceDE w:val="0"/>
        <w:autoSpaceDN w:val="0"/>
        <w:adjustRightInd w:val="0"/>
        <w:jc w:val="center"/>
        <w:rPr>
          <w:rFonts w:hint="eastAsia" w:ascii="宋体" w:hAnsi="宋体" w:cs="宋体"/>
          <w:bCs/>
          <w:color w:val="000000"/>
          <w:sz w:val="32"/>
          <w:szCs w:val="32"/>
          <w:highlight w:val="none"/>
        </w:rPr>
      </w:pPr>
    </w:p>
    <w:p w14:paraId="00EE1D0E">
      <w:pPr>
        <w:autoSpaceDE w:val="0"/>
        <w:autoSpaceDN w:val="0"/>
        <w:adjustRightInd w:val="0"/>
        <w:jc w:val="center"/>
        <w:rPr>
          <w:rFonts w:hint="eastAsia" w:ascii="宋体" w:hAnsi="宋体" w:cs="宋体"/>
          <w:bCs/>
          <w:color w:val="000000"/>
          <w:sz w:val="32"/>
          <w:szCs w:val="32"/>
          <w:highlight w:val="none"/>
        </w:rPr>
      </w:pPr>
    </w:p>
    <w:p w14:paraId="6491FF4A">
      <w:pPr>
        <w:autoSpaceDE w:val="0"/>
        <w:autoSpaceDN w:val="0"/>
        <w:adjustRightInd w:val="0"/>
        <w:jc w:val="center"/>
        <w:rPr>
          <w:rFonts w:hint="eastAsia" w:ascii="宋体" w:hAnsi="宋体" w:cs="宋体"/>
          <w:bCs/>
          <w:color w:val="000000"/>
          <w:sz w:val="32"/>
          <w:szCs w:val="32"/>
          <w:highlight w:val="none"/>
        </w:rPr>
      </w:pPr>
    </w:p>
    <w:p w14:paraId="18CB02CB">
      <w:pPr>
        <w:autoSpaceDE w:val="0"/>
        <w:autoSpaceDN w:val="0"/>
        <w:adjustRightInd w:val="0"/>
        <w:jc w:val="center"/>
        <w:rPr>
          <w:rFonts w:hint="eastAsia" w:ascii="宋体" w:hAnsi="宋体" w:cs="宋体"/>
          <w:bCs/>
          <w:color w:val="000000"/>
          <w:sz w:val="32"/>
          <w:szCs w:val="32"/>
          <w:highlight w:val="none"/>
        </w:rPr>
      </w:pPr>
    </w:p>
    <w:p w14:paraId="2682F044">
      <w:pPr>
        <w:autoSpaceDE w:val="0"/>
        <w:autoSpaceDN w:val="0"/>
        <w:adjustRightInd w:val="0"/>
        <w:jc w:val="center"/>
        <w:rPr>
          <w:rFonts w:hint="eastAsia" w:ascii="宋体" w:hAnsi="宋体" w:cs="宋体"/>
          <w:bCs/>
          <w:color w:val="000000"/>
          <w:sz w:val="32"/>
          <w:szCs w:val="32"/>
          <w:highlight w:val="none"/>
        </w:rPr>
      </w:pPr>
    </w:p>
    <w:p w14:paraId="7CAADAF3">
      <w:pPr>
        <w:pStyle w:val="73"/>
        <w:rPr>
          <w:rFonts w:hint="eastAsia" w:eastAsia="宋体"/>
          <w:bCs/>
          <w:sz w:val="32"/>
          <w:szCs w:val="32"/>
          <w:highlight w:val="none"/>
        </w:rPr>
      </w:pPr>
    </w:p>
    <w:p w14:paraId="12F02618">
      <w:pPr>
        <w:pStyle w:val="73"/>
        <w:rPr>
          <w:rFonts w:hint="eastAsia" w:eastAsia="宋体"/>
          <w:bCs/>
          <w:sz w:val="32"/>
          <w:szCs w:val="32"/>
          <w:highlight w:val="none"/>
        </w:rPr>
      </w:pPr>
    </w:p>
    <w:p w14:paraId="1A636897">
      <w:pPr>
        <w:pStyle w:val="73"/>
        <w:rPr>
          <w:rFonts w:hint="eastAsia" w:eastAsia="宋体"/>
          <w:bCs/>
          <w:sz w:val="32"/>
          <w:szCs w:val="32"/>
          <w:highlight w:val="none"/>
        </w:rPr>
      </w:pPr>
    </w:p>
    <w:p w14:paraId="520EAD08">
      <w:pPr>
        <w:pStyle w:val="73"/>
        <w:rPr>
          <w:rFonts w:hint="eastAsia" w:eastAsia="宋体"/>
          <w:bCs/>
          <w:sz w:val="32"/>
          <w:szCs w:val="32"/>
          <w:highlight w:val="none"/>
        </w:rPr>
      </w:pPr>
    </w:p>
    <w:p w14:paraId="4E0E3CA8">
      <w:pPr>
        <w:pStyle w:val="73"/>
        <w:rPr>
          <w:rFonts w:hint="eastAsia" w:eastAsia="宋体"/>
          <w:bCs/>
          <w:sz w:val="32"/>
          <w:szCs w:val="32"/>
          <w:highlight w:val="none"/>
        </w:rPr>
      </w:pPr>
    </w:p>
    <w:p w14:paraId="7CEF7F73">
      <w:pPr>
        <w:pStyle w:val="73"/>
        <w:rPr>
          <w:rFonts w:hint="eastAsia" w:eastAsia="宋体"/>
          <w:bCs/>
          <w:sz w:val="32"/>
          <w:szCs w:val="32"/>
          <w:highlight w:val="none"/>
        </w:rPr>
      </w:pPr>
    </w:p>
    <w:p w14:paraId="050984EA">
      <w:pPr>
        <w:pStyle w:val="73"/>
        <w:rPr>
          <w:rFonts w:hint="eastAsia" w:eastAsia="宋体"/>
          <w:bCs/>
          <w:sz w:val="32"/>
          <w:szCs w:val="32"/>
          <w:highlight w:val="none"/>
        </w:rPr>
      </w:pPr>
    </w:p>
    <w:p w14:paraId="56FF63F3">
      <w:pPr>
        <w:autoSpaceDE w:val="0"/>
        <w:autoSpaceDN w:val="0"/>
        <w:adjustRightInd w:val="0"/>
        <w:spacing w:line="360" w:lineRule="auto"/>
        <w:jc w:val="center"/>
        <w:rPr>
          <w:rFonts w:hint="eastAsia" w:ascii="宋体" w:hAnsi="宋体" w:cs="宋体"/>
          <w:color w:val="000000"/>
          <w:sz w:val="30"/>
          <w:szCs w:val="30"/>
          <w:highlight w:val="none"/>
          <w:lang w:val="zh-CN"/>
        </w:rPr>
      </w:pPr>
      <w:r>
        <w:rPr>
          <w:rFonts w:hint="eastAsia" w:ascii="宋体" w:hAnsi="宋体" w:cs="宋体"/>
          <w:color w:val="000000"/>
          <w:sz w:val="30"/>
          <w:szCs w:val="30"/>
          <w:highlight w:val="none"/>
          <w:lang w:val="zh-CN"/>
        </w:rPr>
        <w:t>第一部分、商务文件</w:t>
      </w:r>
    </w:p>
    <w:p w14:paraId="68B5F226">
      <w:pPr>
        <w:autoSpaceDE w:val="0"/>
        <w:autoSpaceDN w:val="0"/>
        <w:adjustRightInd w:val="0"/>
        <w:spacing w:line="360" w:lineRule="auto"/>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一、投标函</w:t>
      </w:r>
    </w:p>
    <w:p w14:paraId="4E024B11">
      <w:pPr>
        <w:autoSpaceDE w:val="0"/>
        <w:autoSpaceDN w:val="0"/>
        <w:adjustRightInd w:val="0"/>
        <w:spacing w:line="360" w:lineRule="auto"/>
        <w:rPr>
          <w:rFonts w:hint="eastAsia" w:ascii="宋体" w:hAnsi="宋体" w:cs="宋体"/>
          <w:bCs/>
          <w:color w:val="000000"/>
          <w:szCs w:val="21"/>
          <w:highlight w:val="none"/>
          <w:u w:val="single"/>
          <w:lang w:val="zh-CN"/>
        </w:rPr>
      </w:pPr>
      <w:r>
        <w:rPr>
          <w:rFonts w:hint="eastAsia" w:ascii="宋体" w:hAnsi="宋体" w:cs="宋体"/>
          <w:bCs/>
          <w:color w:val="000000"/>
          <w:szCs w:val="21"/>
          <w:highlight w:val="none"/>
          <w:lang w:val="zh-CN"/>
        </w:rPr>
        <w:t>致：</w:t>
      </w:r>
      <w:r>
        <w:rPr>
          <w:rFonts w:hint="eastAsia" w:ascii="宋体" w:hAnsi="宋体" w:cs="宋体"/>
          <w:bCs/>
          <w:color w:val="000000"/>
          <w:szCs w:val="21"/>
          <w:highlight w:val="none"/>
          <w:u w:val="single"/>
          <w:lang w:val="zh-CN"/>
        </w:rPr>
        <w:t xml:space="preserve">  （采购人名称）      </w:t>
      </w:r>
    </w:p>
    <w:p w14:paraId="517C9CA6">
      <w:pPr>
        <w:autoSpaceDE w:val="0"/>
        <w:autoSpaceDN w:val="0"/>
        <w:adjustRightInd w:val="0"/>
        <w:spacing w:line="360" w:lineRule="auto"/>
        <w:rPr>
          <w:rFonts w:hint="eastAsia" w:ascii="宋体" w:hAnsi="宋体" w:cs="宋体"/>
          <w:bCs/>
          <w:color w:val="000000"/>
          <w:szCs w:val="21"/>
          <w:highlight w:val="none"/>
          <w:lang w:val="zh-CN"/>
        </w:rPr>
      </w:pPr>
    </w:p>
    <w:p w14:paraId="217B71C1">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根据你方</w:t>
      </w:r>
      <w:r>
        <w:rPr>
          <w:rFonts w:hint="eastAsia" w:ascii="宋体" w:hAnsi="宋体" w:cs="宋体"/>
          <w:bCs/>
          <w:color w:val="000000"/>
          <w:szCs w:val="21"/>
          <w:highlight w:val="none"/>
          <w:u w:val="single"/>
          <w:lang w:val="zh-CN"/>
        </w:rPr>
        <w:t xml:space="preserve">（项目名称）   </w:t>
      </w:r>
      <w:r>
        <w:rPr>
          <w:rFonts w:hint="eastAsia" w:ascii="宋体" w:hAnsi="宋体" w:cs="宋体"/>
          <w:bCs/>
          <w:color w:val="000000"/>
          <w:szCs w:val="21"/>
          <w:highlight w:val="none"/>
          <w:lang w:val="zh-CN"/>
        </w:rPr>
        <w:t>，编号为</w:t>
      </w:r>
      <w:r>
        <w:rPr>
          <w:rFonts w:hint="eastAsia" w:ascii="宋体" w:hAnsi="宋体" w:cs="宋体"/>
          <w:bCs/>
          <w:color w:val="000000"/>
          <w:szCs w:val="21"/>
          <w:highlight w:val="none"/>
          <w:u w:val="single"/>
          <w:lang w:val="zh-CN"/>
        </w:rPr>
        <w:t xml:space="preserve"> </w:t>
      </w:r>
      <w:r>
        <w:rPr>
          <w:rFonts w:hint="eastAsia" w:ascii="宋体" w:hAnsi="宋体" w:cs="宋体"/>
          <w:bCs/>
          <w:color w:val="000000"/>
          <w:szCs w:val="21"/>
          <w:highlight w:val="none"/>
          <w:u w:val="single"/>
        </w:rPr>
        <w:t xml:space="preserve">   </w:t>
      </w:r>
      <w:r>
        <w:rPr>
          <w:rFonts w:hint="eastAsia" w:ascii="宋体" w:hAnsi="宋体" w:cs="宋体"/>
          <w:bCs/>
          <w:color w:val="0000FF"/>
          <w:szCs w:val="21"/>
          <w:highlight w:val="none"/>
          <w:u w:val="single"/>
        </w:rPr>
        <w:t xml:space="preserve"> </w:t>
      </w:r>
      <w:r>
        <w:rPr>
          <w:rFonts w:hint="eastAsia" w:ascii="宋体" w:hAnsi="宋体" w:cs="宋体"/>
          <w:bCs/>
          <w:color w:val="0000FF"/>
          <w:szCs w:val="21"/>
          <w:highlight w:val="none"/>
          <w:u w:val="single"/>
          <w:lang w:val="zh-CN"/>
        </w:rPr>
        <w:t xml:space="preserve"> </w:t>
      </w:r>
      <w:r>
        <w:rPr>
          <w:rFonts w:hint="eastAsia" w:ascii="宋体" w:hAnsi="宋体" w:cs="宋体"/>
          <w:bCs/>
          <w:color w:val="000000"/>
          <w:szCs w:val="21"/>
          <w:highlight w:val="none"/>
          <w:lang w:val="zh-CN"/>
        </w:rPr>
        <w:t>招标文件，我方正式授权的下述签字人</w:t>
      </w:r>
      <w:r>
        <w:rPr>
          <w:rFonts w:hint="eastAsia" w:ascii="宋体" w:hAnsi="宋体" w:cs="宋体"/>
          <w:bCs/>
          <w:color w:val="000000"/>
          <w:szCs w:val="21"/>
          <w:highlight w:val="none"/>
          <w:u w:val="single"/>
          <w:lang w:val="zh-CN"/>
        </w:rPr>
        <w:t xml:space="preserve">  （姓名和职务）  </w:t>
      </w:r>
      <w:r>
        <w:rPr>
          <w:rFonts w:hint="eastAsia" w:ascii="宋体" w:hAnsi="宋体" w:cs="宋体"/>
          <w:bCs/>
          <w:color w:val="000000"/>
          <w:szCs w:val="21"/>
          <w:highlight w:val="none"/>
          <w:lang w:val="zh-CN"/>
        </w:rPr>
        <w:t>代表我方</w:t>
      </w:r>
      <w:r>
        <w:rPr>
          <w:rFonts w:hint="eastAsia" w:ascii="宋体" w:hAnsi="宋体" w:cs="宋体"/>
          <w:bCs/>
          <w:color w:val="000000"/>
          <w:szCs w:val="21"/>
          <w:highlight w:val="none"/>
          <w:u w:val="single"/>
          <w:lang w:val="zh-CN"/>
        </w:rPr>
        <w:t xml:space="preserve">  （投标人的名称）  </w:t>
      </w:r>
      <w:r>
        <w:rPr>
          <w:rFonts w:hint="eastAsia" w:ascii="宋体" w:hAnsi="宋体" w:cs="宋体"/>
          <w:bCs/>
          <w:color w:val="000000"/>
          <w:szCs w:val="21"/>
          <w:highlight w:val="none"/>
          <w:lang w:val="zh-CN"/>
        </w:rPr>
        <w:t>，并保证所提供的全部文件是真实的、有效的和准确的。</w:t>
      </w:r>
    </w:p>
    <w:p w14:paraId="537293EC">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据此函，签字人兹宣布同意如下：</w:t>
      </w:r>
    </w:p>
    <w:p w14:paraId="745387E7">
      <w:pPr>
        <w:tabs>
          <w:tab w:val="left" w:pos="8175"/>
        </w:tabs>
        <w:autoSpaceDE w:val="0"/>
        <w:autoSpaceDN w:val="0"/>
        <w:adjustRightInd w:val="0"/>
        <w:spacing w:line="360" w:lineRule="auto"/>
        <w:ind w:firstLine="420" w:firstLineChars="20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1.按招标文件规定投标报价为：</w:t>
      </w:r>
      <w:r>
        <w:rPr>
          <w:rFonts w:hint="eastAsia" w:ascii="宋体" w:hAnsi="宋体" w:cs="宋体"/>
          <w:bCs/>
          <w:color w:val="000000"/>
          <w:szCs w:val="21"/>
          <w:highlight w:val="none"/>
          <w:u w:val="single"/>
          <w:lang w:val="zh-CN"/>
        </w:rPr>
        <w:t xml:space="preserve">   </w:t>
      </w:r>
      <w:r>
        <w:rPr>
          <w:rFonts w:hint="eastAsia" w:ascii="宋体" w:hAnsi="宋体" w:cs="宋体"/>
          <w:bCs/>
          <w:color w:val="000000"/>
          <w:szCs w:val="21"/>
          <w:highlight w:val="none"/>
          <w:u w:val="single"/>
        </w:rPr>
        <w:t xml:space="preserve"> </w:t>
      </w:r>
      <w:r>
        <w:rPr>
          <w:rFonts w:hint="eastAsia" w:ascii="宋体" w:hAnsi="宋体" w:cs="宋体"/>
          <w:bCs/>
          <w:color w:val="000000"/>
          <w:szCs w:val="21"/>
          <w:highlight w:val="none"/>
          <w:lang w:val="zh-CN"/>
        </w:rPr>
        <w:t>元</w:t>
      </w:r>
    </w:p>
    <w:p w14:paraId="5230BC8A">
      <w:pPr>
        <w:tabs>
          <w:tab w:val="left" w:pos="8175"/>
        </w:tabs>
        <w:autoSpaceDE w:val="0"/>
        <w:autoSpaceDN w:val="0"/>
        <w:adjustRightInd w:val="0"/>
        <w:spacing w:line="360" w:lineRule="auto"/>
        <w:ind w:firstLine="420" w:firstLineChars="20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2.如果我方中标，我们保证根据招标文件规定履行合同责任和义务。合同履行期限：</w:t>
      </w:r>
      <w:r>
        <w:rPr>
          <w:rFonts w:hint="eastAsia" w:ascii="宋体" w:hAnsi="宋体" w:cs="宋体"/>
          <w:bCs/>
          <w:color w:val="000000"/>
          <w:szCs w:val="21"/>
          <w:highlight w:val="none"/>
          <w:u w:val="single"/>
          <w:lang w:val="zh-CN"/>
        </w:rPr>
        <w:t xml:space="preserve">                                                   </w:t>
      </w:r>
      <w:r>
        <w:rPr>
          <w:rFonts w:hint="eastAsia" w:ascii="宋体" w:hAnsi="宋体" w:cs="宋体"/>
          <w:bCs/>
          <w:color w:val="000000"/>
          <w:szCs w:val="21"/>
          <w:highlight w:val="none"/>
          <w:lang w:val="zh-CN"/>
        </w:rPr>
        <w:t>。</w:t>
      </w:r>
    </w:p>
    <w:p w14:paraId="37BF4CB9">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rPr>
        <w:t>3</w:t>
      </w:r>
      <w:r>
        <w:rPr>
          <w:rFonts w:hint="eastAsia" w:ascii="宋体" w:hAnsi="宋体" w:cs="宋体"/>
          <w:bCs/>
          <w:color w:val="000000"/>
          <w:szCs w:val="21"/>
          <w:highlight w:val="none"/>
          <w:lang w:val="zh-CN"/>
        </w:rPr>
        <w:t>.我们已详细阅读了全部招标文件，包括招标文件的修改、补充文件、参考资料及有关的附件，我们接受招标文件的全部条款和条件，我们知道必须放弃提出含糊不清或误解的问题的权利。</w:t>
      </w:r>
    </w:p>
    <w:p w14:paraId="47DD6E8E">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rPr>
        <w:t>4</w:t>
      </w:r>
      <w:r>
        <w:rPr>
          <w:rFonts w:hint="eastAsia" w:ascii="宋体" w:hAnsi="宋体" w:cs="宋体"/>
          <w:bCs/>
          <w:color w:val="000000"/>
          <w:szCs w:val="21"/>
          <w:highlight w:val="none"/>
          <w:lang w:val="zh-CN"/>
        </w:rPr>
        <w:t>.我们对招标文件关于时限、程序方面的规定没有异议，保证按照招标文件规定的时限和程序参加投标活动。</w:t>
      </w:r>
    </w:p>
    <w:p w14:paraId="666FEC3C">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rPr>
        <w:t>5</w:t>
      </w:r>
      <w:r>
        <w:rPr>
          <w:rFonts w:hint="eastAsia" w:ascii="宋体" w:hAnsi="宋体" w:cs="宋体"/>
          <w:bCs/>
          <w:color w:val="000000"/>
          <w:szCs w:val="21"/>
          <w:highlight w:val="none"/>
          <w:lang w:val="zh-CN"/>
        </w:rPr>
        <w:t>.我们同意在投标人须知规定的开标时间起遵循本投标文件，并在投标人须知规定的投标有效期满之前均具有约束力，并有可能中标。</w:t>
      </w:r>
    </w:p>
    <w:p w14:paraId="39B0A981">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rPr>
        <w:t>6</w:t>
      </w:r>
      <w:r>
        <w:rPr>
          <w:rFonts w:hint="eastAsia" w:ascii="宋体" w:hAnsi="宋体" w:cs="宋体"/>
          <w:bCs/>
          <w:color w:val="000000"/>
          <w:szCs w:val="21"/>
          <w:highlight w:val="none"/>
          <w:lang w:val="zh-CN"/>
        </w:rPr>
        <w:t>.我们保证向你方提供你方可能要求的与本投标有关的任何证据或资料。</w:t>
      </w:r>
    </w:p>
    <w:p w14:paraId="64FECAFA">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rPr>
        <w:t>7</w:t>
      </w:r>
      <w:r>
        <w:rPr>
          <w:rFonts w:hint="eastAsia" w:ascii="宋体" w:hAnsi="宋体" w:cs="宋体"/>
          <w:bCs/>
          <w:color w:val="000000"/>
          <w:szCs w:val="21"/>
          <w:highlight w:val="none"/>
          <w:lang w:val="zh-CN"/>
        </w:rPr>
        <w:t>.我们完全理解你方不一定要接受最低报价的投标。</w:t>
      </w:r>
    </w:p>
    <w:p w14:paraId="32F26565">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rPr>
        <w:t>8</w:t>
      </w:r>
      <w:r>
        <w:rPr>
          <w:rFonts w:hint="eastAsia" w:ascii="宋体" w:hAnsi="宋体" w:cs="宋体"/>
          <w:bCs/>
          <w:color w:val="000000"/>
          <w:szCs w:val="21"/>
          <w:highlight w:val="none"/>
          <w:lang w:val="zh-CN"/>
        </w:rPr>
        <w:t>.本投标自开标之时起</w:t>
      </w:r>
      <w:r>
        <w:rPr>
          <w:rFonts w:hint="eastAsia" w:ascii="宋体" w:hAnsi="宋体" w:cs="宋体"/>
          <w:bCs/>
          <w:color w:val="000000"/>
          <w:szCs w:val="21"/>
          <w:highlight w:val="none"/>
          <w:u w:val="single"/>
          <w:lang w:val="zh-CN"/>
        </w:rPr>
        <w:t>90</w:t>
      </w:r>
      <w:r>
        <w:rPr>
          <w:rFonts w:hint="eastAsia" w:ascii="宋体" w:hAnsi="宋体" w:cs="宋体"/>
          <w:bCs/>
          <w:color w:val="000000"/>
          <w:szCs w:val="21"/>
          <w:highlight w:val="none"/>
          <w:lang w:val="zh-CN"/>
        </w:rPr>
        <w:t>天内有效。</w:t>
      </w:r>
    </w:p>
    <w:p w14:paraId="77AFEBC6">
      <w:pPr>
        <w:autoSpaceDE w:val="0"/>
        <w:autoSpaceDN w:val="0"/>
        <w:adjustRightInd w:val="0"/>
        <w:spacing w:line="360" w:lineRule="auto"/>
        <w:ind w:firstLine="482"/>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 xml:space="preserve">投标人名称（加盖公章）：                      </w:t>
      </w:r>
    </w:p>
    <w:p w14:paraId="13B62FBA">
      <w:pPr>
        <w:autoSpaceDE w:val="0"/>
        <w:autoSpaceDN w:val="0"/>
        <w:adjustRightInd w:val="0"/>
        <w:spacing w:line="360" w:lineRule="auto"/>
        <w:ind w:firstLine="482"/>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 xml:space="preserve">投标人代表（签名）：                  </w:t>
      </w:r>
    </w:p>
    <w:p w14:paraId="63EF350B">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 xml:space="preserve">地址：                                       </w:t>
      </w:r>
    </w:p>
    <w:p w14:paraId="19072D95">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 xml:space="preserve">电话：                                                              </w:t>
      </w:r>
    </w:p>
    <w:p w14:paraId="409CCBFE">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日期：         年    月   日</w:t>
      </w:r>
    </w:p>
    <w:p w14:paraId="56825EBD">
      <w:pPr>
        <w:autoSpaceDE w:val="0"/>
        <w:autoSpaceDN w:val="0"/>
        <w:adjustRightInd w:val="0"/>
        <w:spacing w:line="360" w:lineRule="auto"/>
        <w:ind w:firstLine="472"/>
        <w:rPr>
          <w:rFonts w:hint="eastAsia" w:ascii="宋体" w:hAnsi="宋体" w:cs="宋体"/>
          <w:b/>
          <w:color w:val="000000"/>
          <w:szCs w:val="21"/>
          <w:highlight w:val="none"/>
          <w:lang w:val="zh-CN"/>
        </w:rPr>
      </w:pPr>
      <w:r>
        <w:rPr>
          <w:rFonts w:hint="eastAsia" w:ascii="宋体" w:hAnsi="宋体" w:cs="宋体"/>
          <w:b/>
          <w:color w:val="000000"/>
          <w:szCs w:val="21"/>
          <w:highlight w:val="none"/>
          <w:lang w:val="zh-CN"/>
        </w:rPr>
        <w:t>注：投标函必须按规定有效签署和加盖公章。</w:t>
      </w:r>
    </w:p>
    <w:p w14:paraId="4AFD8199">
      <w:pPr>
        <w:autoSpaceDE w:val="0"/>
        <w:autoSpaceDN w:val="0"/>
        <w:adjustRightInd w:val="0"/>
        <w:rPr>
          <w:rFonts w:hint="eastAsia" w:ascii="宋体" w:hAnsi="宋体" w:cs="宋体"/>
          <w:bCs/>
          <w:color w:val="000000"/>
          <w:sz w:val="24"/>
          <w:highlight w:val="none"/>
          <w:lang w:val="zh-CN"/>
        </w:rPr>
      </w:pPr>
    </w:p>
    <w:p w14:paraId="30185A69">
      <w:pPr>
        <w:autoSpaceDE w:val="0"/>
        <w:autoSpaceDN w:val="0"/>
        <w:adjustRightInd w:val="0"/>
        <w:rPr>
          <w:rFonts w:hint="eastAsia" w:ascii="宋体" w:hAnsi="宋体" w:cs="宋体"/>
          <w:bCs/>
          <w:color w:val="000000"/>
          <w:sz w:val="24"/>
          <w:highlight w:val="none"/>
          <w:lang w:val="zh-CN"/>
        </w:rPr>
      </w:pPr>
    </w:p>
    <w:p w14:paraId="4D38BB58">
      <w:pPr>
        <w:autoSpaceDE w:val="0"/>
        <w:autoSpaceDN w:val="0"/>
        <w:adjustRightInd w:val="0"/>
        <w:rPr>
          <w:rFonts w:hint="eastAsia" w:ascii="宋体" w:hAnsi="宋体" w:cs="宋体"/>
          <w:bCs/>
          <w:color w:val="000000"/>
          <w:sz w:val="24"/>
          <w:highlight w:val="none"/>
          <w:lang w:val="zh-CN"/>
        </w:rPr>
      </w:pPr>
    </w:p>
    <w:p w14:paraId="7653F7C3">
      <w:pPr>
        <w:autoSpaceDE w:val="0"/>
        <w:autoSpaceDN w:val="0"/>
        <w:adjustRightInd w:val="0"/>
        <w:rPr>
          <w:rFonts w:hint="eastAsia" w:ascii="宋体" w:hAnsi="宋体" w:cs="宋体"/>
          <w:bCs/>
          <w:color w:val="000000"/>
          <w:sz w:val="24"/>
          <w:highlight w:val="none"/>
          <w:lang w:val="zh-CN"/>
        </w:rPr>
      </w:pPr>
    </w:p>
    <w:p w14:paraId="0830799A">
      <w:pPr>
        <w:autoSpaceDE w:val="0"/>
        <w:autoSpaceDN w:val="0"/>
        <w:adjustRightInd w:val="0"/>
        <w:rPr>
          <w:rFonts w:hint="eastAsia" w:ascii="宋体" w:hAnsi="宋体" w:cs="宋体"/>
          <w:bCs/>
          <w:color w:val="000000"/>
          <w:sz w:val="24"/>
          <w:highlight w:val="none"/>
          <w:lang w:val="zh-CN"/>
        </w:rPr>
      </w:pPr>
    </w:p>
    <w:p w14:paraId="7D49A6F6">
      <w:pPr>
        <w:autoSpaceDE w:val="0"/>
        <w:autoSpaceDN w:val="0"/>
        <w:adjustRightInd w:val="0"/>
        <w:rPr>
          <w:rFonts w:hint="eastAsia" w:ascii="宋体" w:hAnsi="宋体" w:cs="宋体"/>
          <w:bCs/>
          <w:color w:val="000000"/>
          <w:sz w:val="24"/>
          <w:highlight w:val="none"/>
          <w:lang w:val="zh-CN"/>
        </w:rPr>
      </w:pPr>
    </w:p>
    <w:p w14:paraId="6D1C487F">
      <w:pPr>
        <w:autoSpaceDE w:val="0"/>
        <w:autoSpaceDN w:val="0"/>
        <w:adjustRightInd w:val="0"/>
        <w:rPr>
          <w:rFonts w:hint="eastAsia" w:ascii="宋体" w:hAnsi="宋体" w:cs="宋体"/>
          <w:bCs/>
          <w:color w:val="000000"/>
          <w:sz w:val="24"/>
          <w:highlight w:val="none"/>
          <w:lang w:val="zh-CN"/>
        </w:rPr>
      </w:pPr>
    </w:p>
    <w:p w14:paraId="46EBD7D8">
      <w:pPr>
        <w:autoSpaceDE w:val="0"/>
        <w:autoSpaceDN w:val="0"/>
        <w:adjustRightInd w:val="0"/>
        <w:jc w:val="center"/>
        <w:rPr>
          <w:rFonts w:hint="eastAsia" w:ascii="宋体" w:hAnsi="宋体" w:cs="宋体"/>
          <w:bCs/>
          <w:color w:val="000000"/>
          <w:sz w:val="32"/>
          <w:szCs w:val="32"/>
          <w:highlight w:val="none"/>
          <w:lang w:val="zh-CN"/>
        </w:rPr>
      </w:pPr>
      <w:r>
        <w:rPr>
          <w:rFonts w:hint="eastAsia" w:ascii="宋体" w:hAnsi="宋体" w:cs="宋体"/>
          <w:bCs/>
          <w:color w:val="000000"/>
          <w:sz w:val="30"/>
          <w:szCs w:val="30"/>
          <w:highlight w:val="none"/>
          <w:lang w:val="zh-CN"/>
        </w:rPr>
        <w:br w:type="page"/>
      </w:r>
      <w:r>
        <w:rPr>
          <w:rFonts w:hint="eastAsia" w:ascii="宋体" w:hAnsi="宋体" w:cs="宋体"/>
          <w:bCs/>
          <w:color w:val="000000"/>
          <w:sz w:val="30"/>
          <w:szCs w:val="30"/>
          <w:highlight w:val="none"/>
          <w:lang w:val="zh-CN"/>
        </w:rPr>
        <w:t xml:space="preserve">二、法定代表人身份证明书及法定代表人授权委托书 </w:t>
      </w:r>
    </w:p>
    <w:p w14:paraId="319F8813">
      <w:pPr>
        <w:autoSpaceDE w:val="0"/>
        <w:autoSpaceDN w:val="0"/>
        <w:adjustRightInd w:val="0"/>
        <w:ind w:firstLine="480"/>
        <w:rPr>
          <w:rFonts w:hint="eastAsia" w:ascii="宋体" w:hAnsi="宋体" w:cs="宋体"/>
          <w:bCs/>
          <w:color w:val="000000"/>
          <w:sz w:val="32"/>
          <w:szCs w:val="32"/>
          <w:highlight w:val="none"/>
          <w:lang w:val="zh-CN"/>
        </w:rPr>
      </w:pPr>
    </w:p>
    <w:p w14:paraId="00B94AF6">
      <w:pPr>
        <w:pStyle w:val="73"/>
        <w:numPr>
          <w:ilvl w:val="0"/>
          <w:numId w:val="23"/>
        </w:numPr>
        <w:rPr>
          <w:rFonts w:hint="eastAsia" w:eastAsia="宋体"/>
          <w:bCs/>
          <w:sz w:val="28"/>
          <w:szCs w:val="28"/>
          <w:highlight w:val="none"/>
        </w:rPr>
      </w:pPr>
      <w:r>
        <w:rPr>
          <w:rFonts w:hint="eastAsia" w:eastAsia="宋体"/>
          <w:bCs/>
          <w:sz w:val="28"/>
          <w:szCs w:val="28"/>
          <w:highlight w:val="none"/>
        </w:rPr>
        <w:t>法定代表人身份证明书</w:t>
      </w:r>
    </w:p>
    <w:p w14:paraId="57A66607">
      <w:pPr>
        <w:pStyle w:val="73"/>
        <w:ind w:left="2380"/>
        <w:rPr>
          <w:rFonts w:hint="eastAsia" w:eastAsia="宋体"/>
          <w:bCs/>
          <w:sz w:val="28"/>
          <w:szCs w:val="28"/>
          <w:highlight w:val="none"/>
        </w:rPr>
      </w:pPr>
    </w:p>
    <w:p w14:paraId="32BE3F62">
      <w:pP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rPr>
        <w:t>投标人名称：</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 xml:space="preserve"> </w:t>
      </w:r>
    </w:p>
    <w:p w14:paraId="5351E93D">
      <w:pP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rPr>
        <w:t>单位性质：</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 xml:space="preserve"> </w:t>
      </w:r>
    </w:p>
    <w:p w14:paraId="4F5416AC">
      <w:pP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rPr>
        <w:t>地址：</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 xml:space="preserve"> </w:t>
      </w:r>
    </w:p>
    <w:p w14:paraId="5A641328">
      <w:pP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rPr>
        <w:t>成立时间：</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年</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月</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日</w:t>
      </w:r>
    </w:p>
    <w:p w14:paraId="6AEB4AA4">
      <w:pP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rPr>
        <w:t>经营期限：</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 xml:space="preserve"> </w:t>
      </w:r>
    </w:p>
    <w:p w14:paraId="2C4DCB6D">
      <w:pP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rPr>
        <w:t>姓名：</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性别：</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年龄：</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职务：</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_</w:t>
      </w:r>
    </w:p>
    <w:p w14:paraId="5F49A72B">
      <w:pP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rPr>
        <w:t>系</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（投标人名称）的法定代表人。</w:t>
      </w:r>
    </w:p>
    <w:p w14:paraId="20ADDE27">
      <w:pP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rPr>
        <w:t>特此证明。</w:t>
      </w:r>
    </w:p>
    <w:p w14:paraId="1A213EAF">
      <w:pPr>
        <w:spacing w:line="360" w:lineRule="auto"/>
        <w:ind w:firstLine="420" w:firstLineChars="200"/>
        <w:rPr>
          <w:rFonts w:hint="eastAsia" w:ascii="新宋体" w:hAnsi="新宋体" w:eastAsia="新宋体" w:cs="新宋体"/>
          <w:szCs w:val="21"/>
          <w:highlight w:val="none"/>
        </w:rPr>
      </w:pPr>
      <w:r>
        <w:rPr>
          <w:rFonts w:hint="eastAsia" w:ascii="新宋体" w:hAnsi="新宋体" w:eastAsia="新宋体" w:cs="新宋体"/>
          <w:szCs w:val="21"/>
          <w:highlight w:val="none"/>
        </w:rPr>
        <w:t>后附法定代表人身份证复印件</w:t>
      </w:r>
    </w:p>
    <w:p w14:paraId="12F57656">
      <w:pPr>
        <w:spacing w:line="360" w:lineRule="auto"/>
        <w:ind w:firstLine="420" w:firstLineChars="200"/>
        <w:rPr>
          <w:rFonts w:hint="eastAsia" w:ascii="新宋体" w:hAnsi="新宋体" w:eastAsia="新宋体" w:cs="新宋体"/>
          <w:szCs w:val="21"/>
          <w:highlight w:val="none"/>
        </w:rPr>
      </w:pPr>
    </w:p>
    <w:p w14:paraId="59502C11">
      <w:pPr>
        <w:spacing w:line="360" w:lineRule="auto"/>
        <w:ind w:firstLine="420" w:firstLineChars="200"/>
        <w:rPr>
          <w:rFonts w:hint="eastAsia" w:ascii="新宋体" w:hAnsi="新宋体" w:eastAsia="新宋体" w:cs="新宋体"/>
          <w:szCs w:val="21"/>
          <w:highlight w:val="none"/>
        </w:rPr>
      </w:pPr>
    </w:p>
    <w:p w14:paraId="246B4F1D">
      <w:pPr>
        <w:spacing w:line="360" w:lineRule="auto"/>
        <w:ind w:firstLine="420" w:firstLineChars="200"/>
        <w:rPr>
          <w:rFonts w:hint="eastAsia" w:ascii="新宋体" w:hAnsi="新宋体" w:eastAsia="新宋体" w:cs="新宋体"/>
          <w:szCs w:val="21"/>
          <w:highlight w:val="none"/>
        </w:rPr>
      </w:pPr>
    </w:p>
    <w:p w14:paraId="2A8692A2">
      <w:pPr>
        <w:spacing w:line="360" w:lineRule="auto"/>
        <w:rPr>
          <w:rFonts w:hint="eastAsia" w:ascii="新宋体" w:hAnsi="新宋体" w:eastAsia="新宋体" w:cs="新宋体"/>
          <w:sz w:val="24"/>
          <w:highlight w:val="none"/>
        </w:rPr>
      </w:pPr>
    </w:p>
    <w:p w14:paraId="10D0B2E1">
      <w:pPr>
        <w:spacing w:line="360" w:lineRule="auto"/>
        <w:ind w:firstLine="480" w:firstLineChars="200"/>
        <w:rPr>
          <w:rFonts w:hint="eastAsia" w:ascii="新宋体" w:hAnsi="新宋体" w:eastAsia="新宋体" w:cs="新宋体"/>
          <w:sz w:val="24"/>
          <w:highlight w:val="none"/>
        </w:rPr>
      </w:pPr>
    </w:p>
    <w:p w14:paraId="1F52E408">
      <w:pPr>
        <w:spacing w:line="360" w:lineRule="auto"/>
        <w:jc w:val="right"/>
        <w:rPr>
          <w:rFonts w:hint="eastAsia" w:ascii="新宋体" w:hAnsi="新宋体" w:eastAsia="新宋体" w:cs="新宋体"/>
          <w:sz w:val="24"/>
          <w:highlight w:val="none"/>
        </w:rPr>
      </w:pPr>
    </w:p>
    <w:p w14:paraId="392C951E">
      <w:pPr>
        <w:spacing w:line="360" w:lineRule="auto"/>
        <w:jc w:val="right"/>
        <w:rPr>
          <w:rFonts w:hint="eastAsia" w:ascii="新宋体" w:hAnsi="新宋体" w:eastAsia="新宋体" w:cs="新宋体"/>
          <w:sz w:val="24"/>
          <w:highlight w:val="none"/>
        </w:rPr>
      </w:pPr>
    </w:p>
    <w:p w14:paraId="489B017F">
      <w:pPr>
        <w:spacing w:line="360" w:lineRule="auto"/>
        <w:jc w:val="right"/>
        <w:rPr>
          <w:rFonts w:hint="eastAsia" w:ascii="新宋体" w:hAnsi="新宋体" w:eastAsia="新宋体" w:cs="新宋体"/>
          <w:szCs w:val="21"/>
          <w:highlight w:val="none"/>
        </w:rPr>
      </w:pPr>
      <w:r>
        <w:rPr>
          <w:rFonts w:hint="eastAsia" w:ascii="新宋体" w:hAnsi="新宋体" w:eastAsia="新宋体" w:cs="新宋体"/>
          <w:szCs w:val="21"/>
          <w:highlight w:val="none"/>
        </w:rPr>
        <w:t>投标人：</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（盖单位公章）</w:t>
      </w:r>
    </w:p>
    <w:p w14:paraId="5294D215">
      <w:pPr>
        <w:spacing w:line="360" w:lineRule="auto"/>
        <w:ind w:firstLine="4515" w:firstLineChars="2150"/>
        <w:jc w:val="right"/>
        <w:rPr>
          <w:rFonts w:hint="eastAsia" w:ascii="新宋体" w:hAnsi="新宋体" w:eastAsia="新宋体" w:cs="新宋体"/>
          <w:szCs w:val="21"/>
          <w:highlight w:val="none"/>
          <w:u w:val="single"/>
        </w:rPr>
      </w:pPr>
    </w:p>
    <w:p w14:paraId="4BE10052">
      <w:pPr>
        <w:spacing w:line="360" w:lineRule="auto"/>
        <w:ind w:right="1200"/>
        <w:rPr>
          <w:rFonts w:hint="eastAsia" w:ascii="新宋体" w:hAnsi="新宋体" w:eastAsia="新宋体" w:cs="新宋体"/>
          <w:szCs w:val="21"/>
          <w:highlight w:val="none"/>
        </w:rPr>
      </w:pPr>
      <w:r>
        <w:rPr>
          <w:rFonts w:hint="eastAsia" w:ascii="新宋体" w:hAnsi="新宋体" w:eastAsia="新宋体" w:cs="新宋体"/>
          <w:szCs w:val="21"/>
          <w:highlight w:val="none"/>
        </w:rPr>
        <w:t xml:space="preserve">                                     </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年</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月</w:t>
      </w:r>
      <w:r>
        <w:rPr>
          <w:rFonts w:hint="eastAsia" w:ascii="新宋体" w:hAnsi="新宋体" w:eastAsia="新宋体" w:cs="新宋体"/>
          <w:szCs w:val="21"/>
          <w:highlight w:val="none"/>
          <w:u w:val="single"/>
        </w:rPr>
        <w:t xml:space="preserve">     </w:t>
      </w:r>
      <w:r>
        <w:rPr>
          <w:rFonts w:hint="eastAsia" w:ascii="新宋体" w:hAnsi="新宋体" w:eastAsia="新宋体" w:cs="新宋体"/>
          <w:szCs w:val="21"/>
          <w:highlight w:val="none"/>
        </w:rPr>
        <w:t>日</w:t>
      </w:r>
    </w:p>
    <w:p w14:paraId="1D52252E">
      <w:pPr>
        <w:pStyle w:val="73"/>
        <w:ind w:left="2380"/>
        <w:rPr>
          <w:rFonts w:eastAsia="宋体"/>
          <w:bCs/>
          <w:sz w:val="28"/>
          <w:szCs w:val="28"/>
          <w:highlight w:val="none"/>
        </w:rPr>
      </w:pPr>
    </w:p>
    <w:p w14:paraId="15949A11">
      <w:pPr>
        <w:pStyle w:val="73"/>
        <w:ind w:left="2380"/>
        <w:rPr>
          <w:rFonts w:eastAsia="宋体"/>
          <w:bCs/>
          <w:sz w:val="28"/>
          <w:szCs w:val="28"/>
          <w:highlight w:val="none"/>
        </w:rPr>
      </w:pPr>
    </w:p>
    <w:p w14:paraId="398336A2">
      <w:pPr>
        <w:pStyle w:val="73"/>
        <w:ind w:left="2380"/>
        <w:rPr>
          <w:rFonts w:eastAsia="宋体"/>
          <w:bCs/>
          <w:sz w:val="28"/>
          <w:szCs w:val="28"/>
          <w:highlight w:val="none"/>
        </w:rPr>
      </w:pPr>
    </w:p>
    <w:p w14:paraId="27D52860">
      <w:pPr>
        <w:pStyle w:val="73"/>
        <w:ind w:left="2380"/>
        <w:rPr>
          <w:rFonts w:eastAsia="宋体"/>
          <w:bCs/>
          <w:sz w:val="28"/>
          <w:szCs w:val="28"/>
          <w:highlight w:val="none"/>
        </w:rPr>
      </w:pPr>
    </w:p>
    <w:p w14:paraId="1CADA669">
      <w:pPr>
        <w:pStyle w:val="73"/>
        <w:ind w:left="2380"/>
        <w:rPr>
          <w:rFonts w:eastAsia="宋体"/>
          <w:bCs/>
          <w:sz w:val="28"/>
          <w:szCs w:val="28"/>
          <w:highlight w:val="none"/>
        </w:rPr>
      </w:pPr>
    </w:p>
    <w:p w14:paraId="6778CC43">
      <w:pPr>
        <w:pStyle w:val="73"/>
        <w:ind w:left="2380"/>
        <w:rPr>
          <w:rFonts w:eastAsia="宋体"/>
          <w:bCs/>
          <w:sz w:val="28"/>
          <w:szCs w:val="28"/>
          <w:highlight w:val="none"/>
        </w:rPr>
      </w:pPr>
    </w:p>
    <w:p w14:paraId="03EFB3C4">
      <w:pPr>
        <w:pStyle w:val="73"/>
        <w:ind w:left="2380"/>
        <w:rPr>
          <w:rFonts w:eastAsia="宋体"/>
          <w:bCs/>
          <w:sz w:val="28"/>
          <w:szCs w:val="28"/>
          <w:highlight w:val="none"/>
        </w:rPr>
      </w:pPr>
    </w:p>
    <w:p w14:paraId="1D0953AF">
      <w:pPr>
        <w:pStyle w:val="73"/>
        <w:ind w:left="2380"/>
        <w:rPr>
          <w:rFonts w:eastAsia="宋体"/>
          <w:bCs/>
          <w:sz w:val="28"/>
          <w:szCs w:val="28"/>
          <w:highlight w:val="none"/>
        </w:rPr>
      </w:pPr>
    </w:p>
    <w:p w14:paraId="4B20A577">
      <w:pPr>
        <w:pStyle w:val="73"/>
        <w:ind w:left="2380"/>
        <w:rPr>
          <w:rFonts w:eastAsia="宋体"/>
          <w:bCs/>
          <w:sz w:val="28"/>
          <w:szCs w:val="28"/>
          <w:highlight w:val="none"/>
        </w:rPr>
      </w:pPr>
    </w:p>
    <w:p w14:paraId="390DCC8E">
      <w:pPr>
        <w:pStyle w:val="73"/>
        <w:ind w:left="2380"/>
        <w:rPr>
          <w:rFonts w:eastAsia="宋体"/>
          <w:bCs/>
          <w:sz w:val="28"/>
          <w:szCs w:val="28"/>
          <w:highlight w:val="none"/>
        </w:rPr>
      </w:pPr>
    </w:p>
    <w:p w14:paraId="3A14814A">
      <w:pPr>
        <w:pStyle w:val="73"/>
        <w:ind w:left="2380"/>
        <w:rPr>
          <w:rFonts w:eastAsia="宋体"/>
          <w:bCs/>
          <w:sz w:val="28"/>
          <w:szCs w:val="28"/>
          <w:highlight w:val="none"/>
        </w:rPr>
      </w:pPr>
    </w:p>
    <w:p w14:paraId="7CD0DE5E">
      <w:pPr>
        <w:pStyle w:val="73"/>
        <w:numPr>
          <w:ilvl w:val="0"/>
          <w:numId w:val="23"/>
        </w:numPr>
        <w:rPr>
          <w:rFonts w:hint="eastAsia" w:eastAsia="宋体"/>
          <w:bCs/>
          <w:sz w:val="28"/>
          <w:szCs w:val="28"/>
          <w:highlight w:val="none"/>
        </w:rPr>
      </w:pPr>
      <w:r>
        <w:rPr>
          <w:rFonts w:hint="eastAsia" w:eastAsia="宋体"/>
          <w:bCs/>
          <w:sz w:val="28"/>
          <w:szCs w:val="28"/>
          <w:highlight w:val="none"/>
        </w:rPr>
        <w:br w:type="page"/>
      </w:r>
      <w:r>
        <w:rPr>
          <w:rFonts w:hint="eastAsia" w:eastAsia="宋体"/>
          <w:bCs/>
          <w:sz w:val="28"/>
          <w:szCs w:val="28"/>
          <w:highlight w:val="none"/>
        </w:rPr>
        <w:t>法定代表人授权委托书</w:t>
      </w:r>
    </w:p>
    <w:p w14:paraId="7FC7F8FF">
      <w:pPr>
        <w:autoSpaceDE w:val="0"/>
        <w:autoSpaceDN w:val="0"/>
        <w:adjustRightInd w:val="0"/>
        <w:spacing w:line="360" w:lineRule="auto"/>
        <w:ind w:firstLine="480"/>
        <w:rPr>
          <w:rFonts w:hint="eastAsia" w:ascii="宋体" w:hAnsi="宋体" w:cs="宋体"/>
          <w:bCs/>
          <w:color w:val="000000"/>
          <w:szCs w:val="21"/>
          <w:highlight w:val="none"/>
          <w:lang w:val="zh-CN"/>
        </w:rPr>
      </w:pPr>
    </w:p>
    <w:p w14:paraId="148F298D">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本授权书声明：注册于</w:t>
      </w:r>
      <w:r>
        <w:rPr>
          <w:rFonts w:hint="eastAsia" w:ascii="宋体" w:hAnsi="宋体" w:cs="宋体"/>
          <w:bCs/>
          <w:color w:val="000000"/>
          <w:szCs w:val="21"/>
          <w:highlight w:val="none"/>
          <w:u w:val="single"/>
          <w:lang w:val="zh-CN"/>
        </w:rPr>
        <w:t xml:space="preserve">  （注册地点）   </w:t>
      </w:r>
      <w:r>
        <w:rPr>
          <w:rFonts w:hint="eastAsia" w:ascii="宋体" w:hAnsi="宋体" w:cs="宋体"/>
          <w:bCs/>
          <w:color w:val="000000"/>
          <w:szCs w:val="21"/>
          <w:highlight w:val="none"/>
          <w:lang w:val="zh-CN"/>
        </w:rPr>
        <w:t>的</w:t>
      </w:r>
      <w:r>
        <w:rPr>
          <w:rFonts w:hint="eastAsia" w:ascii="宋体" w:hAnsi="宋体" w:cs="宋体"/>
          <w:bCs/>
          <w:color w:val="000000"/>
          <w:szCs w:val="21"/>
          <w:highlight w:val="none"/>
          <w:u w:val="single"/>
          <w:lang w:val="zh-CN"/>
        </w:rPr>
        <w:t xml:space="preserve">   （投标人名称）   </w:t>
      </w:r>
      <w:r>
        <w:rPr>
          <w:rFonts w:hint="eastAsia" w:ascii="宋体" w:hAnsi="宋体" w:cs="宋体"/>
          <w:bCs/>
          <w:color w:val="000000"/>
          <w:szCs w:val="21"/>
          <w:highlight w:val="none"/>
          <w:lang w:val="zh-CN"/>
        </w:rPr>
        <w:t>公司的</w:t>
      </w:r>
      <w:r>
        <w:rPr>
          <w:rFonts w:hint="eastAsia" w:ascii="宋体" w:hAnsi="宋体" w:cs="宋体"/>
          <w:bCs/>
          <w:color w:val="000000"/>
          <w:szCs w:val="21"/>
          <w:highlight w:val="none"/>
          <w:u w:val="single"/>
          <w:lang w:val="zh-CN"/>
        </w:rPr>
        <w:t xml:space="preserve">  </w:t>
      </w:r>
      <w:r>
        <w:rPr>
          <w:rFonts w:hint="eastAsia" w:ascii="宋体" w:hAnsi="宋体" w:cs="宋体"/>
          <w:bCs/>
          <w:color w:val="000000"/>
          <w:szCs w:val="21"/>
          <w:highlight w:val="none"/>
          <w:u w:val="single"/>
        </w:rPr>
        <w:t xml:space="preserve">  </w:t>
      </w:r>
      <w:r>
        <w:rPr>
          <w:rFonts w:hint="eastAsia" w:ascii="宋体" w:hAnsi="宋体" w:cs="宋体"/>
          <w:bCs/>
          <w:color w:val="000000"/>
          <w:szCs w:val="21"/>
          <w:highlight w:val="none"/>
          <w:u w:val="single"/>
          <w:lang w:val="zh-CN"/>
        </w:rPr>
        <w:t>（投标人法定代表人姓名、职务）</w:t>
      </w:r>
      <w:r>
        <w:rPr>
          <w:rFonts w:hint="eastAsia" w:ascii="宋体" w:hAnsi="宋体" w:cs="宋体"/>
          <w:bCs/>
          <w:color w:val="000000"/>
          <w:szCs w:val="21"/>
          <w:highlight w:val="none"/>
          <w:lang w:val="zh-CN"/>
        </w:rPr>
        <w:t>代表本公司授权</w:t>
      </w:r>
      <w:r>
        <w:rPr>
          <w:rFonts w:hint="eastAsia" w:ascii="宋体" w:hAnsi="宋体" w:cs="宋体"/>
          <w:bCs/>
          <w:color w:val="000000"/>
          <w:szCs w:val="21"/>
          <w:highlight w:val="none"/>
          <w:u w:val="single"/>
          <w:lang w:val="zh-CN"/>
        </w:rPr>
        <w:t>（被授权人单位名称）</w:t>
      </w:r>
      <w:r>
        <w:rPr>
          <w:rFonts w:hint="eastAsia" w:ascii="宋体" w:hAnsi="宋体" w:cs="宋体"/>
          <w:bCs/>
          <w:color w:val="000000"/>
          <w:szCs w:val="21"/>
          <w:highlight w:val="none"/>
          <w:lang w:val="zh-CN"/>
        </w:rPr>
        <w:t>的</w:t>
      </w:r>
      <w:r>
        <w:rPr>
          <w:rFonts w:hint="eastAsia" w:ascii="宋体" w:hAnsi="宋体" w:cs="宋体"/>
          <w:bCs/>
          <w:color w:val="000000"/>
          <w:szCs w:val="21"/>
          <w:highlight w:val="none"/>
          <w:u w:val="single"/>
          <w:lang w:val="zh-CN"/>
        </w:rPr>
        <w:t xml:space="preserve">(被授权人姓名、职务)   </w:t>
      </w:r>
      <w:r>
        <w:rPr>
          <w:rFonts w:hint="eastAsia" w:ascii="宋体" w:hAnsi="宋体" w:cs="宋体"/>
          <w:bCs/>
          <w:color w:val="000000"/>
          <w:szCs w:val="21"/>
          <w:highlight w:val="none"/>
          <w:lang w:val="zh-CN"/>
        </w:rPr>
        <w:t>为本公司的合法代理人，就</w:t>
      </w:r>
      <w:r>
        <w:rPr>
          <w:rFonts w:hint="eastAsia" w:ascii="宋体" w:hAnsi="宋体" w:cs="宋体"/>
          <w:bCs/>
          <w:color w:val="000000"/>
          <w:szCs w:val="21"/>
          <w:highlight w:val="none"/>
          <w:u w:val="single"/>
          <w:lang w:val="zh-CN"/>
        </w:rPr>
        <w:t>（项目名称）</w:t>
      </w:r>
      <w:r>
        <w:rPr>
          <w:rFonts w:hint="eastAsia" w:ascii="宋体" w:hAnsi="宋体" w:cs="宋体"/>
          <w:bCs/>
          <w:color w:val="000000"/>
          <w:szCs w:val="21"/>
          <w:highlight w:val="none"/>
          <w:lang w:val="zh-CN"/>
        </w:rPr>
        <w:t>项目（编号为</w:t>
      </w:r>
      <w:r>
        <w:rPr>
          <w:rFonts w:hint="eastAsia" w:ascii="宋体" w:hAnsi="宋体" w:cs="宋体"/>
          <w:bCs/>
          <w:color w:val="000000"/>
          <w:szCs w:val="21"/>
          <w:highlight w:val="none"/>
          <w:u w:val="single"/>
        </w:rPr>
        <w:t xml:space="preserve">    </w:t>
      </w:r>
      <w:r>
        <w:rPr>
          <w:rFonts w:hint="eastAsia" w:ascii="宋体" w:hAnsi="宋体" w:cs="宋体"/>
          <w:bCs/>
          <w:color w:val="0000FF"/>
          <w:szCs w:val="21"/>
          <w:highlight w:val="none"/>
          <w:u w:val="single"/>
        </w:rPr>
        <w:t xml:space="preserve"> </w:t>
      </w:r>
      <w:r>
        <w:rPr>
          <w:rFonts w:hint="eastAsia" w:ascii="宋体" w:hAnsi="宋体" w:cs="宋体"/>
          <w:bCs/>
          <w:color w:val="0000FF"/>
          <w:szCs w:val="21"/>
          <w:highlight w:val="none"/>
          <w:u w:val="single"/>
          <w:lang w:val="zh-CN"/>
        </w:rPr>
        <w:t xml:space="preserve"> </w:t>
      </w:r>
      <w:r>
        <w:rPr>
          <w:rFonts w:hint="eastAsia" w:ascii="宋体" w:hAnsi="宋体" w:cs="宋体"/>
          <w:bCs/>
          <w:color w:val="000000"/>
          <w:szCs w:val="21"/>
          <w:highlight w:val="none"/>
          <w:lang w:val="zh-CN"/>
        </w:rPr>
        <w:t>）的投标以及合同的签约、执行、完成和保修等全权负责，以本公司名义处理一切与之有关的事务。代理人在投标、开标、评标、合同签订和履行过程中所签署的一切文件和处理的与之有关的一切事务，我均予以承认。代理人无转委托权。</w:t>
      </w:r>
    </w:p>
    <w:p w14:paraId="0A8A262B">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本授权书于</w:t>
      </w:r>
      <w:r>
        <w:rPr>
          <w:rFonts w:hint="eastAsia" w:ascii="宋体" w:hAnsi="宋体" w:cs="宋体"/>
          <w:bCs/>
          <w:color w:val="000000"/>
          <w:szCs w:val="21"/>
          <w:highlight w:val="none"/>
          <w:u w:val="single"/>
          <w:lang w:val="zh-CN"/>
        </w:rPr>
        <w:t xml:space="preserve">         年   月   日签字生效</w:t>
      </w:r>
      <w:r>
        <w:rPr>
          <w:rFonts w:hint="eastAsia" w:ascii="宋体" w:hAnsi="宋体" w:cs="宋体"/>
          <w:bCs/>
          <w:color w:val="000000"/>
          <w:szCs w:val="21"/>
          <w:highlight w:val="none"/>
          <w:lang w:val="zh-CN"/>
        </w:rPr>
        <w:t>，特此声明。</w:t>
      </w:r>
    </w:p>
    <w:p w14:paraId="5F4EB16E">
      <w:pPr>
        <w:autoSpaceDE w:val="0"/>
        <w:autoSpaceDN w:val="0"/>
        <w:adjustRightInd w:val="0"/>
        <w:spacing w:line="360" w:lineRule="auto"/>
        <w:ind w:firstLine="480"/>
        <w:rPr>
          <w:rFonts w:hint="eastAsia" w:ascii="宋体" w:hAnsi="宋体" w:cs="宋体"/>
          <w:bCs/>
          <w:color w:val="000000"/>
          <w:szCs w:val="21"/>
          <w:highlight w:val="none"/>
          <w:lang w:val="zh-CN"/>
        </w:rPr>
      </w:pPr>
    </w:p>
    <w:p w14:paraId="634779B9">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投标人名称（加盖公章）：</w:t>
      </w:r>
    </w:p>
    <w:p w14:paraId="7E4289DC">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地址：</w:t>
      </w:r>
    </w:p>
    <w:p w14:paraId="0014FAA6">
      <w:pPr>
        <w:autoSpaceDE w:val="0"/>
        <w:autoSpaceDN w:val="0"/>
        <w:adjustRightInd w:val="0"/>
        <w:spacing w:line="360" w:lineRule="auto"/>
        <w:ind w:firstLine="465"/>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授权人（法定代表人）签名：</w:t>
      </w:r>
    </w:p>
    <w:p w14:paraId="40CAE06C">
      <w:pPr>
        <w:autoSpaceDE w:val="0"/>
        <w:autoSpaceDN w:val="0"/>
        <w:adjustRightInd w:val="0"/>
        <w:spacing w:line="360" w:lineRule="auto"/>
        <w:ind w:firstLine="420" w:firstLineChars="20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被授权人（代理人）签名：</w:t>
      </w:r>
    </w:p>
    <w:p w14:paraId="6C4CE4F5">
      <w:pPr>
        <w:autoSpaceDE w:val="0"/>
        <w:autoSpaceDN w:val="0"/>
        <w:adjustRightInd w:val="0"/>
        <w:spacing w:line="360" w:lineRule="auto"/>
        <w:ind w:firstLine="495"/>
        <w:rPr>
          <w:rFonts w:hint="eastAsia" w:ascii="宋体" w:hAnsi="宋体" w:cs="宋体"/>
          <w:b/>
          <w:color w:val="000000"/>
          <w:szCs w:val="21"/>
          <w:highlight w:val="none"/>
          <w:lang w:val="zh-CN"/>
        </w:rPr>
      </w:pPr>
    </w:p>
    <w:p w14:paraId="77D03E9E">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后附委托代理人身份证复印件。</w:t>
      </w:r>
    </w:p>
    <w:p w14:paraId="070EBC48">
      <w:pPr>
        <w:autoSpaceDE w:val="0"/>
        <w:autoSpaceDN w:val="0"/>
        <w:adjustRightInd w:val="0"/>
        <w:rPr>
          <w:rFonts w:hint="eastAsia" w:ascii="宋体" w:hAnsi="宋体" w:cs="宋体"/>
          <w:bCs/>
          <w:color w:val="000000"/>
          <w:sz w:val="24"/>
          <w:highlight w:val="none"/>
          <w:lang w:val="zh-CN"/>
        </w:rPr>
      </w:pPr>
    </w:p>
    <w:p w14:paraId="7C00E2BA">
      <w:pPr>
        <w:autoSpaceDE w:val="0"/>
        <w:autoSpaceDN w:val="0"/>
        <w:adjustRightInd w:val="0"/>
        <w:outlineLvl w:val="0"/>
        <w:rPr>
          <w:rFonts w:hint="eastAsia" w:ascii="宋体" w:hAnsi="宋体" w:cs="宋体"/>
          <w:bCs/>
          <w:color w:val="000000"/>
          <w:sz w:val="24"/>
          <w:highlight w:val="none"/>
          <w:lang w:val="zh-CN"/>
        </w:rPr>
      </w:pPr>
    </w:p>
    <w:p w14:paraId="42CB2DAE">
      <w:pPr>
        <w:autoSpaceDE w:val="0"/>
        <w:autoSpaceDN w:val="0"/>
        <w:adjustRightInd w:val="0"/>
        <w:outlineLvl w:val="0"/>
        <w:rPr>
          <w:rFonts w:hint="eastAsia" w:ascii="宋体" w:hAnsi="宋体" w:cs="宋体"/>
          <w:bCs/>
          <w:color w:val="000000"/>
          <w:sz w:val="24"/>
          <w:highlight w:val="none"/>
          <w:lang w:val="zh-CN"/>
        </w:rPr>
      </w:pPr>
    </w:p>
    <w:p w14:paraId="306A6FA2">
      <w:pPr>
        <w:autoSpaceDE w:val="0"/>
        <w:autoSpaceDN w:val="0"/>
        <w:adjustRightInd w:val="0"/>
        <w:rPr>
          <w:rFonts w:hint="eastAsia" w:ascii="宋体" w:hAnsi="宋体" w:cs="宋体"/>
          <w:bCs/>
          <w:color w:val="000000"/>
          <w:sz w:val="24"/>
          <w:highlight w:val="none"/>
          <w:lang w:val="zh-CN"/>
        </w:rPr>
        <w:sectPr>
          <w:footerReference r:id="rId8" w:type="default"/>
          <w:footerReference r:id="rId9" w:type="even"/>
          <w:pgSz w:w="11906" w:h="16838"/>
          <w:pgMar w:top="1440" w:right="1752" w:bottom="1440" w:left="1797" w:header="851" w:footer="737" w:gutter="0"/>
          <w:cols w:space="720" w:num="1"/>
          <w:docGrid w:linePitch="490" w:charSpace="0"/>
        </w:sectPr>
      </w:pPr>
    </w:p>
    <w:p w14:paraId="1C33BCD9">
      <w:pPr>
        <w:autoSpaceDE w:val="0"/>
        <w:autoSpaceDN w:val="0"/>
        <w:adjustRightInd w:val="0"/>
        <w:spacing w:line="360" w:lineRule="auto"/>
        <w:jc w:val="center"/>
        <w:rPr>
          <w:rFonts w:hint="eastAsia" w:ascii="宋体" w:hAnsi="宋体" w:cs="宋体"/>
          <w:bCs/>
          <w:color w:val="000000"/>
          <w:sz w:val="30"/>
          <w:szCs w:val="30"/>
          <w:highlight w:val="none"/>
          <w:lang w:val="zh-CN"/>
        </w:rPr>
      </w:pPr>
      <w:r>
        <w:rPr>
          <w:rFonts w:hint="eastAsia" w:ascii="宋体" w:hAnsi="宋体" w:cs="宋体"/>
          <w:bCs/>
          <w:color w:val="000000"/>
          <w:sz w:val="30"/>
          <w:szCs w:val="30"/>
          <w:highlight w:val="none"/>
          <w:lang w:val="zh-CN"/>
        </w:rPr>
        <w:t>三、开标一览表</w:t>
      </w:r>
    </w:p>
    <w:p w14:paraId="59FAED55">
      <w:pPr>
        <w:autoSpaceDE w:val="0"/>
        <w:autoSpaceDN w:val="0"/>
        <w:adjustRightInd w:val="0"/>
        <w:spacing w:line="360" w:lineRule="auto"/>
        <w:rPr>
          <w:rFonts w:hint="eastAsia" w:ascii="宋体" w:hAnsi="宋体" w:cs="宋体"/>
          <w:bCs/>
          <w:color w:val="000000"/>
          <w:szCs w:val="21"/>
          <w:highlight w:val="none"/>
        </w:rPr>
      </w:pPr>
      <w:r>
        <w:rPr>
          <w:rFonts w:hint="eastAsia" w:ascii="宋体" w:hAnsi="宋体" w:cs="宋体"/>
          <w:bCs/>
          <w:color w:val="000000"/>
          <w:szCs w:val="21"/>
          <w:highlight w:val="none"/>
          <w:lang w:val="zh-CN"/>
        </w:rPr>
        <w:t>项目名称：</w:t>
      </w:r>
      <w:r>
        <w:rPr>
          <w:rFonts w:hint="eastAsia" w:ascii="宋体" w:hAnsi="宋体" w:cs="宋体"/>
          <w:bCs/>
          <w:color w:val="000000"/>
          <w:szCs w:val="21"/>
          <w:highlight w:val="none"/>
        </w:rPr>
        <w:t xml:space="preserve"> </w:t>
      </w:r>
    </w:p>
    <w:p w14:paraId="49BC49DD">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项目编号：</w:t>
      </w:r>
    </w:p>
    <w:p w14:paraId="2D2F836B">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开标时间：</w:t>
      </w:r>
    </w:p>
    <w:tbl>
      <w:tblPr>
        <w:tblStyle w:val="38"/>
        <w:tblpPr w:leftFromText="180" w:rightFromText="180" w:vertAnchor="text" w:horzAnchor="margin" w:tblpXSpec="center" w:tblpY="304"/>
        <w:tblW w:w="9187" w:type="dxa"/>
        <w:tblInd w:w="0" w:type="dxa"/>
        <w:tblLayout w:type="fixed"/>
        <w:tblCellMar>
          <w:top w:w="0" w:type="dxa"/>
          <w:left w:w="108" w:type="dxa"/>
          <w:bottom w:w="0" w:type="dxa"/>
          <w:right w:w="108" w:type="dxa"/>
        </w:tblCellMar>
      </w:tblPr>
      <w:tblGrid>
        <w:gridCol w:w="711"/>
        <w:gridCol w:w="2188"/>
        <w:gridCol w:w="1134"/>
        <w:gridCol w:w="992"/>
        <w:gridCol w:w="2081"/>
        <w:gridCol w:w="2081"/>
      </w:tblGrid>
      <w:tr w14:paraId="0676ECA9">
        <w:tblPrEx>
          <w:tblCellMar>
            <w:top w:w="0" w:type="dxa"/>
            <w:left w:w="108" w:type="dxa"/>
            <w:bottom w:w="0" w:type="dxa"/>
            <w:right w:w="108" w:type="dxa"/>
          </w:tblCellMar>
        </w:tblPrEx>
        <w:trPr>
          <w:trHeight w:val="1405" w:hRule="atLeast"/>
        </w:trPr>
        <w:tc>
          <w:tcPr>
            <w:tcW w:w="711" w:type="dxa"/>
            <w:tcBorders>
              <w:top w:val="single" w:color="auto" w:sz="4" w:space="0"/>
              <w:left w:val="single" w:color="auto" w:sz="4" w:space="0"/>
              <w:bottom w:val="nil"/>
              <w:right w:val="single" w:color="auto" w:sz="4" w:space="0"/>
            </w:tcBorders>
            <w:noWrap w:val="0"/>
            <w:vAlign w:val="center"/>
          </w:tcPr>
          <w:p w14:paraId="42D1DFCE">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序号</w:t>
            </w:r>
          </w:p>
        </w:tc>
        <w:tc>
          <w:tcPr>
            <w:tcW w:w="2188" w:type="dxa"/>
            <w:tcBorders>
              <w:top w:val="single" w:color="auto" w:sz="4" w:space="0"/>
              <w:left w:val="single" w:color="auto" w:sz="4" w:space="0"/>
              <w:bottom w:val="nil"/>
              <w:right w:val="single" w:color="auto" w:sz="4" w:space="0"/>
            </w:tcBorders>
            <w:noWrap w:val="0"/>
            <w:vAlign w:val="center"/>
          </w:tcPr>
          <w:p w14:paraId="2863FEF4">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投标人名称</w:t>
            </w:r>
          </w:p>
        </w:tc>
        <w:tc>
          <w:tcPr>
            <w:tcW w:w="1134" w:type="dxa"/>
            <w:tcBorders>
              <w:top w:val="single" w:color="auto" w:sz="4" w:space="0"/>
              <w:left w:val="single" w:color="auto" w:sz="4" w:space="0"/>
              <w:bottom w:val="nil"/>
              <w:right w:val="single" w:color="auto" w:sz="4" w:space="0"/>
            </w:tcBorders>
            <w:noWrap w:val="0"/>
            <w:vAlign w:val="center"/>
          </w:tcPr>
          <w:p w14:paraId="02B5CC46">
            <w:pPr>
              <w:keepNext w:val="0"/>
              <w:keepLines w:val="0"/>
              <w:suppressLineNumbers w:val="0"/>
              <w:spacing w:before="0" w:beforeAutospacing="0" w:after="0" w:afterAutospacing="0"/>
              <w:ind w:left="0" w:right="0"/>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投标报价</w:t>
            </w:r>
          </w:p>
          <w:p w14:paraId="0E60B5C5">
            <w:pPr>
              <w:keepNext w:val="0"/>
              <w:keepLines w:val="0"/>
              <w:suppressLineNumbers w:val="0"/>
              <w:spacing w:before="0" w:beforeAutospacing="0" w:after="0" w:afterAutospacing="0"/>
              <w:ind w:left="0" w:right="0"/>
              <w:jc w:val="center"/>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（万元）</w:t>
            </w:r>
          </w:p>
        </w:tc>
        <w:tc>
          <w:tcPr>
            <w:tcW w:w="992" w:type="dxa"/>
            <w:tcBorders>
              <w:top w:val="single" w:color="auto" w:sz="4" w:space="0"/>
              <w:left w:val="single" w:color="auto" w:sz="4" w:space="0"/>
              <w:right w:val="single" w:color="000000" w:sz="6" w:space="0"/>
            </w:tcBorders>
            <w:noWrap w:val="0"/>
            <w:vAlign w:val="center"/>
          </w:tcPr>
          <w:p w14:paraId="2C0D87EB">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合同履行期限</w:t>
            </w:r>
          </w:p>
        </w:tc>
        <w:tc>
          <w:tcPr>
            <w:tcW w:w="2081" w:type="dxa"/>
            <w:tcBorders>
              <w:top w:val="single" w:color="000000" w:sz="6" w:space="0"/>
              <w:left w:val="single" w:color="000000" w:sz="6" w:space="0"/>
              <w:right w:val="single" w:color="000000" w:sz="6" w:space="0"/>
            </w:tcBorders>
            <w:noWrap w:val="0"/>
            <w:vAlign w:val="center"/>
          </w:tcPr>
          <w:p w14:paraId="7D43C2B9">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服务承诺（有/无）</w:t>
            </w:r>
          </w:p>
        </w:tc>
        <w:tc>
          <w:tcPr>
            <w:tcW w:w="2081" w:type="dxa"/>
            <w:tcBorders>
              <w:top w:val="single" w:color="000000" w:sz="6" w:space="0"/>
              <w:left w:val="single" w:color="000000" w:sz="6" w:space="0"/>
              <w:right w:val="single" w:color="000000" w:sz="6" w:space="0"/>
            </w:tcBorders>
            <w:noWrap w:val="0"/>
            <w:vAlign w:val="center"/>
          </w:tcPr>
          <w:p w14:paraId="5ECAB97B">
            <w:pPr>
              <w:keepNext w:val="0"/>
              <w:keepLines w:val="0"/>
              <w:suppressLineNumbers w:val="0"/>
              <w:autoSpaceDE w:val="0"/>
              <w:autoSpaceDN w:val="0"/>
              <w:adjustRightInd w:val="0"/>
              <w:spacing w:before="0" w:beforeAutospacing="0" w:after="0" w:afterAutospacing="0"/>
              <w:ind w:left="0" w:right="0"/>
              <w:jc w:val="center"/>
              <w:rPr>
                <w:rFonts w:ascii="宋体" w:hAnsi="宋体" w:cs="宋体"/>
                <w:color w:val="000000"/>
                <w:kern w:val="0"/>
                <w:szCs w:val="21"/>
                <w:highlight w:val="none"/>
              </w:rPr>
            </w:pPr>
            <w:r>
              <w:rPr>
                <w:rFonts w:hint="eastAsia" w:ascii="宋体" w:hAnsi="宋体" w:cs="宋体"/>
                <w:color w:val="000000"/>
                <w:kern w:val="0"/>
                <w:szCs w:val="21"/>
                <w:highlight w:val="none"/>
                <w:lang w:val="en-US" w:eastAsia="zh-CN"/>
              </w:rPr>
              <w:t>服务质量</w:t>
            </w:r>
          </w:p>
        </w:tc>
      </w:tr>
      <w:tr w14:paraId="2A2C08EF">
        <w:tblPrEx>
          <w:tblCellMar>
            <w:top w:w="0" w:type="dxa"/>
            <w:left w:w="108" w:type="dxa"/>
            <w:bottom w:w="0" w:type="dxa"/>
            <w:right w:w="108" w:type="dxa"/>
          </w:tblCellMar>
        </w:tblPrEx>
        <w:trPr>
          <w:trHeight w:val="1435" w:hRule="atLeast"/>
        </w:trPr>
        <w:tc>
          <w:tcPr>
            <w:tcW w:w="711" w:type="dxa"/>
            <w:tcBorders>
              <w:top w:val="single" w:color="auto" w:sz="4" w:space="0"/>
              <w:left w:val="single" w:color="auto" w:sz="4" w:space="0"/>
              <w:bottom w:val="single" w:color="auto" w:sz="4" w:space="0"/>
              <w:right w:val="single" w:color="auto" w:sz="4" w:space="0"/>
            </w:tcBorders>
            <w:noWrap w:val="0"/>
            <w:vAlign w:val="center"/>
          </w:tcPr>
          <w:p w14:paraId="7BC16EE7">
            <w:pPr>
              <w:keepNext w:val="0"/>
              <w:keepLines w:val="0"/>
              <w:suppressLineNumbers w:val="0"/>
              <w:autoSpaceDE w:val="0"/>
              <w:autoSpaceDN w:val="0"/>
              <w:adjustRightInd w:val="0"/>
              <w:spacing w:before="0" w:beforeAutospacing="0" w:after="0" w:afterAutospacing="0"/>
              <w:ind w:left="0" w:right="0"/>
              <w:rPr>
                <w:rFonts w:hint="eastAsia" w:ascii="宋体" w:hAnsi="宋体" w:cs="宋体"/>
                <w:color w:val="000000"/>
                <w:kern w:val="0"/>
                <w:szCs w:val="21"/>
                <w:highlight w:val="none"/>
              </w:rPr>
            </w:pPr>
            <w:r>
              <w:rPr>
                <w:rFonts w:hint="eastAsia" w:ascii="宋体" w:hAnsi="宋体" w:cs="宋体"/>
                <w:color w:val="000000"/>
                <w:kern w:val="0"/>
                <w:szCs w:val="21"/>
                <w:highlight w:val="none"/>
              </w:rPr>
              <w:t>1</w:t>
            </w:r>
          </w:p>
        </w:tc>
        <w:tc>
          <w:tcPr>
            <w:tcW w:w="2188" w:type="dxa"/>
            <w:tcBorders>
              <w:top w:val="single" w:color="auto" w:sz="4" w:space="0"/>
              <w:left w:val="single" w:color="auto" w:sz="4" w:space="0"/>
              <w:bottom w:val="single" w:color="auto" w:sz="4" w:space="0"/>
              <w:right w:val="single" w:color="auto" w:sz="4" w:space="0"/>
            </w:tcBorders>
            <w:noWrap w:val="0"/>
            <w:vAlign w:val="center"/>
          </w:tcPr>
          <w:p w14:paraId="51589C13">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000000"/>
                <w:kern w:val="0"/>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1D14431">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000000"/>
                <w:kern w:val="0"/>
                <w:szCs w:val="21"/>
                <w:highlight w:val="none"/>
              </w:rPr>
            </w:pPr>
          </w:p>
        </w:tc>
        <w:tc>
          <w:tcPr>
            <w:tcW w:w="992" w:type="dxa"/>
            <w:tcBorders>
              <w:top w:val="single" w:color="auto" w:sz="4" w:space="0"/>
              <w:left w:val="single" w:color="auto" w:sz="4" w:space="0"/>
              <w:bottom w:val="single" w:color="auto" w:sz="4" w:space="0"/>
              <w:right w:val="single" w:color="000000" w:sz="6" w:space="0"/>
            </w:tcBorders>
            <w:noWrap w:val="0"/>
            <w:vAlign w:val="center"/>
          </w:tcPr>
          <w:p w14:paraId="7DE86603">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000000"/>
                <w:kern w:val="0"/>
                <w:szCs w:val="21"/>
                <w:highlight w:val="none"/>
              </w:rPr>
            </w:pPr>
          </w:p>
        </w:tc>
        <w:tc>
          <w:tcPr>
            <w:tcW w:w="2081" w:type="dxa"/>
            <w:tcBorders>
              <w:top w:val="single" w:color="000000" w:sz="6" w:space="0"/>
              <w:left w:val="single" w:color="000000" w:sz="6" w:space="0"/>
              <w:bottom w:val="single" w:color="000000" w:sz="6" w:space="0"/>
              <w:right w:val="single" w:color="000000" w:sz="6" w:space="0"/>
            </w:tcBorders>
            <w:noWrap w:val="0"/>
            <w:vAlign w:val="top"/>
          </w:tcPr>
          <w:p w14:paraId="5CE512B4">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000000"/>
                <w:kern w:val="0"/>
                <w:szCs w:val="21"/>
                <w:highlight w:val="none"/>
              </w:rPr>
            </w:pPr>
          </w:p>
        </w:tc>
        <w:tc>
          <w:tcPr>
            <w:tcW w:w="2081" w:type="dxa"/>
            <w:tcBorders>
              <w:top w:val="single" w:color="000000" w:sz="6" w:space="0"/>
              <w:left w:val="single" w:color="000000" w:sz="6" w:space="0"/>
              <w:bottom w:val="single" w:color="000000" w:sz="6" w:space="0"/>
              <w:right w:val="single" w:color="000000" w:sz="6" w:space="0"/>
            </w:tcBorders>
            <w:noWrap w:val="0"/>
            <w:vAlign w:val="top"/>
          </w:tcPr>
          <w:p w14:paraId="6D9048F8">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color w:val="000000"/>
                <w:kern w:val="0"/>
                <w:szCs w:val="21"/>
                <w:highlight w:val="none"/>
              </w:rPr>
            </w:pPr>
          </w:p>
        </w:tc>
      </w:tr>
    </w:tbl>
    <w:p w14:paraId="4B497670">
      <w:pPr>
        <w:autoSpaceDE w:val="0"/>
        <w:autoSpaceDN w:val="0"/>
        <w:adjustRightInd w:val="0"/>
        <w:spacing w:line="360" w:lineRule="auto"/>
        <w:rPr>
          <w:rFonts w:hint="eastAsia" w:ascii="宋体" w:hAnsi="宋体" w:cs="宋体"/>
          <w:bCs/>
          <w:color w:val="000000"/>
          <w:sz w:val="24"/>
          <w:highlight w:val="none"/>
        </w:rPr>
      </w:pPr>
    </w:p>
    <w:p w14:paraId="3041FA2A">
      <w:pPr>
        <w:autoSpaceDE w:val="0"/>
        <w:autoSpaceDN w:val="0"/>
        <w:adjustRightInd w:val="0"/>
        <w:spacing w:line="360" w:lineRule="auto"/>
        <w:jc w:val="left"/>
        <w:rPr>
          <w:rFonts w:hint="eastAsia" w:ascii="宋体" w:hAnsi="宋体" w:cs="宋体"/>
          <w:b/>
          <w:color w:val="000000"/>
          <w:szCs w:val="21"/>
          <w:highlight w:val="none"/>
        </w:rPr>
      </w:pPr>
      <w:r>
        <w:rPr>
          <w:rFonts w:hint="eastAsia" w:ascii="宋体" w:hAnsi="宋体" w:cs="宋体"/>
          <w:b/>
          <w:color w:val="000000"/>
          <w:szCs w:val="21"/>
          <w:highlight w:val="none"/>
        </w:rPr>
        <w:t>投标人：   （盖章）                         法定代表人</w:t>
      </w:r>
      <w:r>
        <w:rPr>
          <w:rFonts w:hint="eastAsia" w:ascii="宋体" w:hAnsi="宋体" w:cs="宋体"/>
          <w:b/>
          <w:bCs/>
          <w:color w:val="000000"/>
          <w:szCs w:val="21"/>
          <w:highlight w:val="none"/>
          <w:lang w:val="zh-CN"/>
        </w:rPr>
        <w:t>或授权代理人</w:t>
      </w:r>
      <w:r>
        <w:rPr>
          <w:rFonts w:hint="eastAsia" w:ascii="宋体" w:hAnsi="宋体" w:cs="宋体"/>
          <w:b/>
          <w:color w:val="000000"/>
          <w:szCs w:val="21"/>
          <w:highlight w:val="none"/>
        </w:rPr>
        <w:t>：（签字或盖章）                 日    期：</w:t>
      </w:r>
    </w:p>
    <w:p w14:paraId="774464D0">
      <w:pPr>
        <w:autoSpaceDE w:val="0"/>
        <w:autoSpaceDN w:val="0"/>
        <w:adjustRightInd w:val="0"/>
        <w:spacing w:line="360" w:lineRule="auto"/>
        <w:jc w:val="left"/>
        <w:rPr>
          <w:rFonts w:hint="eastAsia" w:ascii="宋体" w:hAnsi="宋体" w:cs="宋体"/>
          <w:b/>
          <w:color w:val="000000"/>
          <w:szCs w:val="21"/>
          <w:highlight w:val="none"/>
          <w:lang w:val="zh-CN"/>
        </w:rPr>
      </w:pPr>
      <w:r>
        <w:rPr>
          <w:rFonts w:hint="eastAsia" w:ascii="宋体" w:hAnsi="宋体" w:cs="宋体"/>
          <w:b/>
          <w:color w:val="000000"/>
          <w:szCs w:val="21"/>
          <w:highlight w:val="none"/>
        </w:rPr>
        <w:t>注：</w:t>
      </w:r>
    </w:p>
    <w:p w14:paraId="59719624">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1.“开标一览表”用于开标时唱标使用。</w:t>
      </w:r>
    </w:p>
    <w:p w14:paraId="25883A78">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rPr>
        <w:t>2</w:t>
      </w:r>
      <w:r>
        <w:rPr>
          <w:rFonts w:hint="eastAsia" w:ascii="宋体" w:hAnsi="宋体" w:cs="宋体"/>
          <w:bCs/>
          <w:color w:val="000000"/>
          <w:szCs w:val="21"/>
          <w:highlight w:val="none"/>
          <w:lang w:val="zh-CN"/>
        </w:rPr>
        <w:t>、“开标一览表”中各个栏目都必须完整、准确填写。开标时，“开标一览表”的所有内容都不允许补充或者修改，有明显计算错误的除外。</w:t>
      </w:r>
    </w:p>
    <w:p w14:paraId="684E5CC3">
      <w:pPr>
        <w:widowControl/>
        <w:tabs>
          <w:tab w:val="left" w:pos="525"/>
        </w:tabs>
        <w:autoSpaceDE w:val="0"/>
        <w:autoSpaceDN w:val="0"/>
        <w:spacing w:line="360" w:lineRule="auto"/>
        <w:ind w:right="893"/>
        <w:textAlignment w:val="bottom"/>
        <w:rPr>
          <w:rFonts w:hint="eastAsia" w:ascii="宋体" w:hAnsi="宋体" w:cs="宋体"/>
          <w:bCs/>
          <w:color w:val="000000"/>
          <w:szCs w:val="21"/>
          <w:highlight w:val="none"/>
          <w:lang w:val="zh-CN"/>
        </w:rPr>
      </w:pPr>
      <w:r>
        <w:rPr>
          <w:rFonts w:hint="eastAsia" w:ascii="宋体" w:hAnsi="宋体" w:cs="宋体"/>
          <w:bCs/>
          <w:color w:val="000000"/>
          <w:szCs w:val="21"/>
          <w:highlight w:val="none"/>
        </w:rPr>
        <w:t>3</w:t>
      </w:r>
      <w:r>
        <w:rPr>
          <w:rFonts w:hint="eastAsia" w:ascii="宋体" w:hAnsi="宋体" w:cs="宋体"/>
          <w:bCs/>
          <w:color w:val="000000"/>
          <w:szCs w:val="21"/>
          <w:highlight w:val="none"/>
          <w:lang w:val="zh-CN"/>
        </w:rPr>
        <w:t>、投标货币为人民币。</w:t>
      </w:r>
    </w:p>
    <w:p w14:paraId="0BECF616">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r>
        <w:rPr>
          <w:rFonts w:hint="eastAsia" w:ascii="宋体" w:hAnsi="宋体" w:cs="宋体"/>
          <w:bCs/>
          <w:color w:val="000000"/>
          <w:szCs w:val="21"/>
          <w:highlight w:val="none"/>
        </w:rPr>
        <w:t>4</w:t>
      </w:r>
      <w:r>
        <w:rPr>
          <w:rFonts w:hint="eastAsia" w:ascii="宋体" w:hAnsi="宋体" w:cs="宋体"/>
          <w:bCs/>
          <w:color w:val="000000"/>
          <w:szCs w:val="21"/>
          <w:highlight w:val="none"/>
          <w:lang w:val="zh-CN"/>
        </w:rPr>
        <w:t>、以上报价含整个服务期内发生的一切费用。</w:t>
      </w:r>
    </w:p>
    <w:p w14:paraId="0BCC2360">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1E431E6F">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6E410CAD">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00BE8F6D">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45ACF4C3">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11F6C04C">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63281844">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52060E00">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2D73D419">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1717B735">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5F164B01">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0DA1DA5D">
      <w:pPr>
        <w:widowControl/>
        <w:tabs>
          <w:tab w:val="left" w:pos="525"/>
        </w:tabs>
        <w:autoSpaceDE w:val="0"/>
        <w:autoSpaceDN w:val="0"/>
        <w:spacing w:line="360" w:lineRule="auto"/>
        <w:ind w:right="1"/>
        <w:textAlignment w:val="bottom"/>
        <w:rPr>
          <w:rFonts w:hint="eastAsia" w:ascii="宋体" w:hAnsi="宋体" w:cs="宋体"/>
          <w:bCs/>
          <w:color w:val="000000"/>
          <w:szCs w:val="21"/>
          <w:highlight w:val="none"/>
          <w:lang w:val="zh-CN"/>
        </w:rPr>
      </w:pPr>
    </w:p>
    <w:p w14:paraId="54DA33DF">
      <w:pPr>
        <w:pStyle w:val="19"/>
        <w:rPr>
          <w:rFonts w:hint="eastAsia" w:hAnsi="宋体" w:cs="宋体"/>
          <w:bCs/>
          <w:color w:val="000000"/>
          <w:highlight w:val="none"/>
          <w:lang w:val="zh-CN"/>
        </w:rPr>
      </w:pPr>
    </w:p>
    <w:p w14:paraId="276F08C5">
      <w:pPr>
        <w:pStyle w:val="19"/>
        <w:spacing w:line="360" w:lineRule="auto"/>
        <w:jc w:val="center"/>
        <w:rPr>
          <w:rFonts w:hint="eastAsia" w:hAnsi="宋体" w:cs="宋体"/>
          <w:color w:val="000000"/>
          <w:kern w:val="44"/>
          <w:sz w:val="30"/>
          <w:szCs w:val="30"/>
          <w:highlight w:val="none"/>
        </w:rPr>
      </w:pPr>
      <w:r>
        <w:rPr>
          <w:rFonts w:hint="eastAsia" w:hAnsi="宋体" w:cs="宋体"/>
          <w:color w:val="000000"/>
          <w:kern w:val="44"/>
          <w:sz w:val="30"/>
          <w:szCs w:val="30"/>
          <w:highlight w:val="none"/>
        </w:rPr>
        <w:t>四、</w:t>
      </w:r>
      <w:r>
        <w:rPr>
          <w:rFonts w:hint="eastAsia" w:hAnsi="宋体" w:cs="宋体"/>
          <w:color w:val="000000"/>
          <w:kern w:val="44"/>
          <w:sz w:val="30"/>
          <w:szCs w:val="30"/>
          <w:highlight w:val="none"/>
          <w:lang w:val="en-US" w:eastAsia="zh-CN"/>
        </w:rPr>
        <w:t>商务条款</w:t>
      </w:r>
      <w:r>
        <w:rPr>
          <w:rFonts w:hint="eastAsia" w:hAnsi="宋体" w:cs="宋体"/>
          <w:color w:val="000000"/>
          <w:kern w:val="44"/>
          <w:sz w:val="30"/>
          <w:szCs w:val="30"/>
          <w:highlight w:val="none"/>
        </w:rPr>
        <w:t>偏离表</w:t>
      </w:r>
    </w:p>
    <w:p w14:paraId="66FB5943">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项目名称：</w:t>
      </w:r>
    </w:p>
    <w:p w14:paraId="2839AED2">
      <w:pPr>
        <w:pStyle w:val="19"/>
        <w:rPr>
          <w:rFonts w:hint="eastAsia" w:hAnsi="宋体" w:cs="宋体"/>
          <w:bCs/>
          <w:color w:val="000000"/>
          <w:highlight w:val="none"/>
          <w:lang w:val="zh-CN"/>
        </w:rPr>
      </w:pPr>
      <w:r>
        <w:rPr>
          <w:rFonts w:hint="eastAsia" w:hAnsi="宋体" w:cs="宋体"/>
          <w:bCs/>
          <w:color w:val="000000"/>
          <w:highlight w:val="none"/>
          <w:lang w:val="zh-CN"/>
        </w:rPr>
        <w:t>项目编号：</w:t>
      </w:r>
    </w:p>
    <w:tbl>
      <w:tblPr>
        <w:tblStyle w:val="38"/>
        <w:tblpPr w:leftFromText="180" w:rightFromText="180" w:vertAnchor="text" w:horzAnchor="page" w:tblpX="1153" w:tblpY="189"/>
        <w:tblOverlap w:val="never"/>
        <w:tblW w:w="9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2952"/>
        <w:gridCol w:w="4008"/>
        <w:gridCol w:w="1704"/>
      </w:tblGrid>
      <w:tr w14:paraId="7BD89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7" w:type="dxa"/>
            <w:noWrap w:val="0"/>
            <w:vAlign w:val="top"/>
          </w:tcPr>
          <w:p w14:paraId="5846D50C">
            <w:pPr>
              <w:keepNext w:val="0"/>
              <w:keepLines w:val="0"/>
              <w:suppressLineNumbers w:val="0"/>
              <w:spacing w:before="120" w:beforeAutospacing="0" w:after="0" w:afterAutospacing="0" w:line="360" w:lineRule="auto"/>
              <w:ind w:left="0" w:right="0"/>
              <w:jc w:val="center"/>
              <w:rPr>
                <w:rFonts w:hint="eastAsia" w:ascii="宋体" w:hAnsi="宋体" w:cs="宋体"/>
                <w:color w:val="000000"/>
                <w:szCs w:val="21"/>
                <w:highlight w:val="none"/>
              </w:rPr>
            </w:pPr>
            <w:r>
              <w:rPr>
                <w:rFonts w:hint="eastAsia" w:ascii="宋体" w:hAnsi="宋体" w:cs="宋体"/>
                <w:color w:val="000000"/>
                <w:szCs w:val="21"/>
                <w:highlight w:val="none"/>
              </w:rPr>
              <w:t>序号</w:t>
            </w:r>
          </w:p>
        </w:tc>
        <w:tc>
          <w:tcPr>
            <w:tcW w:w="2952" w:type="dxa"/>
            <w:noWrap w:val="0"/>
            <w:vAlign w:val="center"/>
          </w:tcPr>
          <w:p w14:paraId="575EEEFE">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r>
              <w:rPr>
                <w:rFonts w:hint="eastAsia" w:ascii="宋体" w:hAnsi="宋体" w:cs="宋体"/>
                <w:color w:val="000000"/>
                <w:szCs w:val="21"/>
                <w:highlight w:val="none"/>
              </w:rPr>
              <w:t>招标文件要求</w:t>
            </w:r>
          </w:p>
        </w:tc>
        <w:tc>
          <w:tcPr>
            <w:tcW w:w="4008" w:type="dxa"/>
            <w:noWrap w:val="0"/>
            <w:vAlign w:val="center"/>
          </w:tcPr>
          <w:p w14:paraId="2C48B5C6">
            <w:pPr>
              <w:keepNext w:val="0"/>
              <w:keepLines w:val="0"/>
              <w:suppressLineNumbers w:val="0"/>
              <w:spacing w:before="120" w:beforeAutospacing="0" w:after="0" w:afterAutospacing="0" w:line="360" w:lineRule="auto"/>
              <w:ind w:left="0" w:right="0"/>
              <w:jc w:val="center"/>
              <w:rPr>
                <w:rFonts w:hint="eastAsia" w:ascii="宋体" w:hAnsi="宋体" w:cs="宋体"/>
                <w:color w:val="000000"/>
                <w:szCs w:val="21"/>
                <w:highlight w:val="none"/>
              </w:rPr>
            </w:pPr>
            <w:r>
              <w:rPr>
                <w:rFonts w:hint="eastAsia" w:ascii="宋体" w:hAnsi="宋体" w:cs="宋体"/>
                <w:color w:val="000000"/>
                <w:szCs w:val="21"/>
                <w:highlight w:val="none"/>
              </w:rPr>
              <w:t>投标文件应答</w:t>
            </w:r>
          </w:p>
        </w:tc>
        <w:tc>
          <w:tcPr>
            <w:tcW w:w="1704" w:type="dxa"/>
            <w:noWrap w:val="0"/>
            <w:vAlign w:val="center"/>
          </w:tcPr>
          <w:p w14:paraId="2D4057F1">
            <w:pPr>
              <w:keepNext w:val="0"/>
              <w:keepLines w:val="0"/>
              <w:suppressLineNumbers w:val="0"/>
              <w:spacing w:before="120" w:beforeAutospacing="0" w:after="0" w:afterAutospacing="0" w:line="360" w:lineRule="auto"/>
              <w:ind w:left="0" w:right="0"/>
              <w:jc w:val="center"/>
              <w:rPr>
                <w:rFonts w:hint="eastAsia" w:ascii="宋体" w:hAnsi="宋体" w:cs="宋体"/>
                <w:color w:val="000000"/>
                <w:szCs w:val="21"/>
                <w:highlight w:val="none"/>
              </w:rPr>
            </w:pPr>
            <w:r>
              <w:rPr>
                <w:rFonts w:hint="eastAsia" w:ascii="宋体" w:hAnsi="宋体" w:cs="宋体"/>
                <w:color w:val="000000"/>
                <w:szCs w:val="21"/>
                <w:highlight w:val="none"/>
              </w:rPr>
              <w:t>是否正偏离</w:t>
            </w:r>
          </w:p>
        </w:tc>
      </w:tr>
      <w:tr w14:paraId="791DC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noWrap w:val="0"/>
            <w:vAlign w:val="top"/>
          </w:tcPr>
          <w:p w14:paraId="6ED8A1CA">
            <w:pPr>
              <w:keepNext w:val="0"/>
              <w:keepLines w:val="0"/>
              <w:suppressLineNumbers w:val="0"/>
              <w:spacing w:before="120" w:beforeAutospacing="0" w:after="120" w:afterAutospacing="0" w:line="360" w:lineRule="auto"/>
              <w:ind w:left="0" w:right="0"/>
              <w:jc w:val="center"/>
              <w:rPr>
                <w:rFonts w:ascii="宋体" w:hAnsi="宋体" w:cs="宋体"/>
                <w:color w:val="000000"/>
                <w:szCs w:val="21"/>
                <w:highlight w:val="none"/>
              </w:rPr>
            </w:pPr>
            <w:r>
              <w:rPr>
                <w:rFonts w:hint="eastAsia" w:ascii="宋体" w:hAnsi="宋体" w:cs="宋体"/>
                <w:color w:val="000000"/>
                <w:szCs w:val="21"/>
                <w:highlight w:val="none"/>
              </w:rPr>
              <w:t>1</w:t>
            </w:r>
          </w:p>
        </w:tc>
        <w:tc>
          <w:tcPr>
            <w:tcW w:w="2952" w:type="dxa"/>
            <w:noWrap w:val="0"/>
            <w:vAlign w:val="top"/>
          </w:tcPr>
          <w:p w14:paraId="03DAD9EB">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c>
          <w:tcPr>
            <w:tcW w:w="4008" w:type="dxa"/>
            <w:noWrap w:val="0"/>
            <w:vAlign w:val="top"/>
          </w:tcPr>
          <w:p w14:paraId="1125D91F">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c>
          <w:tcPr>
            <w:tcW w:w="1704" w:type="dxa"/>
            <w:noWrap w:val="0"/>
            <w:vAlign w:val="top"/>
          </w:tcPr>
          <w:p w14:paraId="088DB019">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r>
      <w:tr w14:paraId="222B2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noWrap w:val="0"/>
            <w:vAlign w:val="top"/>
          </w:tcPr>
          <w:p w14:paraId="2837C1FB">
            <w:pPr>
              <w:keepNext w:val="0"/>
              <w:keepLines w:val="0"/>
              <w:suppressLineNumbers w:val="0"/>
              <w:spacing w:before="120" w:beforeAutospacing="0" w:after="120" w:afterAutospacing="0" w:line="360" w:lineRule="auto"/>
              <w:ind w:left="0" w:right="0"/>
              <w:jc w:val="center"/>
              <w:rPr>
                <w:rFonts w:ascii="宋体" w:hAnsi="宋体" w:cs="宋体"/>
                <w:color w:val="000000"/>
                <w:szCs w:val="21"/>
                <w:highlight w:val="none"/>
              </w:rPr>
            </w:pPr>
            <w:r>
              <w:rPr>
                <w:rFonts w:hint="eastAsia" w:ascii="宋体" w:hAnsi="宋体" w:cs="宋体"/>
                <w:color w:val="000000"/>
                <w:szCs w:val="21"/>
                <w:highlight w:val="none"/>
              </w:rPr>
              <w:t>2</w:t>
            </w:r>
          </w:p>
        </w:tc>
        <w:tc>
          <w:tcPr>
            <w:tcW w:w="2952" w:type="dxa"/>
            <w:noWrap w:val="0"/>
            <w:vAlign w:val="top"/>
          </w:tcPr>
          <w:p w14:paraId="76F222E3">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c>
          <w:tcPr>
            <w:tcW w:w="4008" w:type="dxa"/>
            <w:noWrap w:val="0"/>
            <w:vAlign w:val="top"/>
          </w:tcPr>
          <w:p w14:paraId="2B827145">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c>
          <w:tcPr>
            <w:tcW w:w="1704" w:type="dxa"/>
            <w:noWrap w:val="0"/>
            <w:vAlign w:val="top"/>
          </w:tcPr>
          <w:p w14:paraId="5C56998B">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r>
      <w:tr w14:paraId="1377D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noWrap w:val="0"/>
            <w:vAlign w:val="top"/>
          </w:tcPr>
          <w:p w14:paraId="5B5409AE">
            <w:pPr>
              <w:keepNext w:val="0"/>
              <w:keepLines w:val="0"/>
              <w:suppressLineNumbers w:val="0"/>
              <w:spacing w:before="120" w:beforeAutospacing="0" w:after="120" w:afterAutospacing="0" w:line="360" w:lineRule="auto"/>
              <w:ind w:left="0" w:right="0"/>
              <w:jc w:val="center"/>
              <w:rPr>
                <w:rFonts w:ascii="宋体" w:hAnsi="宋体" w:cs="宋体"/>
                <w:color w:val="000000"/>
                <w:szCs w:val="21"/>
                <w:highlight w:val="none"/>
              </w:rPr>
            </w:pPr>
            <w:r>
              <w:rPr>
                <w:rFonts w:hint="eastAsia" w:ascii="宋体" w:hAnsi="宋体" w:cs="宋体"/>
                <w:color w:val="000000"/>
                <w:szCs w:val="21"/>
                <w:highlight w:val="none"/>
              </w:rPr>
              <w:t>3</w:t>
            </w:r>
          </w:p>
        </w:tc>
        <w:tc>
          <w:tcPr>
            <w:tcW w:w="2952" w:type="dxa"/>
            <w:noWrap w:val="0"/>
            <w:vAlign w:val="top"/>
          </w:tcPr>
          <w:p w14:paraId="7A070878">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c>
          <w:tcPr>
            <w:tcW w:w="4008" w:type="dxa"/>
            <w:noWrap w:val="0"/>
            <w:vAlign w:val="top"/>
          </w:tcPr>
          <w:p w14:paraId="158E2F73">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c>
          <w:tcPr>
            <w:tcW w:w="1704" w:type="dxa"/>
            <w:noWrap w:val="0"/>
            <w:vAlign w:val="top"/>
          </w:tcPr>
          <w:p w14:paraId="3DAE4CCB">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r>
      <w:tr w14:paraId="209CF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noWrap w:val="0"/>
            <w:vAlign w:val="top"/>
          </w:tcPr>
          <w:p w14:paraId="68069AAE">
            <w:pPr>
              <w:keepNext w:val="0"/>
              <w:keepLines w:val="0"/>
              <w:suppressLineNumbers w:val="0"/>
              <w:spacing w:before="120" w:beforeAutospacing="0" w:after="120" w:afterAutospacing="0" w:line="360" w:lineRule="auto"/>
              <w:ind w:left="0" w:right="0"/>
              <w:jc w:val="center"/>
              <w:rPr>
                <w:rFonts w:ascii="宋体" w:hAnsi="宋体" w:cs="宋体"/>
                <w:color w:val="000000"/>
                <w:szCs w:val="21"/>
                <w:highlight w:val="none"/>
              </w:rPr>
            </w:pPr>
            <w:r>
              <w:rPr>
                <w:rFonts w:hint="eastAsia" w:ascii="宋体" w:hAnsi="宋体" w:cs="宋体"/>
                <w:color w:val="000000"/>
                <w:szCs w:val="21"/>
                <w:highlight w:val="none"/>
              </w:rPr>
              <w:t>4</w:t>
            </w:r>
          </w:p>
        </w:tc>
        <w:tc>
          <w:tcPr>
            <w:tcW w:w="2952" w:type="dxa"/>
            <w:noWrap w:val="0"/>
            <w:vAlign w:val="top"/>
          </w:tcPr>
          <w:p w14:paraId="368E7728">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c>
          <w:tcPr>
            <w:tcW w:w="4008" w:type="dxa"/>
            <w:noWrap w:val="0"/>
            <w:vAlign w:val="top"/>
          </w:tcPr>
          <w:p w14:paraId="33C0BE27">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c>
          <w:tcPr>
            <w:tcW w:w="1704" w:type="dxa"/>
            <w:noWrap w:val="0"/>
            <w:vAlign w:val="top"/>
          </w:tcPr>
          <w:p w14:paraId="7B714898">
            <w:pPr>
              <w:keepNext w:val="0"/>
              <w:keepLines w:val="0"/>
              <w:suppressLineNumbers w:val="0"/>
              <w:spacing w:before="120" w:beforeAutospacing="0" w:after="120" w:afterAutospacing="0" w:line="360" w:lineRule="auto"/>
              <w:ind w:left="0" w:right="0"/>
              <w:jc w:val="center"/>
              <w:rPr>
                <w:rFonts w:hint="eastAsia" w:ascii="宋体" w:hAnsi="宋体" w:cs="宋体"/>
                <w:color w:val="000000"/>
                <w:szCs w:val="21"/>
                <w:highlight w:val="none"/>
              </w:rPr>
            </w:pPr>
          </w:p>
        </w:tc>
      </w:tr>
    </w:tbl>
    <w:p w14:paraId="7F871DF6">
      <w:pPr>
        <w:rPr>
          <w:rFonts w:hint="eastAsia" w:ascii="宋体" w:hAnsi="宋体" w:cs="宋体"/>
          <w:b/>
          <w:bCs/>
          <w:color w:val="000000"/>
          <w:szCs w:val="21"/>
          <w:highlight w:val="none"/>
        </w:rPr>
      </w:pPr>
      <w:r>
        <w:rPr>
          <w:rFonts w:hint="eastAsia" w:ascii="宋体" w:hAnsi="宋体" w:cs="宋体"/>
          <w:b/>
          <w:bCs/>
          <w:color w:val="000000"/>
          <w:szCs w:val="21"/>
          <w:highlight w:val="none"/>
        </w:rPr>
        <w:t>注：投标人所应答条款，如有偏离，应将偏离项在此表中列出。如无偏离，视为完全响应招标文件要求，无需列出，此表填“无偏离，完全响应招标文件要求”。</w:t>
      </w:r>
    </w:p>
    <w:p w14:paraId="7F185389">
      <w:pPr>
        <w:rPr>
          <w:rFonts w:hint="eastAsia" w:ascii="宋体" w:hAnsi="宋体" w:cs="宋体"/>
          <w:color w:val="000000"/>
          <w:szCs w:val="21"/>
          <w:highlight w:val="none"/>
        </w:rPr>
      </w:pPr>
    </w:p>
    <w:p w14:paraId="26314CC3">
      <w:pPr>
        <w:spacing w:line="48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 xml:space="preserve">投标人（盖章）：         </w:t>
      </w:r>
    </w:p>
    <w:p w14:paraId="28480A66">
      <w:pPr>
        <w:spacing w:line="48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法定代表人或授权代理人（盖章或签字）：              日期：</w:t>
      </w:r>
    </w:p>
    <w:p w14:paraId="5253D9E3">
      <w:pPr>
        <w:rPr>
          <w:rFonts w:hint="eastAsia" w:ascii="宋体" w:hAnsi="宋体" w:cs="宋体"/>
          <w:color w:val="000000"/>
          <w:szCs w:val="21"/>
          <w:highlight w:val="none"/>
        </w:rPr>
      </w:pPr>
    </w:p>
    <w:p w14:paraId="44583429">
      <w:pPr>
        <w:autoSpaceDE w:val="0"/>
        <w:autoSpaceDN w:val="0"/>
        <w:adjustRightInd w:val="0"/>
        <w:rPr>
          <w:rFonts w:hint="eastAsia" w:ascii="宋体" w:hAnsi="宋体" w:cs="宋体"/>
          <w:bCs/>
          <w:color w:val="000000"/>
          <w:sz w:val="32"/>
          <w:szCs w:val="32"/>
          <w:highlight w:val="none"/>
          <w:lang w:val="zh-CN"/>
        </w:rPr>
      </w:pPr>
    </w:p>
    <w:p w14:paraId="4E54E942">
      <w:pPr>
        <w:autoSpaceDE w:val="0"/>
        <w:autoSpaceDN w:val="0"/>
        <w:adjustRightInd w:val="0"/>
        <w:rPr>
          <w:rFonts w:hint="eastAsia" w:ascii="宋体" w:hAnsi="宋体" w:cs="宋体"/>
          <w:bCs/>
          <w:color w:val="000000"/>
          <w:sz w:val="32"/>
          <w:szCs w:val="32"/>
          <w:highlight w:val="none"/>
          <w:lang w:val="zh-CN"/>
        </w:rPr>
      </w:pPr>
    </w:p>
    <w:p w14:paraId="5C4782D1">
      <w:pPr>
        <w:autoSpaceDE w:val="0"/>
        <w:autoSpaceDN w:val="0"/>
        <w:adjustRightInd w:val="0"/>
        <w:jc w:val="center"/>
        <w:rPr>
          <w:rFonts w:hint="eastAsia" w:ascii="宋体" w:hAnsi="宋体" w:cs="宋体"/>
          <w:bCs/>
          <w:color w:val="000000"/>
          <w:sz w:val="32"/>
          <w:szCs w:val="32"/>
          <w:highlight w:val="none"/>
          <w:lang w:val="zh-CN"/>
        </w:rPr>
      </w:pPr>
    </w:p>
    <w:p w14:paraId="03547455">
      <w:pPr>
        <w:autoSpaceDE w:val="0"/>
        <w:autoSpaceDN w:val="0"/>
        <w:adjustRightInd w:val="0"/>
        <w:jc w:val="center"/>
        <w:rPr>
          <w:rFonts w:hint="eastAsia" w:ascii="宋体" w:hAnsi="宋体" w:cs="宋体"/>
          <w:bCs/>
          <w:color w:val="000000"/>
          <w:sz w:val="32"/>
          <w:szCs w:val="32"/>
          <w:highlight w:val="none"/>
          <w:lang w:val="zh-CN"/>
        </w:rPr>
      </w:pPr>
    </w:p>
    <w:p w14:paraId="568D8159">
      <w:pPr>
        <w:autoSpaceDE w:val="0"/>
        <w:autoSpaceDN w:val="0"/>
        <w:adjustRightInd w:val="0"/>
        <w:jc w:val="center"/>
        <w:rPr>
          <w:rFonts w:hint="eastAsia" w:ascii="宋体" w:hAnsi="宋体" w:cs="宋体"/>
          <w:bCs/>
          <w:color w:val="000000"/>
          <w:sz w:val="32"/>
          <w:szCs w:val="32"/>
          <w:highlight w:val="none"/>
          <w:lang w:val="zh-CN"/>
        </w:rPr>
      </w:pPr>
    </w:p>
    <w:p w14:paraId="50CD140B">
      <w:pPr>
        <w:autoSpaceDE w:val="0"/>
        <w:autoSpaceDN w:val="0"/>
        <w:adjustRightInd w:val="0"/>
        <w:jc w:val="center"/>
        <w:rPr>
          <w:rFonts w:hint="eastAsia" w:ascii="宋体" w:hAnsi="宋体" w:cs="宋体"/>
          <w:bCs/>
          <w:color w:val="000000"/>
          <w:sz w:val="32"/>
          <w:szCs w:val="32"/>
          <w:highlight w:val="none"/>
          <w:lang w:val="zh-CN"/>
        </w:rPr>
      </w:pPr>
    </w:p>
    <w:p w14:paraId="4262E75F">
      <w:pPr>
        <w:autoSpaceDE w:val="0"/>
        <w:autoSpaceDN w:val="0"/>
        <w:adjustRightInd w:val="0"/>
        <w:jc w:val="center"/>
        <w:rPr>
          <w:rFonts w:hint="eastAsia" w:ascii="宋体" w:hAnsi="宋体" w:cs="宋体"/>
          <w:bCs/>
          <w:color w:val="000000"/>
          <w:sz w:val="32"/>
          <w:szCs w:val="32"/>
          <w:highlight w:val="none"/>
          <w:lang w:val="zh-CN"/>
        </w:rPr>
      </w:pPr>
    </w:p>
    <w:p w14:paraId="72A43369">
      <w:pPr>
        <w:autoSpaceDE w:val="0"/>
        <w:autoSpaceDN w:val="0"/>
        <w:adjustRightInd w:val="0"/>
        <w:jc w:val="center"/>
        <w:rPr>
          <w:rFonts w:hint="eastAsia" w:ascii="宋体" w:hAnsi="宋体" w:cs="宋体"/>
          <w:bCs/>
          <w:color w:val="000000"/>
          <w:sz w:val="32"/>
          <w:szCs w:val="32"/>
          <w:highlight w:val="none"/>
          <w:lang w:val="zh-CN"/>
        </w:rPr>
      </w:pPr>
    </w:p>
    <w:p w14:paraId="7B1D4407">
      <w:pPr>
        <w:autoSpaceDE w:val="0"/>
        <w:autoSpaceDN w:val="0"/>
        <w:adjustRightInd w:val="0"/>
        <w:rPr>
          <w:rFonts w:hint="eastAsia" w:ascii="宋体" w:hAnsi="宋体" w:cs="宋体"/>
          <w:bCs/>
          <w:color w:val="000000"/>
          <w:sz w:val="32"/>
          <w:szCs w:val="32"/>
          <w:highlight w:val="none"/>
          <w:lang w:val="zh-CN"/>
        </w:rPr>
      </w:pPr>
    </w:p>
    <w:p w14:paraId="4B86E050">
      <w:pPr>
        <w:autoSpaceDE w:val="0"/>
        <w:autoSpaceDN w:val="0"/>
        <w:adjustRightInd w:val="0"/>
        <w:rPr>
          <w:rFonts w:hint="eastAsia" w:ascii="宋体" w:hAnsi="宋体" w:cs="宋体"/>
          <w:bCs/>
          <w:color w:val="000000"/>
          <w:sz w:val="32"/>
          <w:szCs w:val="32"/>
          <w:highlight w:val="none"/>
          <w:lang w:val="zh-CN"/>
        </w:rPr>
      </w:pPr>
    </w:p>
    <w:p w14:paraId="6A1903A4">
      <w:pPr>
        <w:autoSpaceDE w:val="0"/>
        <w:autoSpaceDN w:val="0"/>
        <w:adjustRightInd w:val="0"/>
        <w:rPr>
          <w:rFonts w:hint="eastAsia" w:ascii="宋体" w:hAnsi="宋体" w:cs="宋体"/>
          <w:bCs/>
          <w:color w:val="000000"/>
          <w:sz w:val="32"/>
          <w:szCs w:val="32"/>
          <w:highlight w:val="none"/>
          <w:lang w:val="zh-CN"/>
        </w:rPr>
      </w:pPr>
    </w:p>
    <w:p w14:paraId="661CD517">
      <w:pPr>
        <w:autoSpaceDE w:val="0"/>
        <w:autoSpaceDN w:val="0"/>
        <w:adjustRightInd w:val="0"/>
        <w:rPr>
          <w:rFonts w:hint="eastAsia" w:ascii="宋体" w:hAnsi="宋体" w:cs="宋体"/>
          <w:bCs/>
          <w:color w:val="000000"/>
          <w:sz w:val="32"/>
          <w:szCs w:val="32"/>
          <w:highlight w:val="none"/>
          <w:lang w:val="zh-CN"/>
        </w:rPr>
      </w:pPr>
    </w:p>
    <w:p w14:paraId="7B333E9A">
      <w:pPr>
        <w:autoSpaceDE w:val="0"/>
        <w:autoSpaceDN w:val="0"/>
        <w:adjustRightInd w:val="0"/>
        <w:rPr>
          <w:rFonts w:hint="eastAsia" w:ascii="宋体" w:hAnsi="宋体" w:cs="宋体"/>
          <w:bCs/>
          <w:color w:val="000000"/>
          <w:sz w:val="32"/>
          <w:szCs w:val="32"/>
          <w:highlight w:val="none"/>
          <w:lang w:val="zh-CN"/>
        </w:rPr>
      </w:pPr>
    </w:p>
    <w:p w14:paraId="07191D4A">
      <w:pPr>
        <w:autoSpaceDE w:val="0"/>
        <w:autoSpaceDN w:val="0"/>
        <w:adjustRightInd w:val="0"/>
        <w:rPr>
          <w:rFonts w:hint="eastAsia" w:ascii="宋体" w:hAnsi="宋体" w:cs="宋体"/>
          <w:bCs/>
          <w:color w:val="000000"/>
          <w:sz w:val="32"/>
          <w:szCs w:val="32"/>
          <w:highlight w:val="none"/>
          <w:lang w:val="zh-CN"/>
        </w:rPr>
      </w:pPr>
    </w:p>
    <w:p w14:paraId="4CADC8C9">
      <w:pPr>
        <w:pStyle w:val="73"/>
        <w:rPr>
          <w:rFonts w:hint="eastAsia" w:eastAsia="宋体"/>
          <w:bCs/>
          <w:sz w:val="32"/>
          <w:szCs w:val="32"/>
          <w:highlight w:val="none"/>
          <w:lang w:val="zh-CN"/>
        </w:rPr>
      </w:pPr>
    </w:p>
    <w:p w14:paraId="7200EC84">
      <w:pPr>
        <w:pStyle w:val="73"/>
        <w:rPr>
          <w:rFonts w:hint="eastAsia" w:eastAsia="宋体"/>
          <w:bCs/>
          <w:sz w:val="32"/>
          <w:szCs w:val="32"/>
          <w:highlight w:val="none"/>
          <w:lang w:val="zh-CN"/>
        </w:rPr>
      </w:pPr>
    </w:p>
    <w:p w14:paraId="66794272">
      <w:pPr>
        <w:autoSpaceDE w:val="0"/>
        <w:autoSpaceDN w:val="0"/>
        <w:adjustRightInd w:val="0"/>
        <w:jc w:val="center"/>
        <w:rPr>
          <w:rFonts w:hint="eastAsia" w:ascii="宋体" w:hAnsi="宋体" w:cs="宋体"/>
          <w:bCs/>
          <w:color w:val="000000"/>
          <w:sz w:val="30"/>
          <w:szCs w:val="30"/>
          <w:highlight w:val="none"/>
          <w:lang w:val="zh-CN"/>
        </w:rPr>
      </w:pPr>
      <w:r>
        <w:rPr>
          <w:rFonts w:hint="eastAsia" w:ascii="宋体" w:hAnsi="宋体" w:cs="宋体"/>
          <w:bCs/>
          <w:color w:val="000000"/>
          <w:sz w:val="30"/>
          <w:szCs w:val="30"/>
          <w:highlight w:val="none"/>
          <w:lang w:val="zh-CN"/>
        </w:rPr>
        <w:t>五、投标人基本情况</w:t>
      </w:r>
    </w:p>
    <w:p w14:paraId="449E5B30">
      <w:pPr>
        <w:autoSpaceDE w:val="0"/>
        <w:autoSpaceDN w:val="0"/>
        <w:adjustRightInd w:val="0"/>
        <w:ind w:firstLine="435"/>
        <w:rPr>
          <w:rFonts w:hint="eastAsia" w:ascii="宋体" w:hAnsi="宋体" w:cs="宋体"/>
          <w:bCs/>
          <w:color w:val="000000"/>
          <w:szCs w:val="21"/>
          <w:highlight w:val="none"/>
          <w:lang w:val="zh-CN"/>
        </w:rPr>
      </w:pPr>
    </w:p>
    <w:tbl>
      <w:tblPr>
        <w:tblStyle w:val="38"/>
        <w:tblpPr w:leftFromText="180" w:rightFromText="180" w:vertAnchor="page" w:horzAnchor="margin" w:tblpY="2581"/>
        <w:tblW w:w="88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5"/>
        <w:gridCol w:w="898"/>
        <w:gridCol w:w="899"/>
        <w:gridCol w:w="1258"/>
        <w:gridCol w:w="180"/>
        <w:gridCol w:w="343"/>
        <w:gridCol w:w="1094"/>
        <w:gridCol w:w="360"/>
        <w:gridCol w:w="1200"/>
        <w:gridCol w:w="884"/>
      </w:tblGrid>
      <w:tr w14:paraId="7DA38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noWrap w:val="0"/>
            <w:vAlign w:val="center"/>
          </w:tcPr>
          <w:p w14:paraId="4C222E6D">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投标人名称</w:t>
            </w:r>
          </w:p>
        </w:tc>
        <w:tc>
          <w:tcPr>
            <w:tcW w:w="7116" w:type="dxa"/>
            <w:gridSpan w:val="9"/>
            <w:noWrap w:val="0"/>
            <w:vAlign w:val="center"/>
          </w:tcPr>
          <w:p w14:paraId="0D82C3E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10B0F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noWrap w:val="0"/>
            <w:vAlign w:val="center"/>
          </w:tcPr>
          <w:p w14:paraId="001ED70D">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注册地址</w:t>
            </w:r>
          </w:p>
        </w:tc>
        <w:tc>
          <w:tcPr>
            <w:tcW w:w="3578" w:type="dxa"/>
            <w:gridSpan w:val="5"/>
            <w:noWrap w:val="0"/>
            <w:vAlign w:val="center"/>
          </w:tcPr>
          <w:p w14:paraId="29D7B290">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094" w:type="dxa"/>
            <w:noWrap w:val="0"/>
            <w:vAlign w:val="center"/>
          </w:tcPr>
          <w:p w14:paraId="269F7B37">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邮政编码</w:t>
            </w:r>
          </w:p>
        </w:tc>
        <w:tc>
          <w:tcPr>
            <w:tcW w:w="2444" w:type="dxa"/>
            <w:gridSpan w:val="3"/>
            <w:noWrap w:val="0"/>
            <w:vAlign w:val="center"/>
          </w:tcPr>
          <w:p w14:paraId="6615EB9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5EEC5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vMerge w:val="restart"/>
            <w:noWrap w:val="0"/>
            <w:vAlign w:val="center"/>
          </w:tcPr>
          <w:p w14:paraId="5F14EE0E">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联系方式</w:t>
            </w:r>
          </w:p>
        </w:tc>
        <w:tc>
          <w:tcPr>
            <w:tcW w:w="898" w:type="dxa"/>
            <w:noWrap w:val="0"/>
            <w:vAlign w:val="center"/>
          </w:tcPr>
          <w:p w14:paraId="1E0EDF47">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联系人</w:t>
            </w:r>
          </w:p>
        </w:tc>
        <w:tc>
          <w:tcPr>
            <w:tcW w:w="2680" w:type="dxa"/>
            <w:gridSpan w:val="4"/>
            <w:noWrap w:val="0"/>
            <w:vAlign w:val="center"/>
          </w:tcPr>
          <w:p w14:paraId="404BCF58">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094" w:type="dxa"/>
            <w:noWrap w:val="0"/>
            <w:vAlign w:val="center"/>
          </w:tcPr>
          <w:p w14:paraId="4B399528">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电话</w:t>
            </w:r>
          </w:p>
        </w:tc>
        <w:tc>
          <w:tcPr>
            <w:tcW w:w="2444" w:type="dxa"/>
            <w:gridSpan w:val="3"/>
            <w:noWrap w:val="0"/>
            <w:vAlign w:val="center"/>
          </w:tcPr>
          <w:p w14:paraId="72519AEA">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35747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1725" w:type="dxa"/>
            <w:vMerge w:val="continue"/>
            <w:noWrap w:val="0"/>
            <w:vAlign w:val="center"/>
          </w:tcPr>
          <w:p w14:paraId="1E38388C">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898" w:type="dxa"/>
            <w:noWrap w:val="0"/>
            <w:vAlign w:val="center"/>
          </w:tcPr>
          <w:p w14:paraId="0FC99C0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传真</w:t>
            </w:r>
          </w:p>
        </w:tc>
        <w:tc>
          <w:tcPr>
            <w:tcW w:w="2680" w:type="dxa"/>
            <w:gridSpan w:val="4"/>
            <w:noWrap w:val="0"/>
            <w:vAlign w:val="center"/>
          </w:tcPr>
          <w:p w14:paraId="6D679592">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094" w:type="dxa"/>
            <w:noWrap w:val="0"/>
            <w:vAlign w:val="center"/>
          </w:tcPr>
          <w:p w14:paraId="0148449B">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网址</w:t>
            </w:r>
          </w:p>
        </w:tc>
        <w:tc>
          <w:tcPr>
            <w:tcW w:w="2444" w:type="dxa"/>
            <w:gridSpan w:val="3"/>
            <w:noWrap w:val="0"/>
            <w:vAlign w:val="center"/>
          </w:tcPr>
          <w:p w14:paraId="0EDED12A">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046F9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noWrap w:val="0"/>
            <w:vAlign w:val="center"/>
          </w:tcPr>
          <w:p w14:paraId="3A9AD1F3">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组织结构</w:t>
            </w:r>
          </w:p>
        </w:tc>
        <w:tc>
          <w:tcPr>
            <w:tcW w:w="7116" w:type="dxa"/>
            <w:gridSpan w:val="9"/>
            <w:noWrap w:val="0"/>
            <w:vAlign w:val="center"/>
          </w:tcPr>
          <w:p w14:paraId="0C4D26E4">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02CAB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noWrap w:val="0"/>
            <w:vAlign w:val="center"/>
          </w:tcPr>
          <w:p w14:paraId="5E78EF50">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法定代表人</w:t>
            </w:r>
          </w:p>
        </w:tc>
        <w:tc>
          <w:tcPr>
            <w:tcW w:w="898" w:type="dxa"/>
            <w:noWrap w:val="0"/>
            <w:vAlign w:val="center"/>
          </w:tcPr>
          <w:p w14:paraId="2A2DF049">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姓名</w:t>
            </w:r>
          </w:p>
        </w:tc>
        <w:tc>
          <w:tcPr>
            <w:tcW w:w="899" w:type="dxa"/>
            <w:noWrap w:val="0"/>
            <w:vAlign w:val="center"/>
          </w:tcPr>
          <w:p w14:paraId="7A6BD591">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438" w:type="dxa"/>
            <w:gridSpan w:val="2"/>
            <w:noWrap w:val="0"/>
            <w:vAlign w:val="center"/>
          </w:tcPr>
          <w:p w14:paraId="78FF172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技术职称</w:t>
            </w:r>
          </w:p>
        </w:tc>
        <w:tc>
          <w:tcPr>
            <w:tcW w:w="1797" w:type="dxa"/>
            <w:gridSpan w:val="3"/>
            <w:noWrap w:val="0"/>
            <w:vAlign w:val="center"/>
          </w:tcPr>
          <w:p w14:paraId="5CDE8AF3">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200" w:type="dxa"/>
            <w:noWrap w:val="0"/>
            <w:vAlign w:val="center"/>
          </w:tcPr>
          <w:p w14:paraId="320C17F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电话</w:t>
            </w:r>
          </w:p>
        </w:tc>
        <w:tc>
          <w:tcPr>
            <w:tcW w:w="884" w:type="dxa"/>
            <w:noWrap w:val="0"/>
            <w:vAlign w:val="center"/>
          </w:tcPr>
          <w:p w14:paraId="1C284E37">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41975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noWrap w:val="0"/>
            <w:vAlign w:val="center"/>
          </w:tcPr>
          <w:p w14:paraId="0A01F0E6">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成立时间</w:t>
            </w:r>
          </w:p>
        </w:tc>
        <w:tc>
          <w:tcPr>
            <w:tcW w:w="1797" w:type="dxa"/>
            <w:gridSpan w:val="2"/>
            <w:noWrap w:val="0"/>
            <w:vAlign w:val="center"/>
          </w:tcPr>
          <w:p w14:paraId="11D7A7B6">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5319" w:type="dxa"/>
            <w:gridSpan w:val="7"/>
            <w:noWrap w:val="0"/>
            <w:vAlign w:val="center"/>
          </w:tcPr>
          <w:p w14:paraId="7F907C04">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员工总人数：</w:t>
            </w:r>
          </w:p>
        </w:tc>
      </w:tr>
      <w:tr w14:paraId="1A57B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trPr>
        <w:tc>
          <w:tcPr>
            <w:tcW w:w="1725" w:type="dxa"/>
            <w:noWrap w:val="0"/>
            <w:vAlign w:val="center"/>
          </w:tcPr>
          <w:p w14:paraId="358B0797">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社会信用统一代码</w:t>
            </w:r>
          </w:p>
        </w:tc>
        <w:tc>
          <w:tcPr>
            <w:tcW w:w="1797" w:type="dxa"/>
            <w:gridSpan w:val="2"/>
            <w:noWrap w:val="0"/>
            <w:vAlign w:val="center"/>
          </w:tcPr>
          <w:p w14:paraId="62233950">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258" w:type="dxa"/>
            <w:vMerge w:val="restart"/>
            <w:noWrap w:val="0"/>
            <w:vAlign w:val="center"/>
          </w:tcPr>
          <w:p w14:paraId="64AFE3BC">
            <w:pPr>
              <w:keepNext w:val="0"/>
              <w:keepLines w:val="0"/>
              <w:suppressLineNumbers w:val="0"/>
              <w:autoSpaceDE w:val="0"/>
              <w:autoSpaceDN w:val="0"/>
              <w:adjustRightInd w:val="0"/>
              <w:spacing w:before="0" w:beforeAutospacing="0" w:after="0" w:afterAutospacing="0" w:line="360" w:lineRule="auto"/>
              <w:ind w:left="0" w:right="0" w:firstLine="420" w:firstLineChars="200"/>
              <w:rPr>
                <w:rFonts w:hint="eastAsia" w:ascii="宋体" w:hAnsi="宋体" w:cs="宋体"/>
                <w:bCs/>
                <w:color w:val="000000"/>
                <w:szCs w:val="21"/>
                <w:highlight w:val="none"/>
                <w:lang w:val="zh-CN"/>
              </w:rPr>
            </w:pPr>
          </w:p>
          <w:p w14:paraId="5DEF84C4">
            <w:pPr>
              <w:keepNext w:val="0"/>
              <w:keepLines w:val="0"/>
              <w:suppressLineNumbers w:val="0"/>
              <w:autoSpaceDE w:val="0"/>
              <w:autoSpaceDN w:val="0"/>
              <w:adjustRightInd w:val="0"/>
              <w:spacing w:before="0" w:beforeAutospacing="0" w:after="0" w:afterAutospacing="0" w:line="360" w:lineRule="auto"/>
              <w:ind w:left="0" w:right="0" w:firstLine="420" w:firstLineChars="20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职称</w:t>
            </w:r>
          </w:p>
        </w:tc>
        <w:tc>
          <w:tcPr>
            <w:tcW w:w="1977" w:type="dxa"/>
            <w:gridSpan w:val="4"/>
            <w:noWrap w:val="0"/>
            <w:vAlign w:val="center"/>
          </w:tcPr>
          <w:p w14:paraId="1F13A1D3">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高级职称人员</w:t>
            </w:r>
          </w:p>
        </w:tc>
        <w:tc>
          <w:tcPr>
            <w:tcW w:w="2084" w:type="dxa"/>
            <w:gridSpan w:val="2"/>
            <w:noWrap w:val="0"/>
            <w:vAlign w:val="center"/>
          </w:tcPr>
          <w:p w14:paraId="7C194CF9">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03BDF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noWrap w:val="0"/>
            <w:vAlign w:val="center"/>
          </w:tcPr>
          <w:p w14:paraId="738CB8EE">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注册资金</w:t>
            </w:r>
          </w:p>
        </w:tc>
        <w:tc>
          <w:tcPr>
            <w:tcW w:w="1797" w:type="dxa"/>
            <w:gridSpan w:val="2"/>
            <w:noWrap w:val="0"/>
            <w:vAlign w:val="center"/>
          </w:tcPr>
          <w:p w14:paraId="380718A3">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258" w:type="dxa"/>
            <w:vMerge w:val="continue"/>
            <w:noWrap w:val="0"/>
            <w:vAlign w:val="center"/>
          </w:tcPr>
          <w:p w14:paraId="12193D3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977" w:type="dxa"/>
            <w:gridSpan w:val="4"/>
            <w:noWrap w:val="0"/>
            <w:vAlign w:val="center"/>
          </w:tcPr>
          <w:p w14:paraId="669691A6">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中级职称人员</w:t>
            </w:r>
          </w:p>
        </w:tc>
        <w:tc>
          <w:tcPr>
            <w:tcW w:w="2084" w:type="dxa"/>
            <w:gridSpan w:val="2"/>
            <w:noWrap w:val="0"/>
            <w:vAlign w:val="center"/>
          </w:tcPr>
          <w:p w14:paraId="7A78846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57071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noWrap w:val="0"/>
            <w:vAlign w:val="center"/>
          </w:tcPr>
          <w:p w14:paraId="751EB4C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开户银行</w:t>
            </w:r>
          </w:p>
        </w:tc>
        <w:tc>
          <w:tcPr>
            <w:tcW w:w="1797" w:type="dxa"/>
            <w:gridSpan w:val="2"/>
            <w:noWrap w:val="0"/>
            <w:vAlign w:val="center"/>
          </w:tcPr>
          <w:p w14:paraId="6AC0B7EC">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258" w:type="dxa"/>
            <w:vMerge w:val="continue"/>
            <w:noWrap w:val="0"/>
            <w:vAlign w:val="center"/>
          </w:tcPr>
          <w:p w14:paraId="24AB57AC">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977" w:type="dxa"/>
            <w:gridSpan w:val="4"/>
            <w:noWrap w:val="0"/>
            <w:vAlign w:val="center"/>
          </w:tcPr>
          <w:p w14:paraId="282E5754">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初级职称人员</w:t>
            </w:r>
          </w:p>
        </w:tc>
        <w:tc>
          <w:tcPr>
            <w:tcW w:w="2084" w:type="dxa"/>
            <w:gridSpan w:val="2"/>
            <w:noWrap w:val="0"/>
            <w:vAlign w:val="center"/>
          </w:tcPr>
          <w:p w14:paraId="52C4B186">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286D6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noWrap w:val="0"/>
            <w:vAlign w:val="center"/>
          </w:tcPr>
          <w:p w14:paraId="42ACE964">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账号</w:t>
            </w:r>
          </w:p>
        </w:tc>
        <w:tc>
          <w:tcPr>
            <w:tcW w:w="1797" w:type="dxa"/>
            <w:gridSpan w:val="2"/>
            <w:noWrap w:val="0"/>
            <w:vAlign w:val="center"/>
          </w:tcPr>
          <w:p w14:paraId="7E346E2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258" w:type="dxa"/>
            <w:vMerge w:val="continue"/>
            <w:noWrap w:val="0"/>
            <w:vAlign w:val="center"/>
          </w:tcPr>
          <w:p w14:paraId="5BE98EF9">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c>
          <w:tcPr>
            <w:tcW w:w="1977" w:type="dxa"/>
            <w:gridSpan w:val="4"/>
            <w:noWrap w:val="0"/>
            <w:vAlign w:val="center"/>
          </w:tcPr>
          <w:p w14:paraId="2D354F77">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技工</w:t>
            </w:r>
          </w:p>
        </w:tc>
        <w:tc>
          <w:tcPr>
            <w:tcW w:w="2084" w:type="dxa"/>
            <w:gridSpan w:val="2"/>
            <w:noWrap w:val="0"/>
            <w:vAlign w:val="center"/>
          </w:tcPr>
          <w:p w14:paraId="417F29D1">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2744E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1" w:hRule="atLeast"/>
        </w:trPr>
        <w:tc>
          <w:tcPr>
            <w:tcW w:w="1725" w:type="dxa"/>
            <w:noWrap w:val="0"/>
            <w:vAlign w:val="center"/>
          </w:tcPr>
          <w:p w14:paraId="0EF1C07B">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经营范围</w:t>
            </w:r>
          </w:p>
        </w:tc>
        <w:tc>
          <w:tcPr>
            <w:tcW w:w="7116" w:type="dxa"/>
            <w:gridSpan w:val="9"/>
            <w:noWrap w:val="0"/>
            <w:vAlign w:val="center"/>
          </w:tcPr>
          <w:p w14:paraId="598B845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r w14:paraId="2D17A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5" w:type="dxa"/>
            <w:noWrap w:val="0"/>
            <w:vAlign w:val="center"/>
          </w:tcPr>
          <w:p w14:paraId="11E1F4DE">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备注</w:t>
            </w:r>
          </w:p>
        </w:tc>
        <w:tc>
          <w:tcPr>
            <w:tcW w:w="7116" w:type="dxa"/>
            <w:gridSpan w:val="9"/>
            <w:noWrap w:val="0"/>
            <w:vAlign w:val="center"/>
          </w:tcPr>
          <w:p w14:paraId="52C4871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bCs/>
                <w:color w:val="000000"/>
                <w:szCs w:val="21"/>
                <w:highlight w:val="none"/>
                <w:lang w:val="zh-CN"/>
              </w:rPr>
            </w:pPr>
          </w:p>
        </w:tc>
      </w:tr>
    </w:tbl>
    <w:p w14:paraId="78E8EF4F">
      <w:pPr>
        <w:autoSpaceDE w:val="0"/>
        <w:autoSpaceDN w:val="0"/>
        <w:adjustRightInd w:val="0"/>
        <w:ind w:firstLine="435"/>
        <w:rPr>
          <w:rFonts w:hint="eastAsia" w:ascii="宋体" w:hAnsi="宋体" w:cs="宋体"/>
          <w:bCs/>
          <w:color w:val="000000"/>
          <w:szCs w:val="21"/>
          <w:highlight w:val="none"/>
          <w:lang w:val="zh-CN"/>
        </w:rPr>
      </w:pPr>
    </w:p>
    <w:p w14:paraId="10561866">
      <w:pPr>
        <w:autoSpaceDE w:val="0"/>
        <w:autoSpaceDN w:val="0"/>
        <w:adjustRightInd w:val="0"/>
        <w:ind w:firstLine="435"/>
        <w:rPr>
          <w:rFonts w:hint="eastAsia" w:ascii="宋体" w:hAnsi="宋体" w:cs="宋体"/>
          <w:bCs/>
          <w:color w:val="000000"/>
          <w:szCs w:val="21"/>
          <w:highlight w:val="none"/>
          <w:lang w:val="zh-CN"/>
        </w:rPr>
      </w:pPr>
    </w:p>
    <w:p w14:paraId="3668C54B">
      <w:pPr>
        <w:pStyle w:val="19"/>
        <w:spacing w:line="400" w:lineRule="atLeast"/>
        <w:rPr>
          <w:rFonts w:hint="eastAsia" w:hAnsi="宋体" w:cs="宋体"/>
          <w:b/>
          <w:color w:val="000000"/>
          <w:highlight w:val="none"/>
          <w:lang w:val="zh-CN"/>
        </w:rPr>
      </w:pPr>
      <w:r>
        <w:rPr>
          <w:rFonts w:hint="eastAsia" w:hAnsi="宋体" w:cs="宋体"/>
          <w:b/>
          <w:color w:val="000000"/>
          <w:highlight w:val="none"/>
          <w:lang w:val="zh-CN"/>
        </w:rPr>
        <w:t>注：后附营业执照、</w:t>
      </w:r>
      <w:r>
        <w:rPr>
          <w:rFonts w:hint="eastAsia" w:hAnsi="宋体" w:cs="宋体"/>
          <w:b/>
          <w:color w:val="000000"/>
          <w:highlight w:val="none"/>
          <w:lang w:val="en-US" w:eastAsia="zh-CN"/>
        </w:rPr>
        <w:t>开户许可证</w:t>
      </w:r>
      <w:r>
        <w:rPr>
          <w:rFonts w:hint="eastAsia" w:hAnsi="宋体" w:cs="宋体"/>
          <w:b/>
          <w:color w:val="000000"/>
          <w:highlight w:val="none"/>
          <w:lang w:val="zh-CN"/>
        </w:rPr>
        <w:t>等投标人认为有必要添加的复印件加盖公章</w:t>
      </w:r>
    </w:p>
    <w:p w14:paraId="00B8251B">
      <w:pPr>
        <w:pStyle w:val="19"/>
        <w:spacing w:line="400" w:lineRule="atLeast"/>
        <w:rPr>
          <w:rFonts w:hint="eastAsia" w:hAnsi="宋体" w:cs="宋体"/>
          <w:b/>
          <w:color w:val="000000"/>
          <w:highlight w:val="none"/>
          <w:lang w:val="zh-CN"/>
        </w:rPr>
      </w:pPr>
    </w:p>
    <w:p w14:paraId="346261EF">
      <w:pPr>
        <w:pStyle w:val="19"/>
        <w:spacing w:line="400" w:lineRule="atLeast"/>
        <w:rPr>
          <w:rFonts w:hint="eastAsia" w:hAnsi="宋体" w:cs="宋体"/>
          <w:b/>
          <w:color w:val="000000"/>
          <w:highlight w:val="none"/>
          <w:lang w:val="zh-CN"/>
        </w:rPr>
      </w:pPr>
    </w:p>
    <w:p w14:paraId="447354E3">
      <w:pPr>
        <w:pStyle w:val="19"/>
        <w:spacing w:line="400" w:lineRule="atLeast"/>
        <w:rPr>
          <w:rFonts w:hint="eastAsia" w:hAnsi="宋体" w:cs="宋体"/>
          <w:b/>
          <w:color w:val="000000"/>
          <w:highlight w:val="none"/>
          <w:lang w:val="zh-CN"/>
        </w:rPr>
      </w:pPr>
    </w:p>
    <w:p w14:paraId="2E54E855">
      <w:pPr>
        <w:pStyle w:val="19"/>
        <w:spacing w:line="400" w:lineRule="atLeast"/>
        <w:rPr>
          <w:rFonts w:hint="eastAsia" w:hAnsi="宋体" w:cs="宋体"/>
          <w:b/>
          <w:color w:val="000000"/>
          <w:highlight w:val="none"/>
          <w:lang w:val="zh-CN"/>
        </w:rPr>
      </w:pPr>
    </w:p>
    <w:p w14:paraId="76E2E54A">
      <w:pPr>
        <w:pStyle w:val="19"/>
        <w:spacing w:line="400" w:lineRule="atLeast"/>
        <w:rPr>
          <w:rFonts w:hint="eastAsia" w:hAnsi="宋体" w:cs="宋体"/>
          <w:b/>
          <w:color w:val="000000"/>
          <w:highlight w:val="none"/>
          <w:lang w:val="zh-CN"/>
        </w:rPr>
      </w:pPr>
    </w:p>
    <w:p w14:paraId="3059768E">
      <w:pPr>
        <w:pStyle w:val="19"/>
        <w:spacing w:line="400" w:lineRule="atLeast"/>
        <w:rPr>
          <w:rFonts w:hint="eastAsia" w:hAnsi="宋体" w:cs="宋体"/>
          <w:b/>
          <w:color w:val="000000"/>
          <w:highlight w:val="none"/>
          <w:lang w:val="zh-CN"/>
        </w:rPr>
      </w:pPr>
    </w:p>
    <w:p w14:paraId="64E501B1">
      <w:pPr>
        <w:spacing w:before="240" w:beforeLines="100" w:line="44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二</w:t>
      </w:r>
      <w:r>
        <w:rPr>
          <w:rFonts w:hint="eastAsia" w:ascii="宋体" w:hAnsi="宋体" w:eastAsia="宋体" w:cs="宋体"/>
          <w:bCs/>
          <w:sz w:val="21"/>
          <w:szCs w:val="21"/>
          <w:highlight w:val="none"/>
        </w:rPr>
        <w:t>）信誉要求</w:t>
      </w:r>
    </w:p>
    <w:p w14:paraId="7D83B7A7">
      <w:pPr>
        <w:spacing w:line="360" w:lineRule="auto"/>
        <w:ind w:firstLine="420" w:firstLineChars="200"/>
        <w:jc w:val="center"/>
        <w:rPr>
          <w:rFonts w:hint="eastAsia" w:ascii="宋体" w:hAnsi="宋体" w:eastAsia="宋体" w:cs="宋体"/>
          <w:bCs/>
          <w:sz w:val="21"/>
          <w:szCs w:val="21"/>
          <w:highlight w:val="none"/>
        </w:rPr>
      </w:pPr>
    </w:p>
    <w:p w14:paraId="338375C8">
      <w:pPr>
        <w:rPr>
          <w:rFonts w:hint="eastAsia" w:ascii="宋体" w:hAnsi="宋体" w:eastAsia="宋体" w:cs="宋体"/>
          <w:sz w:val="21"/>
          <w:szCs w:val="21"/>
          <w:highlight w:val="none"/>
        </w:rPr>
      </w:pPr>
    </w:p>
    <w:p w14:paraId="2CE82AC9">
      <w:pPr>
        <w:jc w:val="center"/>
        <w:rPr>
          <w:rFonts w:hint="eastAsia" w:ascii="宋体" w:hAnsi="宋体" w:eastAsia="宋体" w:cs="宋体"/>
          <w:b/>
          <w:sz w:val="21"/>
          <w:szCs w:val="21"/>
          <w:highlight w:val="none"/>
        </w:rPr>
      </w:pPr>
    </w:p>
    <w:p w14:paraId="2CF9F1B2">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信誉承诺书</w:t>
      </w:r>
    </w:p>
    <w:p w14:paraId="21029BFF">
      <w:pPr>
        <w:jc w:val="center"/>
        <w:rPr>
          <w:rFonts w:hint="eastAsia" w:ascii="宋体" w:hAnsi="宋体" w:eastAsia="宋体" w:cs="宋体"/>
          <w:b/>
          <w:sz w:val="21"/>
          <w:szCs w:val="21"/>
          <w:highlight w:val="none"/>
        </w:rPr>
      </w:pPr>
    </w:p>
    <w:p w14:paraId="7E407DB8">
      <w:pPr>
        <w:jc w:val="center"/>
        <w:rPr>
          <w:rFonts w:hint="eastAsia" w:ascii="宋体" w:hAnsi="宋体" w:eastAsia="宋体" w:cs="宋体"/>
          <w:b/>
          <w:sz w:val="21"/>
          <w:szCs w:val="21"/>
          <w:highlight w:val="none"/>
        </w:rPr>
      </w:pPr>
    </w:p>
    <w:p w14:paraId="2E5A6B7A">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sz w:val="21"/>
          <w:szCs w:val="21"/>
          <w:highlight w:val="none"/>
        </w:rPr>
        <w:t>我公司在此承诺无企业不良行为记录，不是政府取消投标资格记录期间的企业。</w:t>
      </w:r>
      <w:r>
        <w:rPr>
          <w:rFonts w:hint="eastAsia" w:ascii="宋体" w:hAnsi="宋体" w:eastAsia="宋体" w:cs="宋体"/>
          <w:bCs/>
          <w:sz w:val="21"/>
          <w:szCs w:val="21"/>
          <w:highlight w:val="none"/>
        </w:rPr>
        <w:t>能够自觉遵守国家法律法规、执业准则和职业道德，近三年内没有因违法违规受过行政主管部门和行业协会的行政处罚。不是被列入失信被执行人，重大税收违法案件当事人名单、政府采购严重违法失信行为记录名单的投标人。</w:t>
      </w:r>
    </w:p>
    <w:p w14:paraId="37922F32">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特此承诺！</w:t>
      </w:r>
    </w:p>
    <w:p w14:paraId="288B8443">
      <w:pPr>
        <w:wordWrap w:val="0"/>
        <w:spacing w:line="360" w:lineRule="auto"/>
        <w:ind w:right="480"/>
        <w:rPr>
          <w:rFonts w:hint="eastAsia" w:ascii="宋体" w:hAnsi="宋体" w:eastAsia="宋体" w:cs="宋体"/>
          <w:sz w:val="21"/>
          <w:szCs w:val="21"/>
          <w:highlight w:val="none"/>
        </w:rPr>
      </w:pPr>
    </w:p>
    <w:p w14:paraId="380F7B86">
      <w:pPr>
        <w:wordWrap w:val="0"/>
        <w:spacing w:line="360" w:lineRule="auto"/>
        <w:ind w:right="480"/>
        <w:rPr>
          <w:rFonts w:hint="eastAsia" w:ascii="宋体" w:hAnsi="宋体" w:eastAsia="宋体" w:cs="宋体"/>
          <w:sz w:val="21"/>
          <w:szCs w:val="21"/>
          <w:highlight w:val="none"/>
        </w:rPr>
      </w:pPr>
    </w:p>
    <w:p w14:paraId="330A3DA8">
      <w:pPr>
        <w:wordWrap w:val="0"/>
        <w:spacing w:line="360" w:lineRule="auto"/>
        <w:ind w:right="480"/>
        <w:rPr>
          <w:rFonts w:hint="eastAsia" w:ascii="宋体" w:hAnsi="宋体" w:eastAsia="宋体" w:cs="宋体"/>
          <w:sz w:val="21"/>
          <w:szCs w:val="21"/>
          <w:highlight w:val="none"/>
        </w:rPr>
      </w:pPr>
    </w:p>
    <w:p w14:paraId="490E55FF">
      <w:pPr>
        <w:wordWrap w:val="0"/>
        <w:spacing w:line="360" w:lineRule="auto"/>
        <w:ind w:right="480"/>
        <w:rPr>
          <w:rFonts w:hint="eastAsia" w:ascii="宋体" w:hAnsi="宋体" w:eastAsia="宋体" w:cs="宋体"/>
          <w:sz w:val="21"/>
          <w:szCs w:val="21"/>
          <w:highlight w:val="none"/>
        </w:rPr>
      </w:pPr>
    </w:p>
    <w:p w14:paraId="2A52BCE5">
      <w:pPr>
        <w:spacing w:line="480" w:lineRule="auto"/>
        <w:ind w:left="1200" w:hanging="1050" w:hangingChars="50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投标人（盖单位公章）：</w:t>
      </w:r>
    </w:p>
    <w:p w14:paraId="6BCC3E7E">
      <w:pPr>
        <w:spacing w:line="480" w:lineRule="auto"/>
        <w:ind w:left="1200" w:hanging="1050" w:hangingChars="500"/>
        <w:jc w:val="center"/>
        <w:rPr>
          <w:rFonts w:hint="eastAsia" w:ascii="宋体" w:hAnsi="宋体" w:eastAsia="宋体" w:cs="宋体"/>
          <w:sz w:val="21"/>
          <w:szCs w:val="21"/>
          <w:highlight w:val="none"/>
        </w:rPr>
      </w:pPr>
    </w:p>
    <w:p w14:paraId="7705E04F">
      <w:pPr>
        <w:spacing w:line="480" w:lineRule="auto"/>
        <w:ind w:left="1200" w:hanging="1050" w:hangingChars="50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法定代表人（签字或盖章）：</w:t>
      </w:r>
    </w:p>
    <w:p w14:paraId="22C6A5D9">
      <w:pPr>
        <w:spacing w:line="480" w:lineRule="auto"/>
        <w:ind w:left="1200" w:hanging="1050" w:hangingChars="500"/>
        <w:jc w:val="center"/>
        <w:rPr>
          <w:rFonts w:hint="eastAsia" w:ascii="宋体" w:hAnsi="宋体" w:eastAsia="宋体" w:cs="宋体"/>
          <w:sz w:val="21"/>
          <w:szCs w:val="21"/>
          <w:highlight w:val="none"/>
        </w:rPr>
      </w:pPr>
    </w:p>
    <w:p w14:paraId="2B72AABF">
      <w:pPr>
        <w:spacing w:line="480" w:lineRule="auto"/>
        <w:ind w:left="1200" w:hanging="1050" w:hangingChars="50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年     月     日</w:t>
      </w:r>
    </w:p>
    <w:p w14:paraId="3EEFAF79">
      <w:pPr>
        <w:pStyle w:val="19"/>
        <w:spacing w:line="400" w:lineRule="atLeast"/>
        <w:rPr>
          <w:rFonts w:hint="eastAsia" w:hAnsi="宋体" w:cs="宋体"/>
          <w:b/>
          <w:color w:val="000000"/>
          <w:highlight w:val="none"/>
          <w:lang w:val="zh-CN"/>
        </w:rPr>
        <w:sectPr>
          <w:headerReference r:id="rId10" w:type="default"/>
          <w:pgSz w:w="11906" w:h="16838"/>
          <w:pgMar w:top="1440" w:right="1752" w:bottom="1440" w:left="1797" w:header="851" w:footer="737" w:gutter="0"/>
          <w:cols w:space="720" w:num="1"/>
          <w:docGrid w:linePitch="490" w:charSpace="0"/>
        </w:sectPr>
      </w:pPr>
    </w:p>
    <w:p w14:paraId="755067D1">
      <w:pPr>
        <w:spacing w:line="360" w:lineRule="auto"/>
        <w:ind w:firstLine="420" w:firstLineChars="200"/>
        <w:jc w:val="center"/>
        <w:rPr>
          <w:rFonts w:hint="eastAsia" w:ascii="宋体" w:hAnsi="宋体" w:eastAsia="宋体" w:cs="宋体"/>
          <w:sz w:val="21"/>
          <w:szCs w:val="21"/>
          <w:highlight w:val="none"/>
          <w:lang w:val="zh-CN"/>
        </w:rPr>
      </w:pP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lang w:val="en-US" w:eastAsia="zh-CN"/>
        </w:rPr>
        <w:t>三</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网站截图</w:t>
      </w:r>
    </w:p>
    <w:p w14:paraId="4D4135B6">
      <w:pPr>
        <w:autoSpaceDE w:val="0"/>
        <w:autoSpaceDN w:val="0"/>
        <w:adjustRightInd w:val="0"/>
        <w:spacing w:line="400" w:lineRule="exact"/>
        <w:rPr>
          <w:rFonts w:hint="eastAsia" w:ascii="宋体" w:hAnsi="宋体" w:eastAsia="宋体" w:cs="宋体"/>
          <w:sz w:val="21"/>
          <w:szCs w:val="21"/>
          <w:highlight w:val="none"/>
          <w:lang w:val="zh-CN"/>
        </w:rPr>
      </w:pPr>
    </w:p>
    <w:p w14:paraId="4FE28130">
      <w:pPr>
        <w:autoSpaceDE w:val="0"/>
        <w:autoSpaceDN w:val="0"/>
        <w:adjustRightInd w:val="0"/>
        <w:spacing w:line="400" w:lineRule="exact"/>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rPr>
        <w:t>提供“信用中国”网站（www.creditchina.gov.cn）未列入</w:t>
      </w:r>
      <w:r>
        <w:rPr>
          <w:rFonts w:hint="eastAsia" w:ascii="宋体" w:hAnsi="宋体" w:eastAsia="宋体" w:cs="宋体"/>
          <w:color w:val="auto"/>
          <w:spacing w:val="-6"/>
          <w:sz w:val="21"/>
          <w:szCs w:val="21"/>
          <w:highlight w:val="none"/>
          <w:lang w:val="en-US" w:eastAsia="zh-CN"/>
        </w:rPr>
        <w:t>失信被执行人、政府采购严重违法失信行为记录名单、重大税收违法失信主体</w:t>
      </w:r>
      <w:r>
        <w:rPr>
          <w:rFonts w:hint="eastAsia" w:ascii="宋体" w:hAnsi="宋体" w:eastAsia="宋体" w:cs="宋体"/>
          <w:color w:val="auto"/>
          <w:spacing w:val="-6"/>
          <w:sz w:val="21"/>
          <w:szCs w:val="21"/>
          <w:highlight w:val="none"/>
        </w:rPr>
        <w:t>的官网截图并加盖公章；提供中国政府采购网（www.ccgp.gov.cn）未列入政府采购严重违法失信行为记录名单的官网截图并加盖公章；</w:t>
      </w:r>
      <w:r>
        <w:rPr>
          <w:rFonts w:hint="eastAsia" w:ascii="宋体" w:hAnsi="宋体" w:eastAsia="宋体" w:cs="宋体"/>
          <w:color w:val="auto"/>
          <w:spacing w:val="-6"/>
          <w:sz w:val="21"/>
          <w:szCs w:val="21"/>
          <w:highlight w:val="none"/>
          <w:lang w:eastAsia="zh-CN"/>
        </w:rPr>
        <w:t>提供</w:t>
      </w:r>
      <w:r>
        <w:rPr>
          <w:rFonts w:hint="eastAsia" w:ascii="宋体" w:hAnsi="宋体" w:eastAsia="宋体" w:cs="宋体"/>
          <w:color w:val="auto"/>
          <w:spacing w:val="-6"/>
          <w:sz w:val="21"/>
          <w:szCs w:val="21"/>
          <w:highlight w:val="none"/>
        </w:rPr>
        <w:t>未被工商行政管理机关在全国企业信用信息公示系统中列入严重违法失信企业名单</w:t>
      </w:r>
      <w:r>
        <w:rPr>
          <w:rFonts w:hint="eastAsia" w:ascii="宋体" w:hAnsi="宋体" w:eastAsia="宋体" w:cs="宋体"/>
          <w:color w:val="auto"/>
          <w:spacing w:val="-6"/>
          <w:sz w:val="21"/>
          <w:szCs w:val="21"/>
          <w:highlight w:val="none"/>
          <w:lang w:eastAsia="zh-CN"/>
        </w:rPr>
        <w:t>的官网截图并加盖公章；</w:t>
      </w:r>
      <w:r>
        <w:rPr>
          <w:rFonts w:hint="eastAsia" w:ascii="宋体" w:hAnsi="宋体" w:eastAsia="宋体" w:cs="宋体"/>
          <w:color w:val="auto"/>
          <w:spacing w:val="-6"/>
          <w:sz w:val="21"/>
          <w:szCs w:val="21"/>
          <w:highlight w:val="none"/>
          <w:lang w:val="en-US" w:eastAsia="zh-CN"/>
        </w:rPr>
        <w:t>在近三年（2021年1月1日至今）内投标人、其法定代表人、授权委托人未在“中国裁判文书网”(wenshu.court.gov.cn)上有行贿犯罪行为记录的官网截图并加盖公章。</w:t>
      </w:r>
    </w:p>
    <w:p w14:paraId="326AF5F3">
      <w:pPr>
        <w:autoSpaceDE w:val="0"/>
        <w:autoSpaceDN w:val="0"/>
        <w:adjustRightInd w:val="0"/>
        <w:jc w:val="center"/>
        <w:rPr>
          <w:rFonts w:hint="eastAsia" w:ascii="宋体" w:hAnsi="宋体" w:cs="宋体"/>
          <w:bCs/>
          <w:color w:val="000000"/>
          <w:sz w:val="30"/>
          <w:szCs w:val="30"/>
          <w:highlight w:val="none"/>
          <w:lang w:val="zh-CN"/>
        </w:rPr>
        <w:sectPr>
          <w:headerReference r:id="rId11" w:type="default"/>
          <w:footerReference r:id="rId12" w:type="default"/>
          <w:pgSz w:w="11906" w:h="16838"/>
          <w:pgMar w:top="1440" w:right="1752" w:bottom="1440" w:left="1797" w:header="851" w:footer="992" w:gutter="0"/>
          <w:cols w:space="720" w:num="1"/>
          <w:docGrid w:linePitch="312" w:charSpace="0"/>
        </w:sectPr>
      </w:pPr>
    </w:p>
    <w:p w14:paraId="704A99BF">
      <w:pPr>
        <w:autoSpaceDE w:val="0"/>
        <w:autoSpaceDN w:val="0"/>
        <w:adjustRightInd w:val="0"/>
        <w:jc w:val="center"/>
        <w:rPr>
          <w:rFonts w:hint="eastAsia" w:ascii="宋体" w:hAnsi="宋体" w:cs="宋体"/>
          <w:bCs/>
          <w:color w:val="000000"/>
          <w:sz w:val="30"/>
          <w:szCs w:val="30"/>
          <w:highlight w:val="none"/>
          <w:lang w:val="zh-CN"/>
        </w:rPr>
      </w:pPr>
      <w:r>
        <w:rPr>
          <w:rFonts w:hint="eastAsia" w:ascii="宋体" w:hAnsi="宋体" w:cs="宋体"/>
          <w:bCs/>
          <w:color w:val="000000"/>
          <w:sz w:val="30"/>
          <w:szCs w:val="30"/>
          <w:highlight w:val="none"/>
          <w:lang w:val="zh-CN"/>
        </w:rPr>
        <w:t>六、投标保证金</w:t>
      </w:r>
    </w:p>
    <w:p w14:paraId="76C537EF">
      <w:pPr>
        <w:spacing w:line="360" w:lineRule="auto"/>
        <w:ind w:firstLine="435"/>
        <w:rPr>
          <w:rFonts w:hint="eastAsia" w:ascii="宋体" w:hAnsi="宋体" w:cs="宋体"/>
          <w:color w:val="000000"/>
          <w:szCs w:val="21"/>
          <w:highlight w:val="none"/>
        </w:rPr>
      </w:pPr>
      <w:r>
        <w:rPr>
          <w:rFonts w:hint="eastAsia" w:ascii="宋体" w:hAnsi="宋体" w:cs="宋体"/>
          <w:color w:val="000000"/>
          <w:szCs w:val="21"/>
          <w:highlight w:val="none"/>
        </w:rPr>
        <w:t>按照长春市财政局文件长财采购[2021]695号文件执行。投标人自行填写，格式自拟。</w:t>
      </w:r>
    </w:p>
    <w:p w14:paraId="0AB4EF4B">
      <w:pPr>
        <w:jc w:val="left"/>
        <w:rPr>
          <w:rFonts w:hint="eastAsia" w:ascii="宋体" w:hAnsi="宋体" w:cs="宋体"/>
          <w:color w:val="000000"/>
          <w:szCs w:val="21"/>
          <w:highlight w:val="none"/>
        </w:rPr>
      </w:pPr>
    </w:p>
    <w:p w14:paraId="6EB16E80">
      <w:pPr>
        <w:jc w:val="left"/>
        <w:rPr>
          <w:rFonts w:hint="eastAsia" w:ascii="宋体" w:hAnsi="宋体" w:cs="宋体"/>
          <w:color w:val="000000"/>
          <w:szCs w:val="21"/>
          <w:highlight w:val="none"/>
        </w:rPr>
      </w:pPr>
    </w:p>
    <w:p w14:paraId="33AD02B4">
      <w:pPr>
        <w:jc w:val="left"/>
        <w:rPr>
          <w:rFonts w:hint="eastAsia" w:ascii="宋体" w:hAnsi="宋体" w:cs="宋体"/>
          <w:color w:val="000000"/>
          <w:szCs w:val="21"/>
          <w:highlight w:val="none"/>
        </w:rPr>
      </w:pPr>
    </w:p>
    <w:p w14:paraId="6C9ACE6B">
      <w:pPr>
        <w:jc w:val="left"/>
        <w:rPr>
          <w:rFonts w:hint="eastAsia" w:ascii="宋体" w:hAnsi="宋体" w:cs="宋体"/>
          <w:color w:val="000000"/>
          <w:szCs w:val="21"/>
          <w:highlight w:val="none"/>
        </w:rPr>
      </w:pPr>
    </w:p>
    <w:p w14:paraId="1EEBEB82">
      <w:pPr>
        <w:jc w:val="left"/>
        <w:rPr>
          <w:rFonts w:hint="eastAsia" w:ascii="宋体" w:hAnsi="宋体" w:cs="宋体"/>
          <w:color w:val="000000"/>
          <w:szCs w:val="21"/>
          <w:highlight w:val="none"/>
        </w:rPr>
      </w:pPr>
    </w:p>
    <w:p w14:paraId="79E8702B">
      <w:pPr>
        <w:jc w:val="left"/>
        <w:rPr>
          <w:rFonts w:hint="eastAsia" w:ascii="宋体" w:hAnsi="宋体" w:cs="宋体"/>
          <w:color w:val="000000"/>
          <w:szCs w:val="21"/>
          <w:highlight w:val="none"/>
        </w:rPr>
      </w:pPr>
    </w:p>
    <w:p w14:paraId="3DF90B14">
      <w:pPr>
        <w:jc w:val="left"/>
        <w:rPr>
          <w:rFonts w:hint="eastAsia" w:ascii="宋体" w:hAnsi="宋体" w:cs="宋体"/>
          <w:color w:val="000000"/>
          <w:szCs w:val="21"/>
          <w:highlight w:val="none"/>
        </w:rPr>
      </w:pPr>
    </w:p>
    <w:p w14:paraId="7A0094C3">
      <w:pPr>
        <w:jc w:val="left"/>
        <w:rPr>
          <w:rFonts w:hint="eastAsia" w:ascii="宋体" w:hAnsi="宋体" w:cs="宋体"/>
          <w:color w:val="000000"/>
          <w:szCs w:val="21"/>
          <w:highlight w:val="none"/>
        </w:rPr>
      </w:pPr>
    </w:p>
    <w:p w14:paraId="08C3A59B">
      <w:pPr>
        <w:jc w:val="left"/>
        <w:rPr>
          <w:rFonts w:hint="eastAsia" w:ascii="宋体" w:hAnsi="宋体" w:cs="宋体"/>
          <w:color w:val="000000"/>
          <w:szCs w:val="21"/>
          <w:highlight w:val="none"/>
        </w:rPr>
      </w:pPr>
    </w:p>
    <w:p w14:paraId="784CDCF4">
      <w:pPr>
        <w:jc w:val="left"/>
        <w:rPr>
          <w:rFonts w:hint="eastAsia" w:ascii="宋体" w:hAnsi="宋体" w:cs="宋体"/>
          <w:color w:val="000000"/>
          <w:szCs w:val="21"/>
          <w:highlight w:val="none"/>
        </w:rPr>
      </w:pPr>
    </w:p>
    <w:p w14:paraId="1476C9B4">
      <w:pPr>
        <w:jc w:val="left"/>
        <w:rPr>
          <w:rFonts w:hint="eastAsia" w:ascii="宋体" w:hAnsi="宋体" w:cs="宋体"/>
          <w:color w:val="000000"/>
          <w:szCs w:val="21"/>
          <w:highlight w:val="none"/>
        </w:rPr>
      </w:pPr>
    </w:p>
    <w:p w14:paraId="2349B903">
      <w:pPr>
        <w:jc w:val="left"/>
        <w:rPr>
          <w:rFonts w:hint="eastAsia" w:ascii="宋体" w:hAnsi="宋体" w:cs="宋体"/>
          <w:color w:val="000000"/>
          <w:szCs w:val="21"/>
          <w:highlight w:val="none"/>
        </w:rPr>
      </w:pPr>
    </w:p>
    <w:p w14:paraId="3A935930">
      <w:pPr>
        <w:jc w:val="left"/>
        <w:rPr>
          <w:rFonts w:hint="eastAsia" w:ascii="宋体" w:hAnsi="宋体" w:cs="宋体"/>
          <w:color w:val="000000"/>
          <w:szCs w:val="21"/>
          <w:highlight w:val="none"/>
        </w:rPr>
      </w:pPr>
    </w:p>
    <w:p w14:paraId="30E2F9D1">
      <w:pPr>
        <w:jc w:val="left"/>
        <w:rPr>
          <w:rFonts w:hint="eastAsia" w:ascii="宋体" w:hAnsi="宋体" w:cs="宋体"/>
          <w:color w:val="000000"/>
          <w:szCs w:val="21"/>
          <w:highlight w:val="none"/>
        </w:rPr>
      </w:pPr>
    </w:p>
    <w:p w14:paraId="59E2B4C0">
      <w:pPr>
        <w:jc w:val="left"/>
        <w:rPr>
          <w:rFonts w:hint="eastAsia" w:ascii="宋体" w:hAnsi="宋体" w:cs="宋体"/>
          <w:color w:val="000000"/>
          <w:szCs w:val="21"/>
          <w:highlight w:val="none"/>
        </w:rPr>
      </w:pPr>
    </w:p>
    <w:p w14:paraId="4224B9D0">
      <w:pPr>
        <w:jc w:val="left"/>
        <w:rPr>
          <w:rFonts w:hint="eastAsia" w:ascii="宋体" w:hAnsi="宋体" w:cs="宋体"/>
          <w:color w:val="000000"/>
          <w:szCs w:val="21"/>
          <w:highlight w:val="none"/>
        </w:rPr>
      </w:pPr>
    </w:p>
    <w:p w14:paraId="06A2CA9A">
      <w:pPr>
        <w:jc w:val="left"/>
        <w:rPr>
          <w:rFonts w:hint="eastAsia" w:ascii="宋体" w:hAnsi="宋体" w:cs="宋体"/>
          <w:color w:val="000000"/>
          <w:szCs w:val="21"/>
          <w:highlight w:val="none"/>
        </w:rPr>
      </w:pPr>
    </w:p>
    <w:p w14:paraId="37CE4CDE">
      <w:pPr>
        <w:jc w:val="left"/>
        <w:rPr>
          <w:rFonts w:hint="eastAsia" w:ascii="宋体" w:hAnsi="宋体" w:cs="宋体"/>
          <w:color w:val="000000"/>
          <w:szCs w:val="21"/>
          <w:highlight w:val="none"/>
        </w:rPr>
      </w:pPr>
    </w:p>
    <w:p w14:paraId="4647EE7A">
      <w:pPr>
        <w:jc w:val="left"/>
        <w:rPr>
          <w:rFonts w:hint="eastAsia" w:ascii="宋体" w:hAnsi="宋体" w:cs="宋体"/>
          <w:color w:val="000000"/>
          <w:szCs w:val="21"/>
          <w:highlight w:val="none"/>
        </w:rPr>
      </w:pPr>
    </w:p>
    <w:p w14:paraId="38C72458">
      <w:pPr>
        <w:jc w:val="left"/>
        <w:rPr>
          <w:rFonts w:hint="eastAsia" w:ascii="宋体" w:hAnsi="宋体" w:cs="宋体"/>
          <w:color w:val="000000"/>
          <w:szCs w:val="21"/>
          <w:highlight w:val="none"/>
        </w:rPr>
      </w:pPr>
    </w:p>
    <w:p w14:paraId="0CD686C5">
      <w:pPr>
        <w:jc w:val="left"/>
        <w:rPr>
          <w:rFonts w:hint="eastAsia" w:ascii="宋体" w:hAnsi="宋体" w:cs="宋体"/>
          <w:color w:val="000000"/>
          <w:szCs w:val="21"/>
          <w:highlight w:val="none"/>
        </w:rPr>
      </w:pPr>
    </w:p>
    <w:p w14:paraId="297A41A4">
      <w:pPr>
        <w:jc w:val="left"/>
        <w:rPr>
          <w:rFonts w:hint="eastAsia" w:ascii="宋体" w:hAnsi="宋体" w:cs="宋体"/>
          <w:color w:val="000000"/>
          <w:szCs w:val="21"/>
          <w:highlight w:val="none"/>
        </w:rPr>
      </w:pPr>
    </w:p>
    <w:p w14:paraId="374DD7A1">
      <w:pPr>
        <w:jc w:val="left"/>
        <w:rPr>
          <w:rFonts w:hint="eastAsia" w:ascii="宋体" w:hAnsi="宋体" w:cs="宋体"/>
          <w:color w:val="000000"/>
          <w:szCs w:val="21"/>
          <w:highlight w:val="none"/>
        </w:rPr>
      </w:pPr>
    </w:p>
    <w:p w14:paraId="47D8E743">
      <w:pPr>
        <w:jc w:val="left"/>
        <w:rPr>
          <w:rFonts w:hint="eastAsia" w:ascii="宋体" w:hAnsi="宋体" w:cs="宋体"/>
          <w:color w:val="000000"/>
          <w:szCs w:val="21"/>
          <w:highlight w:val="none"/>
        </w:rPr>
      </w:pPr>
    </w:p>
    <w:p w14:paraId="461332AD">
      <w:pPr>
        <w:jc w:val="left"/>
        <w:rPr>
          <w:rFonts w:hint="eastAsia" w:ascii="宋体" w:hAnsi="宋体" w:cs="宋体"/>
          <w:color w:val="000000"/>
          <w:szCs w:val="21"/>
          <w:highlight w:val="none"/>
        </w:rPr>
      </w:pPr>
    </w:p>
    <w:p w14:paraId="1D76C97E">
      <w:pPr>
        <w:jc w:val="left"/>
        <w:rPr>
          <w:rFonts w:hint="eastAsia" w:ascii="宋体" w:hAnsi="宋体" w:cs="宋体"/>
          <w:color w:val="000000"/>
          <w:szCs w:val="21"/>
          <w:highlight w:val="none"/>
        </w:rPr>
      </w:pPr>
    </w:p>
    <w:p w14:paraId="0588B68F">
      <w:pPr>
        <w:jc w:val="left"/>
        <w:rPr>
          <w:rFonts w:hint="eastAsia" w:ascii="宋体" w:hAnsi="宋体" w:cs="宋体"/>
          <w:color w:val="000000"/>
          <w:szCs w:val="21"/>
          <w:highlight w:val="none"/>
        </w:rPr>
      </w:pPr>
    </w:p>
    <w:p w14:paraId="438A819F">
      <w:pPr>
        <w:jc w:val="left"/>
        <w:rPr>
          <w:rFonts w:hint="eastAsia" w:ascii="宋体" w:hAnsi="宋体" w:cs="宋体"/>
          <w:color w:val="000000"/>
          <w:szCs w:val="21"/>
          <w:highlight w:val="none"/>
        </w:rPr>
      </w:pPr>
    </w:p>
    <w:p w14:paraId="6B25CB14">
      <w:pPr>
        <w:jc w:val="left"/>
        <w:rPr>
          <w:rFonts w:hint="eastAsia" w:ascii="宋体" w:hAnsi="宋体" w:cs="宋体"/>
          <w:color w:val="000000"/>
          <w:szCs w:val="21"/>
          <w:highlight w:val="none"/>
        </w:rPr>
      </w:pPr>
    </w:p>
    <w:p w14:paraId="06B85CBF">
      <w:pPr>
        <w:jc w:val="left"/>
        <w:rPr>
          <w:rFonts w:hint="eastAsia" w:ascii="宋体" w:hAnsi="宋体" w:cs="宋体"/>
          <w:color w:val="000000"/>
          <w:szCs w:val="21"/>
          <w:highlight w:val="none"/>
        </w:rPr>
      </w:pPr>
    </w:p>
    <w:p w14:paraId="5A951606">
      <w:pPr>
        <w:jc w:val="left"/>
        <w:rPr>
          <w:rFonts w:hint="eastAsia" w:ascii="宋体" w:hAnsi="宋体" w:cs="宋体"/>
          <w:color w:val="000000"/>
          <w:szCs w:val="21"/>
          <w:highlight w:val="none"/>
        </w:rPr>
      </w:pPr>
    </w:p>
    <w:p w14:paraId="6E6E0E01">
      <w:pPr>
        <w:jc w:val="left"/>
        <w:rPr>
          <w:rFonts w:hint="eastAsia" w:ascii="宋体" w:hAnsi="宋体" w:cs="宋体"/>
          <w:color w:val="000000"/>
          <w:szCs w:val="21"/>
          <w:highlight w:val="none"/>
        </w:rPr>
      </w:pPr>
    </w:p>
    <w:p w14:paraId="74154B50">
      <w:pPr>
        <w:jc w:val="left"/>
        <w:rPr>
          <w:rFonts w:hint="eastAsia" w:ascii="宋体" w:hAnsi="宋体" w:cs="宋体"/>
          <w:color w:val="000000"/>
          <w:szCs w:val="21"/>
          <w:highlight w:val="none"/>
        </w:rPr>
      </w:pPr>
    </w:p>
    <w:p w14:paraId="3567474C">
      <w:pPr>
        <w:jc w:val="left"/>
        <w:rPr>
          <w:rFonts w:hint="eastAsia" w:ascii="宋体" w:hAnsi="宋体" w:cs="宋体"/>
          <w:color w:val="000000"/>
          <w:szCs w:val="21"/>
          <w:highlight w:val="none"/>
        </w:rPr>
      </w:pPr>
    </w:p>
    <w:p w14:paraId="721A536D">
      <w:pPr>
        <w:jc w:val="left"/>
        <w:rPr>
          <w:rFonts w:hint="eastAsia" w:ascii="宋体" w:hAnsi="宋体" w:cs="宋体"/>
          <w:color w:val="000000"/>
          <w:szCs w:val="21"/>
          <w:highlight w:val="none"/>
        </w:rPr>
      </w:pPr>
    </w:p>
    <w:p w14:paraId="0360D6EA">
      <w:pPr>
        <w:jc w:val="left"/>
        <w:rPr>
          <w:rFonts w:hint="eastAsia" w:ascii="宋体" w:hAnsi="宋体" w:cs="宋体"/>
          <w:color w:val="000000"/>
          <w:szCs w:val="21"/>
          <w:highlight w:val="none"/>
        </w:rPr>
      </w:pPr>
    </w:p>
    <w:p w14:paraId="0980A8D0">
      <w:pPr>
        <w:autoSpaceDE w:val="0"/>
        <w:autoSpaceDN w:val="0"/>
        <w:adjustRightInd w:val="0"/>
        <w:jc w:val="left"/>
        <w:rPr>
          <w:rFonts w:hint="eastAsia" w:ascii="宋体" w:hAnsi="宋体" w:cs="宋体"/>
          <w:bCs/>
          <w:color w:val="000000"/>
          <w:sz w:val="32"/>
          <w:szCs w:val="32"/>
          <w:highlight w:val="none"/>
          <w:lang w:val="zh-CN"/>
        </w:rPr>
      </w:pPr>
    </w:p>
    <w:p w14:paraId="071196A9">
      <w:pPr>
        <w:pStyle w:val="73"/>
        <w:rPr>
          <w:rFonts w:hint="eastAsia" w:eastAsia="宋体"/>
          <w:bCs/>
          <w:sz w:val="32"/>
          <w:szCs w:val="32"/>
          <w:highlight w:val="none"/>
          <w:lang w:val="zh-CN"/>
        </w:rPr>
      </w:pPr>
    </w:p>
    <w:p w14:paraId="2DB9C279">
      <w:pPr>
        <w:pStyle w:val="73"/>
        <w:rPr>
          <w:rFonts w:hint="eastAsia" w:eastAsia="宋体"/>
          <w:bCs/>
          <w:sz w:val="32"/>
          <w:szCs w:val="32"/>
          <w:highlight w:val="none"/>
          <w:lang w:val="zh-CN"/>
        </w:rPr>
      </w:pPr>
    </w:p>
    <w:p w14:paraId="31729FA8">
      <w:pPr>
        <w:autoSpaceDE w:val="0"/>
        <w:autoSpaceDN w:val="0"/>
        <w:adjustRightInd w:val="0"/>
        <w:jc w:val="left"/>
        <w:rPr>
          <w:rFonts w:hint="eastAsia" w:ascii="宋体" w:hAnsi="宋体" w:cs="宋体"/>
          <w:bCs/>
          <w:color w:val="000000"/>
          <w:sz w:val="32"/>
          <w:szCs w:val="32"/>
          <w:highlight w:val="none"/>
          <w:lang w:val="zh-CN"/>
        </w:rPr>
      </w:pPr>
    </w:p>
    <w:p w14:paraId="5E4B76C2">
      <w:pPr>
        <w:autoSpaceDE w:val="0"/>
        <w:autoSpaceDN w:val="0"/>
        <w:adjustRightInd w:val="0"/>
        <w:jc w:val="left"/>
        <w:rPr>
          <w:rFonts w:hint="eastAsia" w:ascii="宋体" w:hAnsi="宋体" w:cs="宋体"/>
          <w:bCs/>
          <w:color w:val="000000"/>
          <w:sz w:val="32"/>
          <w:szCs w:val="32"/>
          <w:highlight w:val="none"/>
          <w:lang w:val="zh-CN"/>
        </w:rPr>
      </w:pPr>
    </w:p>
    <w:p w14:paraId="072CAD6D">
      <w:pPr>
        <w:pStyle w:val="73"/>
        <w:rPr>
          <w:rFonts w:hint="eastAsia"/>
          <w:highlight w:val="none"/>
          <w:lang w:val="zh-CN"/>
        </w:rPr>
      </w:pPr>
    </w:p>
    <w:p w14:paraId="73117D5A">
      <w:pPr>
        <w:pStyle w:val="73"/>
        <w:rPr>
          <w:rFonts w:hint="eastAsia"/>
          <w:highlight w:val="none"/>
          <w:lang w:val="zh-CN"/>
        </w:rPr>
      </w:pPr>
    </w:p>
    <w:p w14:paraId="4B3CD443">
      <w:pPr>
        <w:pStyle w:val="73"/>
        <w:rPr>
          <w:rFonts w:hint="eastAsia"/>
          <w:highlight w:val="none"/>
          <w:lang w:val="zh-CN"/>
        </w:rPr>
      </w:pPr>
    </w:p>
    <w:p w14:paraId="14F2B2AE">
      <w:pPr>
        <w:autoSpaceDE w:val="0"/>
        <w:autoSpaceDN w:val="0"/>
        <w:adjustRightInd w:val="0"/>
        <w:jc w:val="left"/>
        <w:rPr>
          <w:rFonts w:hint="eastAsia" w:ascii="宋体" w:hAnsi="宋体" w:cs="宋体"/>
          <w:bCs/>
          <w:color w:val="000000"/>
          <w:sz w:val="32"/>
          <w:szCs w:val="32"/>
          <w:highlight w:val="none"/>
          <w:lang w:val="zh-CN"/>
        </w:rPr>
      </w:pPr>
    </w:p>
    <w:p w14:paraId="02729DF7">
      <w:pPr>
        <w:autoSpaceDE w:val="0"/>
        <w:autoSpaceDN w:val="0"/>
        <w:adjustRightInd w:val="0"/>
        <w:jc w:val="center"/>
        <w:rPr>
          <w:rFonts w:hint="eastAsia" w:ascii="宋体" w:hAnsi="宋体" w:cs="宋体"/>
          <w:bCs/>
          <w:color w:val="000000"/>
          <w:sz w:val="30"/>
          <w:szCs w:val="30"/>
          <w:highlight w:val="none"/>
          <w:lang w:val="zh-CN"/>
        </w:rPr>
      </w:pPr>
      <w:r>
        <w:rPr>
          <w:rFonts w:hint="eastAsia" w:ascii="宋体" w:hAnsi="宋体" w:cs="宋体"/>
          <w:bCs/>
          <w:color w:val="000000"/>
          <w:sz w:val="30"/>
          <w:szCs w:val="30"/>
          <w:highlight w:val="none"/>
          <w:lang w:val="zh-CN"/>
        </w:rPr>
        <w:t>七、投标人的资格声明</w:t>
      </w:r>
    </w:p>
    <w:p w14:paraId="3500FB81">
      <w:pPr>
        <w:autoSpaceDE w:val="0"/>
        <w:autoSpaceDN w:val="0"/>
        <w:adjustRightInd w:val="0"/>
        <w:rPr>
          <w:rFonts w:hint="eastAsia" w:ascii="宋体" w:hAnsi="宋体" w:cs="宋体"/>
          <w:bCs/>
          <w:color w:val="000000"/>
          <w:sz w:val="24"/>
          <w:highlight w:val="none"/>
          <w:lang w:val="zh-CN"/>
        </w:rPr>
      </w:pPr>
    </w:p>
    <w:p w14:paraId="3C41007C">
      <w:pPr>
        <w:autoSpaceDE w:val="0"/>
        <w:autoSpaceDN w:val="0"/>
        <w:adjustRightInd w:val="0"/>
        <w:spacing w:line="360" w:lineRule="auto"/>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致</w:t>
      </w:r>
      <w:r>
        <w:rPr>
          <w:rFonts w:hint="eastAsia" w:ascii="宋体" w:hAnsi="宋体" w:cs="宋体"/>
          <w:bCs/>
          <w:color w:val="000000"/>
          <w:szCs w:val="21"/>
          <w:highlight w:val="none"/>
          <w:u w:val="single"/>
          <w:lang w:val="zh-CN"/>
        </w:rPr>
        <w:t xml:space="preserve">   （采购人名称及代理机构名称）  </w:t>
      </w:r>
      <w:r>
        <w:rPr>
          <w:rFonts w:hint="eastAsia" w:ascii="宋体" w:hAnsi="宋体" w:cs="宋体"/>
          <w:bCs/>
          <w:color w:val="000000"/>
          <w:szCs w:val="21"/>
          <w:highlight w:val="none"/>
          <w:lang w:val="zh-CN"/>
        </w:rPr>
        <w:t>：</w:t>
      </w:r>
    </w:p>
    <w:p w14:paraId="088C29B0">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按照《中华人民共和国政府采购法》第22条和你公司发布的</w:t>
      </w:r>
      <w:r>
        <w:rPr>
          <w:rFonts w:hint="eastAsia" w:ascii="宋体" w:hAnsi="宋体" w:cs="宋体"/>
          <w:bCs/>
          <w:color w:val="000000"/>
          <w:szCs w:val="21"/>
          <w:highlight w:val="none"/>
          <w:u w:val="single"/>
          <w:lang w:val="zh-CN"/>
        </w:rPr>
        <w:t xml:space="preserve">（项目名称） </w:t>
      </w:r>
      <w:r>
        <w:rPr>
          <w:rFonts w:hint="eastAsia" w:ascii="宋体" w:hAnsi="宋体" w:cs="宋体"/>
          <w:bCs/>
          <w:color w:val="000000"/>
          <w:szCs w:val="21"/>
          <w:highlight w:val="none"/>
          <w:lang w:val="zh-CN"/>
        </w:rPr>
        <w:t>招标文件》（编号为</w:t>
      </w:r>
      <w:r>
        <w:rPr>
          <w:rFonts w:hint="eastAsia" w:ascii="宋体" w:hAnsi="宋体" w:cs="宋体"/>
          <w:bCs/>
          <w:color w:val="000000"/>
          <w:szCs w:val="21"/>
          <w:highlight w:val="none"/>
          <w:u w:val="single"/>
          <w:lang w:val="zh-CN"/>
        </w:rPr>
        <w:t xml:space="preserve"> </w:t>
      </w:r>
      <w:r>
        <w:rPr>
          <w:rFonts w:hint="eastAsia" w:ascii="宋体" w:hAnsi="宋体" w:cs="宋体"/>
          <w:bCs/>
          <w:color w:val="000000"/>
          <w:szCs w:val="21"/>
          <w:highlight w:val="none"/>
          <w:u w:val="single"/>
        </w:rPr>
        <w:t xml:space="preserve">      </w:t>
      </w:r>
      <w:r>
        <w:rPr>
          <w:rFonts w:hint="eastAsia" w:ascii="宋体" w:hAnsi="宋体" w:cs="宋体"/>
          <w:bCs/>
          <w:color w:val="0000FF"/>
          <w:szCs w:val="21"/>
          <w:highlight w:val="none"/>
          <w:u w:val="single"/>
        </w:rPr>
        <w:t xml:space="preserve"> </w:t>
      </w:r>
      <w:r>
        <w:rPr>
          <w:rFonts w:hint="eastAsia" w:ascii="宋体" w:hAnsi="宋体" w:cs="宋体"/>
          <w:bCs/>
          <w:color w:val="000000"/>
          <w:szCs w:val="21"/>
          <w:highlight w:val="none"/>
          <w:lang w:val="zh-CN"/>
        </w:rPr>
        <w:t>）的规定，我公司郑重声明如下：</w:t>
      </w:r>
    </w:p>
    <w:p w14:paraId="17FF3038">
      <w:pPr>
        <w:autoSpaceDE w:val="0"/>
        <w:autoSpaceDN w:val="0"/>
        <w:adjustRightInd w:val="0"/>
        <w:spacing w:line="360" w:lineRule="auto"/>
        <w:ind w:firstLine="480"/>
        <w:jc w:val="left"/>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1、我公司是按照中华人民共和国法律在工商管理机关登记注册的企业法人，注册地点为</w:t>
      </w:r>
      <w:r>
        <w:rPr>
          <w:rFonts w:hint="eastAsia" w:ascii="宋体" w:hAnsi="宋体" w:cs="宋体"/>
          <w:bCs/>
          <w:color w:val="000000"/>
          <w:szCs w:val="21"/>
          <w:highlight w:val="none"/>
          <w:u w:val="single"/>
          <w:lang w:val="zh-CN"/>
        </w:rPr>
        <w:t xml:space="preserve">         </w:t>
      </w:r>
      <w:r>
        <w:rPr>
          <w:rFonts w:hint="eastAsia" w:ascii="宋体" w:hAnsi="宋体" w:cs="宋体"/>
          <w:bCs/>
          <w:color w:val="000000"/>
          <w:szCs w:val="21"/>
          <w:highlight w:val="none"/>
          <w:lang w:val="zh-CN"/>
        </w:rPr>
        <w:t>，公司全称为</w:t>
      </w:r>
      <w:r>
        <w:rPr>
          <w:rFonts w:hint="eastAsia" w:ascii="宋体" w:hAnsi="宋体" w:cs="宋体"/>
          <w:bCs/>
          <w:color w:val="000000"/>
          <w:szCs w:val="21"/>
          <w:highlight w:val="none"/>
          <w:u w:val="single"/>
          <w:lang w:val="zh-CN"/>
        </w:rPr>
        <w:t xml:space="preserve">        </w:t>
      </w:r>
      <w:r>
        <w:rPr>
          <w:rFonts w:hint="eastAsia" w:ascii="宋体" w:hAnsi="宋体" w:cs="宋体"/>
          <w:bCs/>
          <w:color w:val="000000"/>
          <w:szCs w:val="21"/>
          <w:highlight w:val="none"/>
          <w:lang w:val="zh-CN"/>
        </w:rPr>
        <w:t>，法定代表人为</w:t>
      </w:r>
      <w:r>
        <w:rPr>
          <w:rFonts w:hint="eastAsia" w:ascii="宋体" w:hAnsi="宋体" w:cs="宋体"/>
          <w:bCs/>
          <w:color w:val="000000"/>
          <w:szCs w:val="21"/>
          <w:highlight w:val="none"/>
          <w:u w:val="single"/>
          <w:lang w:val="zh-CN"/>
        </w:rPr>
        <w:t xml:space="preserve">         </w:t>
      </w:r>
      <w:r>
        <w:rPr>
          <w:rFonts w:hint="eastAsia" w:ascii="宋体" w:hAnsi="宋体" w:cs="宋体"/>
          <w:bCs/>
          <w:color w:val="000000"/>
          <w:szCs w:val="21"/>
          <w:highlight w:val="none"/>
          <w:lang w:val="zh-CN"/>
        </w:rPr>
        <w:t>，具有独立承担民事责任的能力。</w:t>
      </w:r>
    </w:p>
    <w:p w14:paraId="370B5B52">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2、我公司具有良好的商业信誉和健全的财务会计制度。</w:t>
      </w:r>
    </w:p>
    <w:p w14:paraId="4C4D898E">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3、我公司具有履行本项目采购合同所必需的设备和专业技术能力。</w:t>
      </w:r>
    </w:p>
    <w:p w14:paraId="43BD8AA5">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4、我公司具有依法缴纳税收和社会保障资金的良好记录。</w:t>
      </w:r>
    </w:p>
    <w:p w14:paraId="7CA13B32">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5、我公司在参与本次采购活动之前三年内，在经营活动中无重大违法记录。</w:t>
      </w:r>
    </w:p>
    <w:p w14:paraId="42F94C59">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6、我公司在参与本次政府采购活动时未受到任何地方政府采购部门作出的暂停参加政府采购活动的处罚。</w:t>
      </w:r>
    </w:p>
    <w:p w14:paraId="04A938AD">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我公司保证上述声明的事项都是真实的，如有虚假，我公司承担相应的法律责任，并承担因此给项目采购人所造成的损失。</w:t>
      </w:r>
    </w:p>
    <w:p w14:paraId="77BCDD4C">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我公司已经按照你公司招标文件的要求提交了所要求提交的能够证明上述声明事项真实性的全部文件材料，并保证随时按照你公司的要求提供能够证明上述声明事项真实性的任何有效文件。</w:t>
      </w:r>
    </w:p>
    <w:p w14:paraId="1E1D957F">
      <w:pPr>
        <w:autoSpaceDE w:val="0"/>
        <w:autoSpaceDN w:val="0"/>
        <w:adjustRightInd w:val="0"/>
        <w:spacing w:line="360" w:lineRule="auto"/>
        <w:ind w:firstLine="480"/>
        <w:rPr>
          <w:rFonts w:hint="eastAsia" w:ascii="宋体" w:hAnsi="宋体" w:cs="宋体"/>
          <w:bCs/>
          <w:color w:val="000000"/>
          <w:szCs w:val="21"/>
          <w:highlight w:val="none"/>
          <w:lang w:val="zh-CN"/>
        </w:rPr>
      </w:pPr>
    </w:p>
    <w:p w14:paraId="3767DC1C">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投标人名称（加盖公章）：</w:t>
      </w:r>
    </w:p>
    <w:p w14:paraId="65FE9AD6">
      <w:pPr>
        <w:autoSpaceDE w:val="0"/>
        <w:autoSpaceDN w:val="0"/>
        <w:adjustRightInd w:val="0"/>
        <w:spacing w:line="360" w:lineRule="auto"/>
        <w:ind w:firstLine="480"/>
        <w:rPr>
          <w:rFonts w:hint="eastAsia" w:ascii="宋体" w:hAnsi="宋体" w:cs="宋体"/>
          <w:bCs/>
          <w:color w:val="000000"/>
          <w:szCs w:val="21"/>
          <w:highlight w:val="none"/>
          <w:lang w:val="zh-CN"/>
        </w:rPr>
      </w:pPr>
    </w:p>
    <w:p w14:paraId="54D1C9B5">
      <w:pPr>
        <w:autoSpaceDE w:val="0"/>
        <w:autoSpaceDN w:val="0"/>
        <w:adjustRightInd w:val="0"/>
        <w:spacing w:line="360" w:lineRule="auto"/>
        <w:ind w:firstLine="480"/>
        <w:rPr>
          <w:rFonts w:hint="eastAsia" w:ascii="宋体" w:hAnsi="宋体" w:cs="宋体"/>
          <w:bCs/>
          <w:color w:val="000000"/>
          <w:szCs w:val="21"/>
          <w:highlight w:val="none"/>
        </w:rPr>
      </w:pPr>
      <w:r>
        <w:rPr>
          <w:rFonts w:hint="eastAsia" w:ascii="宋体" w:hAnsi="宋体" w:cs="宋体"/>
          <w:bCs/>
          <w:color w:val="000000"/>
          <w:szCs w:val="21"/>
          <w:highlight w:val="none"/>
        </w:rPr>
        <w:t>法定代表人：（签字）</w:t>
      </w:r>
    </w:p>
    <w:p w14:paraId="206FE8CD">
      <w:pPr>
        <w:autoSpaceDE w:val="0"/>
        <w:autoSpaceDN w:val="0"/>
        <w:adjustRightInd w:val="0"/>
        <w:spacing w:line="360" w:lineRule="auto"/>
        <w:ind w:firstLine="480"/>
        <w:rPr>
          <w:rFonts w:hint="eastAsia" w:ascii="宋体" w:hAnsi="宋体" w:cs="宋体"/>
          <w:bCs/>
          <w:color w:val="000000"/>
          <w:szCs w:val="21"/>
          <w:highlight w:val="none"/>
        </w:rPr>
      </w:pPr>
    </w:p>
    <w:p w14:paraId="4AAD424A">
      <w:pPr>
        <w:autoSpaceDE w:val="0"/>
        <w:autoSpaceDN w:val="0"/>
        <w:adjustRightInd w:val="0"/>
        <w:spacing w:line="360" w:lineRule="auto"/>
        <w:ind w:firstLine="480"/>
        <w:rPr>
          <w:rFonts w:hint="eastAsia" w:ascii="宋体" w:hAnsi="宋体" w:cs="宋体"/>
          <w:bCs/>
          <w:color w:val="000000"/>
          <w:szCs w:val="21"/>
          <w:highlight w:val="none"/>
          <w:lang w:val="zh-CN"/>
        </w:rPr>
      </w:pPr>
      <w:r>
        <w:rPr>
          <w:rFonts w:hint="eastAsia" w:ascii="宋体" w:hAnsi="宋体" w:cs="宋体"/>
          <w:bCs/>
          <w:color w:val="000000"/>
          <w:szCs w:val="21"/>
          <w:highlight w:val="none"/>
          <w:lang w:val="zh-CN"/>
        </w:rPr>
        <w:t>时间：  年  月  日</w:t>
      </w:r>
    </w:p>
    <w:p w14:paraId="044B47E3">
      <w:pPr>
        <w:autoSpaceDE w:val="0"/>
        <w:autoSpaceDN w:val="0"/>
        <w:adjustRightInd w:val="0"/>
        <w:rPr>
          <w:rFonts w:hint="eastAsia" w:ascii="宋体" w:hAnsi="宋体" w:cs="宋体"/>
          <w:b/>
          <w:color w:val="000000"/>
          <w:szCs w:val="21"/>
          <w:highlight w:val="none"/>
          <w:lang w:val="zh-CN"/>
        </w:rPr>
      </w:pPr>
      <w:bookmarkStart w:id="65" w:name="_Toc237200085"/>
      <w:bookmarkStart w:id="66" w:name="_Toc278527999"/>
      <w:bookmarkStart w:id="67" w:name="_Toc237200209"/>
      <w:bookmarkStart w:id="68" w:name="_Toc237329052"/>
      <w:bookmarkStart w:id="69" w:name="_Toc237328730"/>
      <w:bookmarkStart w:id="70" w:name="_Toc304203375"/>
      <w:bookmarkStart w:id="71" w:name="_Toc452632710"/>
      <w:bookmarkStart w:id="72" w:name="_Toc238185767"/>
      <w:bookmarkStart w:id="73" w:name="_Toc237236997"/>
      <w:bookmarkStart w:id="74" w:name="_Toc237199966"/>
      <w:bookmarkStart w:id="75" w:name="_Toc304203350"/>
    </w:p>
    <w:p w14:paraId="26D60CE2">
      <w:pPr>
        <w:jc w:val="center"/>
        <w:rPr>
          <w:rFonts w:hint="eastAsia" w:ascii="宋体" w:hAnsi="宋体" w:cs="宋体"/>
          <w:bCs/>
          <w:color w:val="000000"/>
          <w:sz w:val="30"/>
          <w:szCs w:val="30"/>
          <w:highlight w:val="none"/>
          <w:lang w:val="zh-CN"/>
        </w:rPr>
      </w:pPr>
    </w:p>
    <w:p w14:paraId="4BAA31E4">
      <w:pPr>
        <w:jc w:val="center"/>
        <w:rPr>
          <w:rFonts w:hint="eastAsia" w:ascii="宋体" w:hAnsi="宋体" w:cs="宋体"/>
          <w:bCs/>
          <w:color w:val="000000"/>
          <w:sz w:val="30"/>
          <w:szCs w:val="30"/>
          <w:highlight w:val="none"/>
          <w:lang w:val="zh-CN"/>
        </w:rPr>
      </w:pPr>
    </w:p>
    <w:p w14:paraId="53CC58C2">
      <w:pPr>
        <w:jc w:val="center"/>
        <w:rPr>
          <w:rFonts w:hint="eastAsia" w:ascii="宋体" w:hAnsi="宋体" w:cs="宋体"/>
          <w:bCs/>
          <w:color w:val="000000"/>
          <w:sz w:val="30"/>
          <w:szCs w:val="30"/>
          <w:highlight w:val="none"/>
          <w:lang w:val="zh-CN"/>
        </w:rPr>
      </w:pPr>
    </w:p>
    <w:p w14:paraId="29AB1CD9">
      <w:pPr>
        <w:jc w:val="center"/>
        <w:rPr>
          <w:rFonts w:hint="eastAsia" w:ascii="宋体" w:hAnsi="宋体" w:cs="宋体"/>
          <w:bCs/>
          <w:color w:val="000000"/>
          <w:sz w:val="30"/>
          <w:szCs w:val="30"/>
          <w:highlight w:val="none"/>
          <w:lang w:val="zh-CN"/>
        </w:rPr>
      </w:pPr>
    </w:p>
    <w:p w14:paraId="61C66B13">
      <w:pPr>
        <w:jc w:val="center"/>
        <w:rPr>
          <w:rFonts w:hint="eastAsia" w:ascii="宋体" w:hAnsi="宋体" w:cs="宋体"/>
          <w:bCs/>
          <w:color w:val="000000"/>
          <w:sz w:val="30"/>
          <w:szCs w:val="30"/>
          <w:highlight w:val="none"/>
          <w:lang w:val="zh-CN"/>
        </w:rPr>
      </w:pPr>
    </w:p>
    <w:p w14:paraId="7C4089BF">
      <w:pPr>
        <w:jc w:val="center"/>
        <w:rPr>
          <w:rFonts w:hint="eastAsia" w:ascii="宋体" w:hAnsi="宋体" w:cs="宋体"/>
          <w:bCs/>
          <w:color w:val="000000"/>
          <w:sz w:val="30"/>
          <w:szCs w:val="30"/>
          <w:highlight w:val="none"/>
          <w:lang w:val="zh-CN"/>
        </w:rPr>
      </w:pPr>
    </w:p>
    <w:p w14:paraId="4C12B4A8">
      <w:pPr>
        <w:jc w:val="center"/>
        <w:rPr>
          <w:rFonts w:hint="eastAsia" w:ascii="宋体" w:hAnsi="宋体" w:cs="宋体"/>
          <w:bCs/>
          <w:color w:val="000000"/>
          <w:sz w:val="30"/>
          <w:szCs w:val="30"/>
          <w:highlight w:val="none"/>
          <w:lang w:val="zh-CN"/>
        </w:rPr>
      </w:pPr>
    </w:p>
    <w:p w14:paraId="39F3B1E0">
      <w:pPr>
        <w:jc w:val="center"/>
        <w:rPr>
          <w:rFonts w:hint="eastAsia" w:ascii="宋体" w:hAnsi="宋体" w:cs="宋体"/>
          <w:bCs/>
          <w:color w:val="000000"/>
          <w:sz w:val="30"/>
          <w:szCs w:val="30"/>
          <w:highlight w:val="none"/>
          <w:lang w:val="zh-CN"/>
        </w:rPr>
      </w:pPr>
    </w:p>
    <w:p w14:paraId="05895F99">
      <w:pPr>
        <w:jc w:val="center"/>
        <w:rPr>
          <w:rFonts w:hint="eastAsia" w:ascii="宋体" w:hAnsi="宋体" w:cs="宋体"/>
          <w:bCs/>
          <w:color w:val="000000"/>
          <w:sz w:val="30"/>
          <w:szCs w:val="30"/>
          <w:highlight w:val="none"/>
          <w:lang w:val="zh-CN"/>
        </w:rPr>
      </w:pPr>
    </w:p>
    <w:p w14:paraId="6C17B5FA">
      <w:pPr>
        <w:jc w:val="center"/>
        <w:rPr>
          <w:rFonts w:hint="eastAsia" w:ascii="宋体" w:hAnsi="宋体" w:cs="宋体"/>
          <w:color w:val="000000"/>
          <w:sz w:val="30"/>
          <w:szCs w:val="30"/>
          <w:highlight w:val="none"/>
        </w:rPr>
      </w:pPr>
      <w:r>
        <w:rPr>
          <w:rFonts w:hint="eastAsia" w:ascii="宋体" w:hAnsi="宋体" w:cs="宋体"/>
          <w:bCs/>
          <w:color w:val="000000"/>
          <w:sz w:val="30"/>
          <w:szCs w:val="30"/>
          <w:highlight w:val="none"/>
          <w:lang w:val="zh-CN"/>
        </w:rPr>
        <w:t>八、</w:t>
      </w:r>
      <w:r>
        <w:rPr>
          <w:rFonts w:hint="eastAsia" w:ascii="宋体" w:hAnsi="宋体" w:cs="宋体"/>
          <w:color w:val="000000"/>
          <w:sz w:val="30"/>
          <w:szCs w:val="30"/>
          <w:highlight w:val="none"/>
        </w:rPr>
        <w:t>类似项目业绩统计表</w:t>
      </w:r>
    </w:p>
    <w:p w14:paraId="51CD4E17">
      <w:pPr>
        <w:rPr>
          <w:rFonts w:hint="eastAsia" w:ascii="宋体" w:hAnsi="宋体" w:cs="宋体"/>
          <w:color w:val="000000"/>
          <w:highlight w:val="none"/>
        </w:rPr>
      </w:pPr>
    </w:p>
    <w:tbl>
      <w:tblPr>
        <w:tblStyle w:val="3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28"/>
        <w:gridCol w:w="1709"/>
        <w:gridCol w:w="2348"/>
        <w:gridCol w:w="1980"/>
        <w:gridCol w:w="2340"/>
      </w:tblGrid>
      <w:tr w14:paraId="39129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jc w:val="center"/>
        </w:trPr>
        <w:tc>
          <w:tcPr>
            <w:tcW w:w="628" w:type="dxa"/>
            <w:tcBorders>
              <w:top w:val="single" w:color="auto" w:sz="4" w:space="0"/>
              <w:left w:val="single" w:color="auto" w:sz="4" w:space="0"/>
            </w:tcBorders>
            <w:noWrap w:val="0"/>
            <w:vAlign w:val="center"/>
          </w:tcPr>
          <w:p w14:paraId="6C1D42A7">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r>
              <w:rPr>
                <w:rFonts w:hint="eastAsia" w:ascii="宋体" w:hAnsi="宋体" w:cs="宋体"/>
                <w:color w:val="000000"/>
                <w:highlight w:val="none"/>
              </w:rPr>
              <w:t>序号</w:t>
            </w:r>
          </w:p>
        </w:tc>
        <w:tc>
          <w:tcPr>
            <w:tcW w:w="1709" w:type="dxa"/>
            <w:tcBorders>
              <w:top w:val="single" w:color="auto" w:sz="4" w:space="0"/>
            </w:tcBorders>
            <w:noWrap w:val="0"/>
            <w:vAlign w:val="center"/>
          </w:tcPr>
          <w:p w14:paraId="6BA779FD">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r>
              <w:rPr>
                <w:rFonts w:hint="eastAsia" w:ascii="宋体" w:hAnsi="宋体" w:cs="宋体"/>
                <w:color w:val="000000"/>
                <w:highlight w:val="none"/>
              </w:rPr>
              <w:t>项目名称</w:t>
            </w:r>
          </w:p>
        </w:tc>
        <w:tc>
          <w:tcPr>
            <w:tcW w:w="2348" w:type="dxa"/>
            <w:tcBorders>
              <w:top w:val="single" w:color="auto" w:sz="4" w:space="0"/>
            </w:tcBorders>
            <w:noWrap w:val="0"/>
            <w:vAlign w:val="center"/>
          </w:tcPr>
          <w:p w14:paraId="1171CA65">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r>
              <w:rPr>
                <w:rFonts w:hint="eastAsia" w:ascii="宋体" w:hAnsi="宋体" w:cs="宋体"/>
                <w:color w:val="000000"/>
                <w:highlight w:val="none"/>
              </w:rPr>
              <w:t>合同内容</w:t>
            </w:r>
          </w:p>
        </w:tc>
        <w:tc>
          <w:tcPr>
            <w:tcW w:w="1980" w:type="dxa"/>
            <w:tcBorders>
              <w:top w:val="single" w:color="auto" w:sz="4" w:space="0"/>
              <w:right w:val="single" w:color="auto" w:sz="4" w:space="0"/>
            </w:tcBorders>
            <w:noWrap w:val="0"/>
            <w:vAlign w:val="center"/>
          </w:tcPr>
          <w:p w14:paraId="1E7177D6">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r>
              <w:rPr>
                <w:rFonts w:hint="eastAsia" w:ascii="宋体" w:hAnsi="宋体" w:cs="宋体"/>
                <w:color w:val="000000"/>
                <w:highlight w:val="none"/>
              </w:rPr>
              <w:t>采购单位</w:t>
            </w:r>
          </w:p>
        </w:tc>
        <w:tc>
          <w:tcPr>
            <w:tcW w:w="2340" w:type="dxa"/>
            <w:tcBorders>
              <w:top w:val="single" w:color="auto" w:sz="4" w:space="0"/>
              <w:left w:val="single" w:color="auto" w:sz="4" w:space="0"/>
              <w:right w:val="single" w:color="auto" w:sz="4" w:space="0"/>
            </w:tcBorders>
            <w:noWrap w:val="0"/>
            <w:vAlign w:val="center"/>
          </w:tcPr>
          <w:p w14:paraId="362642A7">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r>
              <w:rPr>
                <w:rFonts w:hint="eastAsia" w:ascii="宋体" w:hAnsi="宋体" w:cs="宋体"/>
                <w:color w:val="000000"/>
                <w:highlight w:val="none"/>
              </w:rPr>
              <w:t>合同金额（元）</w:t>
            </w:r>
          </w:p>
        </w:tc>
      </w:tr>
      <w:tr w14:paraId="00390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9" w:hRule="atLeast"/>
          <w:jc w:val="center"/>
        </w:trPr>
        <w:tc>
          <w:tcPr>
            <w:tcW w:w="628" w:type="dxa"/>
            <w:tcBorders>
              <w:left w:val="single" w:color="auto" w:sz="4" w:space="0"/>
            </w:tcBorders>
            <w:noWrap w:val="0"/>
            <w:vAlign w:val="center"/>
          </w:tcPr>
          <w:p w14:paraId="6CA63FB4">
            <w:pPr>
              <w:keepNext w:val="0"/>
              <w:keepLines w:val="0"/>
              <w:suppressLineNumbers w:val="0"/>
              <w:spacing w:before="0" w:beforeAutospacing="0" w:after="0" w:afterAutospacing="0" w:line="360" w:lineRule="exact"/>
              <w:ind w:left="120" w:right="0"/>
              <w:jc w:val="center"/>
              <w:rPr>
                <w:rFonts w:hint="eastAsia" w:ascii="宋体" w:hAnsi="宋体" w:cs="宋体"/>
                <w:color w:val="000000"/>
                <w:highlight w:val="none"/>
              </w:rPr>
            </w:pPr>
            <w:r>
              <w:rPr>
                <w:rFonts w:hint="eastAsia" w:ascii="宋体" w:hAnsi="宋体" w:cs="宋体"/>
                <w:color w:val="000000"/>
                <w:highlight w:val="none"/>
              </w:rPr>
              <w:t>1</w:t>
            </w:r>
          </w:p>
        </w:tc>
        <w:tc>
          <w:tcPr>
            <w:tcW w:w="1709" w:type="dxa"/>
            <w:noWrap w:val="0"/>
            <w:vAlign w:val="center"/>
          </w:tcPr>
          <w:p w14:paraId="397451EF">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5D48AA94">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7EF41170">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7B06E6AF">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7AFA3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9" w:hRule="atLeast"/>
          <w:jc w:val="center"/>
        </w:trPr>
        <w:tc>
          <w:tcPr>
            <w:tcW w:w="628" w:type="dxa"/>
            <w:tcBorders>
              <w:left w:val="single" w:color="auto" w:sz="4" w:space="0"/>
            </w:tcBorders>
            <w:noWrap w:val="0"/>
            <w:vAlign w:val="center"/>
          </w:tcPr>
          <w:p w14:paraId="326F0273">
            <w:pPr>
              <w:keepNext w:val="0"/>
              <w:keepLines w:val="0"/>
              <w:suppressLineNumbers w:val="0"/>
              <w:spacing w:before="0" w:beforeAutospacing="0" w:after="0" w:afterAutospacing="0" w:line="360" w:lineRule="exact"/>
              <w:ind w:left="120" w:right="0"/>
              <w:jc w:val="center"/>
              <w:rPr>
                <w:rFonts w:hint="eastAsia" w:ascii="宋体" w:hAnsi="宋体" w:cs="宋体"/>
                <w:color w:val="000000"/>
                <w:highlight w:val="none"/>
              </w:rPr>
            </w:pPr>
            <w:r>
              <w:rPr>
                <w:rFonts w:hint="eastAsia" w:ascii="宋体" w:hAnsi="宋体" w:cs="宋体"/>
                <w:color w:val="000000"/>
                <w:highlight w:val="none"/>
              </w:rPr>
              <w:t>2</w:t>
            </w:r>
          </w:p>
        </w:tc>
        <w:tc>
          <w:tcPr>
            <w:tcW w:w="1709" w:type="dxa"/>
            <w:noWrap w:val="0"/>
            <w:vAlign w:val="center"/>
          </w:tcPr>
          <w:p w14:paraId="4A68CE7A">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3392CA0E">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0EE8C826">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2CA76F82">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3B9538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0" w:hRule="atLeast"/>
          <w:jc w:val="center"/>
        </w:trPr>
        <w:tc>
          <w:tcPr>
            <w:tcW w:w="628" w:type="dxa"/>
            <w:tcBorders>
              <w:left w:val="single" w:color="auto" w:sz="4" w:space="0"/>
            </w:tcBorders>
            <w:noWrap w:val="0"/>
            <w:vAlign w:val="center"/>
          </w:tcPr>
          <w:p w14:paraId="1418EE93">
            <w:pPr>
              <w:keepNext w:val="0"/>
              <w:keepLines w:val="0"/>
              <w:suppressLineNumbers w:val="0"/>
              <w:spacing w:before="0" w:beforeAutospacing="0" w:after="0" w:afterAutospacing="0" w:line="360" w:lineRule="exact"/>
              <w:ind w:left="120" w:right="0"/>
              <w:jc w:val="center"/>
              <w:rPr>
                <w:rFonts w:hint="eastAsia" w:ascii="宋体" w:hAnsi="宋体" w:cs="宋体"/>
                <w:color w:val="000000"/>
                <w:highlight w:val="none"/>
              </w:rPr>
            </w:pPr>
            <w:r>
              <w:rPr>
                <w:rFonts w:hint="eastAsia" w:ascii="宋体" w:hAnsi="宋体" w:cs="宋体"/>
                <w:color w:val="000000"/>
                <w:highlight w:val="none"/>
              </w:rPr>
              <w:t>3</w:t>
            </w:r>
          </w:p>
        </w:tc>
        <w:tc>
          <w:tcPr>
            <w:tcW w:w="1709" w:type="dxa"/>
            <w:noWrap w:val="0"/>
            <w:vAlign w:val="center"/>
          </w:tcPr>
          <w:p w14:paraId="308A1155">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49B98CB3">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3FD2002D">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5DEFE8F2">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65199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9" w:hRule="atLeast"/>
          <w:jc w:val="center"/>
        </w:trPr>
        <w:tc>
          <w:tcPr>
            <w:tcW w:w="628" w:type="dxa"/>
            <w:tcBorders>
              <w:left w:val="single" w:color="auto" w:sz="4" w:space="0"/>
            </w:tcBorders>
            <w:noWrap w:val="0"/>
            <w:vAlign w:val="center"/>
          </w:tcPr>
          <w:p w14:paraId="6DEB9B9C">
            <w:pPr>
              <w:keepNext w:val="0"/>
              <w:keepLines w:val="0"/>
              <w:suppressLineNumbers w:val="0"/>
              <w:spacing w:before="0" w:beforeAutospacing="0" w:after="0" w:afterAutospacing="0" w:line="360" w:lineRule="exact"/>
              <w:ind w:left="120" w:right="0"/>
              <w:jc w:val="center"/>
              <w:rPr>
                <w:rFonts w:hint="eastAsia" w:ascii="宋体" w:hAnsi="宋体" w:cs="宋体"/>
                <w:color w:val="000000"/>
                <w:highlight w:val="none"/>
              </w:rPr>
            </w:pPr>
            <w:r>
              <w:rPr>
                <w:rFonts w:hint="eastAsia" w:ascii="宋体" w:hAnsi="宋体" w:cs="宋体"/>
                <w:color w:val="000000"/>
                <w:highlight w:val="none"/>
              </w:rPr>
              <w:t>4</w:t>
            </w:r>
          </w:p>
        </w:tc>
        <w:tc>
          <w:tcPr>
            <w:tcW w:w="1709" w:type="dxa"/>
            <w:noWrap w:val="0"/>
            <w:vAlign w:val="center"/>
          </w:tcPr>
          <w:p w14:paraId="7880CD7B">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209367FB">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47648CD2">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30F90638">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6BF94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9" w:hRule="atLeast"/>
          <w:jc w:val="center"/>
        </w:trPr>
        <w:tc>
          <w:tcPr>
            <w:tcW w:w="628" w:type="dxa"/>
            <w:tcBorders>
              <w:left w:val="single" w:color="auto" w:sz="4" w:space="0"/>
            </w:tcBorders>
            <w:noWrap w:val="0"/>
            <w:vAlign w:val="center"/>
          </w:tcPr>
          <w:p w14:paraId="26DBA382">
            <w:pPr>
              <w:keepNext w:val="0"/>
              <w:keepLines w:val="0"/>
              <w:suppressLineNumbers w:val="0"/>
              <w:spacing w:before="0" w:beforeAutospacing="0" w:after="0" w:afterAutospacing="0" w:line="360" w:lineRule="exact"/>
              <w:ind w:left="120" w:right="0"/>
              <w:jc w:val="center"/>
              <w:rPr>
                <w:rFonts w:hint="eastAsia" w:ascii="宋体" w:hAnsi="宋体" w:cs="宋体"/>
                <w:color w:val="000000"/>
                <w:highlight w:val="none"/>
              </w:rPr>
            </w:pPr>
            <w:r>
              <w:rPr>
                <w:rFonts w:hint="eastAsia" w:ascii="宋体" w:hAnsi="宋体" w:cs="宋体"/>
                <w:color w:val="000000"/>
                <w:highlight w:val="none"/>
              </w:rPr>
              <w:t>5</w:t>
            </w:r>
          </w:p>
        </w:tc>
        <w:tc>
          <w:tcPr>
            <w:tcW w:w="1709" w:type="dxa"/>
            <w:noWrap w:val="0"/>
            <w:vAlign w:val="center"/>
          </w:tcPr>
          <w:p w14:paraId="693740F0">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407C1FE2">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5B597C00">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6D3EC246">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659F9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0" w:hRule="atLeast"/>
          <w:jc w:val="center"/>
        </w:trPr>
        <w:tc>
          <w:tcPr>
            <w:tcW w:w="628" w:type="dxa"/>
            <w:tcBorders>
              <w:left w:val="single" w:color="auto" w:sz="4" w:space="0"/>
            </w:tcBorders>
            <w:noWrap w:val="0"/>
            <w:vAlign w:val="center"/>
          </w:tcPr>
          <w:p w14:paraId="3B49C1AC">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r>
              <w:rPr>
                <w:rFonts w:hint="eastAsia" w:ascii="宋体" w:hAnsi="宋体" w:cs="宋体"/>
                <w:color w:val="000000"/>
                <w:highlight w:val="none"/>
              </w:rPr>
              <w:t>…</w:t>
            </w:r>
          </w:p>
        </w:tc>
        <w:tc>
          <w:tcPr>
            <w:tcW w:w="1709" w:type="dxa"/>
            <w:noWrap w:val="0"/>
            <w:vAlign w:val="center"/>
          </w:tcPr>
          <w:p w14:paraId="5C95BBAD">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23C10C28">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67F8C779">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1F41CB1E">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6DF95A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9" w:hRule="atLeast"/>
          <w:jc w:val="center"/>
        </w:trPr>
        <w:tc>
          <w:tcPr>
            <w:tcW w:w="628" w:type="dxa"/>
            <w:tcBorders>
              <w:left w:val="single" w:color="auto" w:sz="4" w:space="0"/>
            </w:tcBorders>
            <w:noWrap w:val="0"/>
            <w:vAlign w:val="center"/>
          </w:tcPr>
          <w:p w14:paraId="482029C8">
            <w:pPr>
              <w:keepNext w:val="0"/>
              <w:keepLines w:val="0"/>
              <w:suppressLineNumbers w:val="0"/>
              <w:spacing w:before="0" w:beforeAutospacing="0" w:after="0" w:afterAutospacing="0" w:line="360" w:lineRule="exact"/>
              <w:ind w:left="0" w:right="0"/>
              <w:rPr>
                <w:rFonts w:hint="eastAsia" w:ascii="宋体" w:hAnsi="宋体" w:cs="宋体"/>
                <w:color w:val="000000"/>
                <w:highlight w:val="none"/>
              </w:rPr>
            </w:pPr>
          </w:p>
        </w:tc>
        <w:tc>
          <w:tcPr>
            <w:tcW w:w="1709" w:type="dxa"/>
            <w:noWrap w:val="0"/>
            <w:vAlign w:val="center"/>
          </w:tcPr>
          <w:p w14:paraId="382FF69B">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68316108">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7B16988A">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2C58FAB5">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6490F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0" w:hRule="atLeast"/>
          <w:jc w:val="center"/>
        </w:trPr>
        <w:tc>
          <w:tcPr>
            <w:tcW w:w="628" w:type="dxa"/>
            <w:tcBorders>
              <w:left w:val="single" w:color="auto" w:sz="4" w:space="0"/>
            </w:tcBorders>
            <w:noWrap w:val="0"/>
            <w:vAlign w:val="center"/>
          </w:tcPr>
          <w:p w14:paraId="6B8ADB5C">
            <w:pPr>
              <w:keepNext w:val="0"/>
              <w:keepLines w:val="0"/>
              <w:suppressLineNumbers w:val="0"/>
              <w:spacing w:before="0" w:beforeAutospacing="0" w:after="0" w:afterAutospacing="0" w:line="360" w:lineRule="exact"/>
              <w:ind w:left="0" w:right="0"/>
              <w:rPr>
                <w:rFonts w:hint="eastAsia" w:ascii="宋体" w:hAnsi="宋体" w:cs="宋体"/>
                <w:color w:val="000000"/>
                <w:highlight w:val="none"/>
              </w:rPr>
            </w:pPr>
          </w:p>
        </w:tc>
        <w:tc>
          <w:tcPr>
            <w:tcW w:w="1709" w:type="dxa"/>
            <w:noWrap w:val="0"/>
            <w:vAlign w:val="center"/>
          </w:tcPr>
          <w:p w14:paraId="5ED49CBB">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06F08E68">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0E68DED4">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1F94478B">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05A2A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9" w:hRule="atLeast"/>
          <w:jc w:val="center"/>
        </w:trPr>
        <w:tc>
          <w:tcPr>
            <w:tcW w:w="628" w:type="dxa"/>
            <w:tcBorders>
              <w:left w:val="single" w:color="auto" w:sz="4" w:space="0"/>
            </w:tcBorders>
            <w:noWrap w:val="0"/>
            <w:vAlign w:val="center"/>
          </w:tcPr>
          <w:p w14:paraId="6213069A">
            <w:pPr>
              <w:keepNext w:val="0"/>
              <w:keepLines w:val="0"/>
              <w:suppressLineNumbers w:val="0"/>
              <w:spacing w:before="0" w:beforeAutospacing="0" w:after="0" w:afterAutospacing="0" w:line="360" w:lineRule="exact"/>
              <w:ind w:left="0" w:right="0"/>
              <w:rPr>
                <w:rFonts w:hint="eastAsia" w:ascii="宋体" w:hAnsi="宋体" w:cs="宋体"/>
                <w:color w:val="000000"/>
                <w:highlight w:val="none"/>
              </w:rPr>
            </w:pPr>
          </w:p>
        </w:tc>
        <w:tc>
          <w:tcPr>
            <w:tcW w:w="1709" w:type="dxa"/>
            <w:noWrap w:val="0"/>
            <w:vAlign w:val="center"/>
          </w:tcPr>
          <w:p w14:paraId="4D25EEB0">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02290C8F">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62266EF0">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64D7EB39">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45496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29" w:hRule="atLeast"/>
          <w:jc w:val="center"/>
        </w:trPr>
        <w:tc>
          <w:tcPr>
            <w:tcW w:w="628" w:type="dxa"/>
            <w:tcBorders>
              <w:left w:val="single" w:color="auto" w:sz="4" w:space="0"/>
            </w:tcBorders>
            <w:noWrap w:val="0"/>
            <w:vAlign w:val="center"/>
          </w:tcPr>
          <w:p w14:paraId="3762C609">
            <w:pPr>
              <w:keepNext w:val="0"/>
              <w:keepLines w:val="0"/>
              <w:suppressLineNumbers w:val="0"/>
              <w:spacing w:before="0" w:beforeAutospacing="0" w:after="0" w:afterAutospacing="0" w:line="360" w:lineRule="exact"/>
              <w:ind w:left="0" w:right="0"/>
              <w:rPr>
                <w:rFonts w:hint="eastAsia" w:ascii="宋体" w:hAnsi="宋体" w:cs="宋体"/>
                <w:color w:val="000000"/>
                <w:highlight w:val="none"/>
              </w:rPr>
            </w:pPr>
          </w:p>
        </w:tc>
        <w:tc>
          <w:tcPr>
            <w:tcW w:w="1709" w:type="dxa"/>
            <w:noWrap w:val="0"/>
            <w:vAlign w:val="center"/>
          </w:tcPr>
          <w:p w14:paraId="7373C7F6">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1DF8D590">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394528ED">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27AC740D">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1C3BC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0" w:hRule="atLeast"/>
          <w:jc w:val="center"/>
        </w:trPr>
        <w:tc>
          <w:tcPr>
            <w:tcW w:w="628" w:type="dxa"/>
            <w:tcBorders>
              <w:left w:val="single" w:color="auto" w:sz="4" w:space="0"/>
            </w:tcBorders>
            <w:noWrap w:val="0"/>
            <w:vAlign w:val="center"/>
          </w:tcPr>
          <w:p w14:paraId="25B81D5F">
            <w:pPr>
              <w:keepNext w:val="0"/>
              <w:keepLines w:val="0"/>
              <w:suppressLineNumbers w:val="0"/>
              <w:spacing w:before="0" w:beforeAutospacing="0" w:after="0" w:afterAutospacing="0" w:line="360" w:lineRule="exact"/>
              <w:ind w:left="0" w:right="0"/>
              <w:rPr>
                <w:rFonts w:hint="eastAsia" w:ascii="宋体" w:hAnsi="宋体" w:cs="宋体"/>
                <w:color w:val="000000"/>
                <w:highlight w:val="none"/>
              </w:rPr>
            </w:pPr>
          </w:p>
        </w:tc>
        <w:tc>
          <w:tcPr>
            <w:tcW w:w="1709" w:type="dxa"/>
            <w:noWrap w:val="0"/>
            <w:vAlign w:val="center"/>
          </w:tcPr>
          <w:p w14:paraId="2B7E67D0">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0A38BED3">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47039F56">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6D6EB8F9">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2C774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0" w:hRule="atLeast"/>
          <w:jc w:val="center"/>
        </w:trPr>
        <w:tc>
          <w:tcPr>
            <w:tcW w:w="628" w:type="dxa"/>
            <w:tcBorders>
              <w:left w:val="single" w:color="auto" w:sz="4" w:space="0"/>
            </w:tcBorders>
            <w:noWrap w:val="0"/>
            <w:vAlign w:val="center"/>
          </w:tcPr>
          <w:p w14:paraId="28A3DBB4">
            <w:pPr>
              <w:keepNext w:val="0"/>
              <w:keepLines w:val="0"/>
              <w:suppressLineNumbers w:val="0"/>
              <w:spacing w:before="0" w:beforeAutospacing="0" w:after="0" w:afterAutospacing="0" w:line="360" w:lineRule="exact"/>
              <w:ind w:left="0" w:right="0"/>
              <w:rPr>
                <w:rFonts w:hint="eastAsia" w:ascii="宋体" w:hAnsi="宋体" w:cs="宋体"/>
                <w:color w:val="000000"/>
                <w:highlight w:val="none"/>
              </w:rPr>
            </w:pPr>
          </w:p>
        </w:tc>
        <w:tc>
          <w:tcPr>
            <w:tcW w:w="1709" w:type="dxa"/>
            <w:noWrap w:val="0"/>
            <w:vAlign w:val="center"/>
          </w:tcPr>
          <w:p w14:paraId="2E8CB4D2">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noWrap w:val="0"/>
            <w:vAlign w:val="center"/>
          </w:tcPr>
          <w:p w14:paraId="12970004">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right w:val="single" w:color="auto" w:sz="4" w:space="0"/>
            </w:tcBorders>
            <w:noWrap w:val="0"/>
            <w:vAlign w:val="center"/>
          </w:tcPr>
          <w:p w14:paraId="0C83CEAF">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right w:val="single" w:color="auto" w:sz="4" w:space="0"/>
            </w:tcBorders>
            <w:noWrap w:val="0"/>
            <w:vAlign w:val="center"/>
          </w:tcPr>
          <w:p w14:paraId="31510F3E">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r w14:paraId="3FC08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0" w:hRule="atLeast"/>
          <w:jc w:val="center"/>
        </w:trPr>
        <w:tc>
          <w:tcPr>
            <w:tcW w:w="628" w:type="dxa"/>
            <w:tcBorders>
              <w:left w:val="single" w:color="auto" w:sz="4" w:space="0"/>
              <w:bottom w:val="single" w:color="auto" w:sz="4" w:space="0"/>
            </w:tcBorders>
            <w:noWrap w:val="0"/>
            <w:vAlign w:val="center"/>
          </w:tcPr>
          <w:p w14:paraId="1316FC7F">
            <w:pPr>
              <w:keepNext w:val="0"/>
              <w:keepLines w:val="0"/>
              <w:suppressLineNumbers w:val="0"/>
              <w:spacing w:before="0" w:beforeAutospacing="0" w:after="0" w:afterAutospacing="0" w:line="360" w:lineRule="exact"/>
              <w:ind w:left="0" w:right="0"/>
              <w:rPr>
                <w:rFonts w:hint="eastAsia" w:ascii="宋体" w:hAnsi="宋体" w:cs="宋体"/>
                <w:color w:val="000000"/>
                <w:highlight w:val="none"/>
              </w:rPr>
            </w:pPr>
          </w:p>
        </w:tc>
        <w:tc>
          <w:tcPr>
            <w:tcW w:w="1709" w:type="dxa"/>
            <w:tcBorders>
              <w:bottom w:val="single" w:color="auto" w:sz="4" w:space="0"/>
            </w:tcBorders>
            <w:noWrap w:val="0"/>
            <w:vAlign w:val="center"/>
          </w:tcPr>
          <w:p w14:paraId="38DCE7E8">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8" w:type="dxa"/>
            <w:tcBorders>
              <w:bottom w:val="single" w:color="auto" w:sz="4" w:space="0"/>
            </w:tcBorders>
            <w:noWrap w:val="0"/>
            <w:vAlign w:val="center"/>
          </w:tcPr>
          <w:p w14:paraId="163FE4F2">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1980" w:type="dxa"/>
            <w:tcBorders>
              <w:bottom w:val="single" w:color="auto" w:sz="4" w:space="0"/>
              <w:right w:val="single" w:color="auto" w:sz="4" w:space="0"/>
            </w:tcBorders>
            <w:noWrap w:val="0"/>
            <w:vAlign w:val="center"/>
          </w:tcPr>
          <w:p w14:paraId="66ACD7EF">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c>
          <w:tcPr>
            <w:tcW w:w="2340" w:type="dxa"/>
            <w:tcBorders>
              <w:left w:val="single" w:color="auto" w:sz="4" w:space="0"/>
              <w:bottom w:val="single" w:color="auto" w:sz="4" w:space="0"/>
              <w:right w:val="single" w:color="auto" w:sz="4" w:space="0"/>
            </w:tcBorders>
            <w:noWrap w:val="0"/>
            <w:vAlign w:val="center"/>
          </w:tcPr>
          <w:p w14:paraId="01EAC07E">
            <w:pPr>
              <w:keepNext w:val="0"/>
              <w:keepLines w:val="0"/>
              <w:suppressLineNumbers w:val="0"/>
              <w:spacing w:before="0" w:beforeAutospacing="0" w:after="0" w:afterAutospacing="0" w:line="360" w:lineRule="exact"/>
              <w:ind w:left="0" w:right="0"/>
              <w:jc w:val="center"/>
              <w:rPr>
                <w:rFonts w:hint="eastAsia" w:ascii="宋体" w:hAnsi="宋体" w:cs="宋体"/>
                <w:color w:val="000000"/>
                <w:highlight w:val="none"/>
              </w:rPr>
            </w:pPr>
          </w:p>
        </w:tc>
      </w:tr>
    </w:tbl>
    <w:p w14:paraId="14A1C933">
      <w:pPr>
        <w:spacing w:before="120" w:line="360" w:lineRule="exact"/>
        <w:ind w:right="357"/>
        <w:rPr>
          <w:rFonts w:hint="eastAsia" w:ascii="宋体" w:hAnsi="宋体" w:cs="宋体"/>
          <w:b/>
          <w:color w:val="000000"/>
          <w:highlight w:val="none"/>
        </w:rPr>
      </w:pPr>
      <w:r>
        <w:rPr>
          <w:rFonts w:hint="eastAsia" w:ascii="宋体" w:hAnsi="宋体" w:cs="宋体"/>
          <w:color w:val="000000"/>
          <w:highlight w:val="none"/>
        </w:rPr>
        <w:t>注：1．投标人应提供双方签订的合同复印件加盖公章</w:t>
      </w:r>
      <w:r>
        <w:rPr>
          <w:rFonts w:hint="eastAsia" w:ascii="宋体" w:hAnsi="宋体" w:cs="宋体"/>
          <w:b/>
          <w:color w:val="000000"/>
          <w:highlight w:val="none"/>
        </w:rPr>
        <w:t>。</w:t>
      </w:r>
    </w:p>
    <w:p w14:paraId="4E9C705B">
      <w:pPr>
        <w:jc w:val="center"/>
        <w:rPr>
          <w:rFonts w:hint="eastAsia" w:ascii="宋体" w:hAnsi="宋体" w:cs="宋体"/>
          <w:bCs/>
          <w:color w:val="000000"/>
          <w:sz w:val="32"/>
          <w:szCs w:val="32"/>
          <w:highlight w:val="none"/>
          <w:lang w:val="zh-CN"/>
        </w:rPr>
        <w:sectPr>
          <w:pgSz w:w="11906" w:h="16838"/>
          <w:pgMar w:top="1440" w:right="1752" w:bottom="1440" w:left="1797" w:header="851" w:footer="992" w:gutter="0"/>
          <w:cols w:space="720" w:num="1"/>
          <w:docGrid w:linePitch="312" w:charSpace="0"/>
        </w:sectPr>
      </w:pPr>
    </w:p>
    <w:p w14:paraId="1E7EE1FC">
      <w:pPr>
        <w:jc w:val="center"/>
        <w:rPr>
          <w:rFonts w:hint="eastAsia" w:ascii="宋体" w:hAnsi="宋体" w:cs="宋体"/>
          <w:b/>
          <w:color w:val="000000"/>
          <w:sz w:val="30"/>
          <w:szCs w:val="30"/>
          <w:highlight w:val="none"/>
        </w:rPr>
      </w:pPr>
      <w:r>
        <w:rPr>
          <w:rFonts w:hint="eastAsia" w:ascii="宋体" w:hAnsi="宋体" w:cs="宋体"/>
          <w:bCs/>
          <w:color w:val="000000"/>
          <w:sz w:val="30"/>
          <w:szCs w:val="30"/>
          <w:highlight w:val="none"/>
        </w:rPr>
        <w:t>九</w:t>
      </w:r>
      <w:r>
        <w:rPr>
          <w:rFonts w:hint="eastAsia" w:ascii="宋体" w:hAnsi="宋体" w:cs="宋体"/>
          <w:bCs/>
          <w:color w:val="000000"/>
          <w:sz w:val="30"/>
          <w:szCs w:val="30"/>
          <w:highlight w:val="none"/>
          <w:lang w:val="zh-CN"/>
        </w:rPr>
        <w:t>、</w:t>
      </w:r>
      <w:r>
        <w:rPr>
          <w:rFonts w:hint="eastAsia" w:ascii="宋体" w:hAnsi="宋体" w:cs="宋体"/>
          <w:color w:val="000000"/>
          <w:sz w:val="30"/>
          <w:szCs w:val="30"/>
          <w:highlight w:val="none"/>
        </w:rPr>
        <w:t>服务承诺</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14:paraId="0D6BE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20" w:hRule="atLeast"/>
        </w:trPr>
        <w:tc>
          <w:tcPr>
            <w:tcW w:w="8928" w:type="dxa"/>
            <w:noWrap w:val="0"/>
            <w:vAlign w:val="top"/>
          </w:tcPr>
          <w:p w14:paraId="5058050C">
            <w:pPr>
              <w:keepNext w:val="0"/>
              <w:keepLines w:val="0"/>
              <w:widowControl/>
              <w:suppressLineNumbers w:val="0"/>
              <w:spacing w:before="0" w:beforeAutospacing="0" w:after="0" w:afterAutospacing="0" w:line="480" w:lineRule="auto"/>
              <w:ind w:left="0" w:right="0"/>
              <w:jc w:val="left"/>
              <w:rPr>
                <w:rFonts w:hint="eastAsia" w:ascii="宋体" w:hAnsi="宋体" w:cs="宋体"/>
                <w:b/>
                <w:color w:val="000000"/>
                <w:sz w:val="32"/>
                <w:highlight w:val="none"/>
              </w:rPr>
            </w:pPr>
          </w:p>
          <w:p w14:paraId="0EFC41BF">
            <w:pPr>
              <w:keepNext w:val="0"/>
              <w:keepLines w:val="0"/>
              <w:widowControl/>
              <w:suppressLineNumbers w:val="0"/>
              <w:spacing w:before="0" w:beforeAutospacing="0" w:after="0" w:afterAutospacing="0" w:line="480" w:lineRule="auto"/>
              <w:ind w:left="0" w:right="0"/>
              <w:jc w:val="left"/>
              <w:rPr>
                <w:rFonts w:hint="eastAsia" w:ascii="宋体" w:hAnsi="宋体" w:cs="宋体"/>
                <w:b/>
                <w:color w:val="000000"/>
                <w:sz w:val="32"/>
                <w:highlight w:val="none"/>
              </w:rPr>
            </w:pPr>
          </w:p>
          <w:p w14:paraId="62A1477D">
            <w:pPr>
              <w:keepNext w:val="0"/>
              <w:keepLines w:val="0"/>
              <w:widowControl/>
              <w:suppressLineNumbers w:val="0"/>
              <w:spacing w:before="0" w:beforeAutospacing="0" w:after="0" w:afterAutospacing="0" w:line="480" w:lineRule="auto"/>
              <w:ind w:left="0" w:right="0"/>
              <w:jc w:val="left"/>
              <w:rPr>
                <w:rFonts w:hint="eastAsia" w:ascii="宋体" w:hAnsi="宋体" w:cs="宋体"/>
                <w:b/>
                <w:color w:val="000000"/>
                <w:sz w:val="32"/>
                <w:highlight w:val="none"/>
              </w:rPr>
            </w:pPr>
          </w:p>
          <w:p w14:paraId="0ACB78C7">
            <w:pPr>
              <w:keepNext w:val="0"/>
              <w:keepLines w:val="0"/>
              <w:widowControl/>
              <w:suppressLineNumbers w:val="0"/>
              <w:spacing w:before="0" w:beforeAutospacing="0" w:after="0" w:afterAutospacing="0" w:line="480" w:lineRule="auto"/>
              <w:ind w:left="0" w:right="0"/>
              <w:jc w:val="left"/>
              <w:rPr>
                <w:rFonts w:hint="eastAsia" w:ascii="宋体" w:hAnsi="宋体" w:cs="宋体"/>
                <w:b/>
                <w:color w:val="000000"/>
                <w:sz w:val="32"/>
                <w:highlight w:val="none"/>
              </w:rPr>
            </w:pPr>
          </w:p>
          <w:p w14:paraId="3296EBFB">
            <w:pPr>
              <w:keepNext w:val="0"/>
              <w:keepLines w:val="0"/>
              <w:widowControl/>
              <w:suppressLineNumbers w:val="0"/>
              <w:spacing w:before="0" w:beforeAutospacing="0" w:after="0" w:afterAutospacing="0" w:line="480" w:lineRule="auto"/>
              <w:ind w:left="0" w:right="0"/>
              <w:jc w:val="left"/>
              <w:rPr>
                <w:rFonts w:hint="eastAsia" w:ascii="宋体" w:hAnsi="宋体" w:cs="宋体"/>
                <w:b/>
                <w:color w:val="000000"/>
                <w:sz w:val="32"/>
                <w:highlight w:val="none"/>
              </w:rPr>
            </w:pPr>
          </w:p>
          <w:p w14:paraId="76C0269D">
            <w:pPr>
              <w:keepNext w:val="0"/>
              <w:keepLines w:val="0"/>
              <w:widowControl/>
              <w:suppressLineNumbers w:val="0"/>
              <w:spacing w:before="0" w:beforeAutospacing="0" w:after="0" w:afterAutospacing="0" w:line="480" w:lineRule="auto"/>
              <w:ind w:left="0" w:right="0"/>
              <w:jc w:val="left"/>
              <w:rPr>
                <w:rFonts w:hint="eastAsia" w:ascii="宋体" w:hAnsi="宋体" w:cs="宋体"/>
                <w:b/>
                <w:color w:val="000000"/>
                <w:sz w:val="32"/>
                <w:highlight w:val="none"/>
              </w:rPr>
            </w:pPr>
          </w:p>
          <w:p w14:paraId="79079BC4">
            <w:pPr>
              <w:keepNext w:val="0"/>
              <w:keepLines w:val="0"/>
              <w:suppressLineNumbers w:val="0"/>
              <w:spacing w:before="0" w:beforeAutospacing="0" w:after="0" w:afterAutospacing="0"/>
              <w:ind w:left="0" w:right="0"/>
              <w:rPr>
                <w:rFonts w:hint="eastAsia" w:ascii="宋体" w:hAnsi="宋体" w:cs="宋体"/>
                <w:color w:val="000000"/>
                <w:sz w:val="24"/>
                <w:highlight w:val="none"/>
              </w:rPr>
            </w:pPr>
          </w:p>
          <w:p w14:paraId="133068B9">
            <w:pPr>
              <w:keepNext w:val="0"/>
              <w:keepLines w:val="0"/>
              <w:suppressLineNumbers w:val="0"/>
              <w:spacing w:before="0" w:beforeAutospacing="0" w:after="0" w:afterAutospacing="0"/>
              <w:ind w:left="0" w:right="0"/>
              <w:rPr>
                <w:rFonts w:hint="eastAsia" w:ascii="宋体" w:hAnsi="宋体" w:cs="宋体"/>
                <w:color w:val="000000"/>
                <w:sz w:val="24"/>
                <w:highlight w:val="none"/>
              </w:rPr>
            </w:pPr>
          </w:p>
          <w:p w14:paraId="787897D3">
            <w:pPr>
              <w:keepNext w:val="0"/>
              <w:keepLines w:val="0"/>
              <w:suppressLineNumbers w:val="0"/>
              <w:spacing w:before="0" w:beforeAutospacing="0" w:after="0" w:afterAutospacing="0"/>
              <w:ind w:left="0" w:right="0"/>
              <w:rPr>
                <w:rFonts w:hint="eastAsia" w:ascii="宋体" w:hAnsi="宋体" w:cs="宋体"/>
                <w:color w:val="000000"/>
                <w:sz w:val="24"/>
                <w:highlight w:val="none"/>
              </w:rPr>
            </w:pPr>
          </w:p>
          <w:p w14:paraId="421D97F3">
            <w:pPr>
              <w:keepNext w:val="0"/>
              <w:keepLines w:val="0"/>
              <w:suppressLineNumbers w:val="0"/>
              <w:spacing w:before="0" w:beforeAutospacing="0" w:after="0" w:afterAutospacing="0"/>
              <w:ind w:left="0" w:right="0"/>
              <w:rPr>
                <w:rFonts w:hint="eastAsia" w:ascii="宋体" w:hAnsi="宋体" w:cs="宋体"/>
                <w:color w:val="000000"/>
                <w:sz w:val="24"/>
                <w:highlight w:val="none"/>
              </w:rPr>
            </w:pPr>
          </w:p>
          <w:p w14:paraId="4665B552">
            <w:pPr>
              <w:keepNext w:val="0"/>
              <w:keepLines w:val="0"/>
              <w:suppressLineNumbers w:val="0"/>
              <w:spacing w:before="0" w:beforeAutospacing="0" w:after="0" w:afterAutospacing="0"/>
              <w:ind w:left="0" w:right="0"/>
              <w:rPr>
                <w:rFonts w:hint="eastAsia" w:ascii="宋体" w:hAnsi="宋体" w:cs="宋体"/>
                <w:color w:val="000000"/>
                <w:sz w:val="24"/>
                <w:highlight w:val="none"/>
              </w:rPr>
            </w:pPr>
          </w:p>
          <w:p w14:paraId="32A5FDBF">
            <w:pPr>
              <w:keepNext w:val="0"/>
              <w:keepLines w:val="0"/>
              <w:suppressLineNumbers w:val="0"/>
              <w:spacing w:before="0" w:beforeAutospacing="0" w:after="0" w:afterAutospacing="0"/>
              <w:ind w:left="0" w:right="0"/>
              <w:rPr>
                <w:rFonts w:hint="eastAsia" w:ascii="宋体" w:hAnsi="宋体" w:cs="宋体"/>
                <w:color w:val="000000"/>
                <w:highlight w:val="none"/>
              </w:rPr>
            </w:pPr>
          </w:p>
          <w:p w14:paraId="61FBED7D">
            <w:pPr>
              <w:keepNext w:val="0"/>
              <w:keepLines w:val="0"/>
              <w:suppressLineNumbers w:val="0"/>
              <w:spacing w:before="0" w:beforeAutospacing="0" w:after="0" w:afterAutospacing="0"/>
              <w:ind w:left="0" w:right="0"/>
              <w:rPr>
                <w:rFonts w:hint="eastAsia" w:ascii="宋体" w:hAnsi="宋体" w:cs="宋体"/>
                <w:color w:val="000000"/>
                <w:highlight w:val="none"/>
              </w:rPr>
            </w:pPr>
          </w:p>
          <w:p w14:paraId="57523D81">
            <w:pPr>
              <w:keepNext w:val="0"/>
              <w:keepLines w:val="0"/>
              <w:suppressLineNumbers w:val="0"/>
              <w:spacing w:before="0" w:beforeAutospacing="0" w:after="0" w:afterAutospacing="0"/>
              <w:ind w:left="0" w:right="0"/>
              <w:rPr>
                <w:rFonts w:hint="eastAsia" w:ascii="宋体" w:hAnsi="宋体" w:cs="宋体"/>
                <w:color w:val="000000"/>
                <w:highlight w:val="none"/>
              </w:rPr>
            </w:pPr>
          </w:p>
          <w:p w14:paraId="64079628">
            <w:pPr>
              <w:keepNext w:val="0"/>
              <w:keepLines w:val="0"/>
              <w:suppressLineNumbers w:val="0"/>
              <w:spacing w:before="0" w:beforeAutospacing="0" w:after="0" w:afterAutospacing="0"/>
              <w:ind w:left="0" w:right="0"/>
              <w:rPr>
                <w:rFonts w:hint="eastAsia" w:ascii="宋体" w:hAnsi="宋体" w:cs="宋体"/>
                <w:color w:val="000000"/>
                <w:highlight w:val="none"/>
              </w:rPr>
            </w:pPr>
          </w:p>
          <w:p w14:paraId="112B4E32">
            <w:pPr>
              <w:keepNext w:val="0"/>
              <w:keepLines w:val="0"/>
              <w:suppressLineNumbers w:val="0"/>
              <w:spacing w:before="0" w:beforeAutospacing="0" w:after="0" w:afterAutospacing="0"/>
              <w:ind w:left="0" w:right="0"/>
              <w:rPr>
                <w:rFonts w:hint="eastAsia" w:ascii="宋体" w:hAnsi="宋体" w:cs="宋体"/>
                <w:color w:val="000000"/>
                <w:highlight w:val="none"/>
              </w:rPr>
            </w:pPr>
          </w:p>
          <w:p w14:paraId="700675AD">
            <w:pPr>
              <w:keepNext w:val="0"/>
              <w:keepLines w:val="0"/>
              <w:suppressLineNumbers w:val="0"/>
              <w:tabs>
                <w:tab w:val="left" w:pos="6674"/>
              </w:tabs>
              <w:spacing w:before="0" w:beforeAutospacing="0" w:after="0" w:afterAutospacing="0"/>
              <w:ind w:left="0" w:right="0"/>
              <w:jc w:val="left"/>
              <w:rPr>
                <w:rFonts w:hint="eastAsia" w:ascii="宋体" w:hAnsi="宋体" w:cs="宋体"/>
                <w:color w:val="000000"/>
                <w:highlight w:val="none"/>
              </w:rPr>
            </w:pPr>
            <w:r>
              <w:rPr>
                <w:rFonts w:hint="eastAsia" w:ascii="宋体" w:hAnsi="宋体" w:cs="宋体"/>
                <w:color w:val="000000"/>
                <w:highlight w:val="none"/>
              </w:rPr>
              <w:tab/>
            </w:r>
          </w:p>
        </w:tc>
      </w:tr>
    </w:tbl>
    <w:p w14:paraId="7B86ADCA">
      <w:pPr>
        <w:pStyle w:val="19"/>
        <w:spacing w:line="360" w:lineRule="auto"/>
        <w:rPr>
          <w:rFonts w:hint="eastAsia" w:hAnsi="宋体" w:cs="宋体"/>
          <w:b/>
          <w:color w:val="000000"/>
          <w:highlight w:val="none"/>
        </w:rPr>
      </w:pPr>
      <w:r>
        <w:rPr>
          <w:rFonts w:hint="eastAsia" w:hAnsi="宋体" w:cs="宋体"/>
          <w:b/>
          <w:color w:val="000000"/>
          <w:highlight w:val="none"/>
        </w:rPr>
        <w:t>投标人： （盖章）</w:t>
      </w:r>
    </w:p>
    <w:p w14:paraId="1012BFFB">
      <w:pPr>
        <w:pStyle w:val="19"/>
        <w:spacing w:line="360" w:lineRule="auto"/>
        <w:rPr>
          <w:rFonts w:hint="eastAsia" w:hAnsi="宋体" w:cs="宋体"/>
          <w:b/>
          <w:bCs/>
          <w:color w:val="000000"/>
          <w:highlight w:val="none"/>
          <w:lang w:val="zh-CN"/>
        </w:rPr>
      </w:pPr>
      <w:r>
        <w:rPr>
          <w:rFonts w:hint="eastAsia" w:hAnsi="宋体" w:cs="宋体"/>
          <w:b/>
          <w:bCs/>
          <w:color w:val="000000"/>
          <w:highlight w:val="none"/>
          <w:lang w:val="zh-CN"/>
        </w:rPr>
        <w:t>法定代表人或授权委托人：（盖章</w:t>
      </w:r>
      <w:r>
        <w:rPr>
          <w:rFonts w:hint="eastAsia" w:hAnsi="宋体" w:cs="宋体"/>
          <w:b/>
          <w:bCs/>
          <w:color w:val="000000"/>
          <w:highlight w:val="none"/>
        </w:rPr>
        <w:t>或</w:t>
      </w:r>
      <w:r>
        <w:rPr>
          <w:rFonts w:hint="eastAsia" w:hAnsi="宋体" w:cs="宋体"/>
          <w:b/>
          <w:bCs/>
          <w:color w:val="000000"/>
          <w:highlight w:val="none"/>
          <w:lang w:val="zh-CN"/>
        </w:rPr>
        <w:t>签字）</w:t>
      </w:r>
    </w:p>
    <w:p w14:paraId="5EF600F8">
      <w:pPr>
        <w:pStyle w:val="19"/>
        <w:spacing w:line="360" w:lineRule="auto"/>
        <w:rPr>
          <w:rFonts w:hint="eastAsia" w:hAnsi="宋体" w:cs="宋体"/>
          <w:b/>
          <w:color w:val="000000"/>
          <w:highlight w:val="none"/>
        </w:rPr>
      </w:pPr>
      <w:r>
        <w:rPr>
          <w:rFonts w:hint="eastAsia" w:hAnsi="宋体" w:cs="宋体"/>
          <w:b/>
          <w:color w:val="000000"/>
          <w:highlight w:val="none"/>
        </w:rPr>
        <w:t>日    期：</w:t>
      </w:r>
    </w:p>
    <w:p w14:paraId="24BCD41F">
      <w:pPr>
        <w:autoSpaceDE w:val="0"/>
        <w:autoSpaceDN w:val="0"/>
        <w:adjustRightInd w:val="0"/>
        <w:jc w:val="center"/>
        <w:outlineLvl w:val="0"/>
        <w:rPr>
          <w:rFonts w:hint="eastAsia" w:ascii="宋体" w:hAnsi="宋体" w:cs="宋体"/>
          <w:bCs/>
          <w:color w:val="000000"/>
          <w:sz w:val="32"/>
          <w:szCs w:val="32"/>
          <w:highlight w:val="none"/>
          <w:lang w:val="zh-CN"/>
        </w:rPr>
      </w:pPr>
      <w:r>
        <w:rPr>
          <w:rFonts w:hint="eastAsia" w:ascii="宋体" w:hAnsi="宋体" w:cs="宋体"/>
          <w:bCs/>
          <w:color w:val="000000"/>
          <w:sz w:val="32"/>
          <w:szCs w:val="32"/>
          <w:highlight w:val="none"/>
          <w:lang w:val="zh-CN"/>
        </w:rPr>
        <w:br w:type="page"/>
      </w:r>
      <w:bookmarkStart w:id="76" w:name="_Toc471222478"/>
      <w:bookmarkStart w:id="77" w:name="_Toc6307"/>
      <w:r>
        <w:rPr>
          <w:rFonts w:hint="eastAsia" w:ascii="宋体" w:hAnsi="宋体" w:cs="宋体"/>
          <w:bCs/>
          <w:color w:val="000000"/>
          <w:sz w:val="30"/>
          <w:szCs w:val="30"/>
          <w:highlight w:val="none"/>
          <w:lang w:val="zh-CN"/>
        </w:rPr>
        <w:t>十、承诺书</w:t>
      </w:r>
      <w:bookmarkEnd w:id="76"/>
      <w:bookmarkEnd w:id="77"/>
    </w:p>
    <w:p w14:paraId="21F2D5A8">
      <w:pPr>
        <w:autoSpaceDE w:val="0"/>
        <w:autoSpaceDN w:val="0"/>
        <w:adjustRightInd w:val="0"/>
        <w:rPr>
          <w:rFonts w:hint="eastAsia" w:ascii="宋体" w:hAnsi="宋体" w:cs="宋体"/>
          <w:bCs/>
          <w:color w:val="000000"/>
          <w:sz w:val="24"/>
          <w:highlight w:val="none"/>
          <w:lang w:val="zh-CN"/>
        </w:rPr>
      </w:pPr>
    </w:p>
    <w:p w14:paraId="70D441FE">
      <w:pPr>
        <w:autoSpaceDE w:val="0"/>
        <w:autoSpaceDN w:val="0"/>
        <w:adjustRightInd w:val="0"/>
        <w:rPr>
          <w:rFonts w:hint="eastAsia" w:ascii="宋体" w:hAnsi="宋体" w:cs="宋体"/>
          <w:bCs/>
          <w:color w:val="000000"/>
          <w:sz w:val="24"/>
          <w:highlight w:val="none"/>
          <w:lang w:val="zh-CN"/>
        </w:rPr>
      </w:pPr>
    </w:p>
    <w:p w14:paraId="2306D98E">
      <w:pPr>
        <w:snapToGrid w:val="0"/>
        <w:spacing w:line="300" w:lineRule="auto"/>
        <w:ind w:firstLine="420" w:firstLineChars="200"/>
        <w:jc w:val="center"/>
        <w:rPr>
          <w:rFonts w:hint="eastAsia" w:ascii="宋体" w:hAnsi="宋体" w:cs="宋体"/>
          <w:color w:val="000000"/>
          <w:szCs w:val="21"/>
          <w:highlight w:val="none"/>
          <w:lang w:val="zh-CN"/>
        </w:rPr>
      </w:pPr>
      <w:r>
        <w:rPr>
          <w:rFonts w:hint="eastAsia" w:ascii="宋体" w:hAnsi="宋体" w:cs="宋体"/>
          <w:bCs/>
          <w:color w:val="000000"/>
          <w:szCs w:val="21"/>
          <w:highlight w:val="none"/>
          <w:lang w:val="zh-CN"/>
        </w:rPr>
        <w:t>投标人严格按照招标文件要求，提供对应的全部承诺书。格式按要求自拟，不符合招标评标办法及招标文件要求的予以废标。</w:t>
      </w:r>
      <w:r>
        <w:rPr>
          <w:rFonts w:hint="eastAsia" w:ascii="宋体" w:hAnsi="宋体" w:cs="宋体"/>
          <w:bCs/>
          <w:color w:val="000000"/>
          <w:sz w:val="32"/>
          <w:szCs w:val="32"/>
          <w:highlight w:val="none"/>
          <w:lang w:val="zh-CN"/>
        </w:rPr>
        <w:br w:type="page"/>
      </w:r>
      <w:r>
        <w:rPr>
          <w:rFonts w:hint="eastAsia" w:ascii="宋体" w:hAnsi="宋体" w:cs="宋体"/>
          <w:bCs/>
          <w:color w:val="000000"/>
          <w:sz w:val="30"/>
          <w:szCs w:val="30"/>
          <w:highlight w:val="none"/>
          <w:lang w:val="zh-CN"/>
        </w:rPr>
        <w:t>十</w:t>
      </w:r>
      <w:r>
        <w:rPr>
          <w:rFonts w:hint="eastAsia" w:ascii="宋体" w:hAnsi="宋体" w:cs="宋体"/>
          <w:bCs/>
          <w:color w:val="000000"/>
          <w:sz w:val="30"/>
          <w:szCs w:val="30"/>
          <w:highlight w:val="none"/>
        </w:rPr>
        <w:t>一</w:t>
      </w:r>
      <w:r>
        <w:rPr>
          <w:rFonts w:hint="eastAsia" w:ascii="宋体" w:hAnsi="宋体" w:cs="宋体"/>
          <w:bCs/>
          <w:color w:val="000000"/>
          <w:sz w:val="30"/>
          <w:szCs w:val="30"/>
          <w:highlight w:val="none"/>
          <w:lang w:val="zh-CN"/>
        </w:rPr>
        <w:t>、</w:t>
      </w:r>
      <w:r>
        <w:rPr>
          <w:rFonts w:hint="eastAsia" w:ascii="宋体" w:hAnsi="宋体" w:cs="宋体"/>
          <w:bCs/>
          <w:color w:val="000000"/>
          <w:sz w:val="30"/>
          <w:szCs w:val="30"/>
          <w:highlight w:val="none"/>
        </w:rPr>
        <w:t>中小企业声明函</w:t>
      </w:r>
    </w:p>
    <w:p w14:paraId="0B11B7EB">
      <w:pPr>
        <w:autoSpaceDE w:val="0"/>
        <w:autoSpaceDN w:val="0"/>
        <w:spacing w:before="38"/>
        <w:ind w:left="1482" w:right="1677"/>
        <w:jc w:val="center"/>
        <w:outlineLvl w:val="1"/>
        <w:rPr>
          <w:rFonts w:ascii="宋体" w:hAnsi="宋体" w:cs="宋体"/>
          <w:sz w:val="24"/>
          <w:highlight w:val="none"/>
          <w:lang w:val="zh-CN" w:bidi="zh-CN"/>
        </w:rPr>
      </w:pPr>
      <w:bookmarkStart w:id="78" w:name="_Toc10141"/>
      <w:r>
        <w:rPr>
          <w:rFonts w:hint="eastAsia" w:ascii="宋体" w:hAnsi="宋体" w:cs="宋体"/>
          <w:sz w:val="24"/>
          <w:highlight w:val="none"/>
          <w:lang w:val="zh-CN" w:bidi="zh-CN"/>
        </w:rPr>
        <w:t>中小企业声明函（</w:t>
      </w:r>
      <w:r>
        <w:rPr>
          <w:rFonts w:hint="eastAsia" w:ascii="宋体" w:hAnsi="宋体" w:cs="宋体"/>
          <w:sz w:val="24"/>
          <w:highlight w:val="none"/>
          <w:lang w:val="en-US" w:bidi="zh-CN"/>
        </w:rPr>
        <w:t>其他服务业</w:t>
      </w:r>
      <w:r>
        <w:rPr>
          <w:rFonts w:hint="eastAsia" w:ascii="宋体" w:hAnsi="宋体" w:cs="宋体"/>
          <w:sz w:val="24"/>
          <w:highlight w:val="none"/>
          <w:lang w:val="zh-CN" w:bidi="zh-CN"/>
        </w:rPr>
        <w:t>）</w:t>
      </w:r>
      <w:bookmarkEnd w:id="78"/>
    </w:p>
    <w:p w14:paraId="52E1BD40">
      <w:pPr>
        <w:pStyle w:val="72"/>
        <w:spacing w:line="360" w:lineRule="auto"/>
        <w:ind w:right="157" w:firstLine="642"/>
        <w:rPr>
          <w:color w:val="auto"/>
          <w:highlight w:val="none"/>
        </w:rPr>
      </w:pPr>
    </w:p>
    <w:p w14:paraId="2FB8B94F">
      <w:pPr>
        <w:pStyle w:val="73"/>
        <w:spacing w:line="360" w:lineRule="auto"/>
        <w:ind w:firstLine="480" w:firstLineChars="200"/>
        <w:rPr>
          <w:rFonts w:hint="eastAsia"/>
          <w:color w:val="auto"/>
          <w:highlight w:val="none"/>
          <w:lang w:val="zh-CN"/>
        </w:rPr>
      </w:pPr>
      <w:r>
        <w:rPr>
          <w:rFonts w:hint="eastAsia"/>
          <w:color w:val="auto"/>
          <w:highlight w:val="none"/>
          <w:lang w:val="zh-CN"/>
        </w:rPr>
        <w:t>本公司（联合体）郑重声明，根据《政府采购促进中小企业发展管理办法》（财库﹝2020﹞46 号）的规定，本公司（联合体）参加（长春市绿园区教育局）的（项目名称）采购活动，工程的施工单位全部为符合政策要求的中小企业（或者：服务全部由符合政策要求的中小企业承接）。相关企业（含联合体中的中小企业、签订分包意向协议的中小企业）的具体情况如下：</w:t>
      </w:r>
    </w:p>
    <w:p w14:paraId="065DE7E9">
      <w:pPr>
        <w:pStyle w:val="73"/>
        <w:spacing w:line="360" w:lineRule="auto"/>
        <w:ind w:firstLine="480" w:firstLineChars="200"/>
        <w:rPr>
          <w:rFonts w:hint="eastAsia"/>
          <w:color w:val="auto"/>
          <w:highlight w:val="none"/>
          <w:lang w:val="zh-CN"/>
        </w:rPr>
      </w:pPr>
      <w:r>
        <w:rPr>
          <w:rFonts w:hint="eastAsia"/>
          <w:color w:val="auto"/>
          <w:highlight w:val="none"/>
          <w:u w:val="single"/>
          <w:lang w:val="zh-CN"/>
        </w:rPr>
        <w:t>（标的名称）</w:t>
      </w:r>
      <w:r>
        <w:rPr>
          <w:rFonts w:hint="eastAsia"/>
          <w:color w:val="auto"/>
          <w:highlight w:val="none"/>
          <w:lang w:val="zh-CN"/>
        </w:rPr>
        <w:t>，属于</w:t>
      </w:r>
      <w:r>
        <w:rPr>
          <w:rFonts w:hint="eastAsia" w:eastAsia="宋体"/>
          <w:color w:val="auto"/>
          <w:highlight w:val="none"/>
          <w:u w:val="single"/>
          <w:lang w:val="en-US" w:eastAsia="zh-CN"/>
        </w:rPr>
        <w:t>其他服务业</w:t>
      </w:r>
      <w:r>
        <w:rPr>
          <w:rFonts w:hint="eastAsia"/>
          <w:color w:val="auto"/>
          <w:highlight w:val="none"/>
          <w:lang w:val="zh-CN"/>
        </w:rPr>
        <w:t>；承建（承接）企业为</w:t>
      </w:r>
      <w:r>
        <w:rPr>
          <w:rFonts w:hint="eastAsia"/>
          <w:color w:val="auto"/>
          <w:highlight w:val="none"/>
          <w:u w:val="single"/>
          <w:lang w:val="zh-CN"/>
        </w:rPr>
        <w:t>（企业名称）</w:t>
      </w:r>
      <w:r>
        <w:rPr>
          <w:rFonts w:hint="eastAsia"/>
          <w:color w:val="auto"/>
          <w:highlight w:val="none"/>
          <w:lang w:val="zh-CN"/>
        </w:rPr>
        <w:t>，从业人员</w:t>
      </w:r>
      <w:r>
        <w:rPr>
          <w:rFonts w:hint="eastAsia"/>
          <w:color w:val="auto"/>
          <w:highlight w:val="none"/>
          <w:u w:val="single"/>
          <w:lang w:val="zh-CN"/>
        </w:rPr>
        <w:t xml:space="preserve"> </w:t>
      </w:r>
      <w:r>
        <w:rPr>
          <w:rFonts w:hint="eastAsia"/>
          <w:color w:val="auto"/>
          <w:highlight w:val="none"/>
          <w:u w:val="single"/>
          <w:lang w:val="zh-CN"/>
        </w:rPr>
        <w:tab/>
      </w:r>
      <w:r>
        <w:rPr>
          <w:rFonts w:hint="eastAsia"/>
          <w:color w:val="auto"/>
          <w:highlight w:val="none"/>
          <w:lang w:val="zh-CN"/>
        </w:rPr>
        <w:t>人，营业收入为</w:t>
      </w:r>
      <w:r>
        <w:rPr>
          <w:rFonts w:hint="eastAsia"/>
          <w:color w:val="auto"/>
          <w:highlight w:val="none"/>
          <w:u w:val="single"/>
          <w:lang w:val="zh-CN"/>
        </w:rPr>
        <w:t xml:space="preserve"> </w:t>
      </w:r>
      <w:r>
        <w:rPr>
          <w:rFonts w:hint="eastAsia"/>
          <w:color w:val="auto"/>
          <w:highlight w:val="none"/>
          <w:u w:val="single"/>
          <w:lang w:val="zh-CN"/>
        </w:rPr>
        <w:tab/>
      </w:r>
      <w:r>
        <w:rPr>
          <w:rFonts w:hint="eastAsia"/>
          <w:color w:val="auto"/>
          <w:highlight w:val="none"/>
          <w:lang w:val="zh-CN"/>
        </w:rPr>
        <w:t>万元，资产总额为</w:t>
      </w:r>
      <w:r>
        <w:rPr>
          <w:rFonts w:hint="eastAsia"/>
          <w:color w:val="auto"/>
          <w:highlight w:val="none"/>
          <w:u w:val="single"/>
          <w:lang w:val="zh-CN"/>
        </w:rPr>
        <w:t xml:space="preserve"> </w:t>
      </w:r>
      <w:r>
        <w:rPr>
          <w:rFonts w:hint="eastAsia"/>
          <w:color w:val="auto"/>
          <w:highlight w:val="none"/>
          <w:u w:val="single"/>
          <w:lang w:val="zh-CN"/>
        </w:rPr>
        <w:tab/>
      </w:r>
      <w:r>
        <w:rPr>
          <w:rFonts w:hint="eastAsia"/>
          <w:color w:val="auto"/>
          <w:highlight w:val="none"/>
          <w:lang w:val="zh-CN"/>
        </w:rPr>
        <w:t>万元</w:t>
      </w:r>
      <w:r>
        <w:rPr>
          <w:rFonts w:hint="eastAsia"/>
          <w:color w:val="auto"/>
          <w:highlight w:val="none"/>
          <w:vertAlign w:val="superscript"/>
          <w:lang w:val="zh-CN"/>
        </w:rPr>
        <w:fldChar w:fldCharType="begin"/>
      </w:r>
      <w:r>
        <w:rPr>
          <w:rFonts w:hint="eastAsia"/>
          <w:color w:val="auto"/>
          <w:highlight w:val="none"/>
          <w:vertAlign w:val="superscript"/>
          <w:lang w:val="zh-CN"/>
        </w:rPr>
        <w:instrText xml:space="preserve"> HYPERLINK \l "_bookmark1" </w:instrText>
      </w:r>
      <w:r>
        <w:rPr>
          <w:rFonts w:hint="eastAsia"/>
          <w:color w:val="auto"/>
          <w:highlight w:val="none"/>
          <w:vertAlign w:val="superscript"/>
          <w:lang w:val="zh-CN"/>
        </w:rPr>
        <w:fldChar w:fldCharType="separate"/>
      </w:r>
      <w:r>
        <w:rPr>
          <w:rFonts w:hint="eastAsia"/>
          <w:color w:val="auto"/>
          <w:highlight w:val="none"/>
          <w:vertAlign w:val="superscript"/>
          <w:lang w:val="zh-CN"/>
        </w:rPr>
        <w:t>1</w:t>
      </w:r>
      <w:r>
        <w:rPr>
          <w:rFonts w:hint="eastAsia"/>
          <w:color w:val="auto"/>
          <w:highlight w:val="none"/>
          <w:vertAlign w:val="superscript"/>
          <w:lang w:val="zh-CN"/>
        </w:rPr>
        <w:fldChar w:fldCharType="end"/>
      </w:r>
      <w:r>
        <w:rPr>
          <w:rFonts w:hint="eastAsia"/>
          <w:color w:val="auto"/>
          <w:highlight w:val="none"/>
          <w:lang w:val="zh-CN"/>
        </w:rPr>
        <w:t>，属于</w:t>
      </w:r>
      <w:r>
        <w:rPr>
          <w:rFonts w:hint="eastAsia"/>
          <w:color w:val="auto"/>
          <w:highlight w:val="none"/>
          <w:u w:val="single"/>
          <w:lang w:val="zh-CN"/>
        </w:rPr>
        <w:t>（中型企业、小型企业、微型企业）</w:t>
      </w:r>
      <w:r>
        <w:rPr>
          <w:rFonts w:hint="eastAsia"/>
          <w:color w:val="auto"/>
          <w:highlight w:val="none"/>
          <w:lang w:val="zh-CN"/>
        </w:rPr>
        <w:t>；</w:t>
      </w:r>
    </w:p>
    <w:p w14:paraId="068FBE32">
      <w:pPr>
        <w:pStyle w:val="73"/>
        <w:spacing w:line="360" w:lineRule="auto"/>
        <w:ind w:firstLine="480" w:firstLineChars="200"/>
        <w:rPr>
          <w:rFonts w:hint="eastAsia"/>
          <w:color w:val="auto"/>
          <w:highlight w:val="none"/>
          <w:lang w:val="zh-CN"/>
        </w:rPr>
      </w:pPr>
      <w:r>
        <w:rPr>
          <w:rFonts w:hint="eastAsia"/>
          <w:color w:val="auto"/>
          <w:highlight w:val="none"/>
          <w:u w:val="single"/>
          <w:lang w:val="zh-CN"/>
        </w:rPr>
        <w:t>（标的名称）</w:t>
      </w:r>
      <w:r>
        <w:rPr>
          <w:rFonts w:hint="eastAsia"/>
          <w:color w:val="auto"/>
          <w:highlight w:val="none"/>
          <w:lang w:val="zh-CN"/>
        </w:rPr>
        <w:t>，属于</w:t>
      </w:r>
      <w:r>
        <w:rPr>
          <w:rFonts w:hint="eastAsia"/>
          <w:color w:val="auto"/>
          <w:highlight w:val="none"/>
          <w:u w:val="single"/>
          <w:lang w:val="zh-CN"/>
        </w:rPr>
        <w:t>租赁和商务服务业</w:t>
      </w:r>
      <w:r>
        <w:rPr>
          <w:rFonts w:hint="eastAsia"/>
          <w:color w:val="auto"/>
          <w:highlight w:val="none"/>
          <w:lang w:val="zh-CN"/>
        </w:rPr>
        <w:t>；承建（承接）企业为</w:t>
      </w:r>
      <w:r>
        <w:rPr>
          <w:rFonts w:hint="eastAsia"/>
          <w:color w:val="auto"/>
          <w:highlight w:val="none"/>
          <w:u w:val="single"/>
          <w:lang w:val="zh-CN"/>
        </w:rPr>
        <w:t>（企业名称）</w:t>
      </w:r>
      <w:r>
        <w:rPr>
          <w:rFonts w:hint="eastAsia"/>
          <w:color w:val="auto"/>
          <w:highlight w:val="none"/>
          <w:lang w:val="zh-CN"/>
        </w:rPr>
        <w:t>，从业人员</w:t>
      </w:r>
      <w:r>
        <w:rPr>
          <w:rFonts w:hint="eastAsia"/>
          <w:color w:val="auto"/>
          <w:highlight w:val="none"/>
          <w:u w:val="single"/>
          <w:lang w:val="zh-CN"/>
        </w:rPr>
        <w:t xml:space="preserve"> </w:t>
      </w:r>
      <w:r>
        <w:rPr>
          <w:rFonts w:hint="eastAsia"/>
          <w:color w:val="auto"/>
          <w:highlight w:val="none"/>
          <w:u w:val="single"/>
          <w:lang w:val="zh-CN"/>
        </w:rPr>
        <w:tab/>
      </w:r>
      <w:r>
        <w:rPr>
          <w:rFonts w:hint="eastAsia"/>
          <w:color w:val="auto"/>
          <w:highlight w:val="none"/>
          <w:lang w:val="zh-CN"/>
        </w:rPr>
        <w:t>人，营业收入为</w:t>
      </w:r>
      <w:r>
        <w:rPr>
          <w:rFonts w:hint="eastAsia"/>
          <w:color w:val="auto"/>
          <w:highlight w:val="none"/>
          <w:u w:val="single"/>
          <w:lang w:val="zh-CN"/>
        </w:rPr>
        <w:t xml:space="preserve"> </w:t>
      </w:r>
      <w:r>
        <w:rPr>
          <w:rFonts w:hint="eastAsia"/>
          <w:color w:val="auto"/>
          <w:highlight w:val="none"/>
          <w:u w:val="single"/>
          <w:lang w:val="zh-CN"/>
        </w:rPr>
        <w:tab/>
      </w:r>
      <w:r>
        <w:rPr>
          <w:rFonts w:hint="eastAsia"/>
          <w:color w:val="auto"/>
          <w:highlight w:val="none"/>
          <w:lang w:val="zh-CN"/>
        </w:rPr>
        <w:t>万元，资产总额为</w:t>
      </w:r>
      <w:r>
        <w:rPr>
          <w:rFonts w:hint="eastAsia"/>
          <w:color w:val="auto"/>
          <w:highlight w:val="none"/>
          <w:u w:val="single"/>
          <w:lang w:val="zh-CN"/>
        </w:rPr>
        <w:t xml:space="preserve"> </w:t>
      </w:r>
      <w:r>
        <w:rPr>
          <w:rFonts w:hint="eastAsia"/>
          <w:color w:val="auto"/>
          <w:highlight w:val="none"/>
          <w:u w:val="single"/>
          <w:lang w:val="zh-CN"/>
        </w:rPr>
        <w:tab/>
      </w:r>
      <w:r>
        <w:rPr>
          <w:rFonts w:hint="eastAsia"/>
          <w:color w:val="auto"/>
          <w:highlight w:val="none"/>
          <w:lang w:val="zh-CN"/>
        </w:rPr>
        <w:t>万元，属于</w:t>
      </w:r>
      <w:r>
        <w:rPr>
          <w:rFonts w:hint="eastAsia"/>
          <w:color w:val="auto"/>
          <w:highlight w:val="none"/>
          <w:u w:val="single"/>
          <w:lang w:val="zh-CN"/>
        </w:rPr>
        <w:t>（中型企业、小型企业、微型企业）</w:t>
      </w:r>
      <w:r>
        <w:rPr>
          <w:rFonts w:hint="eastAsia"/>
          <w:color w:val="auto"/>
          <w:highlight w:val="none"/>
          <w:lang w:val="zh-CN"/>
        </w:rPr>
        <w:t>；</w:t>
      </w:r>
    </w:p>
    <w:p w14:paraId="6B049C4A">
      <w:pPr>
        <w:pStyle w:val="73"/>
        <w:spacing w:line="360" w:lineRule="auto"/>
        <w:ind w:firstLine="480" w:firstLineChars="200"/>
        <w:rPr>
          <w:rFonts w:hint="eastAsia"/>
          <w:color w:val="auto"/>
          <w:highlight w:val="none"/>
          <w:lang w:val="zh-CN"/>
        </w:rPr>
      </w:pPr>
      <w:r>
        <w:rPr>
          <w:rFonts w:hint="eastAsia"/>
          <w:color w:val="auto"/>
          <w:highlight w:val="none"/>
          <w:lang w:val="zh-CN"/>
        </w:rPr>
        <w:t>……</w:t>
      </w:r>
    </w:p>
    <w:p w14:paraId="166A300D">
      <w:pPr>
        <w:pStyle w:val="73"/>
        <w:spacing w:line="360" w:lineRule="auto"/>
        <w:ind w:firstLine="480" w:firstLineChars="200"/>
        <w:rPr>
          <w:rFonts w:hint="eastAsia"/>
          <w:color w:val="auto"/>
          <w:highlight w:val="none"/>
          <w:lang w:val="zh-CN"/>
        </w:rPr>
      </w:pPr>
      <w:r>
        <w:rPr>
          <w:rFonts w:hint="eastAsia"/>
          <w:color w:val="auto"/>
          <w:highlight w:val="none"/>
          <w:lang w:val="zh-CN"/>
        </w:rPr>
        <w:t>以上企业，不属于大企业的分支机构，不存在控股股东为大企业的情形，也不存在与大企业的负责人为同一人的情形。</w:t>
      </w:r>
    </w:p>
    <w:p w14:paraId="6D4137F0">
      <w:pPr>
        <w:pStyle w:val="73"/>
        <w:spacing w:line="360" w:lineRule="auto"/>
        <w:ind w:firstLine="480" w:firstLineChars="200"/>
        <w:rPr>
          <w:rFonts w:hint="eastAsia"/>
          <w:color w:val="auto"/>
          <w:highlight w:val="none"/>
          <w:lang w:val="zh-CN"/>
        </w:rPr>
      </w:pPr>
      <w:r>
        <w:rPr>
          <w:rFonts w:hint="eastAsia"/>
          <w:color w:val="auto"/>
          <w:highlight w:val="none"/>
          <w:lang w:val="zh-CN"/>
        </w:rPr>
        <w:t>本企业对上述声明内容的真实性负责。如有虚假，将依法承担相应责任。</w:t>
      </w:r>
    </w:p>
    <w:p w14:paraId="733E0659">
      <w:pPr>
        <w:pStyle w:val="73"/>
        <w:spacing w:line="360" w:lineRule="auto"/>
        <w:ind w:firstLine="480" w:firstLineChars="200"/>
        <w:rPr>
          <w:rFonts w:hint="eastAsia"/>
          <w:color w:val="auto"/>
          <w:highlight w:val="none"/>
          <w:lang w:val="zh-CN"/>
        </w:rPr>
      </w:pPr>
    </w:p>
    <w:p w14:paraId="5D7FF0E4">
      <w:pPr>
        <w:pStyle w:val="75"/>
        <w:spacing w:line="360" w:lineRule="auto"/>
        <w:ind w:left="4416" w:leftChars="1960" w:hanging="300" w:hangingChars="125"/>
        <w:rPr>
          <w:color w:val="auto"/>
          <w:highlight w:val="none"/>
        </w:rPr>
      </w:pPr>
    </w:p>
    <w:p w14:paraId="31EE59D2">
      <w:pPr>
        <w:pStyle w:val="73"/>
        <w:rPr>
          <w:color w:val="auto"/>
          <w:highlight w:val="none"/>
        </w:rPr>
      </w:pPr>
    </w:p>
    <w:p w14:paraId="3D6CDF28">
      <w:pPr>
        <w:pStyle w:val="73"/>
        <w:rPr>
          <w:color w:val="auto"/>
          <w:highlight w:val="none"/>
        </w:rPr>
      </w:pPr>
    </w:p>
    <w:p w14:paraId="3E997D21">
      <w:pPr>
        <w:pStyle w:val="75"/>
        <w:spacing w:line="360" w:lineRule="auto"/>
        <w:rPr>
          <w:color w:val="auto"/>
          <w:highlight w:val="none"/>
        </w:rPr>
      </w:pPr>
      <w:r>
        <w:rPr>
          <w:rFonts w:hint="eastAsia"/>
          <w:color w:val="auto"/>
          <w:highlight w:val="none"/>
        </w:rPr>
        <w:t>企业名称（盖章）：</w:t>
      </w:r>
    </w:p>
    <w:p w14:paraId="65D3BAA9">
      <w:pPr>
        <w:pStyle w:val="75"/>
        <w:spacing w:line="360" w:lineRule="auto"/>
        <w:rPr>
          <w:color w:val="auto"/>
          <w:highlight w:val="none"/>
        </w:rPr>
      </w:pPr>
      <w:r>
        <w:rPr>
          <w:rFonts w:hint="eastAsia"/>
          <w:color w:val="auto"/>
          <w:highlight w:val="none"/>
        </w:rPr>
        <w:t xml:space="preserve">日期： </w:t>
      </w:r>
    </w:p>
    <w:p w14:paraId="0E0AE3E3">
      <w:pPr>
        <w:pStyle w:val="73"/>
        <w:rPr>
          <w:color w:val="auto"/>
          <w:highlight w:val="none"/>
        </w:rPr>
      </w:pPr>
    </w:p>
    <w:p w14:paraId="5FEA34FE">
      <w:pPr>
        <w:pStyle w:val="73"/>
        <w:rPr>
          <w:color w:val="auto"/>
          <w:highlight w:val="none"/>
        </w:rPr>
      </w:pPr>
    </w:p>
    <w:p w14:paraId="72848CE9">
      <w:pPr>
        <w:pStyle w:val="73"/>
        <w:rPr>
          <w:color w:val="auto"/>
          <w:highlight w:val="none"/>
        </w:rPr>
      </w:pPr>
    </w:p>
    <w:p w14:paraId="67795591">
      <w:pPr>
        <w:pStyle w:val="73"/>
        <w:rPr>
          <w:color w:val="auto"/>
          <w:highlight w:val="none"/>
        </w:rPr>
      </w:pPr>
    </w:p>
    <w:p w14:paraId="39CCE4BC">
      <w:pPr>
        <w:pStyle w:val="73"/>
        <w:rPr>
          <w:color w:val="auto"/>
          <w:highlight w:val="none"/>
        </w:rPr>
      </w:pPr>
    </w:p>
    <w:p w14:paraId="5FB71EAB">
      <w:pPr>
        <w:pStyle w:val="73"/>
        <w:rPr>
          <w:color w:val="auto"/>
          <w:highlight w:val="none"/>
        </w:rPr>
      </w:pPr>
    </w:p>
    <w:p w14:paraId="58DC189D">
      <w:pPr>
        <w:pStyle w:val="75"/>
        <w:spacing w:line="240" w:lineRule="auto"/>
        <w:rPr>
          <w:color w:val="auto"/>
          <w:highlight w:val="none"/>
          <w:vertAlign w:val="superscript"/>
        </w:rPr>
      </w:pPr>
      <w:r>
        <w:rPr>
          <w:rFonts w:hint="eastAsia"/>
          <w:color w:val="auto"/>
          <w:highlight w:val="none"/>
          <w:vertAlign w:val="superscript"/>
        </w:rPr>
        <w:t xml:space="preserve"> </w:t>
      </w:r>
    </w:p>
    <w:p w14:paraId="2D445394">
      <w:pPr>
        <w:pStyle w:val="75"/>
        <w:pBdr>
          <w:top w:val="single" w:color="auto" w:sz="4" w:space="1"/>
          <w:left w:val="none" w:color="auto" w:sz="0" w:space="4"/>
          <w:bottom w:val="none" w:color="auto" w:sz="0" w:space="1"/>
          <w:right w:val="none" w:color="auto" w:sz="0" w:space="4"/>
        </w:pBdr>
        <w:spacing w:line="240" w:lineRule="auto"/>
        <w:rPr>
          <w:rFonts w:hint="eastAsia" w:eastAsia="宋体"/>
          <w:sz w:val="21"/>
          <w:szCs w:val="21"/>
          <w:highlight w:val="none"/>
        </w:rPr>
        <w:sectPr>
          <w:footerReference r:id="rId14" w:type="first"/>
          <w:footerReference r:id="rId13" w:type="default"/>
          <w:pgSz w:w="11906" w:h="16838"/>
          <w:pgMar w:top="1304" w:right="1247" w:bottom="1304" w:left="1361" w:header="851" w:footer="992" w:gutter="0"/>
          <w:cols w:space="720" w:num="1"/>
          <w:titlePg/>
          <w:docGrid w:linePitch="312" w:charSpace="0"/>
        </w:sectPr>
      </w:pPr>
      <w:r>
        <w:rPr>
          <w:rFonts w:hint="eastAsia"/>
          <w:color w:val="auto"/>
          <w:highlight w:val="none"/>
        </w:rPr>
        <w:t>从业人员、营业收入、资产总额填报上一年度数据，无上一年度数据的新成立企业可不填</w:t>
      </w:r>
    </w:p>
    <w:p w14:paraId="7082CBB1">
      <w:pPr>
        <w:autoSpaceDE w:val="0"/>
        <w:autoSpaceDN w:val="0"/>
        <w:adjustRightInd w:val="0"/>
        <w:jc w:val="center"/>
        <w:rPr>
          <w:rFonts w:hint="eastAsia" w:ascii="宋体" w:hAnsi="宋体" w:cs="宋体"/>
          <w:bCs/>
          <w:color w:val="000000"/>
          <w:sz w:val="30"/>
          <w:szCs w:val="30"/>
          <w:highlight w:val="none"/>
          <w:lang w:val="zh-CN"/>
        </w:rPr>
      </w:pPr>
      <w:r>
        <w:rPr>
          <w:rFonts w:hint="eastAsia" w:ascii="宋体" w:hAnsi="宋体" w:cs="宋体"/>
          <w:bCs/>
          <w:color w:val="000000"/>
          <w:sz w:val="30"/>
          <w:szCs w:val="30"/>
          <w:highlight w:val="none"/>
          <w:lang w:val="zh-CN"/>
        </w:rPr>
        <w:t>第二部分  技术文件</w:t>
      </w:r>
    </w:p>
    <w:p w14:paraId="706C991B">
      <w:pPr>
        <w:autoSpaceDE w:val="0"/>
        <w:autoSpaceDN w:val="0"/>
        <w:adjustRightInd w:val="0"/>
        <w:spacing w:line="360" w:lineRule="auto"/>
        <w:rPr>
          <w:rFonts w:hint="eastAsia" w:ascii="宋体" w:hAnsi="宋体" w:cs="宋体"/>
          <w:bCs/>
          <w:color w:val="000000"/>
          <w:sz w:val="30"/>
          <w:szCs w:val="30"/>
          <w:highlight w:val="none"/>
        </w:rPr>
      </w:pPr>
    </w:p>
    <w:p w14:paraId="1CB63BF0">
      <w:pPr>
        <w:pStyle w:val="73"/>
        <w:rPr>
          <w:rFonts w:hint="eastAsia" w:eastAsia="宋体"/>
          <w:highlight w:val="none"/>
        </w:rPr>
      </w:pPr>
      <w:r>
        <w:rPr>
          <w:rFonts w:hint="eastAsia" w:eastAsia="宋体"/>
          <w:highlight w:val="none"/>
        </w:rPr>
        <w:t>根据评标办法要求依次列出</w:t>
      </w:r>
    </w:p>
    <w:p w14:paraId="5F33A775">
      <w:pPr>
        <w:pStyle w:val="73"/>
        <w:rPr>
          <w:rFonts w:hint="eastAsia" w:eastAsia="宋体"/>
          <w:highlight w:val="none"/>
        </w:rPr>
      </w:pPr>
      <w:r>
        <w:rPr>
          <w:rFonts w:hint="eastAsia" w:eastAsia="宋体"/>
          <w:highlight w:val="none"/>
        </w:rPr>
        <w:t>人员配备格式一：</w:t>
      </w:r>
    </w:p>
    <w:p w14:paraId="64AD4721">
      <w:pPr>
        <w:spacing w:line="400" w:lineRule="exact"/>
        <w:ind w:firstLine="723" w:firstLineChars="300"/>
        <w:jc w:val="center"/>
        <w:rPr>
          <w:rFonts w:hint="default" w:ascii="宋体" w:hAnsi="宋体" w:eastAsia="宋体"/>
          <w:b/>
          <w:sz w:val="24"/>
          <w:highlight w:val="none"/>
          <w:lang w:val="en-US" w:eastAsia="zh-CN"/>
        </w:rPr>
      </w:pPr>
      <w:r>
        <w:rPr>
          <w:rFonts w:hint="eastAsia" w:ascii="宋体" w:hAnsi="宋体"/>
          <w:b/>
          <w:sz w:val="24"/>
          <w:highlight w:val="none"/>
        </w:rPr>
        <w:t>主要负责人员</w:t>
      </w:r>
      <w:r>
        <w:rPr>
          <w:rFonts w:hint="eastAsia" w:ascii="宋体" w:hAnsi="宋体"/>
          <w:b/>
          <w:sz w:val="24"/>
          <w:highlight w:val="none"/>
          <w:lang w:val="en-US" w:eastAsia="zh-CN"/>
        </w:rPr>
        <w:t>和管理人员</w:t>
      </w:r>
    </w:p>
    <w:p w14:paraId="36A40168">
      <w:pPr>
        <w:spacing w:line="400" w:lineRule="exact"/>
        <w:ind w:firstLine="720" w:firstLineChars="300"/>
        <w:rPr>
          <w:rFonts w:ascii="宋体" w:hAnsi="宋体"/>
          <w:sz w:val="24"/>
          <w:highlight w:val="none"/>
        </w:rPr>
      </w:pPr>
    </w:p>
    <w:tbl>
      <w:tblPr>
        <w:tblStyle w:val="38"/>
        <w:tblW w:w="948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1133"/>
        <w:gridCol w:w="850"/>
        <w:gridCol w:w="991"/>
        <w:gridCol w:w="850"/>
        <w:gridCol w:w="1273"/>
        <w:gridCol w:w="1416"/>
        <w:gridCol w:w="2123"/>
      </w:tblGrid>
      <w:tr w14:paraId="0EFB3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2" w:hRule="atLeast"/>
        </w:trPr>
        <w:tc>
          <w:tcPr>
            <w:tcW w:w="850" w:type="dxa"/>
            <w:noWrap w:val="0"/>
            <w:vAlign w:val="top"/>
          </w:tcPr>
          <w:p w14:paraId="61FAAB3B">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序号</w:t>
            </w:r>
          </w:p>
        </w:tc>
        <w:tc>
          <w:tcPr>
            <w:tcW w:w="1133" w:type="dxa"/>
            <w:noWrap w:val="0"/>
            <w:vAlign w:val="top"/>
          </w:tcPr>
          <w:p w14:paraId="6C2BF07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姓名</w:t>
            </w:r>
          </w:p>
        </w:tc>
        <w:tc>
          <w:tcPr>
            <w:tcW w:w="850" w:type="dxa"/>
            <w:noWrap w:val="0"/>
            <w:vAlign w:val="top"/>
          </w:tcPr>
          <w:p w14:paraId="45145D12">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职位</w:t>
            </w:r>
          </w:p>
        </w:tc>
        <w:tc>
          <w:tcPr>
            <w:tcW w:w="991" w:type="dxa"/>
            <w:noWrap w:val="0"/>
            <w:vAlign w:val="top"/>
          </w:tcPr>
          <w:p w14:paraId="1597AA3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年龄</w:t>
            </w:r>
          </w:p>
        </w:tc>
        <w:tc>
          <w:tcPr>
            <w:tcW w:w="850" w:type="dxa"/>
            <w:noWrap w:val="0"/>
            <w:vAlign w:val="top"/>
          </w:tcPr>
          <w:p w14:paraId="2A8DCC72">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学历</w:t>
            </w:r>
          </w:p>
        </w:tc>
        <w:tc>
          <w:tcPr>
            <w:tcW w:w="1273" w:type="dxa"/>
            <w:noWrap w:val="0"/>
            <w:vAlign w:val="top"/>
          </w:tcPr>
          <w:p w14:paraId="239BD4B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发证时间</w:t>
            </w:r>
          </w:p>
        </w:tc>
        <w:tc>
          <w:tcPr>
            <w:tcW w:w="1416" w:type="dxa"/>
            <w:noWrap w:val="0"/>
            <w:vAlign w:val="top"/>
          </w:tcPr>
          <w:p w14:paraId="7A531666">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驾照类别</w:t>
            </w:r>
          </w:p>
        </w:tc>
        <w:tc>
          <w:tcPr>
            <w:tcW w:w="2123" w:type="dxa"/>
            <w:noWrap w:val="0"/>
            <w:vAlign w:val="top"/>
          </w:tcPr>
          <w:p w14:paraId="7168EFA8">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从事本工作时间</w:t>
            </w:r>
          </w:p>
        </w:tc>
      </w:tr>
      <w:tr w14:paraId="101D5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57A0AB4C">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1</w:t>
            </w:r>
          </w:p>
        </w:tc>
        <w:tc>
          <w:tcPr>
            <w:tcW w:w="1133" w:type="dxa"/>
            <w:noWrap w:val="0"/>
            <w:vAlign w:val="top"/>
          </w:tcPr>
          <w:p w14:paraId="3E2C9F55">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413210FF">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66968D1B">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47752D13">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25AFA34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4259AE4C">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47891C0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0226B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63609F88">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2</w:t>
            </w:r>
          </w:p>
        </w:tc>
        <w:tc>
          <w:tcPr>
            <w:tcW w:w="1133" w:type="dxa"/>
            <w:noWrap w:val="0"/>
            <w:vAlign w:val="top"/>
          </w:tcPr>
          <w:p w14:paraId="5768580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3401C183">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6053638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5A1EB64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6EECCD1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3061E792">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5BD408D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6BED9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50" w:type="dxa"/>
            <w:noWrap w:val="0"/>
            <w:vAlign w:val="top"/>
          </w:tcPr>
          <w:p w14:paraId="3FAF2390">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3</w:t>
            </w:r>
          </w:p>
        </w:tc>
        <w:tc>
          <w:tcPr>
            <w:tcW w:w="1133" w:type="dxa"/>
            <w:noWrap w:val="0"/>
            <w:vAlign w:val="top"/>
          </w:tcPr>
          <w:p w14:paraId="12F1DD6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17B9ED69">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7A91ACA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38A3E2A8">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34A0A68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18A76A1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0882DE80">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297F3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5DCE4839">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r>
              <w:rPr>
                <w:rFonts w:hint="eastAsia" w:ascii="宋体" w:hAnsi="宋体" w:cs="宋体"/>
                <w:szCs w:val="21"/>
                <w:highlight w:val="none"/>
              </w:rPr>
              <w:t>4</w:t>
            </w:r>
          </w:p>
        </w:tc>
        <w:tc>
          <w:tcPr>
            <w:tcW w:w="1133" w:type="dxa"/>
            <w:noWrap w:val="0"/>
            <w:vAlign w:val="top"/>
          </w:tcPr>
          <w:p w14:paraId="670E0AF8">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00984426">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45695694">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4E4539C5">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38CB083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0E6FE156">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712A122F">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355FD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0C5E9FEE">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133" w:type="dxa"/>
            <w:noWrap w:val="0"/>
            <w:vAlign w:val="top"/>
          </w:tcPr>
          <w:p w14:paraId="4C23883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5674229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22FE7E4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4030F2C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5E34D104">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385BAC79">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40692802">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72FAE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2850DF55">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133" w:type="dxa"/>
            <w:noWrap w:val="0"/>
            <w:vAlign w:val="top"/>
          </w:tcPr>
          <w:p w14:paraId="15A5C3C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23204B69">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7D12F6AF">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64A4D435">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602B6AC2">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7FA2AA1C">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0C5C8AD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7B044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601FBF36">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133" w:type="dxa"/>
            <w:noWrap w:val="0"/>
            <w:vAlign w:val="top"/>
          </w:tcPr>
          <w:p w14:paraId="5746C04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1ABF81A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2B5187BA">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748D22A3">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43958B5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0982737B">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188196E2">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2A368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0691747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133" w:type="dxa"/>
            <w:noWrap w:val="0"/>
            <w:vAlign w:val="top"/>
          </w:tcPr>
          <w:p w14:paraId="5938B670">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593A4058">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417E8E1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7AC8967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4D8639FF">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76BDE93C">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54AA7CF9">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35F8B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50" w:type="dxa"/>
            <w:noWrap w:val="0"/>
            <w:vAlign w:val="top"/>
          </w:tcPr>
          <w:p w14:paraId="7235C128">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133" w:type="dxa"/>
            <w:noWrap w:val="0"/>
            <w:vAlign w:val="top"/>
          </w:tcPr>
          <w:p w14:paraId="682185F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19B25009">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2E0788E0">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38FEA63F">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7C272AE6">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299D92D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4589BF5C">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7D15F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16E88C06">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133" w:type="dxa"/>
            <w:noWrap w:val="0"/>
            <w:vAlign w:val="top"/>
          </w:tcPr>
          <w:p w14:paraId="521C40C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1D01626C">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270D77B6">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75DAFD2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4B9CE8E4">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4E0837E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02D8D1A3">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58A4A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33EA4B08">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133" w:type="dxa"/>
            <w:noWrap w:val="0"/>
            <w:vAlign w:val="top"/>
          </w:tcPr>
          <w:p w14:paraId="04C2D3D2">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01F3441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2EBE207A">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08D3711E">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284FBA4C">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7C30E123">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532163C9">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r w14:paraId="3A74B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50" w:type="dxa"/>
            <w:noWrap w:val="0"/>
            <w:vAlign w:val="top"/>
          </w:tcPr>
          <w:p w14:paraId="02126FE7">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133" w:type="dxa"/>
            <w:noWrap w:val="0"/>
            <w:vAlign w:val="top"/>
          </w:tcPr>
          <w:p w14:paraId="60CA097C">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41EA71C8">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991" w:type="dxa"/>
            <w:noWrap w:val="0"/>
            <w:vAlign w:val="top"/>
          </w:tcPr>
          <w:p w14:paraId="233841FD">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850" w:type="dxa"/>
            <w:noWrap w:val="0"/>
            <w:vAlign w:val="top"/>
          </w:tcPr>
          <w:p w14:paraId="7FF7F9BB">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273" w:type="dxa"/>
            <w:noWrap w:val="0"/>
            <w:vAlign w:val="top"/>
          </w:tcPr>
          <w:p w14:paraId="4F4809BE">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1416" w:type="dxa"/>
            <w:noWrap w:val="0"/>
            <w:vAlign w:val="top"/>
          </w:tcPr>
          <w:p w14:paraId="7FEC1B74">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c>
          <w:tcPr>
            <w:tcW w:w="2123" w:type="dxa"/>
            <w:noWrap w:val="0"/>
            <w:vAlign w:val="top"/>
          </w:tcPr>
          <w:p w14:paraId="30AF5C01">
            <w:pPr>
              <w:keepNext w:val="0"/>
              <w:keepLines w:val="0"/>
              <w:suppressLineNumbers w:val="0"/>
              <w:spacing w:before="0" w:beforeAutospacing="0" w:after="0" w:afterAutospacing="0" w:line="400" w:lineRule="exact"/>
              <w:ind w:left="0" w:right="0"/>
              <w:rPr>
                <w:rFonts w:hint="eastAsia" w:ascii="宋体" w:hAnsi="宋体" w:cs="宋体"/>
                <w:szCs w:val="21"/>
                <w:highlight w:val="none"/>
              </w:rPr>
            </w:pPr>
          </w:p>
        </w:tc>
      </w:tr>
    </w:tbl>
    <w:p w14:paraId="6BA4477E">
      <w:pPr>
        <w:spacing w:line="400" w:lineRule="exact"/>
        <w:rPr>
          <w:rFonts w:ascii="宋体" w:hAnsi="宋体"/>
          <w:sz w:val="24"/>
          <w:highlight w:val="none"/>
        </w:rPr>
      </w:pPr>
      <w:r>
        <w:rPr>
          <w:rFonts w:hint="eastAsia" w:ascii="宋体" w:hAnsi="宋体" w:cs="宋体"/>
          <w:szCs w:val="21"/>
          <w:highlight w:val="none"/>
        </w:rPr>
        <w:t>注：投标人必须附上有关人员身份证、劳动合同、</w:t>
      </w:r>
      <w:r>
        <w:rPr>
          <w:rFonts w:hint="eastAsia" w:ascii="宋体" w:hAnsi="宋体" w:cs="宋体"/>
          <w:szCs w:val="21"/>
          <w:highlight w:val="none"/>
          <w:lang w:val="en-US" w:eastAsia="zh-CN"/>
        </w:rPr>
        <w:t>社保</w:t>
      </w:r>
      <w:r>
        <w:rPr>
          <w:rFonts w:hint="eastAsia" w:ascii="宋体" w:hAnsi="宋体" w:cs="宋体"/>
          <w:szCs w:val="21"/>
          <w:highlight w:val="none"/>
        </w:rPr>
        <w:t>证明</w:t>
      </w:r>
      <w:r>
        <w:rPr>
          <w:rFonts w:hint="eastAsia" w:ascii="宋体" w:hAnsi="宋体" w:cs="宋体"/>
          <w:szCs w:val="21"/>
          <w:highlight w:val="none"/>
          <w:lang w:val="en-US" w:eastAsia="zh-CN"/>
        </w:rPr>
        <w:t>等</w:t>
      </w:r>
      <w:r>
        <w:rPr>
          <w:rFonts w:hint="eastAsia" w:ascii="宋体" w:hAnsi="宋体" w:cs="宋体"/>
          <w:szCs w:val="21"/>
          <w:highlight w:val="none"/>
        </w:rPr>
        <w:t>材料复印件</w:t>
      </w:r>
      <w:r>
        <w:rPr>
          <w:rFonts w:hint="eastAsia" w:ascii="宋体" w:hAnsi="宋体" w:cs="宋体"/>
          <w:bCs/>
          <w:szCs w:val="21"/>
          <w:highlight w:val="none"/>
          <w:lang w:val="zh-CN"/>
        </w:rPr>
        <w:t>。</w:t>
      </w:r>
    </w:p>
    <w:p w14:paraId="50B65E12">
      <w:pPr>
        <w:pStyle w:val="73"/>
        <w:rPr>
          <w:rFonts w:hint="eastAsia" w:eastAsia="宋体"/>
          <w:bCs/>
          <w:sz w:val="30"/>
          <w:szCs w:val="30"/>
          <w:highlight w:val="none"/>
        </w:rPr>
      </w:pPr>
    </w:p>
    <w:p w14:paraId="2E3E7766">
      <w:pPr>
        <w:pStyle w:val="73"/>
        <w:rPr>
          <w:rFonts w:hint="eastAsia" w:eastAsia="宋体"/>
          <w:bCs/>
          <w:sz w:val="30"/>
          <w:szCs w:val="30"/>
          <w:highlight w:val="none"/>
        </w:rPr>
      </w:pPr>
    </w:p>
    <w:p w14:paraId="609DDBC3">
      <w:pPr>
        <w:pStyle w:val="73"/>
        <w:rPr>
          <w:rFonts w:hint="eastAsia" w:eastAsia="宋体"/>
          <w:bCs/>
          <w:sz w:val="30"/>
          <w:szCs w:val="30"/>
          <w:highlight w:val="none"/>
        </w:rPr>
      </w:pPr>
    </w:p>
    <w:p w14:paraId="21402F81">
      <w:pPr>
        <w:pStyle w:val="73"/>
        <w:rPr>
          <w:rFonts w:hint="eastAsia" w:eastAsia="宋体"/>
          <w:bCs/>
          <w:sz w:val="30"/>
          <w:szCs w:val="30"/>
          <w:highlight w:val="none"/>
        </w:rPr>
      </w:pPr>
    </w:p>
    <w:p w14:paraId="15061B98">
      <w:pPr>
        <w:pStyle w:val="73"/>
        <w:rPr>
          <w:rFonts w:hint="eastAsia" w:eastAsia="宋体"/>
          <w:bCs/>
          <w:sz w:val="30"/>
          <w:szCs w:val="30"/>
          <w:highlight w:val="none"/>
        </w:rPr>
      </w:pPr>
    </w:p>
    <w:p w14:paraId="30D4188F">
      <w:pPr>
        <w:pStyle w:val="73"/>
        <w:rPr>
          <w:rFonts w:hint="eastAsia" w:eastAsia="宋体"/>
          <w:bCs/>
          <w:sz w:val="30"/>
          <w:szCs w:val="30"/>
          <w:highlight w:val="none"/>
        </w:rPr>
      </w:pPr>
    </w:p>
    <w:p w14:paraId="25E43037">
      <w:pPr>
        <w:pStyle w:val="73"/>
        <w:rPr>
          <w:rFonts w:hint="eastAsia" w:eastAsia="宋体"/>
          <w:bCs/>
          <w:sz w:val="30"/>
          <w:szCs w:val="30"/>
          <w:highlight w:val="none"/>
        </w:rPr>
      </w:pPr>
    </w:p>
    <w:p w14:paraId="6CB5542C">
      <w:pPr>
        <w:pStyle w:val="73"/>
        <w:rPr>
          <w:rFonts w:hint="eastAsia" w:eastAsia="宋体"/>
          <w:bCs/>
          <w:sz w:val="30"/>
          <w:szCs w:val="30"/>
          <w:highlight w:val="none"/>
        </w:rPr>
      </w:pPr>
    </w:p>
    <w:p w14:paraId="39A6FCB3">
      <w:pPr>
        <w:pStyle w:val="73"/>
        <w:rPr>
          <w:rFonts w:hint="eastAsia" w:eastAsia="宋体"/>
          <w:bCs/>
          <w:sz w:val="30"/>
          <w:szCs w:val="30"/>
          <w:highlight w:val="none"/>
        </w:rPr>
      </w:pPr>
    </w:p>
    <w:p w14:paraId="5DBE8828">
      <w:pPr>
        <w:pStyle w:val="73"/>
        <w:rPr>
          <w:rFonts w:hint="eastAsia" w:eastAsia="宋体"/>
          <w:bCs/>
          <w:sz w:val="30"/>
          <w:szCs w:val="30"/>
          <w:highlight w:val="none"/>
        </w:rPr>
      </w:pPr>
    </w:p>
    <w:p w14:paraId="26276A6D">
      <w:pPr>
        <w:autoSpaceDE w:val="0"/>
        <w:autoSpaceDN w:val="0"/>
        <w:adjustRightInd w:val="0"/>
        <w:spacing w:line="360" w:lineRule="auto"/>
        <w:jc w:val="center"/>
        <w:rPr>
          <w:rFonts w:hint="eastAsia" w:ascii="宋体" w:hAnsi="宋体" w:cs="宋体"/>
          <w:bCs/>
          <w:color w:val="000000"/>
          <w:sz w:val="30"/>
          <w:szCs w:val="30"/>
          <w:highlight w:val="none"/>
        </w:rPr>
      </w:pPr>
      <w:r>
        <w:rPr>
          <w:rFonts w:hint="eastAsia" w:ascii="宋体" w:hAnsi="宋体" w:cs="宋体"/>
          <w:bCs/>
          <w:color w:val="000000"/>
          <w:sz w:val="30"/>
          <w:szCs w:val="30"/>
          <w:highlight w:val="none"/>
        </w:rPr>
        <w:t>第三部分、投标人认为有必要提供的其他材料</w:t>
      </w:r>
    </w:p>
    <w:p w14:paraId="7E13DA20">
      <w:pPr>
        <w:pStyle w:val="19"/>
        <w:spacing w:line="360" w:lineRule="auto"/>
        <w:rPr>
          <w:rFonts w:hint="eastAsia" w:hAnsi="宋体" w:cs="宋体"/>
          <w:b/>
          <w:color w:val="000000"/>
          <w:highlight w:val="none"/>
        </w:rPr>
      </w:pPr>
    </w:p>
    <w:p w14:paraId="2AD03F13">
      <w:pPr>
        <w:ind w:firstLine="525" w:firstLineChars="250"/>
        <w:rPr>
          <w:rFonts w:hint="eastAsia" w:ascii="宋体" w:hAnsi="宋体" w:cs="宋体"/>
          <w:color w:val="000000"/>
          <w:szCs w:val="21"/>
          <w:highlight w:val="none"/>
        </w:rPr>
      </w:pPr>
      <w:r>
        <w:rPr>
          <w:rFonts w:hint="eastAsia" w:ascii="宋体" w:hAnsi="宋体" w:cs="宋体"/>
          <w:color w:val="000000"/>
          <w:szCs w:val="21"/>
          <w:highlight w:val="none"/>
        </w:rPr>
        <w:t>投标人认为需要提供的其他作为评分依据的文件材料。</w:t>
      </w:r>
    </w:p>
    <w:p w14:paraId="3A5CC7A8">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（投标人在投标文件递交前自行检查作为评分依据的文件资料是否已完整提交，投标文件格式中虽未列出但属于评分依据的文件材料，投标人应自行提交，否则，将是投标人的风险。）</w:t>
      </w:r>
    </w:p>
    <w:p w14:paraId="61D177AD">
      <w:pPr>
        <w:spacing w:before="240" w:beforeLines="100" w:after="240" w:afterLines="100" w:line="360" w:lineRule="auto"/>
        <w:jc w:val="center"/>
        <w:rPr>
          <w:rFonts w:hint="eastAsia" w:ascii="宋体" w:hAnsi="宋体" w:cs="宋体"/>
          <w:spacing w:val="20"/>
          <w:sz w:val="24"/>
          <w:highlight w:val="none"/>
        </w:rPr>
      </w:pPr>
    </w:p>
    <w:p w14:paraId="04DC385A">
      <w:pPr>
        <w:spacing w:before="240" w:beforeLines="100" w:after="240" w:afterLines="100" w:line="360" w:lineRule="auto"/>
        <w:jc w:val="center"/>
        <w:rPr>
          <w:rFonts w:hint="eastAsia" w:ascii="宋体" w:hAnsi="宋体" w:cs="宋体"/>
          <w:spacing w:val="20"/>
          <w:sz w:val="24"/>
          <w:highlight w:val="none"/>
        </w:rPr>
      </w:pPr>
    </w:p>
    <w:p w14:paraId="3EFA3117">
      <w:pPr>
        <w:spacing w:before="240" w:beforeLines="100" w:after="240" w:afterLines="100" w:line="360" w:lineRule="auto"/>
        <w:jc w:val="center"/>
        <w:rPr>
          <w:rFonts w:hint="eastAsia" w:ascii="宋体" w:hAnsi="宋体" w:cs="宋体"/>
          <w:spacing w:val="20"/>
          <w:sz w:val="24"/>
          <w:highlight w:val="none"/>
        </w:rPr>
      </w:pPr>
    </w:p>
    <w:p w14:paraId="0B48C843">
      <w:pPr>
        <w:spacing w:before="240" w:beforeLines="100" w:after="240" w:afterLines="100" w:line="360" w:lineRule="auto"/>
        <w:jc w:val="center"/>
        <w:rPr>
          <w:rFonts w:hint="eastAsia" w:ascii="宋体" w:hAnsi="宋体" w:cs="宋体"/>
          <w:spacing w:val="20"/>
          <w:sz w:val="24"/>
          <w:highlight w:val="none"/>
        </w:rPr>
      </w:pPr>
    </w:p>
    <w:p w14:paraId="665F1BF8">
      <w:pPr>
        <w:spacing w:before="240" w:beforeLines="100" w:after="240" w:afterLines="100" w:line="360" w:lineRule="auto"/>
        <w:jc w:val="center"/>
        <w:rPr>
          <w:rFonts w:hint="eastAsia" w:ascii="宋体" w:hAnsi="宋体" w:cs="宋体"/>
          <w:spacing w:val="20"/>
          <w:sz w:val="24"/>
          <w:highlight w:val="none"/>
        </w:rPr>
      </w:pPr>
    </w:p>
    <w:p w14:paraId="2FDB0E08">
      <w:pPr>
        <w:spacing w:before="240" w:beforeLines="100" w:after="240" w:afterLines="100" w:line="360" w:lineRule="auto"/>
        <w:jc w:val="center"/>
        <w:rPr>
          <w:rFonts w:hint="eastAsia" w:ascii="宋体" w:hAnsi="宋体" w:cs="宋体"/>
          <w:spacing w:val="20"/>
          <w:sz w:val="24"/>
          <w:highlight w:val="none"/>
        </w:rPr>
      </w:pPr>
    </w:p>
    <w:p w14:paraId="6657D0D2">
      <w:pPr>
        <w:spacing w:before="240" w:beforeLines="100" w:after="240" w:afterLines="100" w:line="360" w:lineRule="auto"/>
        <w:jc w:val="center"/>
        <w:rPr>
          <w:rFonts w:hint="eastAsia" w:ascii="宋体" w:hAnsi="宋体" w:cs="宋体"/>
          <w:spacing w:val="20"/>
          <w:sz w:val="24"/>
          <w:highlight w:val="none"/>
        </w:rPr>
      </w:pPr>
    </w:p>
    <w:p w14:paraId="75348ED6">
      <w:pPr>
        <w:spacing w:before="240" w:beforeLines="100" w:after="240" w:afterLines="100" w:line="360" w:lineRule="auto"/>
        <w:jc w:val="center"/>
        <w:rPr>
          <w:rFonts w:hint="eastAsia" w:ascii="宋体" w:hAnsi="宋体" w:cs="宋体"/>
          <w:spacing w:val="20"/>
          <w:sz w:val="24"/>
          <w:highlight w:val="none"/>
        </w:rPr>
      </w:pPr>
    </w:p>
    <w:p w14:paraId="77B88619">
      <w:pPr>
        <w:spacing w:before="240" w:beforeLines="100" w:after="240" w:afterLines="100" w:line="360" w:lineRule="auto"/>
        <w:jc w:val="center"/>
        <w:rPr>
          <w:rFonts w:hint="eastAsia" w:ascii="宋体" w:hAnsi="宋体" w:cs="宋体"/>
          <w:spacing w:val="20"/>
          <w:sz w:val="24"/>
          <w:highlight w:val="none"/>
        </w:rPr>
      </w:pPr>
    </w:p>
    <w:p w14:paraId="7B5C7A72">
      <w:pPr>
        <w:spacing w:before="240" w:beforeLines="100" w:after="240" w:afterLines="100" w:line="360" w:lineRule="auto"/>
        <w:jc w:val="center"/>
        <w:rPr>
          <w:rFonts w:hint="eastAsia" w:ascii="宋体" w:hAnsi="宋体" w:cs="宋体"/>
          <w:spacing w:val="20"/>
          <w:sz w:val="24"/>
          <w:highlight w:val="none"/>
        </w:rPr>
      </w:pPr>
    </w:p>
    <w:p w14:paraId="001D39E2">
      <w:pPr>
        <w:spacing w:before="240" w:beforeLines="100" w:after="240" w:afterLines="100" w:line="360" w:lineRule="auto"/>
        <w:jc w:val="center"/>
        <w:rPr>
          <w:rFonts w:hint="eastAsia" w:ascii="宋体" w:hAnsi="宋体" w:cs="宋体"/>
          <w:spacing w:val="20"/>
          <w:sz w:val="24"/>
          <w:highlight w:val="none"/>
        </w:rPr>
      </w:pPr>
    </w:p>
    <w:p w14:paraId="123AA16D">
      <w:pPr>
        <w:spacing w:before="240" w:beforeLines="100" w:after="240" w:afterLines="100" w:line="360" w:lineRule="auto"/>
        <w:jc w:val="center"/>
        <w:rPr>
          <w:rFonts w:hint="eastAsia" w:ascii="宋体" w:hAnsi="宋体" w:cs="宋体"/>
          <w:spacing w:val="20"/>
          <w:sz w:val="24"/>
          <w:highlight w:val="none"/>
        </w:rPr>
      </w:pPr>
    </w:p>
    <w:p w14:paraId="5A1FB40F">
      <w:pPr>
        <w:spacing w:before="240" w:beforeLines="100" w:after="240" w:afterLines="100" w:line="360" w:lineRule="auto"/>
        <w:jc w:val="center"/>
        <w:rPr>
          <w:rFonts w:hint="eastAsia" w:ascii="宋体" w:hAnsi="宋体" w:cs="宋体"/>
          <w:spacing w:val="20"/>
          <w:sz w:val="24"/>
          <w:highlight w:val="none"/>
        </w:rPr>
      </w:pPr>
    </w:p>
    <w:p w14:paraId="7F04E02B">
      <w:pPr>
        <w:spacing w:before="240" w:beforeLines="100" w:after="240" w:afterLines="100" w:line="360" w:lineRule="auto"/>
        <w:jc w:val="center"/>
        <w:rPr>
          <w:rFonts w:hint="eastAsia" w:ascii="宋体" w:hAnsi="宋体" w:cs="宋体"/>
          <w:spacing w:val="20"/>
          <w:sz w:val="24"/>
          <w:highlight w:val="none"/>
        </w:rPr>
      </w:pPr>
    </w:p>
    <w:p w14:paraId="66B5D3AC">
      <w:pPr>
        <w:spacing w:before="240" w:beforeLines="100" w:after="240" w:afterLines="100" w:line="360" w:lineRule="auto"/>
        <w:jc w:val="center"/>
        <w:rPr>
          <w:rFonts w:hint="eastAsia" w:ascii="宋体" w:hAnsi="宋体" w:cs="宋体"/>
          <w:spacing w:val="20"/>
          <w:sz w:val="24"/>
          <w:highlight w:val="none"/>
        </w:rPr>
      </w:pPr>
    </w:p>
    <w:p w14:paraId="1EC57D9B">
      <w:pPr>
        <w:spacing w:before="240" w:beforeLines="100" w:after="240" w:afterLines="100" w:line="360" w:lineRule="auto"/>
        <w:jc w:val="center"/>
        <w:rPr>
          <w:rFonts w:hint="eastAsia" w:ascii="宋体" w:hAnsi="宋体" w:cs="宋体"/>
          <w:spacing w:val="20"/>
          <w:sz w:val="24"/>
          <w:highlight w:val="none"/>
        </w:rPr>
      </w:pPr>
    </w:p>
    <w:p w14:paraId="3C0976C9">
      <w:pPr>
        <w:spacing w:before="240" w:beforeLines="100" w:after="240" w:afterLines="100" w:line="360" w:lineRule="auto"/>
        <w:jc w:val="center"/>
        <w:rPr>
          <w:rFonts w:hint="eastAsia" w:ascii="宋体" w:hAnsi="宋体" w:cs="宋体"/>
          <w:spacing w:val="20"/>
          <w:sz w:val="24"/>
          <w:highlight w:val="none"/>
        </w:rPr>
      </w:pPr>
    </w:p>
    <w:p w14:paraId="7FE16732">
      <w:pPr>
        <w:spacing w:before="240" w:beforeLines="100" w:after="240" w:afterLines="100" w:line="360" w:lineRule="auto"/>
        <w:jc w:val="center"/>
        <w:rPr>
          <w:rFonts w:hint="eastAsia" w:ascii="宋体" w:hAnsi="宋体" w:cs="宋体"/>
          <w:spacing w:val="20"/>
          <w:sz w:val="24"/>
          <w:highlight w:val="none"/>
        </w:rPr>
      </w:pPr>
    </w:p>
    <w:p w14:paraId="79C76B69">
      <w:pPr>
        <w:spacing w:before="240" w:beforeLines="100" w:after="240" w:afterLines="100" w:line="360" w:lineRule="auto"/>
        <w:jc w:val="center"/>
        <w:rPr>
          <w:rFonts w:ascii="宋体" w:hAnsi="宋体" w:cs="宋体"/>
          <w:spacing w:val="20"/>
          <w:sz w:val="24"/>
          <w:highlight w:val="none"/>
        </w:rPr>
      </w:pPr>
      <w:r>
        <w:rPr>
          <w:rFonts w:hint="eastAsia" w:ascii="宋体" w:hAnsi="宋体" w:cs="宋体"/>
          <w:spacing w:val="20"/>
          <w:sz w:val="24"/>
          <w:highlight w:val="none"/>
        </w:rPr>
        <w:t>残疾人福利性单位声明函</w:t>
      </w:r>
    </w:p>
    <w:p w14:paraId="31FFDD92">
      <w:pPr>
        <w:spacing w:before="240" w:beforeLines="100" w:after="240" w:afterLines="100" w:line="360" w:lineRule="auto"/>
        <w:jc w:val="center"/>
        <w:rPr>
          <w:rFonts w:ascii="宋体" w:hAnsi="宋体" w:cs="宋体"/>
          <w:spacing w:val="20"/>
          <w:sz w:val="24"/>
          <w:highlight w:val="none"/>
        </w:rPr>
      </w:pPr>
      <w:r>
        <w:rPr>
          <w:rFonts w:hint="eastAsia" w:ascii="宋体" w:hAnsi="宋体" w:cs="宋体"/>
          <w:spacing w:val="20"/>
          <w:sz w:val="24"/>
          <w:highlight w:val="none"/>
        </w:rPr>
        <w:t>（</w:t>
      </w:r>
      <w:r>
        <w:rPr>
          <w:rFonts w:hint="eastAsia" w:ascii="宋体" w:hAnsi="宋体" w:cs="宋体"/>
          <w:spacing w:val="20"/>
          <w:sz w:val="24"/>
          <w:highlight w:val="none"/>
          <w:lang w:val="zh-CN"/>
        </w:rPr>
        <w:t>如有</w:t>
      </w:r>
      <w:r>
        <w:rPr>
          <w:rFonts w:hint="eastAsia" w:ascii="宋体" w:hAnsi="宋体" w:cs="宋体"/>
          <w:spacing w:val="20"/>
          <w:sz w:val="24"/>
          <w:highlight w:val="none"/>
        </w:rPr>
        <w:t>）</w:t>
      </w:r>
    </w:p>
    <w:p w14:paraId="6695E2BA">
      <w:pPr>
        <w:spacing w:line="480" w:lineRule="auto"/>
        <w:ind w:firstLine="720" w:firstLineChars="3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F53F54D">
      <w:pPr>
        <w:spacing w:line="48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6C728387">
      <w:pPr>
        <w:spacing w:line="360" w:lineRule="auto"/>
        <w:rPr>
          <w:rFonts w:ascii="宋体" w:hAnsi="宋体" w:cs="宋体"/>
          <w:sz w:val="24"/>
          <w:highlight w:val="none"/>
        </w:rPr>
      </w:pPr>
    </w:p>
    <w:p w14:paraId="53B025B5">
      <w:pPr>
        <w:spacing w:line="360" w:lineRule="auto"/>
        <w:rPr>
          <w:rFonts w:ascii="宋体" w:hAnsi="宋体" w:cs="宋体"/>
          <w:sz w:val="24"/>
          <w:highlight w:val="none"/>
        </w:rPr>
      </w:pPr>
    </w:p>
    <w:p w14:paraId="0931B53A">
      <w:pPr>
        <w:spacing w:line="360" w:lineRule="auto"/>
        <w:rPr>
          <w:rFonts w:ascii="宋体" w:hAnsi="宋体" w:cs="宋体"/>
          <w:sz w:val="24"/>
          <w:highlight w:val="none"/>
          <w:u w:val="single"/>
        </w:rPr>
      </w:pPr>
      <w:r>
        <w:rPr>
          <w:rFonts w:hint="eastAsia" w:ascii="宋体" w:hAnsi="宋体" w:cs="宋体"/>
          <w:sz w:val="24"/>
          <w:highlight w:val="none"/>
        </w:rPr>
        <w:t>投标人名称（加盖公章）：</w:t>
      </w:r>
      <w:r>
        <w:rPr>
          <w:rFonts w:hint="eastAsia" w:ascii="宋体" w:hAnsi="宋体" w:cs="宋体"/>
          <w:sz w:val="24"/>
          <w:highlight w:val="none"/>
          <w:u w:val="single"/>
        </w:rPr>
        <w:t xml:space="preserve">                     </w:t>
      </w:r>
    </w:p>
    <w:p w14:paraId="3F712CCF">
      <w:pPr>
        <w:spacing w:line="360" w:lineRule="auto"/>
        <w:rPr>
          <w:rFonts w:ascii="宋体" w:hAnsi="宋体" w:cs="宋体"/>
          <w:sz w:val="24"/>
          <w:highlight w:val="none"/>
        </w:rPr>
      </w:pPr>
      <w:r>
        <w:rPr>
          <w:rFonts w:hint="eastAsia" w:ascii="宋体" w:hAnsi="宋体" w:cs="宋体"/>
          <w:sz w:val="24"/>
          <w:highlight w:val="none"/>
        </w:rPr>
        <w:t>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648773CB">
      <w:pPr>
        <w:rPr>
          <w:rFonts w:ascii="宋体" w:hAnsi="宋体" w:cs="宋体"/>
          <w:sz w:val="24"/>
          <w:highlight w:val="none"/>
        </w:rPr>
      </w:pPr>
    </w:p>
    <w:p w14:paraId="3F2ADECB">
      <w:pPr>
        <w:jc w:val="center"/>
        <w:rPr>
          <w:rFonts w:hAnsi="宋体" w:cs="宋体"/>
          <w:spacing w:val="20"/>
          <w:sz w:val="24"/>
          <w:highlight w:val="none"/>
        </w:rPr>
      </w:pPr>
      <w:r>
        <w:rPr>
          <w:rFonts w:hint="eastAsia" w:ascii="宋体" w:hAnsi="宋体" w:cs="宋体"/>
          <w:sz w:val="24"/>
          <w:highlight w:val="none"/>
        </w:rPr>
        <w:br w:type="page"/>
      </w:r>
      <w:r>
        <w:rPr>
          <w:rFonts w:hint="eastAsia" w:hAnsi="宋体" w:cs="宋体"/>
          <w:spacing w:val="20"/>
          <w:sz w:val="24"/>
          <w:highlight w:val="none"/>
        </w:rPr>
        <w:t>监狱企业的证明文件</w:t>
      </w:r>
    </w:p>
    <w:p w14:paraId="49262FC5">
      <w:pPr>
        <w:jc w:val="center"/>
        <w:rPr>
          <w:rFonts w:hAnsi="宋体" w:cs="宋体"/>
          <w:spacing w:val="20"/>
          <w:sz w:val="24"/>
          <w:highlight w:val="none"/>
        </w:rPr>
      </w:pPr>
      <w:r>
        <w:rPr>
          <w:rFonts w:hint="eastAsia" w:hAnsi="宋体" w:cs="宋体"/>
          <w:spacing w:val="20"/>
          <w:sz w:val="24"/>
          <w:highlight w:val="none"/>
        </w:rPr>
        <w:t>（</w:t>
      </w:r>
      <w:r>
        <w:rPr>
          <w:rFonts w:hint="eastAsia" w:hAnsi="宋体" w:cs="宋体"/>
          <w:spacing w:val="20"/>
          <w:sz w:val="24"/>
          <w:highlight w:val="none"/>
          <w:lang w:val="zh-CN"/>
        </w:rPr>
        <w:t>如有</w:t>
      </w:r>
      <w:r>
        <w:rPr>
          <w:rFonts w:hint="eastAsia" w:hAnsi="宋体" w:cs="宋体"/>
          <w:spacing w:val="20"/>
          <w:sz w:val="24"/>
          <w:highlight w:val="none"/>
        </w:rPr>
        <w:t>）</w:t>
      </w:r>
    </w:p>
    <w:p w14:paraId="019DB6A0">
      <w:pPr>
        <w:jc w:val="center"/>
        <w:rPr>
          <w:rFonts w:hAnsi="宋体" w:cs="宋体"/>
          <w:spacing w:val="20"/>
          <w:sz w:val="24"/>
          <w:highlight w:val="none"/>
        </w:rPr>
      </w:pPr>
    </w:p>
    <w:p w14:paraId="28AC160A">
      <w:pPr>
        <w:spacing w:line="440" w:lineRule="exact"/>
        <w:rPr>
          <w:rFonts w:hAnsi="宋体" w:cs="宋体"/>
          <w:sz w:val="24"/>
          <w:highlight w:val="none"/>
        </w:rPr>
      </w:pPr>
      <w:r>
        <w:rPr>
          <w:rFonts w:hint="eastAsia" w:hAnsi="宋体" w:cs="宋体"/>
          <w:sz w:val="24"/>
          <w:highlight w:val="none"/>
        </w:rPr>
        <w:t>说明：监狱企业参加政府采购活动时，应当提供由省级以上监狱管理局、戒毒管理局（含新疆生产建设兵团）出具的属于监狱企业的证明文件并加盖投标单位公章。</w:t>
      </w:r>
    </w:p>
    <w:p w14:paraId="766323EF">
      <w:pPr>
        <w:snapToGrid w:val="0"/>
        <w:spacing w:line="300" w:lineRule="auto"/>
        <w:rPr>
          <w:rFonts w:hint="eastAsia" w:ascii="宋体" w:hAnsi="宋体" w:cs="宋体"/>
          <w:color w:val="000000"/>
          <w:szCs w:val="21"/>
          <w:highlight w:val="none"/>
        </w:rPr>
      </w:pPr>
      <w:r>
        <w:rPr>
          <w:rFonts w:hint="eastAsia" w:ascii="宋体" w:hAnsi="宋体" w:cs="宋体"/>
          <w:color w:val="000000"/>
          <w:szCs w:val="21"/>
          <w:highlight w:val="none"/>
        </w:rPr>
        <w:t xml:space="preserve">                                           </w:t>
      </w:r>
    </w:p>
    <w:p w14:paraId="5B6595F0">
      <w:pPr>
        <w:snapToGrid w:val="0"/>
        <w:spacing w:line="300" w:lineRule="auto"/>
        <w:ind w:firstLine="420" w:firstLineChars="200"/>
        <w:rPr>
          <w:rFonts w:hint="eastAsia" w:ascii="宋体" w:hAnsi="宋体" w:cs="宋体"/>
          <w:color w:val="000000"/>
          <w:szCs w:val="21"/>
          <w:highlight w:val="none"/>
        </w:rPr>
      </w:pPr>
    </w:p>
    <w:p w14:paraId="709A6FB9">
      <w:pPr>
        <w:ind w:firstLine="480" w:firstLineChars="200"/>
        <w:rPr>
          <w:rFonts w:hint="eastAsia" w:ascii="宋体" w:hAnsi="宋体" w:cs="宋体"/>
          <w:color w:val="000000"/>
          <w:sz w:val="24"/>
          <w:highlight w:val="none"/>
        </w:rPr>
      </w:pPr>
    </w:p>
    <w:p w14:paraId="05409707">
      <w:pPr>
        <w:ind w:firstLine="480" w:firstLineChars="200"/>
        <w:rPr>
          <w:rFonts w:hint="eastAsia" w:ascii="宋体" w:hAnsi="宋体" w:cs="宋体"/>
          <w:color w:val="000000"/>
          <w:sz w:val="24"/>
          <w:highlight w:val="none"/>
        </w:rPr>
      </w:pPr>
    </w:p>
    <w:p w14:paraId="0FF428A6">
      <w:pPr>
        <w:ind w:firstLine="480" w:firstLineChars="200"/>
        <w:rPr>
          <w:rFonts w:hint="eastAsia" w:ascii="宋体" w:hAnsi="宋体" w:cs="宋体"/>
          <w:color w:val="000000"/>
          <w:sz w:val="24"/>
          <w:highlight w:val="none"/>
        </w:rPr>
      </w:pPr>
    </w:p>
    <w:p w14:paraId="01CFACB0">
      <w:pPr>
        <w:ind w:firstLine="480" w:firstLineChars="200"/>
        <w:rPr>
          <w:rFonts w:hint="eastAsia" w:ascii="宋体" w:hAnsi="宋体" w:cs="宋体"/>
          <w:color w:val="000000"/>
          <w:sz w:val="24"/>
          <w:highlight w:val="none"/>
        </w:rPr>
      </w:pPr>
    </w:p>
    <w:p w14:paraId="1D757F3B">
      <w:pPr>
        <w:ind w:firstLine="480" w:firstLineChars="200"/>
        <w:rPr>
          <w:rFonts w:hint="eastAsia" w:ascii="宋体" w:hAnsi="宋体" w:cs="宋体"/>
          <w:color w:val="000000"/>
          <w:sz w:val="24"/>
          <w:highlight w:val="none"/>
        </w:rPr>
      </w:pPr>
    </w:p>
    <w:p w14:paraId="06B7CFF5">
      <w:pPr>
        <w:ind w:firstLine="480" w:firstLineChars="200"/>
        <w:rPr>
          <w:rFonts w:hint="eastAsia" w:ascii="宋体" w:hAnsi="宋体" w:cs="宋体"/>
          <w:color w:val="000000"/>
          <w:sz w:val="24"/>
          <w:highlight w:val="none"/>
        </w:rPr>
      </w:pPr>
    </w:p>
    <w:p w14:paraId="4F2A7712">
      <w:pPr>
        <w:ind w:firstLine="480" w:firstLineChars="200"/>
        <w:rPr>
          <w:rFonts w:hint="eastAsia" w:ascii="宋体" w:hAnsi="宋体" w:cs="宋体"/>
          <w:color w:val="000000"/>
          <w:sz w:val="24"/>
          <w:highlight w:val="none"/>
        </w:rPr>
      </w:pPr>
    </w:p>
    <w:p w14:paraId="173620DE">
      <w:pPr>
        <w:ind w:firstLine="480" w:firstLineChars="200"/>
        <w:rPr>
          <w:rFonts w:hint="eastAsia" w:ascii="宋体" w:hAnsi="宋体" w:cs="宋体"/>
          <w:color w:val="000000"/>
          <w:sz w:val="24"/>
          <w:highlight w:val="none"/>
        </w:rPr>
      </w:pPr>
    </w:p>
    <w:p w14:paraId="20E1BFAD">
      <w:pPr>
        <w:ind w:firstLine="480" w:firstLineChars="200"/>
        <w:rPr>
          <w:rFonts w:hint="eastAsia" w:ascii="宋体" w:hAnsi="宋体" w:cs="宋体"/>
          <w:color w:val="000000"/>
          <w:sz w:val="24"/>
          <w:highlight w:val="none"/>
        </w:rPr>
      </w:pPr>
    </w:p>
    <w:p w14:paraId="682F3875">
      <w:pPr>
        <w:ind w:firstLine="480" w:firstLineChars="200"/>
        <w:rPr>
          <w:rFonts w:hint="eastAsia" w:ascii="宋体" w:hAnsi="宋体" w:cs="宋体"/>
          <w:color w:val="000000"/>
          <w:sz w:val="24"/>
          <w:highlight w:val="none"/>
        </w:rPr>
      </w:pPr>
    </w:p>
    <w:p w14:paraId="28AED030">
      <w:pPr>
        <w:ind w:firstLine="480" w:firstLineChars="200"/>
        <w:rPr>
          <w:rFonts w:hint="eastAsia" w:ascii="宋体" w:hAnsi="宋体" w:cs="宋体"/>
          <w:color w:val="000000"/>
          <w:sz w:val="24"/>
          <w:highlight w:val="none"/>
        </w:rPr>
      </w:pPr>
    </w:p>
    <w:p w14:paraId="7780CE75">
      <w:pPr>
        <w:ind w:firstLine="480" w:firstLineChars="200"/>
        <w:rPr>
          <w:rFonts w:hint="eastAsia" w:ascii="宋体" w:hAnsi="宋体" w:cs="宋体"/>
          <w:color w:val="000000"/>
          <w:sz w:val="24"/>
          <w:highlight w:val="none"/>
        </w:rPr>
      </w:pPr>
    </w:p>
    <w:p w14:paraId="2E498620">
      <w:pPr>
        <w:ind w:firstLine="480" w:firstLineChars="200"/>
        <w:rPr>
          <w:rFonts w:hint="eastAsia" w:ascii="宋体" w:hAnsi="宋体" w:cs="宋体"/>
          <w:color w:val="000000"/>
          <w:sz w:val="24"/>
          <w:highlight w:val="none"/>
        </w:rPr>
      </w:pPr>
    </w:p>
    <w:p w14:paraId="5BD9D6DD">
      <w:pPr>
        <w:ind w:firstLine="480" w:firstLineChars="200"/>
        <w:rPr>
          <w:rFonts w:hint="eastAsia" w:ascii="宋体" w:hAnsi="宋体" w:cs="宋体"/>
          <w:color w:val="000000"/>
          <w:sz w:val="24"/>
          <w:highlight w:val="none"/>
        </w:rPr>
      </w:pPr>
    </w:p>
    <w:p w14:paraId="67633FD0">
      <w:pPr>
        <w:ind w:firstLine="480" w:firstLineChars="200"/>
        <w:rPr>
          <w:rFonts w:hint="eastAsia" w:ascii="宋体" w:hAnsi="宋体" w:cs="宋体"/>
          <w:color w:val="000000"/>
          <w:sz w:val="24"/>
          <w:highlight w:val="none"/>
        </w:rPr>
      </w:pPr>
    </w:p>
    <w:p w14:paraId="1A2A3827">
      <w:pPr>
        <w:ind w:firstLine="480" w:firstLineChars="200"/>
        <w:rPr>
          <w:rFonts w:hint="eastAsia" w:ascii="宋体" w:hAnsi="宋体" w:cs="宋体"/>
          <w:color w:val="000000"/>
          <w:sz w:val="24"/>
          <w:highlight w:val="none"/>
        </w:rPr>
      </w:pPr>
    </w:p>
    <w:p w14:paraId="1C95F745">
      <w:pPr>
        <w:ind w:firstLine="480" w:firstLineChars="200"/>
        <w:rPr>
          <w:rFonts w:hint="eastAsia" w:ascii="宋体" w:hAnsi="宋体" w:cs="宋体"/>
          <w:color w:val="000000"/>
          <w:sz w:val="24"/>
          <w:highlight w:val="none"/>
        </w:rPr>
      </w:pPr>
    </w:p>
    <w:p w14:paraId="3273081E">
      <w:pPr>
        <w:ind w:firstLine="480" w:firstLineChars="200"/>
        <w:rPr>
          <w:rFonts w:hint="eastAsia" w:ascii="宋体" w:hAnsi="宋体" w:cs="宋体"/>
          <w:color w:val="000000"/>
          <w:sz w:val="24"/>
          <w:highlight w:val="none"/>
        </w:rPr>
      </w:pPr>
    </w:p>
    <w:p w14:paraId="7A0AE71A">
      <w:pPr>
        <w:ind w:firstLine="480" w:firstLineChars="200"/>
        <w:rPr>
          <w:rFonts w:hint="eastAsia" w:ascii="宋体" w:hAnsi="宋体" w:cs="宋体"/>
          <w:color w:val="000000"/>
          <w:sz w:val="24"/>
          <w:highlight w:val="none"/>
        </w:rPr>
      </w:pPr>
    </w:p>
    <w:p w14:paraId="3F03FD01">
      <w:pPr>
        <w:ind w:firstLine="480" w:firstLineChars="200"/>
        <w:rPr>
          <w:rFonts w:hint="eastAsia" w:ascii="宋体" w:hAnsi="宋体" w:cs="宋体"/>
          <w:color w:val="000000"/>
          <w:sz w:val="24"/>
          <w:highlight w:val="none"/>
        </w:rPr>
      </w:pPr>
    </w:p>
    <w:p w14:paraId="7BE2E9FD">
      <w:pPr>
        <w:ind w:firstLine="480" w:firstLineChars="200"/>
        <w:rPr>
          <w:rFonts w:hint="eastAsia" w:ascii="宋体" w:hAnsi="宋体" w:cs="宋体"/>
          <w:color w:val="000000"/>
          <w:sz w:val="24"/>
          <w:highlight w:val="none"/>
        </w:rPr>
      </w:pPr>
    </w:p>
    <w:p w14:paraId="0DE6E7DF">
      <w:pPr>
        <w:ind w:firstLine="480" w:firstLineChars="200"/>
        <w:rPr>
          <w:rFonts w:hint="eastAsia" w:ascii="宋体" w:hAnsi="宋体" w:cs="宋体"/>
          <w:color w:val="000000"/>
          <w:sz w:val="24"/>
          <w:highlight w:val="none"/>
        </w:rPr>
      </w:pPr>
    </w:p>
    <w:p w14:paraId="34DCE905">
      <w:pPr>
        <w:ind w:firstLine="480" w:firstLineChars="200"/>
        <w:rPr>
          <w:rFonts w:hint="eastAsia" w:ascii="宋体" w:hAnsi="宋体" w:cs="宋体"/>
          <w:color w:val="000000"/>
          <w:sz w:val="24"/>
          <w:highlight w:val="none"/>
        </w:rPr>
      </w:pPr>
    </w:p>
    <w:p w14:paraId="7562050E">
      <w:pPr>
        <w:ind w:firstLine="480" w:firstLineChars="200"/>
        <w:rPr>
          <w:rFonts w:hint="eastAsia" w:ascii="宋体" w:hAnsi="宋体" w:cs="宋体"/>
          <w:color w:val="000000"/>
          <w:sz w:val="24"/>
          <w:highlight w:val="none"/>
        </w:rPr>
      </w:pPr>
    </w:p>
    <w:p w14:paraId="073E12A2">
      <w:pPr>
        <w:ind w:firstLine="480" w:firstLineChars="200"/>
        <w:rPr>
          <w:rFonts w:hint="eastAsia" w:ascii="宋体" w:hAnsi="宋体" w:cs="宋体"/>
          <w:color w:val="000000"/>
          <w:sz w:val="24"/>
          <w:highlight w:val="none"/>
        </w:rPr>
      </w:pPr>
    </w:p>
    <w:p w14:paraId="25D66101">
      <w:pPr>
        <w:ind w:firstLine="480" w:firstLineChars="200"/>
        <w:rPr>
          <w:rFonts w:hint="eastAsia" w:ascii="宋体" w:hAnsi="宋体" w:cs="宋体"/>
          <w:color w:val="000000"/>
          <w:sz w:val="24"/>
          <w:highlight w:val="none"/>
        </w:rPr>
      </w:pPr>
    </w:p>
    <w:p w14:paraId="36694D57">
      <w:pPr>
        <w:ind w:firstLine="480" w:firstLineChars="200"/>
        <w:rPr>
          <w:rFonts w:hint="eastAsia" w:ascii="宋体" w:hAnsi="宋体" w:cs="宋体"/>
          <w:color w:val="000000"/>
          <w:sz w:val="24"/>
          <w:highlight w:val="none"/>
        </w:rPr>
      </w:pPr>
    </w:p>
    <w:p w14:paraId="6A5DF1F4">
      <w:pPr>
        <w:ind w:firstLine="480" w:firstLineChars="200"/>
        <w:rPr>
          <w:rFonts w:hint="eastAsia" w:ascii="宋体" w:hAnsi="宋体" w:cs="宋体"/>
          <w:color w:val="000000"/>
          <w:sz w:val="24"/>
          <w:highlight w:val="none"/>
        </w:rPr>
      </w:pPr>
    </w:p>
    <w:p w14:paraId="3A46286F">
      <w:pPr>
        <w:ind w:firstLine="480" w:firstLineChars="200"/>
        <w:rPr>
          <w:rFonts w:hint="eastAsia" w:ascii="宋体" w:hAnsi="宋体" w:cs="宋体"/>
          <w:color w:val="000000"/>
          <w:sz w:val="24"/>
          <w:highlight w:val="none"/>
        </w:rPr>
      </w:pPr>
    </w:p>
    <w:p w14:paraId="6B0ABB8D">
      <w:pPr>
        <w:ind w:firstLine="480" w:firstLineChars="200"/>
        <w:rPr>
          <w:rFonts w:hint="eastAsia" w:ascii="宋体" w:hAnsi="宋体" w:cs="宋体"/>
          <w:color w:val="000000"/>
          <w:sz w:val="24"/>
          <w:highlight w:val="none"/>
        </w:rPr>
      </w:pPr>
    </w:p>
    <w:p w14:paraId="3CB62B21">
      <w:pPr>
        <w:ind w:firstLine="480" w:firstLineChars="200"/>
        <w:rPr>
          <w:rFonts w:hint="eastAsia" w:ascii="宋体" w:hAnsi="宋体" w:cs="宋体"/>
          <w:color w:val="000000"/>
          <w:sz w:val="24"/>
          <w:highlight w:val="none"/>
        </w:rPr>
      </w:pPr>
    </w:p>
    <w:p w14:paraId="64CF361D">
      <w:pPr>
        <w:ind w:firstLine="480" w:firstLineChars="200"/>
        <w:rPr>
          <w:rFonts w:hint="eastAsia" w:ascii="宋体" w:hAnsi="宋体" w:cs="宋体"/>
          <w:color w:val="000000"/>
          <w:sz w:val="24"/>
          <w:highlight w:val="none"/>
        </w:rPr>
      </w:pPr>
    </w:p>
    <w:p w14:paraId="38B8847B">
      <w:pPr>
        <w:ind w:firstLine="480" w:firstLineChars="200"/>
        <w:rPr>
          <w:rFonts w:hint="eastAsia" w:ascii="宋体" w:hAnsi="宋体" w:cs="宋体"/>
          <w:color w:val="000000"/>
          <w:sz w:val="24"/>
          <w:highlight w:val="none"/>
        </w:rPr>
      </w:pPr>
    </w:p>
    <w:p w14:paraId="69D5F1CC">
      <w:pPr>
        <w:ind w:firstLine="480" w:firstLineChars="200"/>
        <w:rPr>
          <w:rFonts w:hint="eastAsia" w:ascii="宋体" w:hAnsi="宋体" w:cs="宋体"/>
          <w:color w:val="000000"/>
          <w:sz w:val="24"/>
          <w:highlight w:val="none"/>
        </w:rPr>
      </w:pPr>
    </w:p>
    <w:p w14:paraId="7B0E6C06">
      <w:pPr>
        <w:ind w:firstLine="480" w:firstLineChars="200"/>
        <w:rPr>
          <w:rFonts w:hint="eastAsia" w:ascii="宋体" w:hAnsi="宋体" w:cs="宋体"/>
          <w:color w:val="000000"/>
          <w:sz w:val="24"/>
          <w:highlight w:val="none"/>
        </w:rPr>
      </w:pPr>
    </w:p>
    <w:p w14:paraId="0BF22916">
      <w:pPr>
        <w:pStyle w:val="28"/>
        <w:spacing w:line="360" w:lineRule="auto"/>
        <w:rPr>
          <w:rFonts w:hint="eastAsia" w:ascii="宋体" w:hAnsi="宋体" w:cs="宋体"/>
          <w:color w:val="000000"/>
          <w:sz w:val="21"/>
          <w:szCs w:val="21"/>
          <w:highlight w:val="none"/>
        </w:rPr>
      </w:pPr>
      <w:r>
        <w:rPr>
          <w:rFonts w:hint="eastAsia" w:ascii="宋体" w:hAnsi="宋体" w:cs="宋体"/>
          <w:color w:val="000000"/>
          <w:sz w:val="21"/>
          <w:szCs w:val="21"/>
          <w:highlight w:val="none"/>
        </w:rPr>
        <w:t>附：</w:t>
      </w:r>
    </w:p>
    <w:p w14:paraId="61D12299">
      <w:pPr>
        <w:pStyle w:val="28"/>
        <w:spacing w:line="360" w:lineRule="auto"/>
        <w:rPr>
          <w:rFonts w:hint="eastAsia" w:ascii="宋体" w:hAnsi="宋体" w:cs="宋体"/>
          <w:color w:val="000000"/>
          <w:sz w:val="21"/>
          <w:szCs w:val="21"/>
          <w:highlight w:val="none"/>
        </w:rPr>
      </w:pPr>
    </w:p>
    <w:p w14:paraId="6FBFC979">
      <w:pPr>
        <w:widowControl/>
        <w:shd w:val="clear" w:color="auto" w:fill="FFFFFF"/>
        <w:spacing w:after="150" w:line="360" w:lineRule="auto"/>
        <w:jc w:val="center"/>
        <w:rPr>
          <w:rFonts w:hint="eastAsia" w:ascii="宋体" w:hAnsi="宋体" w:cs="宋体"/>
          <w:b/>
          <w:bCs/>
          <w:szCs w:val="21"/>
          <w:highlight w:val="none"/>
        </w:rPr>
      </w:pPr>
      <w:r>
        <w:rPr>
          <w:rFonts w:hint="eastAsia" w:ascii="宋体" w:hAnsi="宋体" w:cs="宋体"/>
          <w:b/>
          <w:bCs/>
          <w:szCs w:val="21"/>
          <w:highlight w:val="none"/>
        </w:rPr>
        <w:t>关于印发《政府采购促进中小企业发展管理办法》的通知</w:t>
      </w:r>
    </w:p>
    <w:p w14:paraId="139EA29B">
      <w:pPr>
        <w:widowControl/>
        <w:shd w:val="clear" w:color="auto" w:fill="FFFFFF"/>
        <w:spacing w:after="150" w:line="360" w:lineRule="auto"/>
        <w:jc w:val="center"/>
        <w:rPr>
          <w:rFonts w:hint="eastAsia" w:ascii="宋体" w:hAnsi="宋体" w:cs="宋体"/>
          <w:b/>
          <w:bCs/>
          <w:szCs w:val="21"/>
          <w:highlight w:val="none"/>
        </w:rPr>
      </w:pPr>
      <w:r>
        <w:rPr>
          <w:rFonts w:hint="eastAsia" w:ascii="宋体" w:hAnsi="宋体" w:cs="宋体"/>
          <w:b/>
          <w:bCs/>
          <w:szCs w:val="21"/>
          <w:highlight w:val="none"/>
        </w:rPr>
        <w:t>财库〔2020〕46号</w:t>
      </w:r>
    </w:p>
    <w:p w14:paraId="795FF494">
      <w:pPr>
        <w:widowControl/>
        <w:shd w:val="clear" w:color="auto" w:fill="FFFFFF"/>
        <w:spacing w:after="150" w:line="360" w:lineRule="auto"/>
        <w:jc w:val="left"/>
        <w:rPr>
          <w:rFonts w:hint="eastAsia" w:ascii="宋体" w:hAnsi="宋体" w:cs="宋体"/>
          <w:szCs w:val="21"/>
          <w:highlight w:val="none"/>
        </w:rPr>
      </w:pPr>
      <w:r>
        <w:rPr>
          <w:rFonts w:hint="eastAsia" w:ascii="宋体" w:hAnsi="宋体" w:cs="宋体"/>
          <w:szCs w:val="21"/>
          <w:highlight w:val="none"/>
        </w:rPr>
        <w:t>各中央预算单位办公厅（室），各省、自治区、直辖市、计划单列市财政厅（局）、工业和信息化主管部门，新疆生产建设兵团财政局、工业和信息化主管部门：</w:t>
      </w:r>
    </w:p>
    <w:p w14:paraId="4EC9C832">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50CA3F46">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附件：政府采购促进中小企业发展管理办法</w:t>
      </w:r>
    </w:p>
    <w:p w14:paraId="64ADA522">
      <w:pPr>
        <w:widowControl/>
        <w:shd w:val="clear" w:color="auto" w:fill="FFFFFF"/>
        <w:spacing w:after="150" w:line="360" w:lineRule="auto"/>
        <w:ind w:firstLine="560"/>
        <w:jc w:val="right"/>
        <w:rPr>
          <w:rFonts w:hint="eastAsia" w:ascii="宋体" w:hAnsi="宋体" w:cs="宋体"/>
          <w:szCs w:val="21"/>
          <w:highlight w:val="none"/>
        </w:rPr>
      </w:pPr>
      <w:r>
        <w:rPr>
          <w:rFonts w:hint="eastAsia" w:ascii="宋体" w:hAnsi="宋体" w:cs="宋体"/>
          <w:szCs w:val="21"/>
          <w:highlight w:val="none"/>
        </w:rPr>
        <w:t>财 政  部</w:t>
      </w:r>
    </w:p>
    <w:p w14:paraId="0E805148">
      <w:pPr>
        <w:widowControl/>
        <w:shd w:val="clear" w:color="auto" w:fill="FFFFFF"/>
        <w:spacing w:after="150" w:line="360" w:lineRule="auto"/>
        <w:ind w:firstLine="560"/>
        <w:jc w:val="right"/>
        <w:rPr>
          <w:rFonts w:hint="eastAsia" w:ascii="宋体" w:hAnsi="宋体" w:cs="宋体"/>
          <w:szCs w:val="21"/>
          <w:highlight w:val="none"/>
        </w:rPr>
      </w:pPr>
      <w:r>
        <w:rPr>
          <w:rFonts w:hint="eastAsia" w:ascii="宋体" w:hAnsi="宋体" w:cs="宋体"/>
          <w:szCs w:val="21"/>
          <w:highlight w:val="none"/>
        </w:rPr>
        <w:t>工业和信息化部</w:t>
      </w:r>
    </w:p>
    <w:p w14:paraId="3E6B5A42">
      <w:pPr>
        <w:widowControl/>
        <w:shd w:val="clear" w:color="auto" w:fill="FFFFFF"/>
        <w:spacing w:after="150" w:line="360" w:lineRule="auto"/>
        <w:ind w:firstLine="560"/>
        <w:jc w:val="right"/>
        <w:rPr>
          <w:rFonts w:hint="eastAsia" w:ascii="宋体" w:hAnsi="宋体" w:cs="宋体"/>
          <w:szCs w:val="21"/>
          <w:highlight w:val="none"/>
        </w:rPr>
      </w:pPr>
      <w:r>
        <w:rPr>
          <w:rFonts w:hint="eastAsia" w:ascii="宋体" w:hAnsi="宋体" w:cs="宋体"/>
          <w:szCs w:val="21"/>
          <w:highlight w:val="none"/>
        </w:rPr>
        <w:t>2020年12月18日</w:t>
      </w:r>
    </w:p>
    <w:p w14:paraId="22047DD4">
      <w:pPr>
        <w:widowControl/>
        <w:shd w:val="clear" w:color="auto" w:fill="FFFFFF"/>
        <w:spacing w:after="150" w:line="360" w:lineRule="auto"/>
        <w:ind w:firstLine="560"/>
        <w:jc w:val="center"/>
        <w:rPr>
          <w:rFonts w:hint="eastAsia" w:ascii="宋体" w:hAnsi="宋体" w:cs="宋体"/>
          <w:szCs w:val="21"/>
          <w:highlight w:val="none"/>
        </w:rPr>
      </w:pPr>
      <w:r>
        <w:rPr>
          <w:rFonts w:hint="eastAsia" w:ascii="宋体" w:hAnsi="宋体" w:cs="宋体"/>
          <w:szCs w:val="21"/>
          <w:highlight w:val="none"/>
        </w:rPr>
        <w:t>政府采购促进中小企业发展管理办法</w:t>
      </w:r>
    </w:p>
    <w:p w14:paraId="7C27477A">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第一条 为了发挥政府采购的政策功能，促进中小企业健康发展，根据《中华人民共和国政府采购法》、《中华人民共和国中小企业促进法》等有关法律法规，制定本办法。</w:t>
      </w:r>
    </w:p>
    <w:p w14:paraId="70211D52">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BF808BA">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符合中小企业划分标准的个体工商户，在政府采购活动中视同中小企业。</w:t>
      </w:r>
    </w:p>
    <w:p w14:paraId="1332CD1B">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第三条 采购人在政府采购活动中应当通过加强采购需求管理，落实预留采购份额、价格评审优惠、优先采购等措施，提高中小企业在政府采购中的份额，支持中小企业发展。</w:t>
      </w:r>
    </w:p>
    <w:p w14:paraId="19BECA32">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第四条 在政府采购活动中，供应商提供的货物、工程或者服务符合下列情形的，享受本办法规定的中小企业扶持政策：</w:t>
      </w:r>
    </w:p>
    <w:p w14:paraId="0E2260C6">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（一）在货物采购项目中，货物由中小企业制造，即货物由中小企业生产且使用该中小企业商号或者注册商标；</w:t>
      </w:r>
    </w:p>
    <w:p w14:paraId="75FE720E">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（二）在工程采购项目中，工程由中小企业承建，即工程施工单位为中小企业；</w:t>
      </w:r>
    </w:p>
    <w:p w14:paraId="410E39E2">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（三）在服务采购项目中，服务由中小企业承接，即提供服务的人员为中小企业依照《中华人民共和国劳动合同法》订立劳动合同的从业人员。</w:t>
      </w:r>
    </w:p>
    <w:p w14:paraId="68C105F0">
      <w:pPr>
        <w:widowControl/>
        <w:shd w:val="clear" w:color="auto" w:fill="FFFFFF"/>
        <w:spacing w:after="150" w:line="360" w:lineRule="auto"/>
        <w:ind w:firstLine="560"/>
        <w:jc w:val="left"/>
        <w:rPr>
          <w:rFonts w:hint="eastAsia" w:ascii="宋体" w:hAnsi="宋体" w:cs="宋体"/>
          <w:color w:val="auto"/>
          <w:szCs w:val="21"/>
          <w:highlight w:val="none"/>
        </w:rPr>
      </w:pPr>
      <w:r>
        <w:rPr>
          <w:rFonts w:hint="eastAsia" w:ascii="宋体" w:hAnsi="宋体" w:cs="宋体"/>
          <w:color w:val="auto"/>
          <w:szCs w:val="21"/>
          <w:highlight w:val="none"/>
        </w:rPr>
        <w:t>在货物采购项目中，供应商提供的货物既有中小企业制造货物，也有大型企业制造货物的，不享受本办法规定的中小企业扶持政策。</w:t>
      </w:r>
    </w:p>
    <w:p w14:paraId="3B7709AD">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以联合体形式参加政府采购活动，联合体各方均为中小企业的，联合体视同中小企业。其中，联合体各方均为小微企业的，联合体视同小微企业。</w:t>
      </w:r>
    </w:p>
    <w:p w14:paraId="317340D3">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71FAAF96">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7225C39F">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符合下列情形之一的，可不专门面向中小企业预留采购份额：</w:t>
      </w:r>
    </w:p>
    <w:p w14:paraId="563D8EAF">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（一）法律法规和国家有关政策明确规定优先或者应当面向事业单位、社会组织等非企业主体采购的；</w:t>
      </w:r>
    </w:p>
    <w:p w14:paraId="32DE3D99">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（二）因确需使用不可替代的专利、专有技术，基础设施限制，或者提供特定公共服务等原因，只能从中小企业之外的供应商处采购的；</w:t>
      </w:r>
    </w:p>
    <w:p w14:paraId="6EF3949A">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（三）按照本办法规定预留采购份额无法确保充分供应、充分竞争，或者存在可能影响政府采购目标实现的情形；</w:t>
      </w:r>
    </w:p>
    <w:p w14:paraId="39A8EE5E">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（四）框架协议采购项目；</w:t>
      </w:r>
    </w:p>
    <w:p w14:paraId="1756833A">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（五）省级以上人民政府财政部门规定的其他情形。</w:t>
      </w:r>
    </w:p>
    <w:p w14:paraId="5F0AC9DE">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除上述情形外，其他均为适宜由中小企业提供的情形。</w:t>
      </w:r>
    </w:p>
    <w:p w14:paraId="5BFD92A9">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第七条 采购限额标准以上，200万元以下的货物和服务采购项目、400万元以下的工程采购项目，适宜由中小企业提供的，采购人应当专门面向中小企业采购。</w:t>
      </w:r>
    </w:p>
    <w:p w14:paraId="5DAE4A41">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6A777945">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（一）将采购项目整体或者设置采购包专门面向中小企业采购；</w:t>
      </w:r>
    </w:p>
    <w:p w14:paraId="42F3CE86">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（二）要求供应商以联合体形式参加采购活动，且联合体中中小企业承担的部分达到一定比例；</w:t>
      </w:r>
    </w:p>
    <w:p w14:paraId="5E6AD997">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（三）要求获得采购合同的供应商将采购项目中的一定比例分包给一家或者多家中小企业。</w:t>
      </w:r>
    </w:p>
    <w:p w14:paraId="0BEB290B">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组成联合体或者接受分包合同的中小企业与联合体内其他企业、分包企业之间不得存在直接控股、管理关系。</w:t>
      </w:r>
    </w:p>
    <w:p w14:paraId="3F1FEC7D">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第九条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62BD7DE">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2%-3%（工程项目为 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5BA3D1D5">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6C3EEF02">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4577CA38">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451EEE46">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第十二条 采购项目涉及中小企业采购的，招标文件应当明确以下内容：</w:t>
      </w:r>
    </w:p>
    <w:p w14:paraId="12F843FF">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（一）预留份额的采购项目或者采购包，明确该项目或相关采购包专门面向中小企业采购，以及相关标的及预算金额；</w:t>
      </w:r>
    </w:p>
    <w:p w14:paraId="190F6A7B">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（二）要求以联合体形式参加或者合同分包的，明确联合协议或者分包意向协议中中小企业合同金额应当达到的比例，并作为供应商资格条件；</w:t>
      </w:r>
    </w:p>
    <w:p w14:paraId="4BDC4794">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（三）非预留份额的采购项目或者采购包，明确有关价格扣除比例或者价格分加分比例；</w:t>
      </w:r>
    </w:p>
    <w:p w14:paraId="52984D6A">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（四）规定依据本办法规定享受扶持政策获得政府采购合同的，小微企业不得将合同分包给大中型企业，中型企业不得将合同分包给大型企业；</w:t>
      </w:r>
    </w:p>
    <w:p w14:paraId="51CA8B08">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（五）采购人认为具备相关条件的，明确对中小企业在资金支付期限、预付款比例等方面的优惠措施；</w:t>
      </w:r>
    </w:p>
    <w:p w14:paraId="7DBD3B19">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（六）明确采购标的对应的中小企业划分标准所属行业；</w:t>
      </w:r>
    </w:p>
    <w:p w14:paraId="32613C96">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（七）法律法规和省级以上人民政府财政部门规定的其他事项。</w:t>
      </w:r>
    </w:p>
    <w:p w14:paraId="09D4F0D6">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第十三条 中标、成交供应商享受本办法规定的中小企业扶持政策的，采购人、采购代理机构应当随中标、成交结果公开中标、成交供应商的《中小企业声明函》。</w:t>
      </w:r>
    </w:p>
    <w:p w14:paraId="1928325F">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适用招标投标法的政府采购工程建设项目，应当在公示中标候选人时公开中标候选人的《中小企业声明函》。</w:t>
      </w:r>
    </w:p>
    <w:p w14:paraId="70DECE50">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4198B2DF">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第十五条 鼓励各地区、各部门在采购活动中允许中小企业引入信用担保手段，为中小企业在投标（响应）保证、履约保证等方面提供专业化服务。鼓励中小企业依法合规通过政府采购合同融资。</w:t>
      </w:r>
    </w:p>
    <w:p w14:paraId="6225D374">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第十六条 政府采购监督检查、投诉处理及政府采购行政处罚中对中小企业的认定，由货物制造商或者工程、服务供应商注册登记所在地的县级以上人民政府中小企业主管部门负责。</w:t>
      </w:r>
    </w:p>
    <w:p w14:paraId="173803F1">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中小企业主管部门应当在收到财政部门或者有关招标投标行政监督部门关于协助开展中小企业认定函后10个工作日内做出书面答复。</w:t>
      </w:r>
    </w:p>
    <w:p w14:paraId="4397FEA9">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第十七条 各地区、各部门应当对涉及中小企业采购的预算项目实施全过程绩效管理，合理设置绩效目标和指标，落实扶持中小企业有关政策要求，定期开展绩效监控和评价，强化绩效评价结果应用。</w:t>
      </w:r>
    </w:p>
    <w:p w14:paraId="288BFFC9">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7E8CD88B">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2F1ACA1D">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第二十条 供应商按照本办法规定提供声明函内容不实的，属于提供虚假材料谋取中标、成交，依照《中华人民共和国政府采购法》等国家有关规定追究相应责任。</w:t>
      </w:r>
    </w:p>
    <w:p w14:paraId="0E4135EE">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适用招标投标法的政府采购工程建设项目，供应商按照本办法规定提供声明函内容不实的，属于弄虚作假骗取中标，依照《中华人民共和国招标投标法》等国家有关规定追究相应责任。</w:t>
      </w:r>
    </w:p>
    <w:p w14:paraId="1E9F2AB0">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4DD63458">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第二十二条 对外援助项目、国家相关资格或者资质管理制度另有规定的项目，不适用本办法。</w:t>
      </w:r>
    </w:p>
    <w:p w14:paraId="107FAA67">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第二十三条 关于视同中小企业的其他主体的政府采购扶持政策，由财政部会同有关部门另行规定。</w:t>
      </w:r>
    </w:p>
    <w:p w14:paraId="21A97F5C">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第二十四条 省级财政部门可以会同中小企业主管部门根据本办法的规定制定具体实施办法。</w:t>
      </w:r>
    </w:p>
    <w:p w14:paraId="06555D13">
      <w:pPr>
        <w:widowControl/>
        <w:shd w:val="clear" w:color="auto" w:fill="FFFFFF"/>
        <w:spacing w:after="150" w:line="360" w:lineRule="auto"/>
        <w:ind w:firstLine="560"/>
        <w:jc w:val="left"/>
        <w:rPr>
          <w:rFonts w:hint="eastAsia" w:ascii="宋体" w:hAnsi="宋体" w:cs="宋体"/>
          <w:szCs w:val="21"/>
          <w:highlight w:val="none"/>
        </w:rPr>
      </w:pPr>
      <w:r>
        <w:rPr>
          <w:rFonts w:hint="eastAsia" w:ascii="宋体" w:hAnsi="宋体" w:cs="宋体"/>
          <w:szCs w:val="21"/>
          <w:highlight w:val="none"/>
        </w:rPr>
        <w:t>第二十五条 本办法自2021年1月1日起施行。《财政部 工业和信息化部关于印发〈政府采购促进中小企业发展暂行办法〉的通知》（财库﹝2011﹞181号）同时废止。</w:t>
      </w:r>
    </w:p>
    <w:p w14:paraId="11A76F5E">
      <w:pPr>
        <w:widowControl/>
        <w:spacing w:line="360" w:lineRule="auto"/>
        <w:ind w:firstLine="420" w:firstLineChars="200"/>
        <w:jc w:val="left"/>
        <w:rPr>
          <w:rFonts w:hint="eastAsia" w:ascii="宋体" w:hAnsi="宋体" w:cs="宋体"/>
          <w:bCs/>
          <w:szCs w:val="21"/>
          <w:highlight w:val="none"/>
          <w:lang w:val="zh-CN"/>
        </w:rPr>
      </w:pPr>
    </w:p>
    <w:p w14:paraId="6330AD3C">
      <w:pPr>
        <w:widowControl/>
        <w:spacing w:line="360" w:lineRule="auto"/>
        <w:ind w:firstLine="420" w:firstLineChars="200"/>
        <w:jc w:val="left"/>
        <w:rPr>
          <w:rFonts w:hint="eastAsia" w:ascii="宋体" w:hAnsi="宋体" w:cs="宋体"/>
          <w:bCs/>
          <w:szCs w:val="21"/>
          <w:highlight w:val="none"/>
          <w:lang w:val="zh-CN"/>
        </w:rPr>
      </w:pPr>
    </w:p>
    <w:p w14:paraId="5C4B04A6">
      <w:pPr>
        <w:pStyle w:val="6"/>
        <w:spacing w:line="360" w:lineRule="auto"/>
        <w:jc w:val="center"/>
        <w:rPr>
          <w:rFonts w:hint="eastAsia" w:ascii="宋体" w:hAnsi="宋体" w:cs="宋体"/>
          <w:bCs/>
          <w:szCs w:val="21"/>
          <w:highlight w:val="none"/>
        </w:rPr>
      </w:pPr>
      <w:r>
        <w:rPr>
          <w:rFonts w:hint="eastAsia" w:ascii="宋体" w:hAnsi="宋体" w:cs="宋体"/>
          <w:bCs/>
          <w:szCs w:val="21"/>
          <w:highlight w:val="none"/>
        </w:rPr>
        <w:br w:type="page"/>
      </w:r>
      <w:r>
        <w:rPr>
          <w:rFonts w:hint="eastAsia" w:ascii="宋体" w:hAnsi="宋体" w:cs="宋体"/>
          <w:bCs/>
          <w:szCs w:val="21"/>
          <w:highlight w:val="none"/>
        </w:rPr>
        <w:t>中小企业划型标准规定</w:t>
      </w:r>
    </w:p>
    <w:p w14:paraId="278054E5">
      <w:pPr>
        <w:pStyle w:val="6"/>
        <w:spacing w:line="360" w:lineRule="auto"/>
        <w:rPr>
          <w:rFonts w:hint="eastAsia" w:ascii="宋体" w:hAnsi="宋体" w:cs="宋体"/>
          <w:bCs/>
          <w:szCs w:val="21"/>
          <w:highlight w:val="none"/>
        </w:rPr>
      </w:pPr>
      <w:r>
        <w:rPr>
          <w:rFonts w:hint="eastAsia" w:ascii="宋体" w:hAnsi="宋体" w:cs="宋体"/>
          <w:bCs/>
          <w:szCs w:val="21"/>
          <w:highlight w:val="none"/>
        </w:rPr>
        <w:t>　　</w:t>
      </w:r>
    </w:p>
    <w:p w14:paraId="5945B3E0">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一、根据《中华人民共和国中小企业促进法》和《国务院关于进一步促进中小企业发展的若干意见》(国发〔2009〕36号)，制定本规定。</w:t>
      </w:r>
    </w:p>
    <w:p w14:paraId="0A1188BD">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二、中小企业划分为中型、小型、微型三种类型，具体标准根据企业从业人员、营业收入、资产总额等指标，结合行业特点制定。</w:t>
      </w:r>
    </w:p>
    <w:p w14:paraId="7ED01D65">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8DF8DC6">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四、各行业划型标准为：</w:t>
      </w:r>
    </w:p>
    <w:p w14:paraId="54AABCEC">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（一）农、林、牧、渔业。营业收入20000万元以下的为中小微型企业。其中，营业收入500万元及以上的为中型企业，营业收入50万元及以上的为小型企业，营业收入50万元以下的为微型企业。</w:t>
      </w:r>
    </w:p>
    <w:p w14:paraId="498C1DB6">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2C1CB45">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7CE6C60">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ED2EE4B">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3F90E39">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1DE471E">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3F02985">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6304CE0">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09D202C">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029488E">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CCE48F1">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F3881DF">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BE9B8F7">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E27A4EF">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5CC56D9">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（十六）其他未列明行业。从业人员300人以下的为中小微型企业。其中，从业人员100人及以上的为中型企业；从业人员10人及以上的为小型企业；从业人员10人以下的为微型企业。</w:t>
      </w:r>
    </w:p>
    <w:p w14:paraId="61333ED5">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五、企业类型的划分以统计部门的统计数据为依据。</w:t>
      </w:r>
    </w:p>
    <w:p w14:paraId="70825D12">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六、本规定适用于在中华人民共和国境内依法设立的各类所有制和各种组织形式的企业。个体工商户和本规定以外的行业，参照本规定进行划型。</w:t>
      </w:r>
    </w:p>
    <w:p w14:paraId="48752CE0">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七、本规定的中型企业标准上限即为大型企业标准的下限，国家统计部门据此制定大中小微型企业的统计分类。国务院有关部门据此进行相关数据分析，不得制定与本规定不一致的企业划型标准。</w:t>
      </w:r>
    </w:p>
    <w:p w14:paraId="47746E55">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八、本规定由工业和信息化部、国家统计局会同有关部门根据《国民经济行业分类》修订情况和企业发展变化情况适时修订。</w:t>
      </w:r>
    </w:p>
    <w:p w14:paraId="39E69DDE">
      <w:pPr>
        <w:spacing w:line="360" w:lineRule="auto"/>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九、本规定由工业和信息化部、国家统计局会同有关部门负责解释。</w:t>
      </w:r>
    </w:p>
    <w:p w14:paraId="56CE0506">
      <w:pPr>
        <w:spacing w:line="360" w:lineRule="auto"/>
        <w:rPr>
          <w:rFonts w:hint="eastAsia" w:ascii="宋体" w:hAnsi="宋体" w:cs="宋体"/>
          <w:szCs w:val="21"/>
          <w:highlight w:val="none"/>
        </w:rPr>
      </w:pPr>
      <w:r>
        <w:rPr>
          <w:rFonts w:hint="eastAsia" w:ascii="宋体" w:hAnsi="宋体" w:cs="宋体"/>
          <w:bCs/>
          <w:szCs w:val="21"/>
          <w:highlight w:val="none"/>
          <w:lang w:val="zh-CN"/>
        </w:rPr>
        <w:t>十、本规定自发布之日起执行，原国家经贸委、原国家计委、财政部和国家统计局2003年颁布的《中小企业标准暂行规定》同时废止。</w:t>
      </w:r>
    </w:p>
    <w:p w14:paraId="10106346">
      <w:pPr>
        <w:pStyle w:val="28"/>
        <w:spacing w:line="320" w:lineRule="exact"/>
        <w:rPr>
          <w:rFonts w:hint="eastAsia" w:ascii="宋体" w:hAnsi="宋体" w:cs="宋体"/>
          <w:color w:val="000000"/>
          <w:sz w:val="32"/>
          <w:szCs w:val="32"/>
          <w:highlight w:val="none"/>
        </w:rPr>
      </w:pPr>
    </w:p>
    <w:p w14:paraId="288B6C84">
      <w:pPr>
        <w:pStyle w:val="28"/>
        <w:spacing w:line="320" w:lineRule="exact"/>
        <w:rPr>
          <w:rFonts w:hint="eastAsia" w:ascii="宋体" w:hAnsi="宋体" w:cs="宋体"/>
          <w:color w:val="000000"/>
          <w:sz w:val="32"/>
          <w:szCs w:val="32"/>
          <w:highlight w:val="none"/>
        </w:rPr>
      </w:pPr>
    </w:p>
    <w:p w14:paraId="0FE477C5">
      <w:pPr>
        <w:pStyle w:val="28"/>
        <w:spacing w:line="320" w:lineRule="exact"/>
        <w:rPr>
          <w:rFonts w:hint="eastAsia" w:ascii="宋体" w:hAnsi="宋体" w:cs="宋体"/>
          <w:color w:val="000000"/>
          <w:sz w:val="32"/>
          <w:szCs w:val="32"/>
          <w:highlight w:val="none"/>
        </w:rPr>
      </w:pPr>
    </w:p>
    <w:p w14:paraId="63B6B133">
      <w:pPr>
        <w:pStyle w:val="28"/>
        <w:spacing w:line="320" w:lineRule="exact"/>
        <w:rPr>
          <w:rFonts w:hint="eastAsia" w:ascii="宋体" w:hAnsi="宋体" w:cs="宋体"/>
          <w:color w:val="000000"/>
          <w:sz w:val="32"/>
          <w:szCs w:val="32"/>
          <w:highlight w:val="none"/>
        </w:rPr>
      </w:pPr>
    </w:p>
    <w:p w14:paraId="117CF36C">
      <w:pPr>
        <w:pStyle w:val="28"/>
        <w:spacing w:line="320" w:lineRule="exact"/>
        <w:rPr>
          <w:rFonts w:hint="eastAsia" w:ascii="宋体" w:hAnsi="宋体" w:cs="宋体"/>
          <w:color w:val="000000"/>
          <w:sz w:val="32"/>
          <w:szCs w:val="32"/>
          <w:highlight w:val="none"/>
        </w:rPr>
      </w:pPr>
    </w:p>
    <w:p w14:paraId="36FB4625">
      <w:pPr>
        <w:pStyle w:val="28"/>
        <w:spacing w:line="320" w:lineRule="exact"/>
        <w:rPr>
          <w:rFonts w:hint="eastAsia" w:ascii="宋体" w:hAnsi="宋体" w:cs="宋体"/>
          <w:color w:val="000000"/>
          <w:sz w:val="32"/>
          <w:szCs w:val="32"/>
          <w:highlight w:val="none"/>
        </w:rPr>
      </w:pPr>
    </w:p>
    <w:p w14:paraId="1BC4E4EC">
      <w:pPr>
        <w:pStyle w:val="28"/>
        <w:spacing w:line="320" w:lineRule="exact"/>
        <w:rPr>
          <w:rFonts w:hint="eastAsia" w:ascii="宋体" w:hAnsi="宋体" w:cs="宋体"/>
          <w:color w:val="000000"/>
          <w:sz w:val="32"/>
          <w:szCs w:val="32"/>
          <w:highlight w:val="none"/>
        </w:rPr>
      </w:pPr>
    </w:p>
    <w:p w14:paraId="2C374179">
      <w:pPr>
        <w:pStyle w:val="28"/>
        <w:spacing w:line="320" w:lineRule="exact"/>
        <w:rPr>
          <w:rFonts w:hint="eastAsia" w:ascii="宋体" w:hAnsi="宋体" w:cs="宋体"/>
          <w:color w:val="000000"/>
          <w:sz w:val="32"/>
          <w:szCs w:val="32"/>
          <w:highlight w:val="none"/>
        </w:rPr>
      </w:pPr>
    </w:p>
    <w:p w14:paraId="49820B98">
      <w:pPr>
        <w:pStyle w:val="28"/>
        <w:spacing w:line="320" w:lineRule="exact"/>
        <w:rPr>
          <w:rFonts w:hint="eastAsia" w:ascii="宋体" w:hAnsi="宋体" w:cs="宋体"/>
          <w:color w:val="000000"/>
          <w:sz w:val="32"/>
          <w:szCs w:val="32"/>
          <w:highlight w:val="none"/>
        </w:rPr>
      </w:pPr>
    </w:p>
    <w:p w14:paraId="64035CBB">
      <w:pPr>
        <w:pStyle w:val="28"/>
        <w:spacing w:line="320" w:lineRule="exact"/>
        <w:rPr>
          <w:rFonts w:hint="eastAsia" w:ascii="宋体" w:hAnsi="宋体" w:cs="宋体"/>
          <w:color w:val="000000"/>
          <w:sz w:val="32"/>
          <w:szCs w:val="32"/>
          <w:highlight w:val="none"/>
        </w:rPr>
      </w:pPr>
    </w:p>
    <w:p w14:paraId="3157372C">
      <w:pPr>
        <w:pStyle w:val="6"/>
        <w:ind w:firstLine="0" w:firstLineChars="0"/>
        <w:jc w:val="center"/>
        <w:rPr>
          <w:rFonts w:hint="eastAsia" w:ascii="宋体" w:hAnsi="宋体" w:cs="宋体"/>
          <w:bCs/>
          <w:sz w:val="28"/>
          <w:szCs w:val="28"/>
          <w:highlight w:val="none"/>
        </w:rPr>
      </w:pPr>
    </w:p>
    <w:p w14:paraId="2E4F3234">
      <w:pPr>
        <w:pStyle w:val="6"/>
        <w:ind w:firstLine="0" w:firstLineChars="0"/>
        <w:jc w:val="center"/>
        <w:rPr>
          <w:rFonts w:hint="eastAsia" w:ascii="宋体" w:hAnsi="宋体" w:cs="宋体"/>
          <w:bCs/>
          <w:sz w:val="28"/>
          <w:szCs w:val="28"/>
          <w:highlight w:val="none"/>
        </w:rPr>
      </w:pPr>
    </w:p>
    <w:p w14:paraId="2309BB68">
      <w:pPr>
        <w:pStyle w:val="6"/>
        <w:ind w:firstLine="0" w:firstLineChars="0"/>
        <w:jc w:val="center"/>
        <w:rPr>
          <w:rFonts w:hint="eastAsia" w:ascii="宋体" w:hAnsi="宋体" w:cs="宋体"/>
          <w:bCs/>
          <w:sz w:val="28"/>
          <w:szCs w:val="28"/>
          <w:highlight w:val="none"/>
        </w:rPr>
      </w:pPr>
    </w:p>
    <w:p w14:paraId="58EDAE7B">
      <w:pPr>
        <w:pStyle w:val="6"/>
        <w:ind w:firstLine="0" w:firstLineChars="0"/>
        <w:jc w:val="center"/>
        <w:rPr>
          <w:rFonts w:hint="eastAsia" w:ascii="宋体" w:hAnsi="宋体" w:cs="宋体"/>
          <w:bCs/>
          <w:sz w:val="28"/>
          <w:szCs w:val="28"/>
          <w:highlight w:val="none"/>
        </w:rPr>
      </w:pPr>
    </w:p>
    <w:p w14:paraId="020AA039">
      <w:pPr>
        <w:pStyle w:val="6"/>
        <w:ind w:firstLine="0" w:firstLineChars="0"/>
        <w:jc w:val="center"/>
        <w:rPr>
          <w:rFonts w:hint="eastAsia" w:ascii="宋体" w:hAnsi="宋体" w:cs="宋体"/>
          <w:bCs/>
          <w:sz w:val="28"/>
          <w:szCs w:val="28"/>
          <w:highlight w:val="none"/>
        </w:rPr>
      </w:pPr>
    </w:p>
    <w:p w14:paraId="2460263F">
      <w:pPr>
        <w:pStyle w:val="6"/>
        <w:ind w:firstLine="0" w:firstLineChars="0"/>
        <w:jc w:val="center"/>
        <w:rPr>
          <w:rFonts w:hint="eastAsia" w:ascii="宋体" w:hAnsi="宋体" w:cs="宋体"/>
          <w:bCs/>
          <w:sz w:val="28"/>
          <w:szCs w:val="28"/>
          <w:highlight w:val="none"/>
        </w:rPr>
      </w:pPr>
    </w:p>
    <w:p w14:paraId="6BA989ED">
      <w:pPr>
        <w:pStyle w:val="6"/>
        <w:ind w:firstLine="0" w:firstLineChars="0"/>
        <w:jc w:val="center"/>
        <w:rPr>
          <w:rFonts w:hint="eastAsia" w:ascii="宋体" w:hAnsi="宋体" w:cs="宋体"/>
          <w:bCs/>
          <w:sz w:val="28"/>
          <w:szCs w:val="28"/>
          <w:highlight w:val="none"/>
        </w:rPr>
      </w:pPr>
    </w:p>
    <w:p w14:paraId="3CD110DC">
      <w:pPr>
        <w:pStyle w:val="6"/>
        <w:ind w:firstLine="0" w:firstLineChars="0"/>
        <w:jc w:val="center"/>
        <w:rPr>
          <w:rFonts w:hint="eastAsia" w:ascii="宋体" w:hAnsi="宋体" w:cs="宋体"/>
          <w:bCs/>
          <w:sz w:val="28"/>
          <w:szCs w:val="28"/>
          <w:highlight w:val="none"/>
        </w:rPr>
      </w:pPr>
    </w:p>
    <w:p w14:paraId="48CFDEE6">
      <w:pPr>
        <w:pStyle w:val="6"/>
        <w:ind w:firstLine="0" w:firstLineChars="0"/>
        <w:jc w:val="center"/>
        <w:rPr>
          <w:rFonts w:hint="eastAsia" w:ascii="宋体" w:hAnsi="宋体" w:cs="宋体"/>
          <w:bCs/>
          <w:sz w:val="28"/>
          <w:szCs w:val="28"/>
          <w:highlight w:val="none"/>
        </w:rPr>
      </w:pPr>
    </w:p>
    <w:p w14:paraId="36A508B3">
      <w:pPr>
        <w:pStyle w:val="6"/>
        <w:ind w:firstLine="0" w:firstLineChars="0"/>
        <w:jc w:val="center"/>
        <w:rPr>
          <w:rFonts w:hint="eastAsia" w:ascii="宋体" w:hAnsi="宋体" w:cs="宋体"/>
          <w:bCs/>
          <w:sz w:val="28"/>
          <w:szCs w:val="28"/>
          <w:highlight w:val="none"/>
        </w:rPr>
      </w:pPr>
      <w:r>
        <w:rPr>
          <w:rFonts w:hint="eastAsia" w:ascii="宋体" w:hAnsi="宋体" w:cs="宋体"/>
          <w:bCs/>
          <w:sz w:val="28"/>
          <w:szCs w:val="28"/>
          <w:highlight w:val="none"/>
        </w:rPr>
        <w:t>中小企业划型标准规定</w:t>
      </w:r>
    </w:p>
    <w:p w14:paraId="2021B719">
      <w:pPr>
        <w:pStyle w:val="6"/>
        <w:ind w:firstLine="560"/>
        <w:rPr>
          <w:rFonts w:hint="eastAsia" w:ascii="宋体" w:hAnsi="宋体" w:cs="宋体"/>
          <w:bCs/>
          <w:sz w:val="28"/>
          <w:szCs w:val="28"/>
          <w:highlight w:val="none"/>
        </w:rPr>
      </w:pPr>
      <w:r>
        <w:rPr>
          <w:rFonts w:hint="eastAsia" w:ascii="宋体" w:hAnsi="宋体" w:cs="宋体"/>
          <w:bCs/>
          <w:sz w:val="28"/>
          <w:szCs w:val="28"/>
          <w:highlight w:val="none"/>
        </w:rPr>
        <w:t>　　</w:t>
      </w:r>
    </w:p>
    <w:p w14:paraId="06A11B5C">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一、根据《中华人民共和国中小企业促进法》和《国务院关于进一步促进中小企业发展的若干意见》(国发〔2009〕36号)，制定本规定。</w:t>
      </w:r>
    </w:p>
    <w:p w14:paraId="47427C5D">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二、中小企业划分为中型、小型、微型三种类型，具体标准根据企业从业人员、营业收入、资产总额等指标，结合行业特点制定。</w:t>
      </w:r>
    </w:p>
    <w:p w14:paraId="6639445F">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F9B2BB1">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四、各行业划型标准为：</w:t>
      </w:r>
    </w:p>
    <w:p w14:paraId="4DA17A11">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（一）农、林、牧、渔业。营业收入20000万元以下的为中小微型企业。其中，营业收入500万元及以上的为中型企业，营业收入50万元及以上的为小型企业，营业收入50万元以下的为微型企业。</w:t>
      </w:r>
    </w:p>
    <w:p w14:paraId="6CAB0AB5">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EBAB6AD">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7D3F863">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4622156">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E382C99">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5421A30">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9CF5AEF">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BA593D1">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16DB1A6">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F402459">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2F1F75D">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EC4C9DD">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6D3A881">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80F85B9">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18C93A6">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（十六）其他未列明行业。从业人员300人以下的为中小微型企业。其中，从业人员100人及以上的为中型企业；从业人员10人及以上的为小型企业；从业人员10人以下的为微型企业。</w:t>
      </w:r>
    </w:p>
    <w:p w14:paraId="38B49F3C">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五、企业类型的划分以统计部门的统计数据为依据。</w:t>
      </w:r>
    </w:p>
    <w:p w14:paraId="58C720CE">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六、本规定适用于在中华人民共和国境内依法设立的各类所有制和各种组织形式的企业。个体工商户和本规定以外的行业，参照本规定进行划型。</w:t>
      </w:r>
    </w:p>
    <w:p w14:paraId="4673CD5C">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七、本规定的中型企业标准上限即为大型企业标准的下限，国家统计部门据此制定大中小微型企业的统计分类。国务院有关部门据此进行相关数据分析，不得制定与本规定不一致的企业划型标准。</w:t>
      </w:r>
    </w:p>
    <w:p w14:paraId="59596623">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八、本规定由工业和信息化部、国家统计局会同有关部门根据《国民经济行业分类》修订情况和企业发展变化情况适时修订。</w:t>
      </w:r>
    </w:p>
    <w:p w14:paraId="66DF27FC">
      <w:pPr>
        <w:spacing w:line="340" w:lineRule="exact"/>
        <w:ind w:firstLine="420" w:firstLineChars="200"/>
        <w:jc w:val="left"/>
        <w:rPr>
          <w:rFonts w:hint="eastAsia" w:ascii="宋体" w:hAnsi="宋体" w:cs="宋体"/>
          <w:bCs/>
          <w:szCs w:val="21"/>
          <w:highlight w:val="none"/>
          <w:lang w:val="zh-CN"/>
        </w:rPr>
      </w:pPr>
      <w:r>
        <w:rPr>
          <w:rFonts w:hint="eastAsia" w:ascii="宋体" w:hAnsi="宋体" w:cs="宋体"/>
          <w:bCs/>
          <w:szCs w:val="21"/>
          <w:highlight w:val="none"/>
          <w:lang w:val="zh-CN"/>
        </w:rPr>
        <w:t>九、本规定由工业和信息化部、国家统计局会同有关部门负责解释。</w:t>
      </w:r>
    </w:p>
    <w:p w14:paraId="077DFD00">
      <w:pPr>
        <w:rPr>
          <w:rFonts w:hint="eastAsia" w:ascii="宋体" w:hAnsi="宋体" w:cs="宋体"/>
          <w:szCs w:val="21"/>
          <w:highlight w:val="none"/>
        </w:rPr>
      </w:pPr>
      <w:r>
        <w:rPr>
          <w:rFonts w:hint="eastAsia" w:ascii="宋体" w:hAnsi="宋体" w:cs="宋体"/>
          <w:bCs/>
          <w:szCs w:val="21"/>
          <w:highlight w:val="none"/>
          <w:lang w:val="zh-CN"/>
        </w:rPr>
        <w:t>十、本规定自发布之日起执行，原国家经贸委、原国家计委、财政部和国家统计局2003年颁布的《中小企业标准暂行规定》同时废止。</w:t>
      </w:r>
    </w:p>
    <w:p w14:paraId="6E8AC4B5">
      <w:pPr>
        <w:spacing w:line="360" w:lineRule="auto"/>
        <w:jc w:val="center"/>
        <w:rPr>
          <w:rFonts w:hint="eastAsia" w:ascii="宋体" w:hAnsi="宋体" w:cs="宋体"/>
          <w:sz w:val="28"/>
          <w:szCs w:val="28"/>
          <w:highlight w:val="none"/>
        </w:rPr>
      </w:pPr>
    </w:p>
    <w:p w14:paraId="02EB6C6C">
      <w:pPr>
        <w:pStyle w:val="73"/>
        <w:rPr>
          <w:rFonts w:hint="eastAsia" w:eastAsia="宋体"/>
          <w:bCs/>
          <w:sz w:val="30"/>
          <w:szCs w:val="30"/>
          <w:highlight w:val="none"/>
          <w:lang w:val="zh-CN"/>
        </w:rPr>
      </w:pPr>
    </w:p>
    <w:p w14:paraId="34192ABA">
      <w:pPr>
        <w:pStyle w:val="28"/>
        <w:spacing w:line="320" w:lineRule="exact"/>
        <w:rPr>
          <w:rFonts w:hint="eastAsia" w:ascii="宋体" w:hAnsi="宋体" w:cs="宋体"/>
          <w:color w:val="000000"/>
          <w:sz w:val="32"/>
          <w:szCs w:val="32"/>
          <w:highlight w:val="none"/>
        </w:rPr>
      </w:pPr>
    </w:p>
    <w:p w14:paraId="63B29838">
      <w:pPr>
        <w:pStyle w:val="73"/>
        <w:rPr>
          <w:rFonts w:hint="eastAsia" w:eastAsia="宋体"/>
          <w:bCs/>
          <w:sz w:val="30"/>
          <w:szCs w:val="30"/>
          <w:highlight w:val="none"/>
          <w:lang w:val="zh-CN"/>
        </w:rPr>
      </w:pPr>
    </w:p>
    <w:bookmarkEnd w:id="65"/>
    <w:bookmarkEnd w:id="66"/>
    <w:bookmarkEnd w:id="67"/>
    <w:bookmarkEnd w:id="68"/>
    <w:bookmarkEnd w:id="69"/>
    <w:bookmarkEnd w:id="70"/>
    <w:bookmarkEnd w:id="71"/>
    <w:bookmarkEnd w:id="72"/>
    <w:bookmarkEnd w:id="73"/>
    <w:bookmarkEnd w:id="74"/>
    <w:bookmarkEnd w:id="75"/>
    <w:p w14:paraId="79C24728">
      <w:pPr>
        <w:pStyle w:val="28"/>
        <w:spacing w:line="320" w:lineRule="exact"/>
        <w:rPr>
          <w:rFonts w:hint="eastAsia" w:ascii="宋体" w:hAnsi="宋体" w:cs="宋体"/>
          <w:highlight w:val="none"/>
        </w:rPr>
      </w:pPr>
    </w:p>
    <w:sectPr>
      <w:footerReference r:id="rId15" w:type="default"/>
      <w:pgSz w:w="11906" w:h="16838"/>
      <w:pgMar w:top="1440" w:right="1752"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6A443">
    <w:pPr>
      <w:pStyle w:val="24"/>
      <w:jc w:val="center"/>
    </w:pPr>
  </w:p>
  <w:p w14:paraId="6A4F24F9">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32865">
    <w:pPr>
      <w:pStyle w:val="24"/>
      <w:framePr w:wrap="around" w:vAnchor="text" w:hAnchor="margin" w:xAlign="right" w:y="1"/>
      <w:rPr>
        <w:rStyle w:val="42"/>
      </w:rPr>
    </w:pPr>
    <w:r>
      <w:fldChar w:fldCharType="begin"/>
    </w:r>
    <w:r>
      <w:rPr>
        <w:rStyle w:val="42"/>
      </w:rPr>
      <w:instrText xml:space="preserve">PAGE  </w:instrText>
    </w:r>
    <w:r>
      <w:fldChar w:fldCharType="end"/>
    </w:r>
  </w:p>
  <w:p w14:paraId="3211EF08">
    <w:pPr>
      <w:pStyle w:val="2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0A1C9">
    <w:pPr>
      <w:pStyle w:val="2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EA0D671">
                          <w:pPr>
                            <w:pStyle w:val="2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Afzf3P0QEAAKQDAAAOAAAAAAAAAAEAIAAAACIB&#10;AABkcnMvZTJvRG9jLnhtbFBLBQYAAAAABgAGAFkBAABlBQAAAAA=&#10;">
              <v:fill on="f" focussize="0,0"/>
              <v:stroke on="f" weight="1.25pt"/>
              <v:imagedata o:title=""/>
              <o:lock v:ext="edit" aspectratio="f"/>
              <v:textbox inset="0mm,0mm,0mm,0mm" style="mso-fit-shape-to-text:t;">
                <w:txbxContent>
                  <w:p w14:paraId="4EA0D671">
                    <w:pPr>
                      <w:pStyle w:val="2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CBBC8">
    <w:pPr>
      <w:pStyle w:val="24"/>
      <w:ind w:right="360"/>
      <w:jc w:val="both"/>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EE61AF8">
                          <w:pPr>
                            <w:pStyle w:val="24"/>
                            <w:rPr>
                              <w:rStyle w:val="42"/>
                              <w:rFonts w:hint="eastAsia"/>
                            </w:rPr>
                          </w:pPr>
                          <w:r>
                            <w:rPr>
                              <w:rFonts w:hint="eastAsia"/>
                            </w:rPr>
                            <w:fldChar w:fldCharType="begin"/>
                          </w:r>
                          <w:r>
                            <w:rPr>
                              <w:rStyle w:val="42"/>
                              <w:rFonts w:hint="eastAsia"/>
                            </w:rPr>
                            <w:instrText xml:space="preserve"> PAGE  \* MERGEFORMAT </w:instrText>
                          </w:r>
                          <w:r>
                            <w:rPr>
                              <w:rFonts w:hint="eastAsia"/>
                            </w:rPr>
                            <w:fldChar w:fldCharType="separate"/>
                          </w:r>
                          <w:r>
                            <w:rPr>
                              <w:rStyle w:val="42"/>
                              <w:rFonts w:hint="eastAsia"/>
                            </w:rPr>
                            <w:t>37</w:t>
                          </w:r>
                          <w:r>
                            <w:rPr>
                              <w:rFonts w:hint="eastAsia"/>
                            </w:rP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&#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QGx41NIBAACjAwAADgAAAAAAAAABACAAAAAi&#10;AQAAZHJzL2Uyb0RvYy54bWxQSwUGAAAAAAYABgBZAQAAZgUAAAAA&#10;">
              <v:fill on="f" focussize="0,0"/>
              <v:stroke on="f" weight="1.25pt"/>
              <v:imagedata o:title=""/>
              <o:lock v:ext="edit" aspectratio="f"/>
              <v:textbox inset="0mm,0mm,0mm,0mm" style="mso-fit-shape-to-text:t;">
                <w:txbxContent>
                  <w:p w14:paraId="5EE61AF8">
                    <w:pPr>
                      <w:pStyle w:val="24"/>
                      <w:rPr>
                        <w:rStyle w:val="42"/>
                        <w:rFonts w:hint="eastAsia"/>
                      </w:rPr>
                    </w:pPr>
                    <w:r>
                      <w:rPr>
                        <w:rFonts w:hint="eastAsia"/>
                      </w:rPr>
                      <w:fldChar w:fldCharType="begin"/>
                    </w:r>
                    <w:r>
                      <w:rPr>
                        <w:rStyle w:val="42"/>
                        <w:rFonts w:hint="eastAsia"/>
                      </w:rPr>
                      <w:instrText xml:space="preserve"> PAGE  \* MERGEFORMAT </w:instrText>
                    </w:r>
                    <w:r>
                      <w:rPr>
                        <w:rFonts w:hint="eastAsia"/>
                      </w:rPr>
                      <w:fldChar w:fldCharType="separate"/>
                    </w:r>
                    <w:r>
                      <w:rPr>
                        <w:rStyle w:val="42"/>
                        <w:rFonts w:hint="eastAsia"/>
                      </w:rPr>
                      <w:t>37</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2401A">
    <w:pPr>
      <w:pStyle w:val="24"/>
      <w:framePr w:wrap="around" w:vAnchor="text" w:hAnchor="margin" w:xAlign="center" w:y="1"/>
      <w:rPr>
        <w:rStyle w:val="42"/>
      </w:rPr>
    </w:pPr>
    <w:r>
      <w:fldChar w:fldCharType="begin"/>
    </w:r>
    <w:r>
      <w:rPr>
        <w:rStyle w:val="42"/>
      </w:rPr>
      <w:instrText xml:space="preserve">PAGE  </w:instrText>
    </w:r>
    <w:r>
      <w:fldChar w:fldCharType="separate"/>
    </w:r>
    <w:r>
      <w:rPr>
        <w:rStyle w:val="42"/>
      </w:rPr>
      <w:t>9</w:t>
    </w:r>
    <w:r>
      <w:fldChar w:fldCharType="end"/>
    </w:r>
  </w:p>
  <w:p w14:paraId="741AB311">
    <w:pPr>
      <w:pStyle w:val="24"/>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1DDAD">
    <w:pPr>
      <w:pStyle w:val="24"/>
      <w:ind w:right="360"/>
      <w:jc w:val="both"/>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47320" cy="131445"/>
              <wp:effectExtent l="0" t="0" r="0" b="0"/>
              <wp:wrapNone/>
              <wp:docPr id="1" name="文本框 3"/>
              <wp:cNvGraphicFramePr/>
              <a:graphic xmlns:a="http://schemas.openxmlformats.org/drawingml/2006/main">
                <a:graphicData uri="http://schemas.microsoft.com/office/word/2010/wordprocessingShape">
                  <wps:wsp>
                    <wps:cNvSpPr txBox="1"/>
                    <wps:spPr>
                      <a:xfrm>
                        <a:off x="0" y="0"/>
                        <a:ext cx="147320" cy="131445"/>
                      </a:xfrm>
                      <a:prstGeom prst="rect">
                        <a:avLst/>
                      </a:prstGeom>
                      <a:noFill/>
                      <a:ln w="15875">
                        <a:noFill/>
                      </a:ln>
                    </wps:spPr>
                    <wps:txbx>
                      <w:txbxContent>
                        <w:p w14:paraId="6C64CFF8">
                          <w:pPr>
                            <w:pStyle w:val="24"/>
                            <w:rPr>
                              <w:rStyle w:val="42"/>
                              <w:rFonts w:hint="eastAsia"/>
                            </w:rPr>
                          </w:pPr>
                          <w:r>
                            <w:rPr>
                              <w:rFonts w:hint="eastAsia"/>
                            </w:rPr>
                            <w:fldChar w:fldCharType="begin"/>
                          </w:r>
                          <w:r>
                            <w:rPr>
                              <w:rStyle w:val="42"/>
                              <w:rFonts w:hint="eastAsia"/>
                            </w:rPr>
                            <w:instrText xml:space="preserve"> PAGE  \* MERGEFORMAT </w:instrText>
                          </w:r>
                          <w:r>
                            <w:rPr>
                              <w:rFonts w:hint="eastAsia"/>
                            </w:rPr>
                            <w:fldChar w:fldCharType="separate"/>
                          </w:r>
                          <w:r>
                            <w:rPr>
                              <w:rStyle w:val="42"/>
                              <w:rFonts w:hint="eastAsia"/>
                            </w:rPr>
                            <w:t>53</w:t>
                          </w:r>
                          <w:r>
                            <w:rPr>
                              <w:rFonts w:hint="eastAsia"/>
                            </w:rPr>
                            <w:fldChar w:fldCharType="end"/>
                          </w:r>
                        </w:p>
                      </w:txbxContent>
                    </wps:txbx>
                    <wps:bodyPr wrap="square" lIns="0" tIns="0" rIns="0" bIns="0" upright="0"/>
                  </wps:wsp>
                </a:graphicData>
              </a:graphic>
            </wp:anchor>
          </w:drawing>
        </mc:Choice>
        <mc:Fallback>
          <w:pict>
            <v:shape id="文本框 3" o:spid="_x0000_s1026" o:spt="202" type="#_x0000_t202" style="position:absolute;left:0pt;margin-top:0pt;height:10.35pt;width:11.6pt;mso-position-horizontal:center;mso-position-horizontal-relative:margin;z-index:251659264;mso-width-relative:page;mso-height-relative:page;" filled="f" stroked="f" coordsize="21600,21600" o:gfxdata="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XrAsrtMAAAADAQAADwAAAAAAAAABACAAAAAiAAAAZHJzL2Rvd25y&#10;ZXYueG1sUEsBAhQAFAAAAAgAh07iQPGaikLKAQAAiQMAAA4AAAAAAAAAAQAgAAAAIgEAAGRycy9l&#10;Mm9Eb2MueG1sUEsFBgAAAAAGAAYAWQEAAF4FAAAAAA==&#10;">
              <v:fill on="f" focussize="0,0"/>
              <v:stroke on="f" weight="1.25pt"/>
              <v:imagedata o:title=""/>
              <o:lock v:ext="edit" aspectratio="f"/>
              <v:textbox inset="0mm,0mm,0mm,0mm">
                <w:txbxContent>
                  <w:p w14:paraId="6C64CFF8">
                    <w:pPr>
                      <w:pStyle w:val="24"/>
                      <w:rPr>
                        <w:rStyle w:val="42"/>
                        <w:rFonts w:hint="eastAsia"/>
                      </w:rPr>
                    </w:pPr>
                    <w:r>
                      <w:rPr>
                        <w:rFonts w:hint="eastAsia"/>
                      </w:rPr>
                      <w:fldChar w:fldCharType="begin"/>
                    </w:r>
                    <w:r>
                      <w:rPr>
                        <w:rStyle w:val="42"/>
                        <w:rFonts w:hint="eastAsia"/>
                      </w:rPr>
                      <w:instrText xml:space="preserve"> PAGE  \* MERGEFORMAT </w:instrText>
                    </w:r>
                    <w:r>
                      <w:rPr>
                        <w:rFonts w:hint="eastAsia"/>
                      </w:rPr>
                      <w:fldChar w:fldCharType="separate"/>
                    </w:r>
                    <w:r>
                      <w:rPr>
                        <w:rStyle w:val="42"/>
                        <w:rFonts w:hint="eastAsia"/>
                      </w:rPr>
                      <w:t>53</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C36E7">
    <w:pPr>
      <w:pStyle w:val="24"/>
      <w:ind w:right="360"/>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459C864">
                          <w:pPr>
                            <w:pStyle w:val="24"/>
                          </w:pPr>
                          <w:r>
                            <w:fldChar w:fldCharType="begin"/>
                          </w:r>
                          <w:r>
                            <w:instrText xml:space="preserve"> PAGE  \* MERGEFORMAT </w:instrText>
                          </w:r>
                          <w:r>
                            <w:fldChar w:fldCharType="separate"/>
                          </w:r>
                          <w:r>
                            <w:t>5</w:t>
                          </w:r>
                          <w:r>
                            <w:fldChar w:fldCharType="end"/>
                          </w:r>
                        </w:p>
                      </w:txbxContent>
                    </wps:txbx>
                    <wps:bodyPr wrap="none" lIns="0" tIns="0" rIns="0" bIns="0" upright="0">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AcHDtvTAQAApAMAAA4AAAAAAAAAAQAgAAAA&#10;IgEAAGRycy9lMm9Eb2MueG1sUEsFBgAAAAAGAAYAWQEAAGcFAAAAAA==&#10;">
              <v:fill on="f" focussize="0,0"/>
              <v:stroke on="f" weight="1.25pt"/>
              <v:imagedata o:title=""/>
              <o:lock v:ext="edit" aspectratio="f"/>
              <v:textbox inset="0mm,0mm,0mm,0mm" style="mso-fit-shape-to-text:t;">
                <w:txbxContent>
                  <w:p w14:paraId="3459C864">
                    <w:pPr>
                      <w:pStyle w:val="2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F147F">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CFEEBB3">
                          <w:pPr>
                            <w:pStyle w:val="24"/>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4bGdO9IBAACkAwAADgAAAAAAAAABACAAAAAi&#10;AQAAZHJzL2Uyb0RvYy54bWxQSwUGAAAAAAYABgBZAQAAZgUAAAAA&#10;">
              <v:fill on="f" focussize="0,0"/>
              <v:stroke on="f" weight="1.25pt"/>
              <v:imagedata o:title=""/>
              <o:lock v:ext="edit" aspectratio="f"/>
              <v:textbox inset="0mm,0mm,0mm,0mm" style="mso-fit-shape-to-text:t;">
                <w:txbxContent>
                  <w:p w14:paraId="5CFEEBB3">
                    <w:pPr>
                      <w:pStyle w:val="2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1BB0C">
    <w:pPr>
      <w:pStyle w:val="24"/>
      <w:ind w:right="360"/>
      <w:jc w:val="both"/>
      <w:rPr>
        <w:rFonts w:hint="eastAsia"/>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CD8ABE2">
                          <w:pPr>
                            <w:pStyle w:val="2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54</w:t>
                          </w:r>
                          <w:r>
                            <w:rPr>
                              <w:rFonts w:hint="eastAsia"/>
                            </w:rPr>
                            <w:fldChar w:fldCharType="end"/>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dl9xf9IBAACkAwAADgAAAAAAAAABACAAAAAi&#10;AQAAZHJzL2Uyb0RvYy54bWxQSwUGAAAAAAYABgBZAQAAZgUAAAAA&#10;">
              <v:fill on="f" focussize="0,0"/>
              <v:stroke on="f" weight="1.25pt"/>
              <v:imagedata o:title=""/>
              <o:lock v:ext="edit" aspectratio="f"/>
              <v:textbox inset="0mm,0mm,0mm,0mm" style="mso-fit-shape-to-text:t;">
                <w:txbxContent>
                  <w:p w14:paraId="0CD8ABE2">
                    <w:pPr>
                      <w:pStyle w:val="2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54</w:t>
                    </w:r>
                    <w:r>
                      <w:rPr>
                        <w:rFonts w:hint="eastAsia"/>
                      </w:rP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1568CCA">
                          <w:pPr>
                            <w:rPr>
                              <w:rFonts w:hint="eastAsia"/>
                            </w:rPr>
                          </w:pP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eaWWMdIBAACjAwAADgAAAAAAAAABACAAAAAi&#10;AQAAZHJzL2Uyb0RvYy54bWxQSwUGAAAAAAYABgBZAQAAZgUAAAAA&#10;">
              <v:fill on="f" focussize="0,0"/>
              <v:stroke on="f" weight="1.25pt"/>
              <v:imagedata o:title=""/>
              <o:lock v:ext="edit" aspectratio="f"/>
              <v:textbox inset="0mm,0mm,0mm,0mm" style="mso-fit-shape-to-text:t;">
                <w:txbxContent>
                  <w:p w14:paraId="51568CCA">
                    <w:pPr>
                      <w:rPr>
                        <w:rFonts w:hint="eastAsia"/>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B1760">
    <w:pPr>
      <w:pStyle w:val="25"/>
    </w:pPr>
    <w:r>
      <w:rPr>
        <w:rFonts w:hint="eastAsia"/>
      </w:rPr>
      <w:t>吉林省驰茗项目管理咨询有限公司—招标文件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B6F81">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2912B">
    <w:pPr>
      <w:pStyle w:val="25"/>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8A227">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4A0A76"/>
    <w:multiLevelType w:val="singleLevel"/>
    <w:tmpl w:val="994A0A76"/>
    <w:lvl w:ilvl="0" w:tentative="0">
      <w:start w:val="1"/>
      <w:numFmt w:val="decimal"/>
      <w:suff w:val="nothing"/>
      <w:lvlText w:val="（%1）"/>
      <w:lvlJc w:val="left"/>
    </w:lvl>
  </w:abstractNum>
  <w:abstractNum w:abstractNumId="1">
    <w:nsid w:val="B80B3627"/>
    <w:multiLevelType w:val="singleLevel"/>
    <w:tmpl w:val="B80B3627"/>
    <w:lvl w:ilvl="0" w:tentative="0">
      <w:start w:val="1"/>
      <w:numFmt w:val="decimal"/>
      <w:suff w:val="nothing"/>
      <w:lvlText w:val="（%1）"/>
      <w:lvlJc w:val="left"/>
    </w:lvl>
  </w:abstractNum>
  <w:abstractNum w:abstractNumId="2">
    <w:nsid w:val="B88B8032"/>
    <w:multiLevelType w:val="singleLevel"/>
    <w:tmpl w:val="B88B8032"/>
    <w:lvl w:ilvl="0" w:tentative="0">
      <w:start w:val="1"/>
      <w:numFmt w:val="decimal"/>
      <w:suff w:val="nothing"/>
      <w:lvlText w:val="%1、"/>
      <w:lvlJc w:val="left"/>
    </w:lvl>
  </w:abstractNum>
  <w:abstractNum w:abstractNumId="3">
    <w:nsid w:val="C98688E0"/>
    <w:multiLevelType w:val="singleLevel"/>
    <w:tmpl w:val="C98688E0"/>
    <w:lvl w:ilvl="0" w:tentative="0">
      <w:start w:val="1"/>
      <w:numFmt w:val="decimal"/>
      <w:suff w:val="nothing"/>
      <w:lvlText w:val="%1、"/>
      <w:lvlJc w:val="left"/>
    </w:lvl>
  </w:abstractNum>
  <w:abstractNum w:abstractNumId="4">
    <w:nsid w:val="D60E80E4"/>
    <w:multiLevelType w:val="singleLevel"/>
    <w:tmpl w:val="D60E80E4"/>
    <w:lvl w:ilvl="0" w:tentative="0">
      <w:start w:val="2"/>
      <w:numFmt w:val="decimal"/>
      <w:suff w:val="nothing"/>
      <w:lvlText w:val="%1、"/>
      <w:lvlJc w:val="left"/>
    </w:lvl>
  </w:abstractNum>
  <w:abstractNum w:abstractNumId="5">
    <w:nsid w:val="DF895AAF"/>
    <w:multiLevelType w:val="singleLevel"/>
    <w:tmpl w:val="DF895AAF"/>
    <w:lvl w:ilvl="0" w:tentative="0">
      <w:start w:val="1"/>
      <w:numFmt w:val="decimal"/>
      <w:suff w:val="nothing"/>
      <w:lvlText w:val="（%1）"/>
      <w:lvlJc w:val="left"/>
    </w:lvl>
  </w:abstractNum>
  <w:abstractNum w:abstractNumId="6">
    <w:nsid w:val="F76802D5"/>
    <w:multiLevelType w:val="singleLevel"/>
    <w:tmpl w:val="F76802D5"/>
    <w:lvl w:ilvl="0" w:tentative="0">
      <w:start w:val="1"/>
      <w:numFmt w:val="decimal"/>
      <w:suff w:val="nothing"/>
      <w:lvlText w:val="%1、"/>
      <w:lvlJc w:val="left"/>
    </w:lvl>
  </w:abstractNum>
  <w:abstractNum w:abstractNumId="7">
    <w:nsid w:val="F8029CE6"/>
    <w:multiLevelType w:val="singleLevel"/>
    <w:tmpl w:val="F8029CE6"/>
    <w:lvl w:ilvl="0" w:tentative="0">
      <w:start w:val="1"/>
      <w:numFmt w:val="decimal"/>
      <w:suff w:val="nothing"/>
      <w:lvlText w:val="%1、"/>
      <w:lvlJc w:val="left"/>
    </w:lvl>
  </w:abstractNum>
  <w:abstractNum w:abstractNumId="8">
    <w:nsid w:val="00000006"/>
    <w:multiLevelType w:val="multilevel"/>
    <w:tmpl w:val="00000006"/>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5"/>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9"/>
      <w:lvlText w:val="           "/>
      <w:lvlJc w:val="left"/>
      <w:pPr>
        <w:tabs>
          <w:tab w:val="left" w:pos="1440"/>
        </w:tabs>
        <w:ind w:left="1152" w:hanging="1152"/>
      </w:pPr>
      <w:rPr>
        <w:rFonts w:hint="eastAsia"/>
      </w:rPr>
    </w:lvl>
    <w:lvl w:ilvl="6" w:tentative="0">
      <w:start w:val="1"/>
      <w:numFmt w:val="decimal"/>
      <w:pStyle w:val="10"/>
      <w:lvlText w:val="%1.%2.%3.%4.%5.%6.%7"/>
      <w:lvlJc w:val="left"/>
      <w:pPr>
        <w:tabs>
          <w:tab w:val="left" w:pos="2520"/>
        </w:tabs>
        <w:ind w:left="1296" w:hanging="1296"/>
      </w:pPr>
      <w:rPr>
        <w:rFonts w:hint="eastAsia"/>
      </w:rPr>
    </w:lvl>
    <w:lvl w:ilvl="7" w:tentative="0">
      <w:start w:val="1"/>
      <w:numFmt w:val="decimal"/>
      <w:pStyle w:val="11"/>
      <w:lvlText w:val="%1.%2.%3.%4.%5.%6.%7.%8"/>
      <w:lvlJc w:val="left"/>
      <w:pPr>
        <w:tabs>
          <w:tab w:val="left" w:pos="1440"/>
        </w:tabs>
        <w:ind w:left="1440" w:hanging="1440"/>
      </w:pPr>
      <w:rPr>
        <w:rFonts w:hint="eastAsia"/>
      </w:rPr>
    </w:lvl>
    <w:lvl w:ilvl="8" w:tentative="0">
      <w:start w:val="1"/>
      <w:numFmt w:val="decimal"/>
      <w:pStyle w:val="12"/>
      <w:lvlText w:val="%1.%2.%3.%4.%5.%6.%7.%8.%9"/>
      <w:lvlJc w:val="left"/>
      <w:pPr>
        <w:tabs>
          <w:tab w:val="left" w:pos="1584"/>
        </w:tabs>
        <w:ind w:left="1584" w:hanging="1584"/>
      </w:pPr>
      <w:rPr>
        <w:rFonts w:hint="eastAsia"/>
      </w:rPr>
    </w:lvl>
  </w:abstractNum>
  <w:abstractNum w:abstractNumId="9">
    <w:nsid w:val="009C0639"/>
    <w:multiLevelType w:val="multilevel"/>
    <w:tmpl w:val="009C0639"/>
    <w:lvl w:ilvl="0" w:tentative="0">
      <w:start w:val="1"/>
      <w:numFmt w:val="decimalEnclosedParen"/>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5B41DD1"/>
    <w:multiLevelType w:val="singleLevel"/>
    <w:tmpl w:val="05B41DD1"/>
    <w:lvl w:ilvl="0" w:tentative="0">
      <w:start w:val="1"/>
      <w:numFmt w:val="decimal"/>
      <w:suff w:val="nothing"/>
      <w:lvlText w:val="（%1）"/>
      <w:lvlJc w:val="left"/>
    </w:lvl>
  </w:abstractNum>
  <w:abstractNum w:abstractNumId="11">
    <w:nsid w:val="0935783D"/>
    <w:multiLevelType w:val="multilevel"/>
    <w:tmpl w:val="0935783D"/>
    <w:lvl w:ilvl="0" w:tentative="0">
      <w:start w:val="1"/>
      <w:numFmt w:val="decimalEnclosedParen"/>
      <w:lvlText w:val="%1"/>
      <w:lvlJc w:val="left"/>
      <w:pPr>
        <w:ind w:left="360" w:hanging="360"/>
      </w:pPr>
      <w:rPr>
        <w:rFonts w:hint="default" w:ascii="宋体" w:hAnsi="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3776883"/>
    <w:multiLevelType w:val="multilevel"/>
    <w:tmpl w:val="13776883"/>
    <w:lvl w:ilvl="0" w:tentative="0">
      <w:start w:val="1"/>
      <w:numFmt w:val="decimalEnclosedParen"/>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7872B38"/>
    <w:multiLevelType w:val="multilevel"/>
    <w:tmpl w:val="27872B38"/>
    <w:lvl w:ilvl="0" w:tentative="0">
      <w:start w:val="1"/>
      <w:numFmt w:val="decimalEnclosedParen"/>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C921818"/>
    <w:multiLevelType w:val="multilevel"/>
    <w:tmpl w:val="2C921818"/>
    <w:lvl w:ilvl="0" w:tentative="0">
      <w:start w:val="1"/>
      <w:numFmt w:val="decimalEnclosedParen"/>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4F78E1B"/>
    <w:multiLevelType w:val="singleLevel"/>
    <w:tmpl w:val="34F78E1B"/>
    <w:lvl w:ilvl="0" w:tentative="0">
      <w:start w:val="1"/>
      <w:numFmt w:val="chineseCounting"/>
      <w:suff w:val="nothing"/>
      <w:lvlText w:val="（%1）"/>
      <w:lvlJc w:val="left"/>
      <w:pPr>
        <w:ind w:left="2380" w:firstLine="0"/>
      </w:pPr>
      <w:rPr>
        <w:rFonts w:hint="eastAsia"/>
      </w:rPr>
    </w:lvl>
  </w:abstractNum>
  <w:abstractNum w:abstractNumId="16">
    <w:nsid w:val="37726199"/>
    <w:multiLevelType w:val="multilevel"/>
    <w:tmpl w:val="37726199"/>
    <w:lvl w:ilvl="0" w:tentative="0">
      <w:start w:val="1"/>
      <w:numFmt w:val="decimalEnclosedParen"/>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7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8">
    <w:nsid w:val="481D6E5A"/>
    <w:multiLevelType w:val="singleLevel"/>
    <w:tmpl w:val="481D6E5A"/>
    <w:lvl w:ilvl="0" w:tentative="0">
      <w:start w:val="1"/>
      <w:numFmt w:val="decimal"/>
      <w:suff w:val="nothing"/>
      <w:lvlText w:val="（%1）"/>
      <w:lvlJc w:val="left"/>
    </w:lvl>
  </w:abstractNum>
  <w:abstractNum w:abstractNumId="19">
    <w:nsid w:val="51894081"/>
    <w:multiLevelType w:val="multilevel"/>
    <w:tmpl w:val="51894081"/>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578C7A1E"/>
    <w:multiLevelType w:val="singleLevel"/>
    <w:tmpl w:val="578C7A1E"/>
    <w:lvl w:ilvl="0" w:tentative="0">
      <w:start w:val="1"/>
      <w:numFmt w:val="decimal"/>
      <w:suff w:val="nothing"/>
      <w:lvlText w:val="%1、"/>
      <w:lvlJc w:val="left"/>
    </w:lvl>
  </w:abstractNum>
  <w:abstractNum w:abstractNumId="21">
    <w:nsid w:val="610B27CE"/>
    <w:multiLevelType w:val="multilevel"/>
    <w:tmpl w:val="610B27CE"/>
    <w:lvl w:ilvl="0" w:tentative="0">
      <w:start w:val="1"/>
      <w:numFmt w:val="decimalEnclosedParen"/>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CE932C1"/>
    <w:multiLevelType w:val="singleLevel"/>
    <w:tmpl w:val="6CE932C1"/>
    <w:lvl w:ilvl="0" w:tentative="0">
      <w:start w:val="4"/>
      <w:numFmt w:val="decimal"/>
      <w:lvlText w:val="%1."/>
      <w:lvlJc w:val="left"/>
      <w:pPr>
        <w:tabs>
          <w:tab w:val="left" w:pos="312"/>
        </w:tabs>
      </w:pPr>
    </w:lvl>
  </w:abstractNum>
  <w:num w:numId="1">
    <w:abstractNumId w:val="8"/>
  </w:num>
  <w:num w:numId="2">
    <w:abstractNumId w:val="17"/>
  </w:num>
  <w:num w:numId="3">
    <w:abstractNumId w:val="22"/>
  </w:num>
  <w:num w:numId="4">
    <w:abstractNumId w:val="3"/>
  </w:num>
  <w:num w:numId="5">
    <w:abstractNumId w:val="20"/>
  </w:num>
  <w:num w:numId="6">
    <w:abstractNumId w:val="4"/>
  </w:num>
  <w:num w:numId="7">
    <w:abstractNumId w:val="18"/>
  </w:num>
  <w:num w:numId="8">
    <w:abstractNumId w:val="6"/>
  </w:num>
  <w:num w:numId="9">
    <w:abstractNumId w:val="0"/>
  </w:num>
  <w:num w:numId="10">
    <w:abstractNumId w:val="5"/>
  </w:num>
  <w:num w:numId="11">
    <w:abstractNumId w:val="10"/>
  </w:num>
  <w:num w:numId="12">
    <w:abstractNumId w:val="2"/>
  </w:num>
  <w:num w:numId="13">
    <w:abstractNumId w:val="7"/>
  </w:num>
  <w:num w:numId="14">
    <w:abstractNumId w:val="1"/>
  </w:num>
  <w:num w:numId="15">
    <w:abstractNumId w:val="14"/>
  </w:num>
  <w:num w:numId="16">
    <w:abstractNumId w:val="13"/>
  </w:num>
  <w:num w:numId="17">
    <w:abstractNumId w:val="11"/>
  </w:num>
  <w:num w:numId="18">
    <w:abstractNumId w:val="12"/>
  </w:num>
  <w:num w:numId="19">
    <w:abstractNumId w:val="9"/>
  </w:num>
  <w:num w:numId="20">
    <w:abstractNumId w:val="21"/>
  </w:num>
  <w:num w:numId="21">
    <w:abstractNumId w:val="16"/>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mM2RlNWM5OTU3MDA5OTllZDhkYzM4YjM3ODJjMGQifQ=="/>
  </w:docVars>
  <w:rsids>
    <w:rsidRoot w:val="00172A27"/>
    <w:rsid w:val="00000657"/>
    <w:rsid w:val="0000123A"/>
    <w:rsid w:val="000013D6"/>
    <w:rsid w:val="00001E77"/>
    <w:rsid w:val="0000212C"/>
    <w:rsid w:val="00003BB9"/>
    <w:rsid w:val="00005C5F"/>
    <w:rsid w:val="0000649E"/>
    <w:rsid w:val="0000706A"/>
    <w:rsid w:val="00007A3F"/>
    <w:rsid w:val="000105E9"/>
    <w:rsid w:val="0001249E"/>
    <w:rsid w:val="00014200"/>
    <w:rsid w:val="0001475D"/>
    <w:rsid w:val="000161F6"/>
    <w:rsid w:val="00017136"/>
    <w:rsid w:val="00017EE4"/>
    <w:rsid w:val="00020FB2"/>
    <w:rsid w:val="00021C03"/>
    <w:rsid w:val="0002238F"/>
    <w:rsid w:val="00024239"/>
    <w:rsid w:val="000244A9"/>
    <w:rsid w:val="00024A98"/>
    <w:rsid w:val="00025FE6"/>
    <w:rsid w:val="00026236"/>
    <w:rsid w:val="000266CA"/>
    <w:rsid w:val="00032630"/>
    <w:rsid w:val="0003284B"/>
    <w:rsid w:val="00032E9A"/>
    <w:rsid w:val="0003355D"/>
    <w:rsid w:val="00033E21"/>
    <w:rsid w:val="00034234"/>
    <w:rsid w:val="0003423E"/>
    <w:rsid w:val="000346C5"/>
    <w:rsid w:val="00036868"/>
    <w:rsid w:val="00036E03"/>
    <w:rsid w:val="0003738F"/>
    <w:rsid w:val="00037B0A"/>
    <w:rsid w:val="000405E1"/>
    <w:rsid w:val="00043B13"/>
    <w:rsid w:val="00045A87"/>
    <w:rsid w:val="000477E2"/>
    <w:rsid w:val="00047C2A"/>
    <w:rsid w:val="00050296"/>
    <w:rsid w:val="00051366"/>
    <w:rsid w:val="000529B5"/>
    <w:rsid w:val="00052CD6"/>
    <w:rsid w:val="0005386B"/>
    <w:rsid w:val="00054651"/>
    <w:rsid w:val="000570D1"/>
    <w:rsid w:val="00057222"/>
    <w:rsid w:val="0005780C"/>
    <w:rsid w:val="000610F4"/>
    <w:rsid w:val="000626D0"/>
    <w:rsid w:val="00062E50"/>
    <w:rsid w:val="00063772"/>
    <w:rsid w:val="0006443C"/>
    <w:rsid w:val="00064C1E"/>
    <w:rsid w:val="000664B0"/>
    <w:rsid w:val="00066875"/>
    <w:rsid w:val="0006689E"/>
    <w:rsid w:val="00066C8E"/>
    <w:rsid w:val="000670F8"/>
    <w:rsid w:val="00067A66"/>
    <w:rsid w:val="000706F6"/>
    <w:rsid w:val="00071C62"/>
    <w:rsid w:val="00071C73"/>
    <w:rsid w:val="00073A06"/>
    <w:rsid w:val="00075843"/>
    <w:rsid w:val="00075AE8"/>
    <w:rsid w:val="00076E5F"/>
    <w:rsid w:val="00077B67"/>
    <w:rsid w:val="000806C2"/>
    <w:rsid w:val="000811B8"/>
    <w:rsid w:val="000814AB"/>
    <w:rsid w:val="0008246D"/>
    <w:rsid w:val="00083485"/>
    <w:rsid w:val="00083CE4"/>
    <w:rsid w:val="00083E6F"/>
    <w:rsid w:val="00084C34"/>
    <w:rsid w:val="00084D1D"/>
    <w:rsid w:val="00084EF5"/>
    <w:rsid w:val="000869B1"/>
    <w:rsid w:val="00086DE2"/>
    <w:rsid w:val="000876E6"/>
    <w:rsid w:val="00087E18"/>
    <w:rsid w:val="00090039"/>
    <w:rsid w:val="0009066E"/>
    <w:rsid w:val="000906C1"/>
    <w:rsid w:val="00092CDE"/>
    <w:rsid w:val="00094986"/>
    <w:rsid w:val="00096F28"/>
    <w:rsid w:val="000A005B"/>
    <w:rsid w:val="000A2F18"/>
    <w:rsid w:val="000A36E9"/>
    <w:rsid w:val="000A3EA7"/>
    <w:rsid w:val="000A4BB3"/>
    <w:rsid w:val="000A4F02"/>
    <w:rsid w:val="000A58BB"/>
    <w:rsid w:val="000A5CC2"/>
    <w:rsid w:val="000A5FBF"/>
    <w:rsid w:val="000A63D7"/>
    <w:rsid w:val="000B0702"/>
    <w:rsid w:val="000B103A"/>
    <w:rsid w:val="000B3A24"/>
    <w:rsid w:val="000B439E"/>
    <w:rsid w:val="000B4D51"/>
    <w:rsid w:val="000B4DAA"/>
    <w:rsid w:val="000B52D8"/>
    <w:rsid w:val="000B5A03"/>
    <w:rsid w:val="000B73FB"/>
    <w:rsid w:val="000C0191"/>
    <w:rsid w:val="000C1D65"/>
    <w:rsid w:val="000C29EE"/>
    <w:rsid w:val="000C2DEA"/>
    <w:rsid w:val="000C495A"/>
    <w:rsid w:val="000C4BFC"/>
    <w:rsid w:val="000C5619"/>
    <w:rsid w:val="000C78A1"/>
    <w:rsid w:val="000D04B1"/>
    <w:rsid w:val="000D1051"/>
    <w:rsid w:val="000D3BFD"/>
    <w:rsid w:val="000D45F3"/>
    <w:rsid w:val="000D5BF7"/>
    <w:rsid w:val="000D6027"/>
    <w:rsid w:val="000D6778"/>
    <w:rsid w:val="000E0103"/>
    <w:rsid w:val="000E030B"/>
    <w:rsid w:val="000E18F4"/>
    <w:rsid w:val="000E3033"/>
    <w:rsid w:val="000E6952"/>
    <w:rsid w:val="000E69AC"/>
    <w:rsid w:val="000E7DE9"/>
    <w:rsid w:val="000E7F4D"/>
    <w:rsid w:val="000E7FF5"/>
    <w:rsid w:val="000F0D34"/>
    <w:rsid w:val="000F1091"/>
    <w:rsid w:val="000F323C"/>
    <w:rsid w:val="000F33C0"/>
    <w:rsid w:val="000F374A"/>
    <w:rsid w:val="000F5B6B"/>
    <w:rsid w:val="000F6CCF"/>
    <w:rsid w:val="000F741E"/>
    <w:rsid w:val="000F7B87"/>
    <w:rsid w:val="00100802"/>
    <w:rsid w:val="001016A6"/>
    <w:rsid w:val="00101A82"/>
    <w:rsid w:val="001027CB"/>
    <w:rsid w:val="0010412A"/>
    <w:rsid w:val="00104367"/>
    <w:rsid w:val="00105EED"/>
    <w:rsid w:val="00106238"/>
    <w:rsid w:val="0011081C"/>
    <w:rsid w:val="001110A6"/>
    <w:rsid w:val="00111F27"/>
    <w:rsid w:val="00114C87"/>
    <w:rsid w:val="001164EF"/>
    <w:rsid w:val="00117BEF"/>
    <w:rsid w:val="0012027B"/>
    <w:rsid w:val="00120E9B"/>
    <w:rsid w:val="00120FEE"/>
    <w:rsid w:val="00122312"/>
    <w:rsid w:val="0012273D"/>
    <w:rsid w:val="00126582"/>
    <w:rsid w:val="00126CB4"/>
    <w:rsid w:val="00127AB7"/>
    <w:rsid w:val="001306C3"/>
    <w:rsid w:val="0013196E"/>
    <w:rsid w:val="00133FCB"/>
    <w:rsid w:val="00134057"/>
    <w:rsid w:val="00135417"/>
    <w:rsid w:val="001354C3"/>
    <w:rsid w:val="00137C23"/>
    <w:rsid w:val="00137D9F"/>
    <w:rsid w:val="00140CE9"/>
    <w:rsid w:val="00140E17"/>
    <w:rsid w:val="0014476D"/>
    <w:rsid w:val="001447A5"/>
    <w:rsid w:val="00144D1E"/>
    <w:rsid w:val="00144DA7"/>
    <w:rsid w:val="00144F4E"/>
    <w:rsid w:val="00151CDE"/>
    <w:rsid w:val="001521EB"/>
    <w:rsid w:val="00152C0C"/>
    <w:rsid w:val="00153464"/>
    <w:rsid w:val="00153A55"/>
    <w:rsid w:val="0015591A"/>
    <w:rsid w:val="00155B50"/>
    <w:rsid w:val="00155CE8"/>
    <w:rsid w:val="00156B32"/>
    <w:rsid w:val="00160069"/>
    <w:rsid w:val="0016011B"/>
    <w:rsid w:val="0016017C"/>
    <w:rsid w:val="00160686"/>
    <w:rsid w:val="00160730"/>
    <w:rsid w:val="00160B0F"/>
    <w:rsid w:val="00163DC2"/>
    <w:rsid w:val="00164819"/>
    <w:rsid w:val="00164E49"/>
    <w:rsid w:val="001668A0"/>
    <w:rsid w:val="001669D6"/>
    <w:rsid w:val="00170778"/>
    <w:rsid w:val="0017154E"/>
    <w:rsid w:val="001743F7"/>
    <w:rsid w:val="00176C90"/>
    <w:rsid w:val="00176E62"/>
    <w:rsid w:val="0017737F"/>
    <w:rsid w:val="00177B28"/>
    <w:rsid w:val="00184B61"/>
    <w:rsid w:val="00184D76"/>
    <w:rsid w:val="001857B9"/>
    <w:rsid w:val="00186501"/>
    <w:rsid w:val="00187629"/>
    <w:rsid w:val="00193255"/>
    <w:rsid w:val="00193B28"/>
    <w:rsid w:val="00195F7A"/>
    <w:rsid w:val="00197AB6"/>
    <w:rsid w:val="001A09EF"/>
    <w:rsid w:val="001A1369"/>
    <w:rsid w:val="001A13BA"/>
    <w:rsid w:val="001A1DDC"/>
    <w:rsid w:val="001A259E"/>
    <w:rsid w:val="001A2BF3"/>
    <w:rsid w:val="001A2F46"/>
    <w:rsid w:val="001A342A"/>
    <w:rsid w:val="001A3F63"/>
    <w:rsid w:val="001A5865"/>
    <w:rsid w:val="001A68AB"/>
    <w:rsid w:val="001A6AA2"/>
    <w:rsid w:val="001A7642"/>
    <w:rsid w:val="001B4541"/>
    <w:rsid w:val="001B47DE"/>
    <w:rsid w:val="001B489D"/>
    <w:rsid w:val="001B5197"/>
    <w:rsid w:val="001B558D"/>
    <w:rsid w:val="001B6604"/>
    <w:rsid w:val="001B739F"/>
    <w:rsid w:val="001C0430"/>
    <w:rsid w:val="001C20BD"/>
    <w:rsid w:val="001C27DB"/>
    <w:rsid w:val="001C3C8E"/>
    <w:rsid w:val="001C45F7"/>
    <w:rsid w:val="001C5084"/>
    <w:rsid w:val="001C554C"/>
    <w:rsid w:val="001C5852"/>
    <w:rsid w:val="001C78C4"/>
    <w:rsid w:val="001D062E"/>
    <w:rsid w:val="001D1104"/>
    <w:rsid w:val="001D2087"/>
    <w:rsid w:val="001D2D22"/>
    <w:rsid w:val="001D2E0F"/>
    <w:rsid w:val="001D3786"/>
    <w:rsid w:val="001D48EF"/>
    <w:rsid w:val="001D5798"/>
    <w:rsid w:val="001D6AB1"/>
    <w:rsid w:val="001D7414"/>
    <w:rsid w:val="001E106F"/>
    <w:rsid w:val="001E1DEE"/>
    <w:rsid w:val="001E2EFE"/>
    <w:rsid w:val="001E327D"/>
    <w:rsid w:val="001E43CC"/>
    <w:rsid w:val="001E5B90"/>
    <w:rsid w:val="001E5BB4"/>
    <w:rsid w:val="001E679C"/>
    <w:rsid w:val="001F0C6F"/>
    <w:rsid w:val="001F0E7E"/>
    <w:rsid w:val="001F4197"/>
    <w:rsid w:val="001F45CA"/>
    <w:rsid w:val="001F45DF"/>
    <w:rsid w:val="001F4EB0"/>
    <w:rsid w:val="001F5F65"/>
    <w:rsid w:val="001F6275"/>
    <w:rsid w:val="001F6D93"/>
    <w:rsid w:val="001F71A7"/>
    <w:rsid w:val="00200110"/>
    <w:rsid w:val="00201F6D"/>
    <w:rsid w:val="002034D8"/>
    <w:rsid w:val="00204D51"/>
    <w:rsid w:val="0020577D"/>
    <w:rsid w:val="002058B5"/>
    <w:rsid w:val="00205BC9"/>
    <w:rsid w:val="00206E5E"/>
    <w:rsid w:val="00206F72"/>
    <w:rsid w:val="00207A8F"/>
    <w:rsid w:val="00207DE4"/>
    <w:rsid w:val="00210205"/>
    <w:rsid w:val="002107F9"/>
    <w:rsid w:val="00210AA3"/>
    <w:rsid w:val="00211D3A"/>
    <w:rsid w:val="0021227F"/>
    <w:rsid w:val="0021263B"/>
    <w:rsid w:val="00213D3C"/>
    <w:rsid w:val="0022018F"/>
    <w:rsid w:val="002207BC"/>
    <w:rsid w:val="00220D02"/>
    <w:rsid w:val="00221465"/>
    <w:rsid w:val="0022176E"/>
    <w:rsid w:val="002225B0"/>
    <w:rsid w:val="002246FA"/>
    <w:rsid w:val="00224E95"/>
    <w:rsid w:val="0022645F"/>
    <w:rsid w:val="002267D1"/>
    <w:rsid w:val="00227510"/>
    <w:rsid w:val="00227689"/>
    <w:rsid w:val="00230D2A"/>
    <w:rsid w:val="00231CB3"/>
    <w:rsid w:val="0023336B"/>
    <w:rsid w:val="002339CD"/>
    <w:rsid w:val="0023455C"/>
    <w:rsid w:val="00235D7A"/>
    <w:rsid w:val="0024010C"/>
    <w:rsid w:val="00243943"/>
    <w:rsid w:val="002440BC"/>
    <w:rsid w:val="0024426B"/>
    <w:rsid w:val="00247BF6"/>
    <w:rsid w:val="002507A2"/>
    <w:rsid w:val="00252109"/>
    <w:rsid w:val="002539B7"/>
    <w:rsid w:val="00262546"/>
    <w:rsid w:val="00262C92"/>
    <w:rsid w:val="00263167"/>
    <w:rsid w:val="002656CD"/>
    <w:rsid w:val="00271C67"/>
    <w:rsid w:val="0027230B"/>
    <w:rsid w:val="00273646"/>
    <w:rsid w:val="0027473E"/>
    <w:rsid w:val="0027536A"/>
    <w:rsid w:val="0027537A"/>
    <w:rsid w:val="00275BC5"/>
    <w:rsid w:val="0027613D"/>
    <w:rsid w:val="0028034F"/>
    <w:rsid w:val="00280A20"/>
    <w:rsid w:val="00281727"/>
    <w:rsid w:val="0028385A"/>
    <w:rsid w:val="002841D8"/>
    <w:rsid w:val="002847C4"/>
    <w:rsid w:val="00284E6D"/>
    <w:rsid w:val="002851B9"/>
    <w:rsid w:val="00285D1D"/>
    <w:rsid w:val="00286B9F"/>
    <w:rsid w:val="00290944"/>
    <w:rsid w:val="00290EBD"/>
    <w:rsid w:val="00291979"/>
    <w:rsid w:val="00291CD4"/>
    <w:rsid w:val="00292FFF"/>
    <w:rsid w:val="00293D24"/>
    <w:rsid w:val="00293E56"/>
    <w:rsid w:val="00294327"/>
    <w:rsid w:val="0029554B"/>
    <w:rsid w:val="002A0575"/>
    <w:rsid w:val="002A16D6"/>
    <w:rsid w:val="002A32B4"/>
    <w:rsid w:val="002A3CFE"/>
    <w:rsid w:val="002A6ADB"/>
    <w:rsid w:val="002A7A18"/>
    <w:rsid w:val="002B0223"/>
    <w:rsid w:val="002B2808"/>
    <w:rsid w:val="002B75EF"/>
    <w:rsid w:val="002B7C57"/>
    <w:rsid w:val="002C24B2"/>
    <w:rsid w:val="002C2C77"/>
    <w:rsid w:val="002C50D4"/>
    <w:rsid w:val="002C5E95"/>
    <w:rsid w:val="002C6FDB"/>
    <w:rsid w:val="002D0208"/>
    <w:rsid w:val="002D1944"/>
    <w:rsid w:val="002D1A62"/>
    <w:rsid w:val="002D3356"/>
    <w:rsid w:val="002D457E"/>
    <w:rsid w:val="002D5CBB"/>
    <w:rsid w:val="002E1985"/>
    <w:rsid w:val="002E562F"/>
    <w:rsid w:val="002E6290"/>
    <w:rsid w:val="002E6537"/>
    <w:rsid w:val="002E6C77"/>
    <w:rsid w:val="002E74A1"/>
    <w:rsid w:val="002E7A9A"/>
    <w:rsid w:val="002E7AE7"/>
    <w:rsid w:val="002F047F"/>
    <w:rsid w:val="002F11B8"/>
    <w:rsid w:val="002F1777"/>
    <w:rsid w:val="002F22DB"/>
    <w:rsid w:val="002F2D9A"/>
    <w:rsid w:val="002F308C"/>
    <w:rsid w:val="002F3722"/>
    <w:rsid w:val="002F3FE1"/>
    <w:rsid w:val="002F4C70"/>
    <w:rsid w:val="002F4D47"/>
    <w:rsid w:val="002F5027"/>
    <w:rsid w:val="002F5236"/>
    <w:rsid w:val="002F57CA"/>
    <w:rsid w:val="002F6304"/>
    <w:rsid w:val="002F6720"/>
    <w:rsid w:val="002F726A"/>
    <w:rsid w:val="003006E4"/>
    <w:rsid w:val="0030134A"/>
    <w:rsid w:val="00301608"/>
    <w:rsid w:val="003025B9"/>
    <w:rsid w:val="00303ED5"/>
    <w:rsid w:val="00307403"/>
    <w:rsid w:val="00307409"/>
    <w:rsid w:val="003076D0"/>
    <w:rsid w:val="0031099E"/>
    <w:rsid w:val="00313EEF"/>
    <w:rsid w:val="00314A93"/>
    <w:rsid w:val="0031531D"/>
    <w:rsid w:val="00315FC9"/>
    <w:rsid w:val="00316F5B"/>
    <w:rsid w:val="003179CA"/>
    <w:rsid w:val="00317A2E"/>
    <w:rsid w:val="0032005D"/>
    <w:rsid w:val="003212C1"/>
    <w:rsid w:val="00321AA5"/>
    <w:rsid w:val="00321F47"/>
    <w:rsid w:val="003254C0"/>
    <w:rsid w:val="0032570D"/>
    <w:rsid w:val="003267C1"/>
    <w:rsid w:val="003302A1"/>
    <w:rsid w:val="0033045C"/>
    <w:rsid w:val="00330F46"/>
    <w:rsid w:val="00331E1B"/>
    <w:rsid w:val="0033203D"/>
    <w:rsid w:val="00332331"/>
    <w:rsid w:val="003323DC"/>
    <w:rsid w:val="00332B8D"/>
    <w:rsid w:val="00333DD8"/>
    <w:rsid w:val="00334189"/>
    <w:rsid w:val="003368AF"/>
    <w:rsid w:val="00340C24"/>
    <w:rsid w:val="00340C51"/>
    <w:rsid w:val="0034289D"/>
    <w:rsid w:val="0034332C"/>
    <w:rsid w:val="00343C34"/>
    <w:rsid w:val="00346813"/>
    <w:rsid w:val="00351D36"/>
    <w:rsid w:val="00352E51"/>
    <w:rsid w:val="00354CFA"/>
    <w:rsid w:val="00355230"/>
    <w:rsid w:val="0035596E"/>
    <w:rsid w:val="00355FE8"/>
    <w:rsid w:val="003605C0"/>
    <w:rsid w:val="00360E6E"/>
    <w:rsid w:val="0036133B"/>
    <w:rsid w:val="00361A6E"/>
    <w:rsid w:val="003628DB"/>
    <w:rsid w:val="003629FF"/>
    <w:rsid w:val="00363004"/>
    <w:rsid w:val="00363A4C"/>
    <w:rsid w:val="00363AAD"/>
    <w:rsid w:val="0036539C"/>
    <w:rsid w:val="00365AF4"/>
    <w:rsid w:val="00367D0C"/>
    <w:rsid w:val="00372330"/>
    <w:rsid w:val="00377101"/>
    <w:rsid w:val="00380287"/>
    <w:rsid w:val="00380ABA"/>
    <w:rsid w:val="00381CCC"/>
    <w:rsid w:val="00382140"/>
    <w:rsid w:val="00383133"/>
    <w:rsid w:val="00385E12"/>
    <w:rsid w:val="00386663"/>
    <w:rsid w:val="00387946"/>
    <w:rsid w:val="00387BAC"/>
    <w:rsid w:val="003934C0"/>
    <w:rsid w:val="003937C1"/>
    <w:rsid w:val="00394BA3"/>
    <w:rsid w:val="0039636D"/>
    <w:rsid w:val="003A0307"/>
    <w:rsid w:val="003A2E27"/>
    <w:rsid w:val="003A56E8"/>
    <w:rsid w:val="003A5A38"/>
    <w:rsid w:val="003A5DBF"/>
    <w:rsid w:val="003A733A"/>
    <w:rsid w:val="003A7DC7"/>
    <w:rsid w:val="003B0D91"/>
    <w:rsid w:val="003B3997"/>
    <w:rsid w:val="003B4619"/>
    <w:rsid w:val="003B4E0F"/>
    <w:rsid w:val="003B5C08"/>
    <w:rsid w:val="003B6D80"/>
    <w:rsid w:val="003C139B"/>
    <w:rsid w:val="003C1810"/>
    <w:rsid w:val="003C341D"/>
    <w:rsid w:val="003C4733"/>
    <w:rsid w:val="003C4A1A"/>
    <w:rsid w:val="003C69C2"/>
    <w:rsid w:val="003C6FCE"/>
    <w:rsid w:val="003C784F"/>
    <w:rsid w:val="003D14CF"/>
    <w:rsid w:val="003D739D"/>
    <w:rsid w:val="003D7D39"/>
    <w:rsid w:val="003D7E89"/>
    <w:rsid w:val="003E046E"/>
    <w:rsid w:val="003E0F06"/>
    <w:rsid w:val="003E23F0"/>
    <w:rsid w:val="003E2F91"/>
    <w:rsid w:val="003E5F1A"/>
    <w:rsid w:val="003E5F37"/>
    <w:rsid w:val="003E6099"/>
    <w:rsid w:val="003E730D"/>
    <w:rsid w:val="003E747C"/>
    <w:rsid w:val="003F0843"/>
    <w:rsid w:val="003F0BAF"/>
    <w:rsid w:val="003F31F1"/>
    <w:rsid w:val="003F340B"/>
    <w:rsid w:val="003F3DF5"/>
    <w:rsid w:val="003F47FE"/>
    <w:rsid w:val="003F667B"/>
    <w:rsid w:val="003F6B85"/>
    <w:rsid w:val="003F7416"/>
    <w:rsid w:val="00400688"/>
    <w:rsid w:val="0040185F"/>
    <w:rsid w:val="00401B1A"/>
    <w:rsid w:val="00402775"/>
    <w:rsid w:val="00402832"/>
    <w:rsid w:val="00402985"/>
    <w:rsid w:val="00405090"/>
    <w:rsid w:val="00407407"/>
    <w:rsid w:val="00410EB1"/>
    <w:rsid w:val="00412650"/>
    <w:rsid w:val="004127A5"/>
    <w:rsid w:val="004131D0"/>
    <w:rsid w:val="004171FE"/>
    <w:rsid w:val="00417E44"/>
    <w:rsid w:val="00421D6E"/>
    <w:rsid w:val="0042289D"/>
    <w:rsid w:val="00426268"/>
    <w:rsid w:val="00426CD7"/>
    <w:rsid w:val="00427EB0"/>
    <w:rsid w:val="00433776"/>
    <w:rsid w:val="00433F02"/>
    <w:rsid w:val="00435F26"/>
    <w:rsid w:val="00440CA7"/>
    <w:rsid w:val="00440D09"/>
    <w:rsid w:val="00443AE5"/>
    <w:rsid w:val="004445B4"/>
    <w:rsid w:val="004448FE"/>
    <w:rsid w:val="00444F21"/>
    <w:rsid w:val="00445CB7"/>
    <w:rsid w:val="00446D8C"/>
    <w:rsid w:val="00446F5F"/>
    <w:rsid w:val="00447100"/>
    <w:rsid w:val="00450C03"/>
    <w:rsid w:val="00452272"/>
    <w:rsid w:val="004526D3"/>
    <w:rsid w:val="00452A2A"/>
    <w:rsid w:val="00454463"/>
    <w:rsid w:val="00456044"/>
    <w:rsid w:val="00457707"/>
    <w:rsid w:val="004603DA"/>
    <w:rsid w:val="004609F5"/>
    <w:rsid w:val="00460FF4"/>
    <w:rsid w:val="0046194B"/>
    <w:rsid w:val="00461C7A"/>
    <w:rsid w:val="0046210A"/>
    <w:rsid w:val="004629DD"/>
    <w:rsid w:val="00462CB5"/>
    <w:rsid w:val="004639D7"/>
    <w:rsid w:val="004640B1"/>
    <w:rsid w:val="0046484E"/>
    <w:rsid w:val="004649FE"/>
    <w:rsid w:val="00464F78"/>
    <w:rsid w:val="00466757"/>
    <w:rsid w:val="00467BC5"/>
    <w:rsid w:val="00470A53"/>
    <w:rsid w:val="004718DF"/>
    <w:rsid w:val="00472C72"/>
    <w:rsid w:val="00472F22"/>
    <w:rsid w:val="004739E3"/>
    <w:rsid w:val="00474F77"/>
    <w:rsid w:val="004771CF"/>
    <w:rsid w:val="00477585"/>
    <w:rsid w:val="0048443B"/>
    <w:rsid w:val="00484A83"/>
    <w:rsid w:val="00484CB2"/>
    <w:rsid w:val="0048665E"/>
    <w:rsid w:val="00487D31"/>
    <w:rsid w:val="0049048D"/>
    <w:rsid w:val="00491546"/>
    <w:rsid w:val="004918C5"/>
    <w:rsid w:val="004921B1"/>
    <w:rsid w:val="004921BB"/>
    <w:rsid w:val="004946BF"/>
    <w:rsid w:val="004946F6"/>
    <w:rsid w:val="004948C5"/>
    <w:rsid w:val="0049764A"/>
    <w:rsid w:val="004A0554"/>
    <w:rsid w:val="004A1193"/>
    <w:rsid w:val="004A2B25"/>
    <w:rsid w:val="004A3E0D"/>
    <w:rsid w:val="004A50A7"/>
    <w:rsid w:val="004A680D"/>
    <w:rsid w:val="004B0F97"/>
    <w:rsid w:val="004B3220"/>
    <w:rsid w:val="004B4D6B"/>
    <w:rsid w:val="004B513F"/>
    <w:rsid w:val="004B53E3"/>
    <w:rsid w:val="004B6A11"/>
    <w:rsid w:val="004B7194"/>
    <w:rsid w:val="004B74EF"/>
    <w:rsid w:val="004C18CD"/>
    <w:rsid w:val="004C1E62"/>
    <w:rsid w:val="004C2B28"/>
    <w:rsid w:val="004C4624"/>
    <w:rsid w:val="004C5012"/>
    <w:rsid w:val="004C53EC"/>
    <w:rsid w:val="004C691E"/>
    <w:rsid w:val="004D10DF"/>
    <w:rsid w:val="004D176A"/>
    <w:rsid w:val="004D1817"/>
    <w:rsid w:val="004D1992"/>
    <w:rsid w:val="004D4C14"/>
    <w:rsid w:val="004D57AB"/>
    <w:rsid w:val="004E04BB"/>
    <w:rsid w:val="004E0665"/>
    <w:rsid w:val="004E1F78"/>
    <w:rsid w:val="004E230C"/>
    <w:rsid w:val="004E4092"/>
    <w:rsid w:val="004E654C"/>
    <w:rsid w:val="004E77FD"/>
    <w:rsid w:val="004E79E4"/>
    <w:rsid w:val="004E7A7A"/>
    <w:rsid w:val="004E7D8F"/>
    <w:rsid w:val="004F2DAD"/>
    <w:rsid w:val="004F44C6"/>
    <w:rsid w:val="004F67B6"/>
    <w:rsid w:val="004F7F4C"/>
    <w:rsid w:val="005001D6"/>
    <w:rsid w:val="0050089B"/>
    <w:rsid w:val="0050131B"/>
    <w:rsid w:val="005024AE"/>
    <w:rsid w:val="005036CE"/>
    <w:rsid w:val="00503E94"/>
    <w:rsid w:val="00504E59"/>
    <w:rsid w:val="0050532D"/>
    <w:rsid w:val="0050564D"/>
    <w:rsid w:val="00505D8B"/>
    <w:rsid w:val="00507350"/>
    <w:rsid w:val="0050773D"/>
    <w:rsid w:val="005130B1"/>
    <w:rsid w:val="00513E94"/>
    <w:rsid w:val="00513FCD"/>
    <w:rsid w:val="005163EE"/>
    <w:rsid w:val="00520FBC"/>
    <w:rsid w:val="00521C0B"/>
    <w:rsid w:val="00522531"/>
    <w:rsid w:val="0052317C"/>
    <w:rsid w:val="005235E2"/>
    <w:rsid w:val="005249A3"/>
    <w:rsid w:val="005258CA"/>
    <w:rsid w:val="00526071"/>
    <w:rsid w:val="0052623F"/>
    <w:rsid w:val="005270EA"/>
    <w:rsid w:val="005274D6"/>
    <w:rsid w:val="00527EF0"/>
    <w:rsid w:val="005308DC"/>
    <w:rsid w:val="00531F30"/>
    <w:rsid w:val="00532F10"/>
    <w:rsid w:val="00535414"/>
    <w:rsid w:val="00536967"/>
    <w:rsid w:val="00537041"/>
    <w:rsid w:val="00544F70"/>
    <w:rsid w:val="00546D28"/>
    <w:rsid w:val="0054752F"/>
    <w:rsid w:val="00547F1A"/>
    <w:rsid w:val="00552286"/>
    <w:rsid w:val="00554119"/>
    <w:rsid w:val="0055411B"/>
    <w:rsid w:val="005564E1"/>
    <w:rsid w:val="00557AC4"/>
    <w:rsid w:val="00557DF3"/>
    <w:rsid w:val="00561E6B"/>
    <w:rsid w:val="005622EC"/>
    <w:rsid w:val="00562669"/>
    <w:rsid w:val="0056589E"/>
    <w:rsid w:val="00566E48"/>
    <w:rsid w:val="00567BE2"/>
    <w:rsid w:val="00570027"/>
    <w:rsid w:val="00570837"/>
    <w:rsid w:val="00570A2A"/>
    <w:rsid w:val="005724BB"/>
    <w:rsid w:val="0057591C"/>
    <w:rsid w:val="005800AA"/>
    <w:rsid w:val="005815C3"/>
    <w:rsid w:val="005825DA"/>
    <w:rsid w:val="005829E5"/>
    <w:rsid w:val="00583AE5"/>
    <w:rsid w:val="00584415"/>
    <w:rsid w:val="0058507C"/>
    <w:rsid w:val="0058565F"/>
    <w:rsid w:val="00586168"/>
    <w:rsid w:val="00587AEA"/>
    <w:rsid w:val="00587CDC"/>
    <w:rsid w:val="0059272E"/>
    <w:rsid w:val="00593CC0"/>
    <w:rsid w:val="00596390"/>
    <w:rsid w:val="00596506"/>
    <w:rsid w:val="005A0F75"/>
    <w:rsid w:val="005A14F1"/>
    <w:rsid w:val="005A1A30"/>
    <w:rsid w:val="005A2EBC"/>
    <w:rsid w:val="005A2F90"/>
    <w:rsid w:val="005A3BDA"/>
    <w:rsid w:val="005A403A"/>
    <w:rsid w:val="005A4113"/>
    <w:rsid w:val="005A4FEE"/>
    <w:rsid w:val="005A56BD"/>
    <w:rsid w:val="005B77A2"/>
    <w:rsid w:val="005C0BD3"/>
    <w:rsid w:val="005C0D00"/>
    <w:rsid w:val="005C2ECD"/>
    <w:rsid w:val="005C4C90"/>
    <w:rsid w:val="005C5018"/>
    <w:rsid w:val="005C536D"/>
    <w:rsid w:val="005C5A4A"/>
    <w:rsid w:val="005C768A"/>
    <w:rsid w:val="005D0686"/>
    <w:rsid w:val="005D0F81"/>
    <w:rsid w:val="005D1BC6"/>
    <w:rsid w:val="005D1D67"/>
    <w:rsid w:val="005D1DB7"/>
    <w:rsid w:val="005D2E33"/>
    <w:rsid w:val="005D4ABD"/>
    <w:rsid w:val="005D6B0D"/>
    <w:rsid w:val="005E0DFC"/>
    <w:rsid w:val="005E112E"/>
    <w:rsid w:val="005E1BB8"/>
    <w:rsid w:val="005E3B14"/>
    <w:rsid w:val="005E4723"/>
    <w:rsid w:val="005E4DA9"/>
    <w:rsid w:val="005E4E8D"/>
    <w:rsid w:val="005F0812"/>
    <w:rsid w:val="005F59AC"/>
    <w:rsid w:val="00600784"/>
    <w:rsid w:val="006022A6"/>
    <w:rsid w:val="00606EE8"/>
    <w:rsid w:val="006073CB"/>
    <w:rsid w:val="006113F3"/>
    <w:rsid w:val="0061402E"/>
    <w:rsid w:val="00614B73"/>
    <w:rsid w:val="006155A5"/>
    <w:rsid w:val="00616C17"/>
    <w:rsid w:val="00617EE9"/>
    <w:rsid w:val="0062118B"/>
    <w:rsid w:val="006217A6"/>
    <w:rsid w:val="006227C8"/>
    <w:rsid w:val="00622DF0"/>
    <w:rsid w:val="006237B9"/>
    <w:rsid w:val="00623D40"/>
    <w:rsid w:val="00625ADA"/>
    <w:rsid w:val="00627736"/>
    <w:rsid w:val="00630A8E"/>
    <w:rsid w:val="00632DEE"/>
    <w:rsid w:val="0063301A"/>
    <w:rsid w:val="006347F9"/>
    <w:rsid w:val="00634A41"/>
    <w:rsid w:val="006353CA"/>
    <w:rsid w:val="00636BEA"/>
    <w:rsid w:val="00644149"/>
    <w:rsid w:val="00644FAA"/>
    <w:rsid w:val="00645D4C"/>
    <w:rsid w:val="00645EAC"/>
    <w:rsid w:val="00646744"/>
    <w:rsid w:val="0064691D"/>
    <w:rsid w:val="00646D22"/>
    <w:rsid w:val="0064761C"/>
    <w:rsid w:val="00651995"/>
    <w:rsid w:val="00651B8C"/>
    <w:rsid w:val="0065246A"/>
    <w:rsid w:val="006527F7"/>
    <w:rsid w:val="0065594F"/>
    <w:rsid w:val="00656AC6"/>
    <w:rsid w:val="00657740"/>
    <w:rsid w:val="00657B50"/>
    <w:rsid w:val="00664C2C"/>
    <w:rsid w:val="0066637C"/>
    <w:rsid w:val="0066637E"/>
    <w:rsid w:val="006664C0"/>
    <w:rsid w:val="00667190"/>
    <w:rsid w:val="00667C10"/>
    <w:rsid w:val="006713C9"/>
    <w:rsid w:val="00671946"/>
    <w:rsid w:val="00672891"/>
    <w:rsid w:val="00673B92"/>
    <w:rsid w:val="00677601"/>
    <w:rsid w:val="006845AD"/>
    <w:rsid w:val="00684F0C"/>
    <w:rsid w:val="00685268"/>
    <w:rsid w:val="006853F3"/>
    <w:rsid w:val="00692D89"/>
    <w:rsid w:val="006930B5"/>
    <w:rsid w:val="0069344C"/>
    <w:rsid w:val="006A0232"/>
    <w:rsid w:val="006A0C95"/>
    <w:rsid w:val="006A21A7"/>
    <w:rsid w:val="006A3836"/>
    <w:rsid w:val="006A47BB"/>
    <w:rsid w:val="006A669A"/>
    <w:rsid w:val="006A6B0F"/>
    <w:rsid w:val="006A6FA6"/>
    <w:rsid w:val="006A7599"/>
    <w:rsid w:val="006A785F"/>
    <w:rsid w:val="006B10DB"/>
    <w:rsid w:val="006B36FE"/>
    <w:rsid w:val="006B4368"/>
    <w:rsid w:val="006B6DDA"/>
    <w:rsid w:val="006B79AB"/>
    <w:rsid w:val="006C0A56"/>
    <w:rsid w:val="006C120A"/>
    <w:rsid w:val="006C446C"/>
    <w:rsid w:val="006C4720"/>
    <w:rsid w:val="006C527A"/>
    <w:rsid w:val="006C6BAB"/>
    <w:rsid w:val="006C6CDF"/>
    <w:rsid w:val="006C7224"/>
    <w:rsid w:val="006C7B80"/>
    <w:rsid w:val="006D1AFE"/>
    <w:rsid w:val="006D1D34"/>
    <w:rsid w:val="006D2F1B"/>
    <w:rsid w:val="006D5B4E"/>
    <w:rsid w:val="006D6A64"/>
    <w:rsid w:val="006D6CB2"/>
    <w:rsid w:val="006E327D"/>
    <w:rsid w:val="006E3991"/>
    <w:rsid w:val="006E405F"/>
    <w:rsid w:val="006E579D"/>
    <w:rsid w:val="006E5F9B"/>
    <w:rsid w:val="006E67A2"/>
    <w:rsid w:val="006E70FF"/>
    <w:rsid w:val="006E7EB0"/>
    <w:rsid w:val="006F0980"/>
    <w:rsid w:val="006F19A6"/>
    <w:rsid w:val="006F202B"/>
    <w:rsid w:val="006F2509"/>
    <w:rsid w:val="006F2B07"/>
    <w:rsid w:val="006F41BB"/>
    <w:rsid w:val="006F627E"/>
    <w:rsid w:val="006F6936"/>
    <w:rsid w:val="006F74D9"/>
    <w:rsid w:val="006F75BE"/>
    <w:rsid w:val="006F77BB"/>
    <w:rsid w:val="00700511"/>
    <w:rsid w:val="00701736"/>
    <w:rsid w:val="007026B7"/>
    <w:rsid w:val="00707FCA"/>
    <w:rsid w:val="00710B65"/>
    <w:rsid w:val="00710E29"/>
    <w:rsid w:val="00711F49"/>
    <w:rsid w:val="007166BB"/>
    <w:rsid w:val="00720BFD"/>
    <w:rsid w:val="0072108D"/>
    <w:rsid w:val="00723235"/>
    <w:rsid w:val="007238C5"/>
    <w:rsid w:val="0072432D"/>
    <w:rsid w:val="007256E4"/>
    <w:rsid w:val="00726608"/>
    <w:rsid w:val="007315F5"/>
    <w:rsid w:val="007340D2"/>
    <w:rsid w:val="00734EC7"/>
    <w:rsid w:val="00735C9E"/>
    <w:rsid w:val="00735F44"/>
    <w:rsid w:val="00737BC5"/>
    <w:rsid w:val="00737F8B"/>
    <w:rsid w:val="00740B4B"/>
    <w:rsid w:val="00741F3A"/>
    <w:rsid w:val="00742775"/>
    <w:rsid w:val="00745DAC"/>
    <w:rsid w:val="007461DB"/>
    <w:rsid w:val="007473F5"/>
    <w:rsid w:val="00747945"/>
    <w:rsid w:val="00747A68"/>
    <w:rsid w:val="00751C44"/>
    <w:rsid w:val="00752BC6"/>
    <w:rsid w:val="00754B9A"/>
    <w:rsid w:val="00754EFD"/>
    <w:rsid w:val="00756A76"/>
    <w:rsid w:val="0075799E"/>
    <w:rsid w:val="00757CC8"/>
    <w:rsid w:val="00762174"/>
    <w:rsid w:val="00762980"/>
    <w:rsid w:val="00763207"/>
    <w:rsid w:val="00763F86"/>
    <w:rsid w:val="00766878"/>
    <w:rsid w:val="00766F73"/>
    <w:rsid w:val="007672E6"/>
    <w:rsid w:val="00767B1E"/>
    <w:rsid w:val="00770A6A"/>
    <w:rsid w:val="007745F0"/>
    <w:rsid w:val="007753A9"/>
    <w:rsid w:val="00776224"/>
    <w:rsid w:val="00776951"/>
    <w:rsid w:val="00776C56"/>
    <w:rsid w:val="007770EF"/>
    <w:rsid w:val="0077738E"/>
    <w:rsid w:val="0078396A"/>
    <w:rsid w:val="00783CFB"/>
    <w:rsid w:val="00784578"/>
    <w:rsid w:val="00785FDD"/>
    <w:rsid w:val="00786F99"/>
    <w:rsid w:val="00790652"/>
    <w:rsid w:val="00791DB9"/>
    <w:rsid w:val="00791E47"/>
    <w:rsid w:val="00791FF0"/>
    <w:rsid w:val="00792865"/>
    <w:rsid w:val="007929B0"/>
    <w:rsid w:val="0079433C"/>
    <w:rsid w:val="00794990"/>
    <w:rsid w:val="007952F2"/>
    <w:rsid w:val="00796C84"/>
    <w:rsid w:val="0079736B"/>
    <w:rsid w:val="007A0214"/>
    <w:rsid w:val="007A0625"/>
    <w:rsid w:val="007A1148"/>
    <w:rsid w:val="007A175D"/>
    <w:rsid w:val="007A2742"/>
    <w:rsid w:val="007A4DE7"/>
    <w:rsid w:val="007A612C"/>
    <w:rsid w:val="007A73FA"/>
    <w:rsid w:val="007B0963"/>
    <w:rsid w:val="007B159E"/>
    <w:rsid w:val="007B5422"/>
    <w:rsid w:val="007B6B07"/>
    <w:rsid w:val="007B72DC"/>
    <w:rsid w:val="007C079B"/>
    <w:rsid w:val="007C1056"/>
    <w:rsid w:val="007C2B9F"/>
    <w:rsid w:val="007C2F9B"/>
    <w:rsid w:val="007C3160"/>
    <w:rsid w:val="007C3C78"/>
    <w:rsid w:val="007C4490"/>
    <w:rsid w:val="007C5073"/>
    <w:rsid w:val="007C585A"/>
    <w:rsid w:val="007C686E"/>
    <w:rsid w:val="007C7D06"/>
    <w:rsid w:val="007D1524"/>
    <w:rsid w:val="007D1B27"/>
    <w:rsid w:val="007D4AE2"/>
    <w:rsid w:val="007D67D4"/>
    <w:rsid w:val="007E00BB"/>
    <w:rsid w:val="007E0143"/>
    <w:rsid w:val="007E0736"/>
    <w:rsid w:val="007E0A86"/>
    <w:rsid w:val="007E1850"/>
    <w:rsid w:val="007E1893"/>
    <w:rsid w:val="007E370B"/>
    <w:rsid w:val="007E3F92"/>
    <w:rsid w:val="007E4799"/>
    <w:rsid w:val="007E5DD3"/>
    <w:rsid w:val="007E65F0"/>
    <w:rsid w:val="007F028C"/>
    <w:rsid w:val="007F0D58"/>
    <w:rsid w:val="007F10F1"/>
    <w:rsid w:val="007F1F6E"/>
    <w:rsid w:val="007F214E"/>
    <w:rsid w:val="007F37BF"/>
    <w:rsid w:val="007F3FE8"/>
    <w:rsid w:val="007F4759"/>
    <w:rsid w:val="008003A9"/>
    <w:rsid w:val="0080068E"/>
    <w:rsid w:val="008010F3"/>
    <w:rsid w:val="008011B0"/>
    <w:rsid w:val="00801650"/>
    <w:rsid w:val="00802111"/>
    <w:rsid w:val="00803187"/>
    <w:rsid w:val="00806663"/>
    <w:rsid w:val="008100E3"/>
    <w:rsid w:val="00810315"/>
    <w:rsid w:val="00810C16"/>
    <w:rsid w:val="00813601"/>
    <w:rsid w:val="00816F1C"/>
    <w:rsid w:val="008174DF"/>
    <w:rsid w:val="00821012"/>
    <w:rsid w:val="00822B32"/>
    <w:rsid w:val="00823E8C"/>
    <w:rsid w:val="0082484F"/>
    <w:rsid w:val="008251FF"/>
    <w:rsid w:val="008254F7"/>
    <w:rsid w:val="008255C1"/>
    <w:rsid w:val="00825971"/>
    <w:rsid w:val="00826D75"/>
    <w:rsid w:val="00830F6E"/>
    <w:rsid w:val="00832634"/>
    <w:rsid w:val="00832DCC"/>
    <w:rsid w:val="00833E95"/>
    <w:rsid w:val="00836173"/>
    <w:rsid w:val="00836905"/>
    <w:rsid w:val="00840432"/>
    <w:rsid w:val="008404A5"/>
    <w:rsid w:val="00842057"/>
    <w:rsid w:val="00842C24"/>
    <w:rsid w:val="00843B01"/>
    <w:rsid w:val="00844098"/>
    <w:rsid w:val="00847139"/>
    <w:rsid w:val="0084774F"/>
    <w:rsid w:val="00847AA2"/>
    <w:rsid w:val="00847C0C"/>
    <w:rsid w:val="00847DE3"/>
    <w:rsid w:val="008510E6"/>
    <w:rsid w:val="008537DA"/>
    <w:rsid w:val="00855E22"/>
    <w:rsid w:val="00857317"/>
    <w:rsid w:val="00861DDA"/>
    <w:rsid w:val="008627F8"/>
    <w:rsid w:val="00862CCB"/>
    <w:rsid w:val="00863942"/>
    <w:rsid w:val="008653A3"/>
    <w:rsid w:val="00865907"/>
    <w:rsid w:val="00866AB1"/>
    <w:rsid w:val="0087022B"/>
    <w:rsid w:val="008734C6"/>
    <w:rsid w:val="008736B1"/>
    <w:rsid w:val="00876122"/>
    <w:rsid w:val="00877D68"/>
    <w:rsid w:val="00877E8E"/>
    <w:rsid w:val="00880F8F"/>
    <w:rsid w:val="008812C7"/>
    <w:rsid w:val="008832D9"/>
    <w:rsid w:val="00883977"/>
    <w:rsid w:val="0088513C"/>
    <w:rsid w:val="00885438"/>
    <w:rsid w:val="00890751"/>
    <w:rsid w:val="00890D5B"/>
    <w:rsid w:val="0089253A"/>
    <w:rsid w:val="00892CA0"/>
    <w:rsid w:val="00893045"/>
    <w:rsid w:val="00893649"/>
    <w:rsid w:val="00893C05"/>
    <w:rsid w:val="00893F19"/>
    <w:rsid w:val="00895C7B"/>
    <w:rsid w:val="008966C1"/>
    <w:rsid w:val="008A2199"/>
    <w:rsid w:val="008A521D"/>
    <w:rsid w:val="008A670D"/>
    <w:rsid w:val="008A705D"/>
    <w:rsid w:val="008B0405"/>
    <w:rsid w:val="008B0A0B"/>
    <w:rsid w:val="008B0F40"/>
    <w:rsid w:val="008B1841"/>
    <w:rsid w:val="008B2BD2"/>
    <w:rsid w:val="008B4B71"/>
    <w:rsid w:val="008B6121"/>
    <w:rsid w:val="008B62B4"/>
    <w:rsid w:val="008B6CE8"/>
    <w:rsid w:val="008B7443"/>
    <w:rsid w:val="008B7D19"/>
    <w:rsid w:val="008C014F"/>
    <w:rsid w:val="008C4431"/>
    <w:rsid w:val="008C514A"/>
    <w:rsid w:val="008C595D"/>
    <w:rsid w:val="008D279F"/>
    <w:rsid w:val="008D6379"/>
    <w:rsid w:val="008E02BA"/>
    <w:rsid w:val="008E0645"/>
    <w:rsid w:val="008E0B5E"/>
    <w:rsid w:val="008E1ABF"/>
    <w:rsid w:val="008E201B"/>
    <w:rsid w:val="008E38CE"/>
    <w:rsid w:val="008E5168"/>
    <w:rsid w:val="008E51BE"/>
    <w:rsid w:val="008E5299"/>
    <w:rsid w:val="008E586B"/>
    <w:rsid w:val="008E6B7A"/>
    <w:rsid w:val="008E7D03"/>
    <w:rsid w:val="008F0403"/>
    <w:rsid w:val="008F0C12"/>
    <w:rsid w:val="008F0F7E"/>
    <w:rsid w:val="008F20C9"/>
    <w:rsid w:val="008F41B4"/>
    <w:rsid w:val="008F50D8"/>
    <w:rsid w:val="008F5527"/>
    <w:rsid w:val="008F6D14"/>
    <w:rsid w:val="008F7A15"/>
    <w:rsid w:val="00901052"/>
    <w:rsid w:val="00902333"/>
    <w:rsid w:val="00902A48"/>
    <w:rsid w:val="0090406D"/>
    <w:rsid w:val="009056CE"/>
    <w:rsid w:val="00907174"/>
    <w:rsid w:val="009072AE"/>
    <w:rsid w:val="00912523"/>
    <w:rsid w:val="0091374B"/>
    <w:rsid w:val="0091695C"/>
    <w:rsid w:val="00922102"/>
    <w:rsid w:val="00923C24"/>
    <w:rsid w:val="00924C75"/>
    <w:rsid w:val="009265D6"/>
    <w:rsid w:val="0093016A"/>
    <w:rsid w:val="0093210D"/>
    <w:rsid w:val="00933FD7"/>
    <w:rsid w:val="00934233"/>
    <w:rsid w:val="0093545C"/>
    <w:rsid w:val="00936D65"/>
    <w:rsid w:val="009371FE"/>
    <w:rsid w:val="009405B1"/>
    <w:rsid w:val="0094244E"/>
    <w:rsid w:val="00942511"/>
    <w:rsid w:val="00943094"/>
    <w:rsid w:val="00943124"/>
    <w:rsid w:val="0094360A"/>
    <w:rsid w:val="009446EA"/>
    <w:rsid w:val="00947A76"/>
    <w:rsid w:val="00950A41"/>
    <w:rsid w:val="00950CCD"/>
    <w:rsid w:val="009512E3"/>
    <w:rsid w:val="009528D6"/>
    <w:rsid w:val="00952E3C"/>
    <w:rsid w:val="00955EBD"/>
    <w:rsid w:val="009563C6"/>
    <w:rsid w:val="00956F9F"/>
    <w:rsid w:val="00957713"/>
    <w:rsid w:val="00957B9D"/>
    <w:rsid w:val="009607CA"/>
    <w:rsid w:val="009617AF"/>
    <w:rsid w:val="00961CA4"/>
    <w:rsid w:val="00962104"/>
    <w:rsid w:val="00962EE4"/>
    <w:rsid w:val="00963A14"/>
    <w:rsid w:val="009643A3"/>
    <w:rsid w:val="009648F5"/>
    <w:rsid w:val="00967E21"/>
    <w:rsid w:val="009700AD"/>
    <w:rsid w:val="00970637"/>
    <w:rsid w:val="009728C3"/>
    <w:rsid w:val="009733D2"/>
    <w:rsid w:val="00974C9E"/>
    <w:rsid w:val="00976460"/>
    <w:rsid w:val="009766A5"/>
    <w:rsid w:val="00976A78"/>
    <w:rsid w:val="00977920"/>
    <w:rsid w:val="00977BB6"/>
    <w:rsid w:val="00977C4A"/>
    <w:rsid w:val="009821A1"/>
    <w:rsid w:val="00982D4C"/>
    <w:rsid w:val="009866E9"/>
    <w:rsid w:val="009869B0"/>
    <w:rsid w:val="009924D5"/>
    <w:rsid w:val="009934CA"/>
    <w:rsid w:val="0099468F"/>
    <w:rsid w:val="00995A18"/>
    <w:rsid w:val="00995DC0"/>
    <w:rsid w:val="009976B4"/>
    <w:rsid w:val="00997BE7"/>
    <w:rsid w:val="009A29A0"/>
    <w:rsid w:val="009A3237"/>
    <w:rsid w:val="009A5BA1"/>
    <w:rsid w:val="009A7701"/>
    <w:rsid w:val="009A77AD"/>
    <w:rsid w:val="009B0A21"/>
    <w:rsid w:val="009B1497"/>
    <w:rsid w:val="009B31EC"/>
    <w:rsid w:val="009B5578"/>
    <w:rsid w:val="009B56D2"/>
    <w:rsid w:val="009B5955"/>
    <w:rsid w:val="009B703F"/>
    <w:rsid w:val="009C018B"/>
    <w:rsid w:val="009C3D94"/>
    <w:rsid w:val="009D1580"/>
    <w:rsid w:val="009D2191"/>
    <w:rsid w:val="009D26C3"/>
    <w:rsid w:val="009D2848"/>
    <w:rsid w:val="009D429A"/>
    <w:rsid w:val="009D5B1C"/>
    <w:rsid w:val="009E155B"/>
    <w:rsid w:val="009E15CC"/>
    <w:rsid w:val="009E1693"/>
    <w:rsid w:val="009E1C9C"/>
    <w:rsid w:val="009E23ED"/>
    <w:rsid w:val="009E5061"/>
    <w:rsid w:val="009E5FAD"/>
    <w:rsid w:val="009E682C"/>
    <w:rsid w:val="009E730B"/>
    <w:rsid w:val="009F1808"/>
    <w:rsid w:val="009F2386"/>
    <w:rsid w:val="009F2A87"/>
    <w:rsid w:val="009F3676"/>
    <w:rsid w:val="009F42D6"/>
    <w:rsid w:val="009F4FCE"/>
    <w:rsid w:val="009F6CC6"/>
    <w:rsid w:val="009F736C"/>
    <w:rsid w:val="00A039E2"/>
    <w:rsid w:val="00A051A7"/>
    <w:rsid w:val="00A0658D"/>
    <w:rsid w:val="00A068AA"/>
    <w:rsid w:val="00A07499"/>
    <w:rsid w:val="00A0756D"/>
    <w:rsid w:val="00A13122"/>
    <w:rsid w:val="00A13444"/>
    <w:rsid w:val="00A1411B"/>
    <w:rsid w:val="00A1580B"/>
    <w:rsid w:val="00A201A3"/>
    <w:rsid w:val="00A24D06"/>
    <w:rsid w:val="00A25012"/>
    <w:rsid w:val="00A26024"/>
    <w:rsid w:val="00A261E1"/>
    <w:rsid w:val="00A27857"/>
    <w:rsid w:val="00A30A34"/>
    <w:rsid w:val="00A30F7C"/>
    <w:rsid w:val="00A31095"/>
    <w:rsid w:val="00A32A30"/>
    <w:rsid w:val="00A33D7B"/>
    <w:rsid w:val="00A35883"/>
    <w:rsid w:val="00A35FED"/>
    <w:rsid w:val="00A37AA5"/>
    <w:rsid w:val="00A37B85"/>
    <w:rsid w:val="00A40407"/>
    <w:rsid w:val="00A440BC"/>
    <w:rsid w:val="00A47E36"/>
    <w:rsid w:val="00A5047F"/>
    <w:rsid w:val="00A51EBC"/>
    <w:rsid w:val="00A523DD"/>
    <w:rsid w:val="00A52DED"/>
    <w:rsid w:val="00A53891"/>
    <w:rsid w:val="00A538E0"/>
    <w:rsid w:val="00A55829"/>
    <w:rsid w:val="00A56A10"/>
    <w:rsid w:val="00A577A8"/>
    <w:rsid w:val="00A60168"/>
    <w:rsid w:val="00A61592"/>
    <w:rsid w:val="00A651DB"/>
    <w:rsid w:val="00A6627F"/>
    <w:rsid w:val="00A66317"/>
    <w:rsid w:val="00A66821"/>
    <w:rsid w:val="00A710BF"/>
    <w:rsid w:val="00A72F75"/>
    <w:rsid w:val="00A74633"/>
    <w:rsid w:val="00A7502B"/>
    <w:rsid w:val="00A759BD"/>
    <w:rsid w:val="00A75E8A"/>
    <w:rsid w:val="00A762EA"/>
    <w:rsid w:val="00A817E5"/>
    <w:rsid w:val="00A82BFD"/>
    <w:rsid w:val="00A83A7E"/>
    <w:rsid w:val="00A8432B"/>
    <w:rsid w:val="00A84D9F"/>
    <w:rsid w:val="00A85E2F"/>
    <w:rsid w:val="00A86189"/>
    <w:rsid w:val="00A865CD"/>
    <w:rsid w:val="00A869AE"/>
    <w:rsid w:val="00A914E5"/>
    <w:rsid w:val="00A91A74"/>
    <w:rsid w:val="00A91E73"/>
    <w:rsid w:val="00A93BA3"/>
    <w:rsid w:val="00AA2B5C"/>
    <w:rsid w:val="00AA2E25"/>
    <w:rsid w:val="00AA4134"/>
    <w:rsid w:val="00AA7DAF"/>
    <w:rsid w:val="00AA7FDA"/>
    <w:rsid w:val="00AB1D60"/>
    <w:rsid w:val="00AB2AE6"/>
    <w:rsid w:val="00AC12D9"/>
    <w:rsid w:val="00AC1D9A"/>
    <w:rsid w:val="00AC2A05"/>
    <w:rsid w:val="00AC3AB1"/>
    <w:rsid w:val="00AC5681"/>
    <w:rsid w:val="00AC67DD"/>
    <w:rsid w:val="00AC6FE0"/>
    <w:rsid w:val="00AC7582"/>
    <w:rsid w:val="00AC7A1B"/>
    <w:rsid w:val="00AD0040"/>
    <w:rsid w:val="00AD0C98"/>
    <w:rsid w:val="00AD1FA7"/>
    <w:rsid w:val="00AD5791"/>
    <w:rsid w:val="00AD6540"/>
    <w:rsid w:val="00AD721E"/>
    <w:rsid w:val="00AD7B31"/>
    <w:rsid w:val="00AE011C"/>
    <w:rsid w:val="00AE08CD"/>
    <w:rsid w:val="00AE09A5"/>
    <w:rsid w:val="00AE1F69"/>
    <w:rsid w:val="00AE5B65"/>
    <w:rsid w:val="00AE5D45"/>
    <w:rsid w:val="00AE7DC7"/>
    <w:rsid w:val="00AF0DE4"/>
    <w:rsid w:val="00AF2669"/>
    <w:rsid w:val="00AF28EA"/>
    <w:rsid w:val="00AF344E"/>
    <w:rsid w:val="00AF3AF6"/>
    <w:rsid w:val="00AF4D99"/>
    <w:rsid w:val="00AF4F31"/>
    <w:rsid w:val="00AF5E83"/>
    <w:rsid w:val="00B0155C"/>
    <w:rsid w:val="00B01B74"/>
    <w:rsid w:val="00B01DEC"/>
    <w:rsid w:val="00B01EC6"/>
    <w:rsid w:val="00B0633D"/>
    <w:rsid w:val="00B07082"/>
    <w:rsid w:val="00B10264"/>
    <w:rsid w:val="00B119EE"/>
    <w:rsid w:val="00B15A1A"/>
    <w:rsid w:val="00B169C7"/>
    <w:rsid w:val="00B177F0"/>
    <w:rsid w:val="00B22E34"/>
    <w:rsid w:val="00B25C6D"/>
    <w:rsid w:val="00B30FC9"/>
    <w:rsid w:val="00B31B31"/>
    <w:rsid w:val="00B33988"/>
    <w:rsid w:val="00B339D4"/>
    <w:rsid w:val="00B33AC5"/>
    <w:rsid w:val="00B347CA"/>
    <w:rsid w:val="00B35306"/>
    <w:rsid w:val="00B36064"/>
    <w:rsid w:val="00B41595"/>
    <w:rsid w:val="00B418B8"/>
    <w:rsid w:val="00B42137"/>
    <w:rsid w:val="00B43114"/>
    <w:rsid w:val="00B43A92"/>
    <w:rsid w:val="00B43A9E"/>
    <w:rsid w:val="00B45E6A"/>
    <w:rsid w:val="00B46D8F"/>
    <w:rsid w:val="00B4713D"/>
    <w:rsid w:val="00B47DA2"/>
    <w:rsid w:val="00B518B5"/>
    <w:rsid w:val="00B518C2"/>
    <w:rsid w:val="00B52179"/>
    <w:rsid w:val="00B53535"/>
    <w:rsid w:val="00B5382A"/>
    <w:rsid w:val="00B53E2C"/>
    <w:rsid w:val="00B54014"/>
    <w:rsid w:val="00B54D62"/>
    <w:rsid w:val="00B55460"/>
    <w:rsid w:val="00B574E7"/>
    <w:rsid w:val="00B6088D"/>
    <w:rsid w:val="00B614CC"/>
    <w:rsid w:val="00B631CF"/>
    <w:rsid w:val="00B649E5"/>
    <w:rsid w:val="00B64B9A"/>
    <w:rsid w:val="00B652BE"/>
    <w:rsid w:val="00B656E0"/>
    <w:rsid w:val="00B67071"/>
    <w:rsid w:val="00B71D1A"/>
    <w:rsid w:val="00B73A22"/>
    <w:rsid w:val="00B761B1"/>
    <w:rsid w:val="00B761FD"/>
    <w:rsid w:val="00B76E27"/>
    <w:rsid w:val="00B82C8C"/>
    <w:rsid w:val="00B830DB"/>
    <w:rsid w:val="00B85366"/>
    <w:rsid w:val="00B85B75"/>
    <w:rsid w:val="00B866BE"/>
    <w:rsid w:val="00B8736C"/>
    <w:rsid w:val="00B873DD"/>
    <w:rsid w:val="00B93975"/>
    <w:rsid w:val="00B946FD"/>
    <w:rsid w:val="00B95420"/>
    <w:rsid w:val="00B978FA"/>
    <w:rsid w:val="00B97ECB"/>
    <w:rsid w:val="00BA1122"/>
    <w:rsid w:val="00BA282A"/>
    <w:rsid w:val="00BA427A"/>
    <w:rsid w:val="00BA487F"/>
    <w:rsid w:val="00BA56C8"/>
    <w:rsid w:val="00BB0FCE"/>
    <w:rsid w:val="00BB12F1"/>
    <w:rsid w:val="00BB1E49"/>
    <w:rsid w:val="00BB21D1"/>
    <w:rsid w:val="00BC0EBA"/>
    <w:rsid w:val="00BC1BEB"/>
    <w:rsid w:val="00BC2398"/>
    <w:rsid w:val="00BC3164"/>
    <w:rsid w:val="00BC3918"/>
    <w:rsid w:val="00BC61B5"/>
    <w:rsid w:val="00BC690D"/>
    <w:rsid w:val="00BC7296"/>
    <w:rsid w:val="00BD026B"/>
    <w:rsid w:val="00BD0667"/>
    <w:rsid w:val="00BD24E0"/>
    <w:rsid w:val="00BD2686"/>
    <w:rsid w:val="00BD3BAF"/>
    <w:rsid w:val="00BD59FD"/>
    <w:rsid w:val="00BE125F"/>
    <w:rsid w:val="00BE3076"/>
    <w:rsid w:val="00BE4944"/>
    <w:rsid w:val="00BE5982"/>
    <w:rsid w:val="00BE62C6"/>
    <w:rsid w:val="00BE77CD"/>
    <w:rsid w:val="00BF0B28"/>
    <w:rsid w:val="00BF12D3"/>
    <w:rsid w:val="00BF25F5"/>
    <w:rsid w:val="00BF4366"/>
    <w:rsid w:val="00BF51DC"/>
    <w:rsid w:val="00BF7AA5"/>
    <w:rsid w:val="00C004B5"/>
    <w:rsid w:val="00C01639"/>
    <w:rsid w:val="00C03063"/>
    <w:rsid w:val="00C03F50"/>
    <w:rsid w:val="00C04829"/>
    <w:rsid w:val="00C065EB"/>
    <w:rsid w:val="00C06C93"/>
    <w:rsid w:val="00C12015"/>
    <w:rsid w:val="00C123EB"/>
    <w:rsid w:val="00C12CE6"/>
    <w:rsid w:val="00C13CAC"/>
    <w:rsid w:val="00C14F81"/>
    <w:rsid w:val="00C15C03"/>
    <w:rsid w:val="00C16469"/>
    <w:rsid w:val="00C17215"/>
    <w:rsid w:val="00C173E4"/>
    <w:rsid w:val="00C1769B"/>
    <w:rsid w:val="00C17EC6"/>
    <w:rsid w:val="00C201E7"/>
    <w:rsid w:val="00C20E0F"/>
    <w:rsid w:val="00C210BF"/>
    <w:rsid w:val="00C240F5"/>
    <w:rsid w:val="00C2454D"/>
    <w:rsid w:val="00C25D4F"/>
    <w:rsid w:val="00C30673"/>
    <w:rsid w:val="00C307D8"/>
    <w:rsid w:val="00C31DEC"/>
    <w:rsid w:val="00C32CCC"/>
    <w:rsid w:val="00C33A75"/>
    <w:rsid w:val="00C34AB5"/>
    <w:rsid w:val="00C35CCB"/>
    <w:rsid w:val="00C36DB5"/>
    <w:rsid w:val="00C40EA5"/>
    <w:rsid w:val="00C430D7"/>
    <w:rsid w:val="00C44274"/>
    <w:rsid w:val="00C527A0"/>
    <w:rsid w:val="00C531D9"/>
    <w:rsid w:val="00C54153"/>
    <w:rsid w:val="00C54BF9"/>
    <w:rsid w:val="00C57234"/>
    <w:rsid w:val="00C61C7C"/>
    <w:rsid w:val="00C62BC4"/>
    <w:rsid w:val="00C64390"/>
    <w:rsid w:val="00C675BE"/>
    <w:rsid w:val="00C67C00"/>
    <w:rsid w:val="00C67F5B"/>
    <w:rsid w:val="00C702D4"/>
    <w:rsid w:val="00C70472"/>
    <w:rsid w:val="00C727C6"/>
    <w:rsid w:val="00C72853"/>
    <w:rsid w:val="00C73B43"/>
    <w:rsid w:val="00C755E6"/>
    <w:rsid w:val="00C75C7F"/>
    <w:rsid w:val="00C77505"/>
    <w:rsid w:val="00C80205"/>
    <w:rsid w:val="00C80256"/>
    <w:rsid w:val="00C8044F"/>
    <w:rsid w:val="00C80C5C"/>
    <w:rsid w:val="00C81453"/>
    <w:rsid w:val="00C81550"/>
    <w:rsid w:val="00C81E0B"/>
    <w:rsid w:val="00C827CA"/>
    <w:rsid w:val="00C85017"/>
    <w:rsid w:val="00C8727E"/>
    <w:rsid w:val="00C90FC1"/>
    <w:rsid w:val="00C9101D"/>
    <w:rsid w:val="00C91B84"/>
    <w:rsid w:val="00C91FE1"/>
    <w:rsid w:val="00C93C94"/>
    <w:rsid w:val="00C941EC"/>
    <w:rsid w:val="00C94745"/>
    <w:rsid w:val="00C94A70"/>
    <w:rsid w:val="00C95137"/>
    <w:rsid w:val="00C96094"/>
    <w:rsid w:val="00CA10EC"/>
    <w:rsid w:val="00CA1283"/>
    <w:rsid w:val="00CA1355"/>
    <w:rsid w:val="00CA223A"/>
    <w:rsid w:val="00CA366A"/>
    <w:rsid w:val="00CA38AB"/>
    <w:rsid w:val="00CA3B7F"/>
    <w:rsid w:val="00CA659A"/>
    <w:rsid w:val="00CA794C"/>
    <w:rsid w:val="00CB20DF"/>
    <w:rsid w:val="00CB2274"/>
    <w:rsid w:val="00CB37A3"/>
    <w:rsid w:val="00CB3B59"/>
    <w:rsid w:val="00CB40B4"/>
    <w:rsid w:val="00CB46F5"/>
    <w:rsid w:val="00CB490B"/>
    <w:rsid w:val="00CB6E0F"/>
    <w:rsid w:val="00CC0E14"/>
    <w:rsid w:val="00CC2794"/>
    <w:rsid w:val="00CC4A34"/>
    <w:rsid w:val="00CC59EC"/>
    <w:rsid w:val="00CD0FE2"/>
    <w:rsid w:val="00CD17DA"/>
    <w:rsid w:val="00CD49DC"/>
    <w:rsid w:val="00CD6F88"/>
    <w:rsid w:val="00CE0007"/>
    <w:rsid w:val="00CE0BD4"/>
    <w:rsid w:val="00CE0F63"/>
    <w:rsid w:val="00CE16F7"/>
    <w:rsid w:val="00CE1E9D"/>
    <w:rsid w:val="00CE68FE"/>
    <w:rsid w:val="00CE7283"/>
    <w:rsid w:val="00CF0401"/>
    <w:rsid w:val="00CF0489"/>
    <w:rsid w:val="00CF1FF4"/>
    <w:rsid w:val="00CF21D0"/>
    <w:rsid w:val="00CF2FA4"/>
    <w:rsid w:val="00CF6013"/>
    <w:rsid w:val="00CF70BD"/>
    <w:rsid w:val="00CF743D"/>
    <w:rsid w:val="00D02448"/>
    <w:rsid w:val="00D04B2E"/>
    <w:rsid w:val="00D078B0"/>
    <w:rsid w:val="00D10F93"/>
    <w:rsid w:val="00D12EC9"/>
    <w:rsid w:val="00D13577"/>
    <w:rsid w:val="00D13E8A"/>
    <w:rsid w:val="00D168ED"/>
    <w:rsid w:val="00D228DF"/>
    <w:rsid w:val="00D22EE4"/>
    <w:rsid w:val="00D230E2"/>
    <w:rsid w:val="00D240F4"/>
    <w:rsid w:val="00D2534E"/>
    <w:rsid w:val="00D26768"/>
    <w:rsid w:val="00D27894"/>
    <w:rsid w:val="00D27C16"/>
    <w:rsid w:val="00D27ED7"/>
    <w:rsid w:val="00D301A4"/>
    <w:rsid w:val="00D3230E"/>
    <w:rsid w:val="00D33025"/>
    <w:rsid w:val="00D339A3"/>
    <w:rsid w:val="00D36C59"/>
    <w:rsid w:val="00D41F63"/>
    <w:rsid w:val="00D43390"/>
    <w:rsid w:val="00D43CC4"/>
    <w:rsid w:val="00D46258"/>
    <w:rsid w:val="00D46708"/>
    <w:rsid w:val="00D53641"/>
    <w:rsid w:val="00D54C3F"/>
    <w:rsid w:val="00D5528E"/>
    <w:rsid w:val="00D56203"/>
    <w:rsid w:val="00D56726"/>
    <w:rsid w:val="00D61688"/>
    <w:rsid w:val="00D61FE3"/>
    <w:rsid w:val="00D62247"/>
    <w:rsid w:val="00D62257"/>
    <w:rsid w:val="00D62EC8"/>
    <w:rsid w:val="00D63698"/>
    <w:rsid w:val="00D64458"/>
    <w:rsid w:val="00D65247"/>
    <w:rsid w:val="00D65354"/>
    <w:rsid w:val="00D66787"/>
    <w:rsid w:val="00D67B79"/>
    <w:rsid w:val="00D72AB0"/>
    <w:rsid w:val="00D738E9"/>
    <w:rsid w:val="00D75802"/>
    <w:rsid w:val="00D77189"/>
    <w:rsid w:val="00D77C0A"/>
    <w:rsid w:val="00D810E0"/>
    <w:rsid w:val="00D868C7"/>
    <w:rsid w:val="00D86FAF"/>
    <w:rsid w:val="00D90623"/>
    <w:rsid w:val="00D91CAB"/>
    <w:rsid w:val="00D9724D"/>
    <w:rsid w:val="00DA3B7C"/>
    <w:rsid w:val="00DA4A8C"/>
    <w:rsid w:val="00DA5726"/>
    <w:rsid w:val="00DA7E13"/>
    <w:rsid w:val="00DB0FAB"/>
    <w:rsid w:val="00DB7BB3"/>
    <w:rsid w:val="00DC04CB"/>
    <w:rsid w:val="00DC2839"/>
    <w:rsid w:val="00DC29A9"/>
    <w:rsid w:val="00DC4E83"/>
    <w:rsid w:val="00DD00B0"/>
    <w:rsid w:val="00DD2547"/>
    <w:rsid w:val="00DD3C64"/>
    <w:rsid w:val="00DD5450"/>
    <w:rsid w:val="00DD7DBE"/>
    <w:rsid w:val="00DE0153"/>
    <w:rsid w:val="00DE1A7E"/>
    <w:rsid w:val="00DE2371"/>
    <w:rsid w:val="00DE2B35"/>
    <w:rsid w:val="00DE2E35"/>
    <w:rsid w:val="00DE34E4"/>
    <w:rsid w:val="00DE7283"/>
    <w:rsid w:val="00DE775A"/>
    <w:rsid w:val="00DF20ED"/>
    <w:rsid w:val="00DF20F6"/>
    <w:rsid w:val="00DF2C7E"/>
    <w:rsid w:val="00DF661A"/>
    <w:rsid w:val="00E00D7B"/>
    <w:rsid w:val="00E02CB4"/>
    <w:rsid w:val="00E0391F"/>
    <w:rsid w:val="00E04936"/>
    <w:rsid w:val="00E054E4"/>
    <w:rsid w:val="00E109AC"/>
    <w:rsid w:val="00E11A14"/>
    <w:rsid w:val="00E122FC"/>
    <w:rsid w:val="00E1480F"/>
    <w:rsid w:val="00E14E07"/>
    <w:rsid w:val="00E17AC4"/>
    <w:rsid w:val="00E17B25"/>
    <w:rsid w:val="00E23FC6"/>
    <w:rsid w:val="00E320A6"/>
    <w:rsid w:val="00E3240D"/>
    <w:rsid w:val="00E33A4D"/>
    <w:rsid w:val="00E35A17"/>
    <w:rsid w:val="00E35F11"/>
    <w:rsid w:val="00E36283"/>
    <w:rsid w:val="00E36C8F"/>
    <w:rsid w:val="00E36DA7"/>
    <w:rsid w:val="00E37F58"/>
    <w:rsid w:val="00E40CD9"/>
    <w:rsid w:val="00E414B1"/>
    <w:rsid w:val="00E45E94"/>
    <w:rsid w:val="00E464D3"/>
    <w:rsid w:val="00E46BBF"/>
    <w:rsid w:val="00E47026"/>
    <w:rsid w:val="00E50DC7"/>
    <w:rsid w:val="00E51D7A"/>
    <w:rsid w:val="00E52FD7"/>
    <w:rsid w:val="00E54EE8"/>
    <w:rsid w:val="00E56FC1"/>
    <w:rsid w:val="00E60C3A"/>
    <w:rsid w:val="00E6258B"/>
    <w:rsid w:val="00E6397F"/>
    <w:rsid w:val="00E6464F"/>
    <w:rsid w:val="00E64F8B"/>
    <w:rsid w:val="00E662B8"/>
    <w:rsid w:val="00E66A9D"/>
    <w:rsid w:val="00E673C5"/>
    <w:rsid w:val="00E67987"/>
    <w:rsid w:val="00E72333"/>
    <w:rsid w:val="00E73117"/>
    <w:rsid w:val="00E73769"/>
    <w:rsid w:val="00E76A3E"/>
    <w:rsid w:val="00E77097"/>
    <w:rsid w:val="00E806DB"/>
    <w:rsid w:val="00E810EF"/>
    <w:rsid w:val="00E8158E"/>
    <w:rsid w:val="00E8177C"/>
    <w:rsid w:val="00E829A8"/>
    <w:rsid w:val="00E83D93"/>
    <w:rsid w:val="00E8550E"/>
    <w:rsid w:val="00E85A1D"/>
    <w:rsid w:val="00E869BD"/>
    <w:rsid w:val="00E873BC"/>
    <w:rsid w:val="00E873E5"/>
    <w:rsid w:val="00E87456"/>
    <w:rsid w:val="00E90423"/>
    <w:rsid w:val="00E91283"/>
    <w:rsid w:val="00E9234D"/>
    <w:rsid w:val="00E92827"/>
    <w:rsid w:val="00E93A24"/>
    <w:rsid w:val="00EA1D7C"/>
    <w:rsid w:val="00EA4475"/>
    <w:rsid w:val="00EA5540"/>
    <w:rsid w:val="00EB52C0"/>
    <w:rsid w:val="00EB6362"/>
    <w:rsid w:val="00EB6364"/>
    <w:rsid w:val="00EB66E0"/>
    <w:rsid w:val="00EC11ED"/>
    <w:rsid w:val="00EC144D"/>
    <w:rsid w:val="00EC35E1"/>
    <w:rsid w:val="00EC4178"/>
    <w:rsid w:val="00EC44E5"/>
    <w:rsid w:val="00EC5B2F"/>
    <w:rsid w:val="00EC6CC0"/>
    <w:rsid w:val="00ED0B43"/>
    <w:rsid w:val="00ED223D"/>
    <w:rsid w:val="00ED3144"/>
    <w:rsid w:val="00ED5E4B"/>
    <w:rsid w:val="00ED647C"/>
    <w:rsid w:val="00EE1472"/>
    <w:rsid w:val="00EE26E8"/>
    <w:rsid w:val="00EE4720"/>
    <w:rsid w:val="00EE4DB6"/>
    <w:rsid w:val="00EE4FBF"/>
    <w:rsid w:val="00EE6E5F"/>
    <w:rsid w:val="00EF015F"/>
    <w:rsid w:val="00EF1D9D"/>
    <w:rsid w:val="00EF41F6"/>
    <w:rsid w:val="00EF462B"/>
    <w:rsid w:val="00EF63C6"/>
    <w:rsid w:val="00EF6557"/>
    <w:rsid w:val="00F02A90"/>
    <w:rsid w:val="00F02CF2"/>
    <w:rsid w:val="00F0342E"/>
    <w:rsid w:val="00F03ABB"/>
    <w:rsid w:val="00F07F3F"/>
    <w:rsid w:val="00F11544"/>
    <w:rsid w:val="00F11E3F"/>
    <w:rsid w:val="00F1455D"/>
    <w:rsid w:val="00F17564"/>
    <w:rsid w:val="00F20A55"/>
    <w:rsid w:val="00F20FBE"/>
    <w:rsid w:val="00F2383C"/>
    <w:rsid w:val="00F23C6E"/>
    <w:rsid w:val="00F24CFA"/>
    <w:rsid w:val="00F274AA"/>
    <w:rsid w:val="00F27FAD"/>
    <w:rsid w:val="00F302CD"/>
    <w:rsid w:val="00F325D0"/>
    <w:rsid w:val="00F3382D"/>
    <w:rsid w:val="00F33E34"/>
    <w:rsid w:val="00F34FE5"/>
    <w:rsid w:val="00F35A38"/>
    <w:rsid w:val="00F364F7"/>
    <w:rsid w:val="00F37784"/>
    <w:rsid w:val="00F4194F"/>
    <w:rsid w:val="00F41CA5"/>
    <w:rsid w:val="00F41E9B"/>
    <w:rsid w:val="00F4241F"/>
    <w:rsid w:val="00F4403E"/>
    <w:rsid w:val="00F44E15"/>
    <w:rsid w:val="00F50708"/>
    <w:rsid w:val="00F51E19"/>
    <w:rsid w:val="00F5203C"/>
    <w:rsid w:val="00F52E35"/>
    <w:rsid w:val="00F53773"/>
    <w:rsid w:val="00F53D80"/>
    <w:rsid w:val="00F54940"/>
    <w:rsid w:val="00F55959"/>
    <w:rsid w:val="00F56E48"/>
    <w:rsid w:val="00F57267"/>
    <w:rsid w:val="00F60D11"/>
    <w:rsid w:val="00F62CDC"/>
    <w:rsid w:val="00F63835"/>
    <w:rsid w:val="00F63C00"/>
    <w:rsid w:val="00F66025"/>
    <w:rsid w:val="00F7225C"/>
    <w:rsid w:val="00F72E9E"/>
    <w:rsid w:val="00F772CD"/>
    <w:rsid w:val="00F77949"/>
    <w:rsid w:val="00F83373"/>
    <w:rsid w:val="00F844ED"/>
    <w:rsid w:val="00F8582D"/>
    <w:rsid w:val="00F85CD0"/>
    <w:rsid w:val="00F86245"/>
    <w:rsid w:val="00F874CA"/>
    <w:rsid w:val="00F876FB"/>
    <w:rsid w:val="00F902C4"/>
    <w:rsid w:val="00F905AD"/>
    <w:rsid w:val="00F91E37"/>
    <w:rsid w:val="00F9379C"/>
    <w:rsid w:val="00F937D3"/>
    <w:rsid w:val="00F9522C"/>
    <w:rsid w:val="00F966F5"/>
    <w:rsid w:val="00F97BFE"/>
    <w:rsid w:val="00FA24E0"/>
    <w:rsid w:val="00FA41D1"/>
    <w:rsid w:val="00FA63B8"/>
    <w:rsid w:val="00FB0438"/>
    <w:rsid w:val="00FB472C"/>
    <w:rsid w:val="00FB49F6"/>
    <w:rsid w:val="00FB4B32"/>
    <w:rsid w:val="00FB669E"/>
    <w:rsid w:val="00FC1925"/>
    <w:rsid w:val="00FC474B"/>
    <w:rsid w:val="00FC4DB2"/>
    <w:rsid w:val="00FC50DB"/>
    <w:rsid w:val="00FC668D"/>
    <w:rsid w:val="00FD0548"/>
    <w:rsid w:val="00FD1D7A"/>
    <w:rsid w:val="00FD1DB9"/>
    <w:rsid w:val="00FD2FF5"/>
    <w:rsid w:val="00FD3A6D"/>
    <w:rsid w:val="00FD45B2"/>
    <w:rsid w:val="00FD511F"/>
    <w:rsid w:val="00FD5871"/>
    <w:rsid w:val="00FD5AB9"/>
    <w:rsid w:val="00FD63C9"/>
    <w:rsid w:val="00FD664F"/>
    <w:rsid w:val="00FE0892"/>
    <w:rsid w:val="00FE1A39"/>
    <w:rsid w:val="00FE59DC"/>
    <w:rsid w:val="00FE5C13"/>
    <w:rsid w:val="00FE7066"/>
    <w:rsid w:val="00FF220A"/>
    <w:rsid w:val="00FF32CE"/>
    <w:rsid w:val="00FF43D0"/>
    <w:rsid w:val="00FF64CB"/>
    <w:rsid w:val="0147686F"/>
    <w:rsid w:val="0171469F"/>
    <w:rsid w:val="017E2CDF"/>
    <w:rsid w:val="0194618D"/>
    <w:rsid w:val="01BD4A83"/>
    <w:rsid w:val="02060DD5"/>
    <w:rsid w:val="0206170C"/>
    <w:rsid w:val="026B65E1"/>
    <w:rsid w:val="02732A94"/>
    <w:rsid w:val="02E52D76"/>
    <w:rsid w:val="038A7627"/>
    <w:rsid w:val="044A285D"/>
    <w:rsid w:val="044E0E32"/>
    <w:rsid w:val="047D46F9"/>
    <w:rsid w:val="04A7716F"/>
    <w:rsid w:val="04CD6C19"/>
    <w:rsid w:val="04FD4A7A"/>
    <w:rsid w:val="052A576A"/>
    <w:rsid w:val="05776166"/>
    <w:rsid w:val="05C336C1"/>
    <w:rsid w:val="061337F3"/>
    <w:rsid w:val="066606B5"/>
    <w:rsid w:val="078A3DDB"/>
    <w:rsid w:val="07CF3F25"/>
    <w:rsid w:val="08655775"/>
    <w:rsid w:val="08F655F4"/>
    <w:rsid w:val="09D75426"/>
    <w:rsid w:val="0A950FF4"/>
    <w:rsid w:val="0AC67B91"/>
    <w:rsid w:val="0ACE31FA"/>
    <w:rsid w:val="0AFA14CB"/>
    <w:rsid w:val="0B1D7C5B"/>
    <w:rsid w:val="0BEB3BE4"/>
    <w:rsid w:val="0CA5201D"/>
    <w:rsid w:val="0CED1DD9"/>
    <w:rsid w:val="0CF602B9"/>
    <w:rsid w:val="0D1349C7"/>
    <w:rsid w:val="0D2B2D96"/>
    <w:rsid w:val="0D2D06DC"/>
    <w:rsid w:val="0DA11EA6"/>
    <w:rsid w:val="0DDF411C"/>
    <w:rsid w:val="0DEA0AAF"/>
    <w:rsid w:val="0DEE0F90"/>
    <w:rsid w:val="0E9535B2"/>
    <w:rsid w:val="0E976DF9"/>
    <w:rsid w:val="0EDB3379"/>
    <w:rsid w:val="0FA019E6"/>
    <w:rsid w:val="0FBF4375"/>
    <w:rsid w:val="0FE16FFE"/>
    <w:rsid w:val="10066A65"/>
    <w:rsid w:val="10293175"/>
    <w:rsid w:val="102F0A2D"/>
    <w:rsid w:val="10512A77"/>
    <w:rsid w:val="107514F4"/>
    <w:rsid w:val="10A8789A"/>
    <w:rsid w:val="10EC5C5A"/>
    <w:rsid w:val="11017AD2"/>
    <w:rsid w:val="111100AC"/>
    <w:rsid w:val="11490D75"/>
    <w:rsid w:val="11603F53"/>
    <w:rsid w:val="11771B12"/>
    <w:rsid w:val="13385EAB"/>
    <w:rsid w:val="137E6027"/>
    <w:rsid w:val="139C60C7"/>
    <w:rsid w:val="139D70FD"/>
    <w:rsid w:val="13C54541"/>
    <w:rsid w:val="13D23B78"/>
    <w:rsid w:val="13E75E64"/>
    <w:rsid w:val="144560CF"/>
    <w:rsid w:val="14935A24"/>
    <w:rsid w:val="14AD19C6"/>
    <w:rsid w:val="1588088B"/>
    <w:rsid w:val="15B21729"/>
    <w:rsid w:val="164E6152"/>
    <w:rsid w:val="1706655D"/>
    <w:rsid w:val="174A36B2"/>
    <w:rsid w:val="176C3B22"/>
    <w:rsid w:val="178749AD"/>
    <w:rsid w:val="17BB4E4E"/>
    <w:rsid w:val="17BC12F4"/>
    <w:rsid w:val="17DF2075"/>
    <w:rsid w:val="17FC3E4F"/>
    <w:rsid w:val="180A4E0D"/>
    <w:rsid w:val="18243AF2"/>
    <w:rsid w:val="18467F81"/>
    <w:rsid w:val="184E612C"/>
    <w:rsid w:val="18671FCC"/>
    <w:rsid w:val="18B507FF"/>
    <w:rsid w:val="1A185795"/>
    <w:rsid w:val="1A8B64E4"/>
    <w:rsid w:val="1AE8286C"/>
    <w:rsid w:val="1B087B35"/>
    <w:rsid w:val="1B4C6B72"/>
    <w:rsid w:val="1BF04FBD"/>
    <w:rsid w:val="1C007551"/>
    <w:rsid w:val="1CAB5764"/>
    <w:rsid w:val="1CCB0E1A"/>
    <w:rsid w:val="1CD716B8"/>
    <w:rsid w:val="1D293D33"/>
    <w:rsid w:val="1DA53FC1"/>
    <w:rsid w:val="1DD737EE"/>
    <w:rsid w:val="1DDA4C1B"/>
    <w:rsid w:val="1DDF6CA9"/>
    <w:rsid w:val="1E2A7DC2"/>
    <w:rsid w:val="1E2B7F00"/>
    <w:rsid w:val="1E883191"/>
    <w:rsid w:val="1EB03847"/>
    <w:rsid w:val="1EE17E34"/>
    <w:rsid w:val="1F3461BB"/>
    <w:rsid w:val="1F9108F4"/>
    <w:rsid w:val="1FB64B0E"/>
    <w:rsid w:val="1FCB16E8"/>
    <w:rsid w:val="1FDF5301"/>
    <w:rsid w:val="205E0FBE"/>
    <w:rsid w:val="20A761E5"/>
    <w:rsid w:val="20BA3414"/>
    <w:rsid w:val="20E2083C"/>
    <w:rsid w:val="214A32E8"/>
    <w:rsid w:val="215619E3"/>
    <w:rsid w:val="219B7073"/>
    <w:rsid w:val="224156DA"/>
    <w:rsid w:val="2261120F"/>
    <w:rsid w:val="226338A3"/>
    <w:rsid w:val="22943588"/>
    <w:rsid w:val="2298685E"/>
    <w:rsid w:val="22CA3ACD"/>
    <w:rsid w:val="239A7798"/>
    <w:rsid w:val="239C6089"/>
    <w:rsid w:val="23CE7442"/>
    <w:rsid w:val="23E70D31"/>
    <w:rsid w:val="23FA6C85"/>
    <w:rsid w:val="24661971"/>
    <w:rsid w:val="24B824FF"/>
    <w:rsid w:val="25244FDF"/>
    <w:rsid w:val="259E72D8"/>
    <w:rsid w:val="26281F3D"/>
    <w:rsid w:val="266D4F28"/>
    <w:rsid w:val="269E134D"/>
    <w:rsid w:val="26D56CBA"/>
    <w:rsid w:val="26FD3424"/>
    <w:rsid w:val="272A0E33"/>
    <w:rsid w:val="272B6CFB"/>
    <w:rsid w:val="276E0D20"/>
    <w:rsid w:val="278873F5"/>
    <w:rsid w:val="28527F1F"/>
    <w:rsid w:val="28860CA2"/>
    <w:rsid w:val="28D55B18"/>
    <w:rsid w:val="297E41D8"/>
    <w:rsid w:val="2A4B431C"/>
    <w:rsid w:val="2A833231"/>
    <w:rsid w:val="2A846994"/>
    <w:rsid w:val="2A9452C1"/>
    <w:rsid w:val="2AC7261B"/>
    <w:rsid w:val="2ACF41CB"/>
    <w:rsid w:val="2B0674C1"/>
    <w:rsid w:val="2B7B2B09"/>
    <w:rsid w:val="2B820395"/>
    <w:rsid w:val="2C066AE0"/>
    <w:rsid w:val="2C0C0C30"/>
    <w:rsid w:val="2C465478"/>
    <w:rsid w:val="2C7F577D"/>
    <w:rsid w:val="2CE87C8C"/>
    <w:rsid w:val="2D0F4D53"/>
    <w:rsid w:val="2D2C73E8"/>
    <w:rsid w:val="2D6075BF"/>
    <w:rsid w:val="2D6A7136"/>
    <w:rsid w:val="2DAE5F03"/>
    <w:rsid w:val="2E0B75B6"/>
    <w:rsid w:val="2E2647AE"/>
    <w:rsid w:val="2E8C2B97"/>
    <w:rsid w:val="2EEF396D"/>
    <w:rsid w:val="2F207094"/>
    <w:rsid w:val="30182483"/>
    <w:rsid w:val="30291BA3"/>
    <w:rsid w:val="307C3474"/>
    <w:rsid w:val="3091242D"/>
    <w:rsid w:val="309C68FD"/>
    <w:rsid w:val="30BC576C"/>
    <w:rsid w:val="30DE2172"/>
    <w:rsid w:val="316B62D0"/>
    <w:rsid w:val="31712EEC"/>
    <w:rsid w:val="31AF08B2"/>
    <w:rsid w:val="31D11E4A"/>
    <w:rsid w:val="32087BD7"/>
    <w:rsid w:val="325F4ECC"/>
    <w:rsid w:val="327E0EB5"/>
    <w:rsid w:val="3294173B"/>
    <w:rsid w:val="32A108A6"/>
    <w:rsid w:val="32D768DE"/>
    <w:rsid w:val="32FF596F"/>
    <w:rsid w:val="336B5B8A"/>
    <w:rsid w:val="339F57EB"/>
    <w:rsid w:val="3421582C"/>
    <w:rsid w:val="342F1837"/>
    <w:rsid w:val="346F2B43"/>
    <w:rsid w:val="34D17B54"/>
    <w:rsid w:val="34EA7648"/>
    <w:rsid w:val="35326319"/>
    <w:rsid w:val="3543145B"/>
    <w:rsid w:val="359A7184"/>
    <w:rsid w:val="35D06A93"/>
    <w:rsid w:val="36053D7A"/>
    <w:rsid w:val="3610352B"/>
    <w:rsid w:val="36637EBD"/>
    <w:rsid w:val="36675791"/>
    <w:rsid w:val="36782A6C"/>
    <w:rsid w:val="3680275C"/>
    <w:rsid w:val="3720190B"/>
    <w:rsid w:val="37827E9D"/>
    <w:rsid w:val="37E51415"/>
    <w:rsid w:val="37F7739E"/>
    <w:rsid w:val="3983200A"/>
    <w:rsid w:val="39B84AFA"/>
    <w:rsid w:val="39BF0B65"/>
    <w:rsid w:val="3AF13053"/>
    <w:rsid w:val="3B620AA1"/>
    <w:rsid w:val="3C1B084A"/>
    <w:rsid w:val="3C293F84"/>
    <w:rsid w:val="3C3025F0"/>
    <w:rsid w:val="3CE36CF8"/>
    <w:rsid w:val="3D1A0A8C"/>
    <w:rsid w:val="3D2263DC"/>
    <w:rsid w:val="3D2D62C2"/>
    <w:rsid w:val="3D344795"/>
    <w:rsid w:val="3D4C33BF"/>
    <w:rsid w:val="3DE45B6A"/>
    <w:rsid w:val="3DF06CA4"/>
    <w:rsid w:val="3E03186F"/>
    <w:rsid w:val="3E1D4FA1"/>
    <w:rsid w:val="3E793CEB"/>
    <w:rsid w:val="3E860444"/>
    <w:rsid w:val="3E8B2200"/>
    <w:rsid w:val="3F0D3B17"/>
    <w:rsid w:val="3F66263A"/>
    <w:rsid w:val="3F7F2DD8"/>
    <w:rsid w:val="3FC279BE"/>
    <w:rsid w:val="3FDF2655"/>
    <w:rsid w:val="40302BBE"/>
    <w:rsid w:val="404B70DF"/>
    <w:rsid w:val="40F93554"/>
    <w:rsid w:val="41614FF9"/>
    <w:rsid w:val="41867C64"/>
    <w:rsid w:val="41F478AA"/>
    <w:rsid w:val="420936C7"/>
    <w:rsid w:val="426027ED"/>
    <w:rsid w:val="43485D96"/>
    <w:rsid w:val="43726EDA"/>
    <w:rsid w:val="43DA4627"/>
    <w:rsid w:val="43DF1501"/>
    <w:rsid w:val="43EC525B"/>
    <w:rsid w:val="4441010D"/>
    <w:rsid w:val="44B411CF"/>
    <w:rsid w:val="44E01544"/>
    <w:rsid w:val="450D1720"/>
    <w:rsid w:val="45193DEC"/>
    <w:rsid w:val="45A40490"/>
    <w:rsid w:val="46554225"/>
    <w:rsid w:val="46ED0E97"/>
    <w:rsid w:val="476A4701"/>
    <w:rsid w:val="47D77368"/>
    <w:rsid w:val="48524725"/>
    <w:rsid w:val="48621D83"/>
    <w:rsid w:val="48626393"/>
    <w:rsid w:val="48A7439E"/>
    <w:rsid w:val="490D7F6F"/>
    <w:rsid w:val="49463453"/>
    <w:rsid w:val="49665CC4"/>
    <w:rsid w:val="49FE07D6"/>
    <w:rsid w:val="4A5E12F4"/>
    <w:rsid w:val="4A7926FD"/>
    <w:rsid w:val="4A8A2BE3"/>
    <w:rsid w:val="4B105AC6"/>
    <w:rsid w:val="4B820435"/>
    <w:rsid w:val="4BE35675"/>
    <w:rsid w:val="4CA076A3"/>
    <w:rsid w:val="4CF46895"/>
    <w:rsid w:val="4D127C81"/>
    <w:rsid w:val="4DF41AF4"/>
    <w:rsid w:val="4E6F7D16"/>
    <w:rsid w:val="4EED0F66"/>
    <w:rsid w:val="4F2935FA"/>
    <w:rsid w:val="4F7F4EA8"/>
    <w:rsid w:val="4FFA4A66"/>
    <w:rsid w:val="502321AE"/>
    <w:rsid w:val="504000AD"/>
    <w:rsid w:val="50487AB0"/>
    <w:rsid w:val="50630D8E"/>
    <w:rsid w:val="509D0872"/>
    <w:rsid w:val="50AC653E"/>
    <w:rsid w:val="50EF2239"/>
    <w:rsid w:val="50FE2F0E"/>
    <w:rsid w:val="512B2187"/>
    <w:rsid w:val="513A6FDB"/>
    <w:rsid w:val="51631915"/>
    <w:rsid w:val="5214587F"/>
    <w:rsid w:val="523A4C08"/>
    <w:rsid w:val="52687B43"/>
    <w:rsid w:val="52E52950"/>
    <w:rsid w:val="53590226"/>
    <w:rsid w:val="535D33A7"/>
    <w:rsid w:val="53825708"/>
    <w:rsid w:val="538D40C4"/>
    <w:rsid w:val="540762D1"/>
    <w:rsid w:val="5440688F"/>
    <w:rsid w:val="54512FB6"/>
    <w:rsid w:val="546B11A7"/>
    <w:rsid w:val="54C26F7D"/>
    <w:rsid w:val="555D7306"/>
    <w:rsid w:val="55DA38A0"/>
    <w:rsid w:val="55FF4E3B"/>
    <w:rsid w:val="56204B57"/>
    <w:rsid w:val="56D7501F"/>
    <w:rsid w:val="570C3ED0"/>
    <w:rsid w:val="5739535F"/>
    <w:rsid w:val="574F0329"/>
    <w:rsid w:val="578C795E"/>
    <w:rsid w:val="580009B1"/>
    <w:rsid w:val="58024A68"/>
    <w:rsid w:val="5863721F"/>
    <w:rsid w:val="58712EA8"/>
    <w:rsid w:val="58DA2F36"/>
    <w:rsid w:val="5ADD34EB"/>
    <w:rsid w:val="5AED202C"/>
    <w:rsid w:val="5B037C89"/>
    <w:rsid w:val="5B533335"/>
    <w:rsid w:val="5B5A5C7F"/>
    <w:rsid w:val="5B684656"/>
    <w:rsid w:val="5B8F0C89"/>
    <w:rsid w:val="5C05719D"/>
    <w:rsid w:val="5C497BCF"/>
    <w:rsid w:val="5C6A5252"/>
    <w:rsid w:val="5C921410"/>
    <w:rsid w:val="5CC86A12"/>
    <w:rsid w:val="5CE13766"/>
    <w:rsid w:val="5CEB0141"/>
    <w:rsid w:val="5D0F3092"/>
    <w:rsid w:val="5D117EF1"/>
    <w:rsid w:val="5E7F07B7"/>
    <w:rsid w:val="5E9E2C02"/>
    <w:rsid w:val="5EA14247"/>
    <w:rsid w:val="5ED06160"/>
    <w:rsid w:val="5FA25C8E"/>
    <w:rsid w:val="5FB057A0"/>
    <w:rsid w:val="6013408A"/>
    <w:rsid w:val="602C0351"/>
    <w:rsid w:val="60791F08"/>
    <w:rsid w:val="6088127E"/>
    <w:rsid w:val="60A51EE2"/>
    <w:rsid w:val="60C018E5"/>
    <w:rsid w:val="61AE3ACF"/>
    <w:rsid w:val="61C7729B"/>
    <w:rsid w:val="61EF5016"/>
    <w:rsid w:val="62E95123"/>
    <w:rsid w:val="62ED0F14"/>
    <w:rsid w:val="6317625B"/>
    <w:rsid w:val="635A5648"/>
    <w:rsid w:val="636779FC"/>
    <w:rsid w:val="64162A6C"/>
    <w:rsid w:val="64601415"/>
    <w:rsid w:val="646C71BF"/>
    <w:rsid w:val="65415A39"/>
    <w:rsid w:val="658F2C3D"/>
    <w:rsid w:val="65B1600E"/>
    <w:rsid w:val="65BA4437"/>
    <w:rsid w:val="661D3F3A"/>
    <w:rsid w:val="66275E2B"/>
    <w:rsid w:val="66AD1DE0"/>
    <w:rsid w:val="67242BCD"/>
    <w:rsid w:val="67795B23"/>
    <w:rsid w:val="67DF59B7"/>
    <w:rsid w:val="6814235A"/>
    <w:rsid w:val="682E5736"/>
    <w:rsid w:val="68485319"/>
    <w:rsid w:val="68DC4C9A"/>
    <w:rsid w:val="6900125F"/>
    <w:rsid w:val="692516D9"/>
    <w:rsid w:val="69D65CD5"/>
    <w:rsid w:val="69F64622"/>
    <w:rsid w:val="6A4B4687"/>
    <w:rsid w:val="6A7C288B"/>
    <w:rsid w:val="6A814302"/>
    <w:rsid w:val="6B195AC4"/>
    <w:rsid w:val="6B7B2FD8"/>
    <w:rsid w:val="6C2B71B1"/>
    <w:rsid w:val="6C375DA9"/>
    <w:rsid w:val="6D3F5FA4"/>
    <w:rsid w:val="6D5E495F"/>
    <w:rsid w:val="6DBF48FD"/>
    <w:rsid w:val="6E0A0FA0"/>
    <w:rsid w:val="6E197145"/>
    <w:rsid w:val="6E8C1058"/>
    <w:rsid w:val="6E9E4671"/>
    <w:rsid w:val="6F327F0C"/>
    <w:rsid w:val="706F4A1F"/>
    <w:rsid w:val="70C0123E"/>
    <w:rsid w:val="70D23A89"/>
    <w:rsid w:val="70DC15DB"/>
    <w:rsid w:val="713C16A8"/>
    <w:rsid w:val="71850E38"/>
    <w:rsid w:val="71AA0A45"/>
    <w:rsid w:val="7256411B"/>
    <w:rsid w:val="72BB1C9A"/>
    <w:rsid w:val="73912327"/>
    <w:rsid w:val="73B76A6C"/>
    <w:rsid w:val="73EF1DB4"/>
    <w:rsid w:val="742524FA"/>
    <w:rsid w:val="74524214"/>
    <w:rsid w:val="74991FC7"/>
    <w:rsid w:val="749D5D6D"/>
    <w:rsid w:val="74D6127F"/>
    <w:rsid w:val="751212D8"/>
    <w:rsid w:val="75B6550E"/>
    <w:rsid w:val="76580B4A"/>
    <w:rsid w:val="765B5EE0"/>
    <w:rsid w:val="769413F2"/>
    <w:rsid w:val="77550675"/>
    <w:rsid w:val="77C77C2F"/>
    <w:rsid w:val="77CE4C30"/>
    <w:rsid w:val="77EB111C"/>
    <w:rsid w:val="781D5773"/>
    <w:rsid w:val="78646B81"/>
    <w:rsid w:val="788B2CA4"/>
    <w:rsid w:val="79197B6B"/>
    <w:rsid w:val="79442A9D"/>
    <w:rsid w:val="7A4F7D09"/>
    <w:rsid w:val="7A92798C"/>
    <w:rsid w:val="7AD002CC"/>
    <w:rsid w:val="7B1C44EF"/>
    <w:rsid w:val="7B324FCA"/>
    <w:rsid w:val="7BA43E85"/>
    <w:rsid w:val="7C643231"/>
    <w:rsid w:val="7CAA50B8"/>
    <w:rsid w:val="7D9121E7"/>
    <w:rsid w:val="7DA46503"/>
    <w:rsid w:val="7EC02D84"/>
    <w:rsid w:val="7EE143AA"/>
    <w:rsid w:val="7F136352"/>
    <w:rsid w:val="7F427EA1"/>
    <w:rsid w:val="7FE749B8"/>
    <w:rsid w:val="7FE80242"/>
    <w:rsid w:val="7FF47A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3"/>
    <w:link w:val="51"/>
    <w:qFormat/>
    <w:uiPriority w:val="0"/>
    <w:pPr>
      <w:keepNext/>
      <w:widowControl/>
      <w:numPr>
        <w:ilvl w:val="0"/>
        <w:numId w:val="1"/>
      </w:numPr>
      <w:jc w:val="center"/>
      <w:outlineLvl w:val="0"/>
    </w:pPr>
    <w:rPr>
      <w:rFonts w:ascii="黑体" w:eastAsia="黑体"/>
      <w:kern w:val="0"/>
      <w:sz w:val="52"/>
      <w:szCs w:val="20"/>
    </w:rPr>
  </w:style>
  <w:style w:type="paragraph" w:styleId="4">
    <w:name w:val="heading 2"/>
    <w:basedOn w:val="1"/>
    <w:next w:val="1"/>
    <w:qFormat/>
    <w:uiPriority w:val="0"/>
    <w:pPr>
      <w:keepNext/>
      <w:keepLines/>
      <w:widowControl/>
      <w:spacing w:before="260" w:beforeLines="0" w:after="260" w:afterLines="0" w:line="413" w:lineRule="auto"/>
      <w:jc w:val="center"/>
      <w:outlineLvl w:val="1"/>
    </w:pPr>
    <w:rPr>
      <w:rFonts w:ascii="Arial" w:hAnsi="Arial" w:eastAsia="黑体"/>
      <w:b/>
      <w:kern w:val="0"/>
      <w:sz w:val="44"/>
      <w:szCs w:val="20"/>
    </w:rPr>
  </w:style>
  <w:style w:type="paragraph" w:styleId="5">
    <w:name w:val="heading 3"/>
    <w:basedOn w:val="1"/>
    <w:next w:val="6"/>
    <w:link w:val="45"/>
    <w:qFormat/>
    <w:uiPriority w:val="0"/>
    <w:pPr>
      <w:keepNext/>
      <w:keepLines/>
      <w:widowControl/>
      <w:numPr>
        <w:ilvl w:val="2"/>
        <w:numId w:val="1"/>
      </w:numPr>
      <w:spacing w:before="120" w:after="120" w:line="360" w:lineRule="auto"/>
      <w:jc w:val="center"/>
      <w:outlineLvl w:val="2"/>
    </w:pPr>
    <w:rPr>
      <w:rFonts w:eastAsia="宋体"/>
      <w:b/>
      <w:sz w:val="32"/>
      <w:lang w:val="en-US" w:eastAsia="zh-CN" w:bidi="ar-SA"/>
    </w:rPr>
  </w:style>
  <w:style w:type="paragraph" w:styleId="7">
    <w:name w:val="heading 4"/>
    <w:basedOn w:val="1"/>
    <w:next w:val="1"/>
    <w:qFormat/>
    <w:uiPriority w:val="0"/>
    <w:pPr>
      <w:keepNext/>
      <w:keepLines/>
      <w:widowControl/>
      <w:spacing w:before="120" w:beforeLines="0" w:after="120" w:afterLines="0" w:line="360" w:lineRule="auto"/>
      <w:jc w:val="center"/>
      <w:outlineLvl w:val="3"/>
    </w:pPr>
    <w:rPr>
      <w:rFonts w:ascii="Arial" w:hAnsi="Arial" w:eastAsia="黑体"/>
      <w:kern w:val="0"/>
      <w:sz w:val="28"/>
      <w:szCs w:val="20"/>
    </w:rPr>
  </w:style>
  <w:style w:type="paragraph" w:styleId="8">
    <w:name w:val="heading 5"/>
    <w:basedOn w:val="1"/>
    <w:next w:val="1"/>
    <w:qFormat/>
    <w:uiPriority w:val="0"/>
    <w:pPr>
      <w:keepNext/>
      <w:keepLines/>
      <w:widowControl/>
      <w:spacing w:before="120" w:beforeLines="0" w:after="120" w:afterLines="0" w:line="360" w:lineRule="auto"/>
      <w:ind w:firstLine="499"/>
      <w:jc w:val="left"/>
      <w:outlineLvl w:val="4"/>
    </w:pPr>
    <w:rPr>
      <w:rFonts w:ascii="宋体" w:hAnsi="宋体"/>
      <w:b/>
      <w:kern w:val="0"/>
      <w:sz w:val="24"/>
      <w:szCs w:val="20"/>
    </w:rPr>
  </w:style>
  <w:style w:type="paragraph" w:styleId="9">
    <w:name w:val="heading 6"/>
    <w:basedOn w:val="1"/>
    <w:next w:val="1"/>
    <w:qFormat/>
    <w:uiPriority w:val="0"/>
    <w:pPr>
      <w:keepNext/>
      <w:keepLines/>
      <w:widowControl/>
      <w:numPr>
        <w:ilvl w:val="5"/>
        <w:numId w:val="1"/>
      </w:numPr>
      <w:spacing w:before="240" w:beforeLines="0" w:after="64" w:afterLines="0" w:line="317" w:lineRule="auto"/>
      <w:jc w:val="left"/>
      <w:outlineLvl w:val="5"/>
    </w:pPr>
    <w:rPr>
      <w:rFonts w:ascii="Arial" w:hAnsi="Arial" w:eastAsia="黑体"/>
      <w:b/>
      <w:bCs/>
      <w:kern w:val="0"/>
      <w:sz w:val="24"/>
    </w:rPr>
  </w:style>
  <w:style w:type="paragraph" w:styleId="10">
    <w:name w:val="heading 7"/>
    <w:basedOn w:val="1"/>
    <w:next w:val="1"/>
    <w:qFormat/>
    <w:uiPriority w:val="0"/>
    <w:pPr>
      <w:keepNext/>
      <w:keepLines/>
      <w:widowControl/>
      <w:numPr>
        <w:ilvl w:val="6"/>
        <w:numId w:val="1"/>
      </w:numPr>
      <w:spacing w:before="240" w:beforeLines="0" w:after="64" w:afterLines="0" w:line="317" w:lineRule="auto"/>
      <w:jc w:val="left"/>
      <w:outlineLvl w:val="6"/>
    </w:pPr>
    <w:rPr>
      <w:b/>
      <w:bCs/>
      <w:kern w:val="0"/>
      <w:sz w:val="24"/>
    </w:rPr>
  </w:style>
  <w:style w:type="paragraph" w:styleId="11">
    <w:name w:val="heading 8"/>
    <w:basedOn w:val="1"/>
    <w:next w:val="1"/>
    <w:qFormat/>
    <w:uiPriority w:val="0"/>
    <w:pPr>
      <w:keepNext/>
      <w:keepLines/>
      <w:widowControl/>
      <w:numPr>
        <w:ilvl w:val="7"/>
        <w:numId w:val="1"/>
      </w:numPr>
      <w:spacing w:before="240" w:beforeLines="0" w:after="64" w:afterLines="0" w:line="317" w:lineRule="auto"/>
      <w:jc w:val="left"/>
      <w:outlineLvl w:val="7"/>
    </w:pPr>
    <w:rPr>
      <w:rFonts w:ascii="Arial" w:hAnsi="Arial" w:eastAsia="黑体"/>
      <w:kern w:val="0"/>
      <w:sz w:val="24"/>
    </w:rPr>
  </w:style>
  <w:style w:type="paragraph" w:styleId="12">
    <w:name w:val="heading 9"/>
    <w:basedOn w:val="1"/>
    <w:next w:val="1"/>
    <w:qFormat/>
    <w:uiPriority w:val="0"/>
    <w:pPr>
      <w:keepNext/>
      <w:keepLines/>
      <w:widowControl/>
      <w:numPr>
        <w:ilvl w:val="8"/>
        <w:numId w:val="1"/>
      </w:numPr>
      <w:spacing w:before="240" w:beforeLines="0" w:after="64" w:afterLines="0" w:line="317" w:lineRule="auto"/>
      <w:jc w:val="left"/>
      <w:outlineLvl w:val="8"/>
    </w:pPr>
    <w:rPr>
      <w:rFonts w:ascii="Arial" w:hAnsi="Arial" w:eastAsia="黑体"/>
      <w:kern w:val="0"/>
      <w:szCs w:val="21"/>
    </w:rPr>
  </w:style>
  <w:style w:type="character" w:default="1" w:styleId="40">
    <w:name w:val="Default Paragraph Font"/>
    <w:qFormat/>
    <w:uiPriority w:val="0"/>
  </w:style>
  <w:style w:type="table" w:default="1" w:styleId="38">
    <w:name w:val="Normal Table"/>
    <w:semiHidden/>
    <w:qFormat/>
    <w:uiPriority w:val="0"/>
    <w:pPr>
      <w:keepNext w:val="0"/>
      <w:keepLines w:val="0"/>
      <w:widowControl/>
      <w:suppressLineNumbers w:val="0"/>
      <w:spacing w:before="0" w:beforeAutospacing="0" w:after="0" w:afterAutospacing="0"/>
      <w:ind w:left="0" w:right="0"/>
    </w:pPr>
    <w:rPr>
      <w:rFonts w:ascii="Calibri" w:hAnsi="Calibri" w:cs="Calibri"/>
      <w:kern w:val="2"/>
      <w:sz w:val="21"/>
      <w:szCs w:val="22"/>
    </w:rPr>
    <w:tblPr>
      <w:tblCellMar>
        <w:top w:w="0" w:type="dxa"/>
        <w:left w:w="108" w:type="dxa"/>
        <w:bottom w:w="0" w:type="dxa"/>
        <w:right w:w="108" w:type="dxa"/>
      </w:tblCellMar>
    </w:tblPr>
  </w:style>
  <w:style w:type="paragraph" w:customStyle="1" w:styleId="3">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Normal Indent"/>
    <w:basedOn w:val="1"/>
    <w:link w:val="46"/>
    <w:qFormat/>
    <w:uiPriority w:val="0"/>
    <w:pPr>
      <w:ind w:firstLine="420" w:firstLineChars="200"/>
    </w:pPr>
  </w:style>
  <w:style w:type="paragraph" w:styleId="13">
    <w:name w:val="toc 7"/>
    <w:basedOn w:val="1"/>
    <w:next w:val="1"/>
    <w:qFormat/>
    <w:uiPriority w:val="0"/>
    <w:pPr>
      <w:ind w:left="1260"/>
      <w:jc w:val="left"/>
    </w:pPr>
    <w:rPr>
      <w:sz w:val="18"/>
      <w:szCs w:val="18"/>
    </w:rPr>
  </w:style>
  <w:style w:type="paragraph" w:styleId="14">
    <w:name w:val="annotation text"/>
    <w:basedOn w:val="1"/>
    <w:qFormat/>
    <w:uiPriority w:val="0"/>
    <w:pPr>
      <w:adjustRightInd w:val="0"/>
      <w:spacing w:line="360" w:lineRule="atLeast"/>
      <w:jc w:val="left"/>
      <w:textAlignment w:val="baseline"/>
    </w:pPr>
    <w:rPr>
      <w:kern w:val="0"/>
      <w:sz w:val="24"/>
      <w:szCs w:val="20"/>
    </w:rPr>
  </w:style>
  <w:style w:type="paragraph" w:styleId="15">
    <w:name w:val="Body Text"/>
    <w:basedOn w:val="1"/>
    <w:qFormat/>
    <w:uiPriority w:val="0"/>
    <w:pPr>
      <w:widowControl/>
      <w:spacing w:after="120" w:afterLines="0"/>
      <w:jc w:val="left"/>
    </w:pPr>
    <w:rPr>
      <w:kern w:val="0"/>
      <w:sz w:val="20"/>
      <w:szCs w:val="20"/>
    </w:rPr>
  </w:style>
  <w:style w:type="paragraph" w:styleId="16">
    <w:name w:val="Body Text Indent"/>
    <w:basedOn w:val="1"/>
    <w:next w:val="1"/>
    <w:qFormat/>
    <w:uiPriority w:val="0"/>
    <w:pPr>
      <w:widowControl/>
      <w:overflowPunct w:val="0"/>
      <w:autoSpaceDE w:val="0"/>
      <w:autoSpaceDN w:val="0"/>
      <w:adjustRightInd w:val="0"/>
      <w:spacing w:line="360" w:lineRule="auto"/>
      <w:ind w:firstLine="540"/>
      <w:textAlignment w:val="baseline"/>
    </w:pPr>
    <w:rPr>
      <w:rFonts w:ascii="宋体" w:hAnsi="MS Sans Serif"/>
      <w:spacing w:val="12"/>
      <w:kern w:val="0"/>
      <w:sz w:val="24"/>
      <w:szCs w:val="20"/>
    </w:rPr>
  </w:style>
  <w:style w:type="paragraph" w:styleId="17">
    <w:name w:val="toc 5"/>
    <w:basedOn w:val="1"/>
    <w:next w:val="1"/>
    <w:qFormat/>
    <w:uiPriority w:val="0"/>
    <w:pPr>
      <w:ind w:left="840"/>
      <w:jc w:val="left"/>
    </w:pPr>
    <w:rPr>
      <w:sz w:val="18"/>
      <w:szCs w:val="18"/>
    </w:rPr>
  </w:style>
  <w:style w:type="paragraph" w:styleId="18">
    <w:name w:val="toc 3"/>
    <w:basedOn w:val="1"/>
    <w:next w:val="1"/>
    <w:qFormat/>
    <w:uiPriority w:val="0"/>
    <w:pPr>
      <w:ind w:left="420"/>
      <w:jc w:val="left"/>
    </w:pPr>
    <w:rPr>
      <w:i/>
      <w:iCs/>
      <w:sz w:val="20"/>
      <w:szCs w:val="20"/>
    </w:rPr>
  </w:style>
  <w:style w:type="paragraph" w:styleId="19">
    <w:name w:val="Plain Text"/>
    <w:basedOn w:val="3"/>
    <w:link w:val="47"/>
    <w:qFormat/>
    <w:uiPriority w:val="99"/>
    <w:rPr>
      <w:rFonts w:ascii="宋体" w:hAnsi="Courier New" w:eastAsia="宋体" w:cs="Courier New"/>
      <w:kern w:val="2"/>
      <w:sz w:val="21"/>
      <w:szCs w:val="21"/>
      <w:lang w:val="en-US" w:eastAsia="zh-CN" w:bidi="ar-SA"/>
    </w:rPr>
  </w:style>
  <w:style w:type="paragraph" w:styleId="20">
    <w:name w:val="toc 8"/>
    <w:basedOn w:val="1"/>
    <w:next w:val="1"/>
    <w:qFormat/>
    <w:uiPriority w:val="0"/>
    <w:pPr>
      <w:ind w:left="1470"/>
      <w:jc w:val="left"/>
    </w:pPr>
    <w:rPr>
      <w:sz w:val="18"/>
      <w:szCs w:val="18"/>
    </w:rPr>
  </w:style>
  <w:style w:type="paragraph" w:styleId="21">
    <w:name w:val="Date"/>
    <w:basedOn w:val="1"/>
    <w:next w:val="1"/>
    <w:qFormat/>
    <w:uiPriority w:val="0"/>
    <w:pPr>
      <w:ind w:left="100" w:leftChars="2500"/>
    </w:pPr>
    <w:rPr>
      <w:rFonts w:ascii="宋体" w:hAnsi="宋体"/>
      <w:sz w:val="28"/>
      <w:szCs w:val="20"/>
    </w:rPr>
  </w:style>
  <w:style w:type="paragraph" w:styleId="22">
    <w:name w:val="Body Text Indent 2"/>
    <w:basedOn w:val="1"/>
    <w:qFormat/>
    <w:uiPriority w:val="0"/>
    <w:pPr>
      <w:spacing w:after="120" w:afterLines="0" w:line="480" w:lineRule="auto"/>
      <w:ind w:left="420" w:leftChars="200"/>
    </w:pPr>
  </w:style>
  <w:style w:type="paragraph" w:styleId="23">
    <w:name w:val="Balloon Text"/>
    <w:basedOn w:val="1"/>
    <w:qFormat/>
    <w:uiPriority w:val="0"/>
    <w:rPr>
      <w:sz w:val="18"/>
      <w:szCs w:val="18"/>
    </w:rPr>
  </w:style>
  <w:style w:type="paragraph" w:styleId="24">
    <w:name w:val="footer"/>
    <w:basedOn w:val="1"/>
    <w:qFormat/>
    <w:uiPriority w:val="0"/>
    <w:pPr>
      <w:tabs>
        <w:tab w:val="center" w:pos="4153"/>
        <w:tab w:val="right" w:pos="8306"/>
      </w:tabs>
      <w:snapToGrid w:val="0"/>
      <w:jc w:val="left"/>
    </w:pPr>
    <w:rPr>
      <w:sz w:val="18"/>
      <w:szCs w:val="18"/>
    </w:rPr>
  </w:style>
  <w:style w:type="paragraph" w:styleId="25">
    <w:name w:val="header"/>
    <w:basedOn w:val="1"/>
    <w:link w:val="48"/>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pPr>
      <w:tabs>
        <w:tab w:val="right" w:leader="dot" w:pos="9061"/>
      </w:tabs>
      <w:spacing w:before="120" w:beforeLines="0" w:after="120" w:afterLines="0"/>
      <w:ind w:firstLine="420" w:firstLineChars="200"/>
      <w:jc w:val="left"/>
    </w:pPr>
    <w:rPr>
      <w:rFonts w:ascii="宋体" w:hAnsi="宋体"/>
      <w:bCs/>
      <w:caps/>
      <w:szCs w:val="21"/>
    </w:rPr>
  </w:style>
  <w:style w:type="paragraph" w:styleId="27">
    <w:name w:val="toc 4"/>
    <w:basedOn w:val="1"/>
    <w:next w:val="1"/>
    <w:qFormat/>
    <w:uiPriority w:val="0"/>
    <w:pPr>
      <w:ind w:left="630"/>
      <w:jc w:val="left"/>
    </w:pPr>
    <w:rPr>
      <w:sz w:val="18"/>
      <w:szCs w:val="18"/>
    </w:rPr>
  </w:style>
  <w:style w:type="paragraph" w:styleId="28">
    <w:name w:val="footnote text"/>
    <w:basedOn w:val="1"/>
    <w:qFormat/>
    <w:uiPriority w:val="0"/>
    <w:pPr>
      <w:adjustRightInd w:val="0"/>
      <w:spacing w:line="312" w:lineRule="atLeast"/>
      <w:jc w:val="left"/>
      <w:textAlignment w:val="baseline"/>
    </w:pPr>
    <w:rPr>
      <w:kern w:val="0"/>
      <w:sz w:val="18"/>
      <w:szCs w:val="20"/>
    </w:rPr>
  </w:style>
  <w:style w:type="paragraph" w:styleId="29">
    <w:name w:val="toc 6"/>
    <w:basedOn w:val="1"/>
    <w:next w:val="1"/>
    <w:qFormat/>
    <w:uiPriority w:val="0"/>
    <w:pPr>
      <w:ind w:left="1050"/>
      <w:jc w:val="left"/>
    </w:pPr>
    <w:rPr>
      <w:sz w:val="18"/>
      <w:szCs w:val="18"/>
    </w:rPr>
  </w:style>
  <w:style w:type="paragraph" w:styleId="30">
    <w:name w:val="Body Text Indent 3"/>
    <w:basedOn w:val="1"/>
    <w:qFormat/>
    <w:uiPriority w:val="0"/>
    <w:pPr>
      <w:spacing w:after="120"/>
      <w:ind w:left="420" w:leftChars="200"/>
    </w:pPr>
    <w:rPr>
      <w:sz w:val="16"/>
      <w:szCs w:val="16"/>
    </w:rPr>
  </w:style>
  <w:style w:type="paragraph" w:styleId="31">
    <w:name w:val="toc 2"/>
    <w:basedOn w:val="1"/>
    <w:next w:val="1"/>
    <w:qFormat/>
    <w:uiPriority w:val="0"/>
    <w:pPr>
      <w:ind w:left="210"/>
      <w:jc w:val="left"/>
    </w:pPr>
    <w:rPr>
      <w:smallCaps/>
      <w:sz w:val="20"/>
      <w:szCs w:val="20"/>
    </w:rPr>
  </w:style>
  <w:style w:type="paragraph" w:styleId="32">
    <w:name w:val="toc 9"/>
    <w:basedOn w:val="1"/>
    <w:next w:val="1"/>
    <w:qFormat/>
    <w:uiPriority w:val="0"/>
    <w:pPr>
      <w:ind w:left="1680"/>
      <w:jc w:val="left"/>
    </w:pPr>
    <w:rPr>
      <w:sz w:val="18"/>
      <w:szCs w:val="18"/>
    </w:rPr>
  </w:style>
  <w:style w:type="paragraph" w:styleId="33">
    <w:name w:val="Body Text 2"/>
    <w:basedOn w:val="1"/>
    <w:link w:val="49"/>
    <w:qFormat/>
    <w:uiPriority w:val="0"/>
    <w:pPr>
      <w:spacing w:after="120" w:line="480" w:lineRule="auto"/>
    </w:pPr>
  </w:style>
  <w:style w:type="paragraph" w:styleId="3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5">
    <w:name w:val="Normal (Web)"/>
    <w:basedOn w:val="1"/>
    <w:qFormat/>
    <w:uiPriority w:val="99"/>
    <w:pPr>
      <w:widowControl/>
      <w:spacing w:before="100" w:beforeAutospacing="1" w:after="100" w:afterAutospacing="1"/>
      <w:jc w:val="left"/>
    </w:pPr>
    <w:rPr>
      <w:rFonts w:hint="eastAsia" w:ascii="宋体" w:hAnsi="宋体"/>
      <w:kern w:val="0"/>
      <w:sz w:val="24"/>
      <w:szCs w:val="20"/>
    </w:rPr>
  </w:style>
  <w:style w:type="paragraph" w:styleId="36">
    <w:name w:val="Title"/>
    <w:basedOn w:val="1"/>
    <w:next w:val="1"/>
    <w:link w:val="50"/>
    <w:qFormat/>
    <w:uiPriority w:val="0"/>
    <w:pPr>
      <w:widowControl/>
      <w:spacing w:before="240" w:beforeLines="0" w:after="60" w:afterLines="0"/>
      <w:jc w:val="center"/>
      <w:outlineLvl w:val="0"/>
    </w:pPr>
    <w:rPr>
      <w:rFonts w:ascii="Arial" w:hAnsi="Arial" w:eastAsia="宋体" w:cs="Arial"/>
      <w:b/>
      <w:bCs/>
      <w:sz w:val="44"/>
      <w:szCs w:val="32"/>
      <w:lang w:val="en-US" w:eastAsia="zh-CN" w:bidi="ar-SA"/>
    </w:rPr>
  </w:style>
  <w:style w:type="paragraph" w:styleId="37">
    <w:name w:val="Body Text First Indent 2"/>
    <w:basedOn w:val="16"/>
    <w:next w:val="1"/>
    <w:unhideWhenUsed/>
    <w:qFormat/>
    <w:uiPriority w:val="99"/>
    <w:pPr>
      <w:tabs>
        <w:tab w:val="left" w:pos="900"/>
      </w:tabs>
      <w:ind w:firstLine="420" w:firstLineChars="200"/>
    </w:pPr>
  </w:style>
  <w:style w:type="table" w:styleId="39">
    <w:name w:val="Table Grid"/>
    <w:basedOn w:val="3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basedOn w:val="40"/>
    <w:qFormat/>
    <w:uiPriority w:val="22"/>
    <w:rPr>
      <w:b/>
      <w:bCs/>
    </w:rPr>
  </w:style>
  <w:style w:type="character" w:styleId="42">
    <w:name w:val="page number"/>
    <w:qFormat/>
    <w:uiPriority w:val="0"/>
  </w:style>
  <w:style w:type="character" w:styleId="43">
    <w:name w:val="Hyperlink"/>
    <w:qFormat/>
    <w:uiPriority w:val="0"/>
    <w:rPr>
      <w:color w:val="0000FF"/>
      <w:u w:val="single"/>
    </w:rPr>
  </w:style>
  <w:style w:type="character" w:customStyle="1" w:styleId="44">
    <w:name w:val="标题 1 字符"/>
    <w:link w:val="2"/>
    <w:qFormat/>
    <w:uiPriority w:val="0"/>
    <w:rPr>
      <w:rFonts w:ascii="黑体" w:eastAsia="黑体"/>
      <w:sz w:val="52"/>
      <w:lang w:val="en-US" w:eastAsia="zh-CN" w:bidi="ar-SA"/>
    </w:rPr>
  </w:style>
  <w:style w:type="character" w:customStyle="1" w:styleId="45">
    <w:name w:val="标题 3 字符"/>
    <w:link w:val="5"/>
    <w:qFormat/>
    <w:uiPriority w:val="0"/>
    <w:rPr>
      <w:rFonts w:eastAsia="宋体"/>
      <w:b/>
      <w:kern w:val="2"/>
      <w:sz w:val="32"/>
      <w:szCs w:val="24"/>
      <w:lang w:val="en-US" w:eastAsia="zh-CN" w:bidi="ar-SA"/>
    </w:rPr>
  </w:style>
  <w:style w:type="character" w:customStyle="1" w:styleId="46">
    <w:name w:val="正文缩进 字符"/>
    <w:link w:val="6"/>
    <w:qFormat/>
    <w:uiPriority w:val="0"/>
    <w:rPr>
      <w:rFonts w:eastAsia="宋体"/>
      <w:kern w:val="2"/>
      <w:sz w:val="21"/>
      <w:szCs w:val="24"/>
      <w:lang w:val="en-US" w:eastAsia="zh-CN" w:bidi="ar-SA"/>
    </w:rPr>
  </w:style>
  <w:style w:type="character" w:customStyle="1" w:styleId="47">
    <w:name w:val="纯文本 字符"/>
    <w:link w:val="19"/>
    <w:qFormat/>
    <w:uiPriority w:val="99"/>
    <w:rPr>
      <w:rFonts w:ascii="宋体" w:hAnsi="Courier New" w:eastAsia="宋体" w:cs="Courier New"/>
      <w:kern w:val="2"/>
      <w:sz w:val="21"/>
      <w:szCs w:val="21"/>
      <w:lang w:val="en-US" w:eastAsia="zh-CN" w:bidi="ar-SA"/>
    </w:rPr>
  </w:style>
  <w:style w:type="character" w:customStyle="1" w:styleId="48">
    <w:name w:val="页眉 字符"/>
    <w:link w:val="25"/>
    <w:qFormat/>
    <w:uiPriority w:val="99"/>
    <w:rPr>
      <w:rFonts w:eastAsia="宋体"/>
      <w:kern w:val="2"/>
      <w:sz w:val="18"/>
      <w:szCs w:val="18"/>
      <w:lang w:val="en-US" w:eastAsia="zh-CN" w:bidi="ar-SA"/>
    </w:rPr>
  </w:style>
  <w:style w:type="character" w:customStyle="1" w:styleId="49">
    <w:name w:val="正文文本 2 字符"/>
    <w:link w:val="33"/>
    <w:qFormat/>
    <w:uiPriority w:val="0"/>
    <w:rPr>
      <w:kern w:val="2"/>
      <w:sz w:val="21"/>
      <w:szCs w:val="24"/>
    </w:rPr>
  </w:style>
  <w:style w:type="character" w:customStyle="1" w:styleId="50">
    <w:name w:val="标题 字符"/>
    <w:link w:val="36"/>
    <w:qFormat/>
    <w:uiPriority w:val="0"/>
    <w:rPr>
      <w:rFonts w:ascii="Arial" w:hAnsi="Arial" w:eastAsia="宋体" w:cs="Arial"/>
      <w:b/>
      <w:bCs/>
      <w:sz w:val="44"/>
      <w:szCs w:val="32"/>
      <w:lang w:val="en-US" w:eastAsia="zh-CN" w:bidi="ar-SA"/>
    </w:rPr>
  </w:style>
  <w:style w:type="character" w:customStyle="1" w:styleId="51">
    <w:name w:val="标题 1 Char"/>
    <w:link w:val="2"/>
    <w:qFormat/>
    <w:uiPriority w:val="0"/>
    <w:rPr>
      <w:b/>
      <w:kern w:val="44"/>
      <w:sz w:val="44"/>
    </w:rPr>
  </w:style>
  <w:style w:type="character" w:customStyle="1" w:styleId="52">
    <w:name w:val="普通文字 Char1"/>
    <w:qFormat/>
    <w:uiPriority w:val="0"/>
    <w:rPr>
      <w:rFonts w:ascii="宋体" w:hAnsi="Courier New" w:eastAsia="宋体"/>
      <w:kern w:val="2"/>
      <w:sz w:val="21"/>
      <w:lang w:val="en-US" w:eastAsia="zh-CN"/>
    </w:rPr>
  </w:style>
  <w:style w:type="character" w:customStyle="1" w:styleId="53">
    <w:name w:val="超链接_0"/>
    <w:basedOn w:val="40"/>
    <w:unhideWhenUsed/>
    <w:qFormat/>
    <w:uiPriority w:val="99"/>
    <w:rPr>
      <w:color w:val="0000FF"/>
      <w:u w:val="single"/>
    </w:rPr>
  </w:style>
  <w:style w:type="character" w:customStyle="1" w:styleId="54">
    <w:name w:val="font51"/>
    <w:qFormat/>
    <w:uiPriority w:val="0"/>
    <w:rPr>
      <w:rFonts w:hint="eastAsia" w:ascii="宋体" w:hAnsi="宋体" w:eastAsia="宋体" w:cs="宋体"/>
      <w:color w:val="FF0000"/>
      <w:sz w:val="24"/>
      <w:szCs w:val="24"/>
      <w:u w:val="none"/>
    </w:rPr>
  </w:style>
  <w:style w:type="character" w:customStyle="1" w:styleId="55">
    <w:name w:val="g1481"/>
    <w:qFormat/>
    <w:uiPriority w:val="0"/>
    <w:rPr>
      <w:color w:val="5F897B"/>
      <w:sz w:val="22"/>
    </w:rPr>
  </w:style>
  <w:style w:type="character" w:customStyle="1" w:styleId="56">
    <w:name w:val="Char Char1"/>
    <w:qFormat/>
    <w:uiPriority w:val="0"/>
    <w:rPr>
      <w:rFonts w:eastAsia="宋体"/>
      <w:b/>
      <w:sz w:val="32"/>
      <w:lang w:val="en-US" w:eastAsia="zh-CN" w:bidi="ar-SA"/>
    </w:rPr>
  </w:style>
  <w:style w:type="character" w:customStyle="1" w:styleId="57">
    <w:name w:val="纯文本 Char1"/>
    <w:qFormat/>
    <w:uiPriority w:val="0"/>
    <w:rPr>
      <w:rFonts w:ascii="宋体" w:hAnsi="Courier New" w:eastAsia="宋体"/>
      <w:kern w:val="2"/>
      <w:sz w:val="21"/>
      <w:lang w:val="en-US" w:eastAsia="zh-CN" w:bidi="ar-SA"/>
    </w:rPr>
  </w:style>
  <w:style w:type="paragraph" w:customStyle="1" w:styleId="58">
    <w:name w:val="默认段落字体 Para Char"/>
    <w:basedOn w:val="1"/>
    <w:qFormat/>
    <w:uiPriority w:val="0"/>
    <w:rPr>
      <w:rFonts w:ascii="Tahoma" w:hAnsi="Tahoma"/>
      <w:sz w:val="24"/>
      <w:szCs w:val="20"/>
    </w:rPr>
  </w:style>
  <w:style w:type="paragraph" w:customStyle="1" w:styleId="59">
    <w:name w:val="样式1"/>
    <w:basedOn w:val="1"/>
    <w:qFormat/>
    <w:uiPriority w:val="0"/>
    <w:pPr>
      <w:spacing w:before="120" w:beforeLines="0" w:after="120" w:afterLines="0" w:line="300" w:lineRule="auto"/>
    </w:pPr>
    <w:rPr>
      <w:rFonts w:ascii="宋体" w:hAnsi="宋体"/>
      <w:b/>
      <w:sz w:val="24"/>
      <w:szCs w:val="20"/>
    </w:rPr>
  </w:style>
  <w:style w:type="paragraph" w:customStyle="1" w:styleId="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61">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62">
    <w:name w:val="默认段落字体 Para Char Char Char Char"/>
    <w:basedOn w:val="1"/>
    <w:qFormat/>
    <w:uiPriority w:val="0"/>
  </w:style>
  <w:style w:type="paragraph" w:customStyle="1" w:styleId="63">
    <w:name w:val="普通(网站)_0"/>
    <w:basedOn w:val="3"/>
    <w:qFormat/>
    <w:uiPriority w:val="0"/>
    <w:pPr>
      <w:widowControl/>
      <w:spacing w:before="100" w:beforeAutospacing="1" w:after="100" w:afterAutospacing="1"/>
      <w:jc w:val="left"/>
    </w:pPr>
    <w:rPr>
      <w:rFonts w:ascii="宋体" w:hAnsi="宋体" w:cs="宋体"/>
      <w:kern w:val="0"/>
      <w:sz w:val="24"/>
    </w:rPr>
  </w:style>
  <w:style w:type="paragraph" w:customStyle="1" w:styleId="64">
    <w:name w:val="p0"/>
    <w:basedOn w:val="1"/>
    <w:qFormat/>
    <w:uiPriority w:val="0"/>
    <w:rPr>
      <w:sz w:val="20"/>
      <w:szCs w:val="20"/>
    </w:rPr>
  </w:style>
  <w:style w:type="paragraph" w:customStyle="1" w:styleId="65">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styleId="66">
    <w:name w:val="List Paragraph"/>
    <w:basedOn w:val="1"/>
    <w:qFormat/>
    <w:uiPriority w:val="0"/>
    <w:pPr>
      <w:ind w:firstLine="420" w:firstLineChars="200"/>
    </w:pPr>
    <w:rPr>
      <w:sz w:val="36"/>
      <w:szCs w:val="20"/>
    </w:rPr>
  </w:style>
  <w:style w:type="paragraph" w:customStyle="1" w:styleId="67">
    <w:name w:val="xl44"/>
    <w:basedOn w:val="1"/>
    <w:qFormat/>
    <w:uiPriority w:val="0"/>
    <w:pPr>
      <w:widowControl/>
      <w:spacing w:before="100" w:beforeLines="0" w:beforeAutospacing="1" w:after="100" w:afterLines="0" w:afterAutospacing="1"/>
      <w:jc w:val="center"/>
    </w:pPr>
    <w:rPr>
      <w:rFonts w:ascii="Arial Unicode MS" w:hAnsi="Arial Unicode MS" w:eastAsia="Arial Unicode MS" w:cs="Arial Unicode MS"/>
      <w:kern w:val="0"/>
      <w:sz w:val="40"/>
      <w:szCs w:val="40"/>
    </w:rPr>
  </w:style>
  <w:style w:type="paragraph" w:customStyle="1" w:styleId="68">
    <w:name w:val="xl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kern w:val="0"/>
      <w:sz w:val="24"/>
      <w:szCs w:val="24"/>
    </w:rPr>
  </w:style>
  <w:style w:type="paragraph" w:customStyle="1" w:styleId="69">
    <w:name w:val=" Char"/>
    <w:basedOn w:val="1"/>
    <w:qFormat/>
    <w:uiPriority w:val="0"/>
    <w:pPr>
      <w:spacing w:line="360" w:lineRule="auto"/>
      <w:ind w:firstLine="200" w:firstLineChars="200"/>
    </w:pPr>
  </w:style>
  <w:style w:type="paragraph" w:customStyle="1" w:styleId="70">
    <w:name w:val="Char1"/>
    <w:basedOn w:val="1"/>
    <w:qFormat/>
    <w:uiPriority w:val="0"/>
    <w:rPr>
      <w:rFonts w:ascii="Tahoma" w:hAnsi="Tahoma"/>
      <w:sz w:val="24"/>
      <w:szCs w:val="20"/>
    </w:rPr>
  </w:style>
  <w:style w:type="paragraph" w:customStyle="1" w:styleId="71">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72">
    <w:name w:val="CM11"/>
    <w:basedOn w:val="73"/>
    <w:next w:val="73"/>
    <w:unhideWhenUsed/>
    <w:qFormat/>
    <w:uiPriority w:val="99"/>
    <w:pPr>
      <w:spacing w:line="520" w:lineRule="atLeast"/>
    </w:pPr>
    <w:rPr>
      <w:rFonts w:hint="default"/>
    </w:rPr>
  </w:style>
  <w:style w:type="paragraph" w:customStyle="1" w:styleId="73">
    <w:name w:val="Default"/>
    <w:qFormat/>
    <w:uiPriority w:val="0"/>
    <w:pPr>
      <w:widowControl w:val="0"/>
      <w:autoSpaceDE w:val="0"/>
      <w:autoSpaceDN w:val="0"/>
      <w:adjustRightInd w:val="0"/>
    </w:pPr>
    <w:rPr>
      <w:rFonts w:ascii="宋体" w:hAnsi="宋体" w:eastAsia="Calibri" w:cs="宋体"/>
      <w:color w:val="000000"/>
      <w:sz w:val="24"/>
      <w:szCs w:val="24"/>
      <w:lang w:val="en-US" w:eastAsia="zh-CN" w:bidi="ar-SA"/>
    </w:rPr>
  </w:style>
  <w:style w:type="paragraph" w:customStyle="1" w:styleId="74">
    <w:name w:val="Char Char Char Char"/>
    <w:basedOn w:val="1"/>
    <w:qFormat/>
    <w:uiPriority w:val="0"/>
    <w:pPr>
      <w:spacing w:line="360" w:lineRule="auto"/>
      <w:ind w:firstLine="200" w:firstLineChars="200"/>
    </w:pPr>
    <w:rPr>
      <w:rFonts w:ascii="宋体" w:hAnsi="宋体" w:cs="宋体"/>
      <w:sz w:val="24"/>
    </w:rPr>
  </w:style>
  <w:style w:type="paragraph" w:customStyle="1" w:styleId="75">
    <w:name w:val="CM14"/>
    <w:basedOn w:val="73"/>
    <w:next w:val="73"/>
    <w:unhideWhenUsed/>
    <w:qFormat/>
    <w:uiPriority w:val="99"/>
    <w:pPr>
      <w:spacing w:line="546" w:lineRule="atLeast"/>
    </w:pPr>
    <w:rPr>
      <w:rFonts w:hint="default"/>
    </w:rPr>
  </w:style>
  <w:style w:type="paragraph" w:customStyle="1" w:styleId="76">
    <w:name w:val=" Char Char2 Char Char"/>
    <w:basedOn w:val="1"/>
    <w:qFormat/>
    <w:uiPriority w:val="0"/>
    <w:pPr>
      <w:adjustRightInd w:val="0"/>
      <w:spacing w:line="360" w:lineRule="auto"/>
    </w:pPr>
    <w:rPr>
      <w:kern w:val="0"/>
      <w:sz w:val="24"/>
      <w:szCs w:val="20"/>
    </w:rPr>
  </w:style>
  <w:style w:type="paragraph" w:customStyle="1" w:styleId="77">
    <w:name w:val="标题 5（有编号）（绿盟科技）"/>
    <w:basedOn w:val="1"/>
    <w:next w:val="71"/>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78">
    <w:name w:val="正文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79">
    <w:name w:val=" Char Char Char"/>
    <w:basedOn w:val="1"/>
    <w:qFormat/>
    <w:uiPriority w:val="0"/>
    <w:rPr>
      <w:szCs w:val="20"/>
    </w:rPr>
  </w:style>
  <w:style w:type="paragraph" w:customStyle="1" w:styleId="80">
    <w:name w:val="楷体粗正文文字"/>
    <w:basedOn w:val="1"/>
    <w:next w:val="30"/>
    <w:qFormat/>
    <w:uiPriority w:val="0"/>
    <w:pPr>
      <w:snapToGrid w:val="0"/>
      <w:spacing w:line="480" w:lineRule="exact"/>
      <w:ind w:firstLine="560"/>
    </w:pPr>
    <w:rPr>
      <w:sz w:val="28"/>
      <w:szCs w:val="20"/>
    </w:rPr>
  </w:style>
  <w:style w:type="paragraph" w:customStyle="1" w:styleId="81">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2">
    <w:name w:val="目录文字"/>
    <w:basedOn w:val="1"/>
    <w:qFormat/>
    <w:uiPriority w:val="0"/>
    <w:pPr>
      <w:widowControl/>
      <w:spacing w:line="480" w:lineRule="auto"/>
      <w:jc w:val="left"/>
    </w:pPr>
    <w:rPr>
      <w:rFonts w:ascii="宋体" w:hAnsi="宋体"/>
      <w:kern w:val="0"/>
      <w:sz w:val="24"/>
      <w:szCs w:val="20"/>
    </w:rPr>
  </w:style>
  <w:style w:type="paragraph" w:customStyle="1" w:styleId="83">
    <w:name w:val="Table Paragraph"/>
    <w:basedOn w:val="1"/>
    <w:qFormat/>
    <w:uiPriority w:val="1"/>
  </w:style>
  <w:style w:type="paragraph" w:customStyle="1" w:styleId="84">
    <w:name w:val="列出段落1_0"/>
    <w:basedOn w:val="3"/>
    <w:qFormat/>
    <w:uiPriority w:val="99"/>
    <w:pPr>
      <w:ind w:firstLine="420" w:firstLineChars="200"/>
    </w:pPr>
  </w:style>
  <w:style w:type="paragraph" w:customStyle="1" w:styleId="85">
    <w:name w:val="Table Text"/>
    <w:basedOn w:val="1"/>
    <w:semiHidden/>
    <w:qFormat/>
    <w:uiPriority w:val="0"/>
    <w:rPr>
      <w:rFonts w:ascii="宋体" w:hAnsi="宋体" w:eastAsia="宋体" w:cs="宋体"/>
      <w:sz w:val="20"/>
      <w:szCs w:val="20"/>
      <w:lang w:val="en-US" w:eastAsia="en-US" w:bidi="ar-SA"/>
    </w:rPr>
  </w:style>
  <w:style w:type="table" w:customStyle="1" w:styleId="8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CCTC</Company>
  <Pages>73</Pages>
  <Words>4831</Words>
  <Characters>5587</Characters>
  <Lines>260</Lines>
  <Paragraphs>73</Paragraphs>
  <TotalTime>0</TotalTime>
  <ScaleCrop>false</ScaleCrop>
  <LinksUpToDate>false</LinksUpToDate>
  <CharactersWithSpaces>5654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2017-01-06T07:29:00Z</dcterms:created>
  <dc:creator>Eagle</dc:creator>
  <cp:lastModifiedBy>Administrator</cp:lastModifiedBy>
  <cp:lastPrinted>2025-06-19T04:08:00Z</cp:lastPrinted>
  <dcterms:modified xsi:type="dcterms:W3CDTF">2025-07-03T09:10:56Z</dcterms:modified>
  <dc:title>附件二：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9BEBC3A85F47440F9338A9ED78C63BD7_13</vt:lpwstr>
  </property>
  <property fmtid="{D5CDD505-2E9C-101B-9397-08002B2CF9AE}" pid="4" name="KSOTemplateDocerSaveRecord">
    <vt:lpwstr>eyJoZGlkIjoiOTViMGY4MGQ5MWRjODUxZGE2ODJjZGRiNDA3OTQ5MDciLCJ1c2VySWQiOiI0NTA3NTEzOTcifQ==</vt:lpwstr>
  </property>
</Properties>
</file>