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同段：金沙至林场北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同段：金沙至林场北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时工程与设施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时道路修建、养护与拆除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(包括原道路的养护)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临时占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临时便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钢筋混凝土排水管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103-6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时交通工程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工标志牌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形标志牌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套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3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形标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个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全绳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同段：金沙至林场北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1124.1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铣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刨旧路面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2.895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除结构物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混凝土结构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.05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砖、石及其他砌体结构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28.8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600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远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运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利用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(只计运输，不计压实)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土方调配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172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物台背回填砂砾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63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1733.4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28.1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28.1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68.17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948.3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123.06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36.82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25.5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8"/>
              <w:spacing w:before="87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1.57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0.38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4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4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9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4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241.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8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.475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4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砌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体挡土墙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7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111.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825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7" w:line="204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:2.5水泥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砂浆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26.2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检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查井调高、加固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(45座)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16-1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0水泥混凝土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(预制、运输及安装)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216-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641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6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同段：金沙至林场北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厚5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2088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水泥稳定土底基层、基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水泥稳定土底基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稳碎石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(5:95)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(压实度≥95%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669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304-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泥稳定土基层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稳碎石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(5:95)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(压实度≥97%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669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308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透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层和黏层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08-1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透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化沥青透层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1560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08-2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黏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化沥青黏层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热拌沥青混合料面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09-2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中粒式沥青混凝土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AC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-16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5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4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2519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2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粗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粒式沥青混凝土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AC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-25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6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7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青表面处治与封层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10-2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封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化沥青封层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1034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310-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玻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璃纤维格栅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802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3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同段：金沙至林场北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既有钢筋混</w:t>
            </w:r>
            <w:r>
              <w:rPr>
                <w:rFonts w:ascii="SimSun" w:hAnsi="SimSun" w:eastAsia="SimSun" w:cs="SimSun"/>
                <w:sz w:val="15"/>
                <w:szCs w:val="15"/>
              </w:rPr>
              <w:t>凝土圆管涵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(1-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1.0m)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基坑土方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9"/>
              <w:spacing w:before="81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3"/>
              </w:rPr>
              <w:t>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0水泥混凝土墙身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6.6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0浆砌片石铺砌、截水墙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29"/>
              <w:spacing w:before="79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2.8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0水泥混凝土帽石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26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板涵、箱涵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筋混凝土盖板涵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2×1.5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钢筋混凝土盖板暗涵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合同段：金沙至永兴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合同段：金沙至永兴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时工程与设施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时道路修建、养护与拆除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(包括原道路的养护)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临时占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临时便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钢筋混凝土排水管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103-6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时交通工程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工标志牌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形标志牌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套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8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形标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个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全绳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合同段：金沙至永兴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混凝土路面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(含圆管涵)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70.07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铣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刨旧路面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26.7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配碎石基层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砂砾垫层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5"/>
              <w:spacing w:before="78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除结构物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混凝土结构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78" w:line="210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121.32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砖、石及其他砌体结构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1" w:line="206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4.44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500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500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远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运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利用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(只计压实，不计运输)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土方调配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172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物台背回填砂砾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282.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72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合同段：金沙至永兴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水泥稳定土底基层、基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水泥稳定土底基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稳碎石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(5:95)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(压实度≥95%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7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579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304-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泥稳定土基层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稳碎石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(5:95)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3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(压实度≥97%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1101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308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透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层和黏层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08-2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黏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化沥青黏层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1245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热拌沥青混合料面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09-2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中粒式沥青混凝土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AC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-16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4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1245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粗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粒式沥青混凝土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AC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-25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5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7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1245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青表面处治与封层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10-2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封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乳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化沥青封层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(下封层)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1368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310-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玻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璃纤维格栅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2674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30水泥混凝土厚2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139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115.92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494.62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77.04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合同段：金沙至永兴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8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0m单孔钢筋混凝土圆管涵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5m既有钢筋混凝土圆管涵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基坑土方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3" w:line="204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0水泥混凝土墙身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79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21.6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0浆砌片石铺砌、截水墙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0水泥混凝土帽石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56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板涵、箱涵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筋混凝土盖板涵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2×1.5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钢筋混凝土盖板暗涵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合同段：永久至永安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合同段：永久至永安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时工程与设施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时道路修建、养护与拆除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(包括原道路的养护)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临时占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临时便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钢筋混凝土排水管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12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103-6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时交通工程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工标志牌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形标志牌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套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形标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个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20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全绳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20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合同段：永久至永安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泥混凝土路面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(破碎板、圆管涵)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05.75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配碎石基层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6.45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砂砾垫层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67"/>
              <w:spacing w:before="78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14.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除结构物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混凝土结构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80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.97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浆砌片石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80.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185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119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60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物台背回填砂砾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5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767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431.05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109.15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5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21.1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3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142.45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0.52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6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116.95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6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52.59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合同段：永久至永安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(含错车道)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1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237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18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(圆管涵路面恢复)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配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(砾)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石底基层、基层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配碎石基层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厚18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(含错车道)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625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12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 w:right="101" w:hanging="1"/>
              <w:spacing w:before="30" w:line="22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水泥混凝土厚20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(含错车道、破碎板、圆管涵路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恢复、平面交叉)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12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4"/>
              <w:spacing w:before="13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6812.8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3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0"/>
              <w:spacing w:before="79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47.68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3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5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3214.1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9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121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0"/>
        </w:rPr>
        <w:t>合同段：永久至永安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Φ0.6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0m单孔钢筋混凝土圆管涵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板涵、箱涵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筋混凝土盖板涵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-2.0×1.5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钢筋混凝土盖板暗涵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-4.0×3.0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钢筋混凝土盖板明涵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18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sectPr>
      <w:type w:val="continuous"/>
      <w:pgSz w:w="11905" w:h="16837"/>
      <w:pgMar w:top="1054" w:right="613" w:bottom="0" w:left="247" w:header="0" w:footer="0" w:gutter="0"/>
      <w:cols w:equalWidth="0" w:num="1">
        <w:col w:w="110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2023-07-07T09:38:14Z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2023-07-07T09:38:35</vt:filetime>
  </op:property>
</op:Properties>
</file>