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hint="eastAsia" w:ascii="黑体" w:hAnsi="黑体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JLZHZB20230603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长春市双阳区第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批历史遗留矿山地质环境恢复治理工程</w:t>
      </w:r>
      <w:bookmarkStart w:id="10" w:name="_GoBack"/>
      <w:bookmarkEnd w:id="10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供应商名称：中建材矿业吉林有限公司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供应商地址：长春市经济技术开发区东环城路8518号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成交金额：3846930.63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</w:rPr>
        <w:t>长春市双阳区第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批历史遗留矿山地质环境恢复治理工程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施工范围：矿山地质环境恢复治理工程，招标工程量清单所包含全部内容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施工工期：2023年6月27日至2023年7月27日（具体以签订合同为准）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质量标准：符合国家现行工程施工质量验收统一标准及相关标准的合格工程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蔡奥博。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二级建造师；证书编号：吉222192035275。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赵玉凤,李佳珺,李涛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按《国家发展改革委关于进一步放开建设项目专业服务价格的通知》（发改价格[2015]299号）文件规定向成交供应商收取采购代理服务费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人民币29929.00元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成交结果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2" w:name="_Toc35393806"/>
      <w:bookmarkStart w:id="3" w:name="_Toc35393637"/>
      <w:bookmarkStart w:id="4" w:name="_Toc28359096"/>
      <w:bookmarkStart w:id="5" w:name="_Toc28359019"/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称：长春市双阳区自然资源局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址：长春市双阳区西双阳大街1455号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联系方式：任洪斌13634412222　　　　 　　　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6" w:name="_Toc35393807"/>
      <w:bookmarkStart w:id="7" w:name="_Toc28359020"/>
      <w:bookmarkStart w:id="8" w:name="_Toc28359097"/>
      <w:bookmarkStart w:id="9" w:name="_Toc35393638"/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址：长春市南关区绿地中央公馆B区1723号房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4.监督管理部门：长春市双阳区政府采购管理工作办公室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zc0YzQ0OWI0NTQwYzM3ZWFlNGU3MDExMzUxNjYifQ=="/>
  </w:docVars>
  <w:rsids>
    <w:rsidRoot w:val="5C7E1328"/>
    <w:rsid w:val="254333B0"/>
    <w:rsid w:val="26734BA4"/>
    <w:rsid w:val="56EB2865"/>
    <w:rsid w:val="5C7E1328"/>
    <w:rsid w:val="6ED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701</Characters>
  <Lines>0</Lines>
  <Paragraphs>0</Paragraphs>
  <TotalTime>28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Yu Haonan.</cp:lastModifiedBy>
  <cp:lastPrinted>2023-06-20T01:13:38Z</cp:lastPrinted>
  <dcterms:modified xsi:type="dcterms:W3CDTF">2023-06-20T01:39:30Z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0FBE429498264258A3758035F9814CA3_11</vt:lpwstr>
  </property>
</Properties>
</file>