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color w:val="00B0F0"/>
          <w:sz w:val="48"/>
          <w:szCs w:val="48"/>
        </w:rPr>
      </w:pPr>
    </w:p>
    <w:p>
      <w:pPr>
        <w:adjustRightInd/>
        <w:jc w:val="center"/>
        <w:rPr>
          <w:rFonts w:hint="eastAsia" w:ascii="宋体" w:hAnsi="宋体" w:eastAsia="宋体" w:cs="宋体"/>
          <w:color w:val="00B0F0"/>
          <w:sz w:val="44"/>
          <w:szCs w:val="44"/>
          <w:lang w:eastAsia="zh-CN"/>
        </w:rPr>
      </w:pPr>
      <w:r>
        <w:rPr>
          <w:rFonts w:hint="eastAsia" w:ascii="宋体" w:hAnsi="宋体" w:cs="宋体"/>
          <w:color w:val="00B0F0"/>
          <w:sz w:val="44"/>
          <w:szCs w:val="44"/>
          <w:lang w:eastAsia="zh-CN"/>
        </w:rPr>
        <w:t>武义县桃溪中学实验室建设项目</w:t>
      </w:r>
    </w:p>
    <w:p>
      <w:pPr>
        <w:adjustRightInd/>
        <w:spacing w:line="360" w:lineRule="auto"/>
        <w:jc w:val="center"/>
        <w:rPr>
          <w:rFonts w:ascii="宋体" w:hAnsi="宋体" w:cs="宋体"/>
          <w:sz w:val="48"/>
          <w:szCs w:val="48"/>
        </w:rPr>
      </w:pPr>
    </w:p>
    <w:p>
      <w:pPr>
        <w:adjustRightInd/>
        <w:spacing w:line="360" w:lineRule="auto"/>
        <w:jc w:val="center"/>
        <w:rPr>
          <w:rFonts w:ascii="宋体" w:hAnsi="宋体" w:cs="宋体"/>
          <w:sz w:val="48"/>
          <w:szCs w:val="48"/>
        </w:rPr>
      </w:pPr>
      <w:r>
        <w:rPr>
          <w:rFonts w:hint="eastAsia" w:ascii="宋体" w:hAnsi="宋体" w:cs="宋体"/>
          <w:sz w:val="44"/>
          <w:szCs w:val="44"/>
        </w:rPr>
        <w:t>招标文件</w:t>
      </w:r>
      <w:r>
        <w:rPr>
          <w:rFonts w:hint="eastAsia" w:ascii="宋体" w:hAnsi="宋体" w:cs="宋体"/>
          <w:sz w:val="48"/>
          <w:szCs w:val="48"/>
        </w:rPr>
        <w:t xml:space="preserve">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w:t>
      </w:r>
    </w:p>
    <w:p>
      <w:pPr>
        <w:adjustRightInd/>
        <w:spacing w:line="360" w:lineRule="auto"/>
        <w:jc w:val="center"/>
        <w:rPr>
          <w:rFonts w:ascii="宋体" w:hAnsi="宋体" w:cs="宋体"/>
          <w:b/>
          <w:sz w:val="44"/>
          <w:szCs w:val="44"/>
        </w:rPr>
      </w:pPr>
      <w:r>
        <w:rPr>
          <w:rFonts w:hint="eastAsia" w:ascii="宋体" w:hAnsi="宋体" w:cs="宋体"/>
          <w:b/>
          <w:sz w:val="44"/>
          <w:szCs w:val="44"/>
        </w:rPr>
        <w:t>电子招投标</w:t>
      </w:r>
    </w:p>
    <w:p>
      <w:pPr>
        <w:snapToGrid w:val="0"/>
        <w:spacing w:line="360" w:lineRule="auto"/>
        <w:jc w:val="center"/>
        <w:rPr>
          <w:rFonts w:hint="eastAsia" w:ascii="宋体" w:hAnsi="宋体" w:eastAsia="宋体" w:cs="宋体"/>
          <w:color w:val="FF0000"/>
          <w:sz w:val="30"/>
          <w:szCs w:val="30"/>
          <w:lang w:eastAsia="zh-CN"/>
        </w:rPr>
      </w:pPr>
      <w:r>
        <w:rPr>
          <w:rFonts w:hint="eastAsia" w:ascii="宋体" w:hAnsi="宋体" w:cs="宋体"/>
          <w:sz w:val="30"/>
          <w:szCs w:val="30"/>
        </w:rPr>
        <w:t>项目编号:</w:t>
      </w:r>
      <w:r>
        <w:rPr>
          <w:rFonts w:hint="eastAsia" w:ascii="宋体" w:hAnsi="宋体" w:cs="宋体"/>
          <w:color w:val="FF0000"/>
          <w:sz w:val="30"/>
          <w:szCs w:val="30"/>
          <w:lang w:eastAsia="zh-CN"/>
        </w:rPr>
        <w:t>2024CG021</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rPr>
          <w:rFonts w:ascii="宋体" w:hAnsi="宋体" w:cs="宋体"/>
          <w:sz w:val="24"/>
        </w:rPr>
      </w:pPr>
    </w:p>
    <w:p>
      <w:pPr>
        <w:spacing w:line="360" w:lineRule="auto"/>
        <w:jc w:val="center"/>
        <w:rPr>
          <w:rFonts w:ascii="宋体" w:hAnsi="宋体" w:cs="宋体"/>
          <w:sz w:val="24"/>
        </w:rPr>
      </w:pPr>
    </w:p>
    <w:p>
      <w:pPr>
        <w:snapToGrid w:val="0"/>
        <w:spacing w:line="360" w:lineRule="auto"/>
        <w:ind w:firstLine="1600" w:firstLineChars="500"/>
        <w:rPr>
          <w:rFonts w:hint="eastAsia" w:ascii="宋体" w:hAnsi="宋体" w:eastAsia="宋体" w:cs="宋体"/>
          <w:color w:val="00B0F0"/>
          <w:sz w:val="32"/>
          <w:szCs w:val="32"/>
          <w:lang w:eastAsia="zh-CN"/>
        </w:rPr>
      </w:pPr>
      <w:r>
        <w:rPr>
          <w:rFonts w:hint="eastAsia" w:ascii="宋体" w:hAnsi="宋体" w:cs="宋体"/>
          <w:sz w:val="32"/>
          <w:szCs w:val="32"/>
        </w:rPr>
        <w:t>采购单位：</w:t>
      </w:r>
      <w:r>
        <w:rPr>
          <w:rFonts w:hint="eastAsia" w:ascii="宋体" w:hAnsi="宋体" w:cs="宋体"/>
          <w:color w:val="00B0F0"/>
          <w:sz w:val="32"/>
          <w:szCs w:val="32"/>
          <w:lang w:eastAsia="zh-CN"/>
        </w:rPr>
        <w:t>武义县桃溪中学</w:t>
      </w:r>
    </w:p>
    <w:p>
      <w:pPr>
        <w:snapToGrid w:val="0"/>
        <w:spacing w:line="360" w:lineRule="auto"/>
        <w:ind w:firstLine="1600" w:firstLineChars="500"/>
        <w:rPr>
          <w:rFonts w:ascii="宋体" w:hAnsi="宋体" w:cs="宋体"/>
          <w:bCs/>
          <w:sz w:val="32"/>
          <w:szCs w:val="32"/>
        </w:rPr>
      </w:pPr>
      <w:r>
        <w:rPr>
          <w:rFonts w:hint="eastAsia" w:ascii="宋体" w:hAnsi="宋体" w:cs="宋体"/>
          <w:bCs/>
          <w:sz w:val="32"/>
          <w:szCs w:val="32"/>
        </w:rPr>
        <w:t>招标单位：金华市政府采购中心武义县分中心</w:t>
      </w:r>
    </w:p>
    <w:p>
      <w:pPr>
        <w:snapToGrid w:val="0"/>
        <w:spacing w:line="360" w:lineRule="auto"/>
        <w:ind w:firstLine="1600" w:firstLineChars="500"/>
        <w:rPr>
          <w:rFonts w:ascii="宋体" w:hAnsi="宋体" w:cs="宋体"/>
          <w:bCs/>
          <w:sz w:val="32"/>
          <w:szCs w:val="32"/>
        </w:rPr>
      </w:pPr>
      <w:r>
        <w:rPr>
          <w:rFonts w:hint="eastAsia" w:ascii="宋体" w:hAnsi="宋体" w:cs="宋体"/>
          <w:bCs/>
          <w:sz w:val="32"/>
          <w:szCs w:val="32"/>
        </w:rPr>
        <w:t>备案单位：武义县财政局政府采购监管科</w:t>
      </w:r>
    </w:p>
    <w:p>
      <w:pPr>
        <w:snapToGrid w:val="0"/>
        <w:spacing w:line="360" w:lineRule="auto"/>
        <w:jc w:val="center"/>
        <w:rPr>
          <w:rFonts w:ascii="宋体" w:hAnsi="宋体" w:cs="宋体"/>
          <w:bCs/>
          <w:color w:val="00B0F0"/>
          <w:sz w:val="32"/>
          <w:szCs w:val="32"/>
        </w:rPr>
      </w:pPr>
      <w:r>
        <w:rPr>
          <w:rFonts w:hint="eastAsia" w:ascii="宋体" w:hAnsi="宋体" w:cs="宋体"/>
          <w:bCs/>
          <w:color w:val="00B0F0"/>
          <w:sz w:val="32"/>
          <w:szCs w:val="32"/>
        </w:rPr>
        <w:t>二〇二四年六月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2560" w:firstLineChars="800"/>
        <w:rPr>
          <w:rFonts w:ascii="宋体" w:hAnsi="宋体" w:cs="宋体"/>
          <w:sz w:val="32"/>
          <w:szCs w:val="32"/>
        </w:rPr>
      </w:pPr>
      <w:r>
        <w:rPr>
          <w:rFonts w:hint="eastAsia" w:ascii="宋体" w:hAnsi="宋体" w:cs="宋体"/>
          <w:sz w:val="32"/>
          <w:szCs w:val="32"/>
        </w:rPr>
        <w:t>第一部分      招标公告</w:t>
      </w:r>
    </w:p>
    <w:p>
      <w:pPr>
        <w:spacing w:line="360" w:lineRule="auto"/>
        <w:ind w:firstLine="2560" w:firstLineChars="800"/>
        <w:rPr>
          <w:rFonts w:ascii="宋体" w:hAnsi="宋体" w:cs="宋体"/>
          <w:sz w:val="32"/>
          <w:szCs w:val="32"/>
        </w:rPr>
      </w:pPr>
      <w:r>
        <w:rPr>
          <w:rFonts w:hint="eastAsia" w:ascii="宋体" w:hAnsi="宋体" w:cs="宋体"/>
          <w:sz w:val="32"/>
          <w:szCs w:val="32"/>
        </w:rPr>
        <w:t>第二部分      投标人须知</w:t>
      </w:r>
    </w:p>
    <w:p>
      <w:pPr>
        <w:spacing w:line="360" w:lineRule="auto"/>
        <w:ind w:firstLine="2560" w:firstLineChars="800"/>
        <w:rPr>
          <w:rFonts w:ascii="宋体" w:hAnsi="宋体" w:cs="宋体"/>
          <w:sz w:val="32"/>
          <w:szCs w:val="32"/>
        </w:rPr>
      </w:pPr>
      <w:r>
        <w:rPr>
          <w:rFonts w:hint="eastAsia" w:ascii="宋体" w:hAnsi="宋体" w:cs="宋体"/>
          <w:sz w:val="32"/>
          <w:szCs w:val="32"/>
        </w:rPr>
        <w:t>第三部分      采购需求</w:t>
      </w:r>
    </w:p>
    <w:p>
      <w:pPr>
        <w:spacing w:line="360" w:lineRule="auto"/>
        <w:ind w:firstLine="2560" w:firstLineChars="800"/>
        <w:rPr>
          <w:rFonts w:ascii="宋体" w:hAnsi="宋体" w:cs="宋体"/>
          <w:sz w:val="32"/>
          <w:szCs w:val="32"/>
        </w:rPr>
      </w:pPr>
      <w:r>
        <w:rPr>
          <w:rFonts w:hint="eastAsia" w:ascii="宋体" w:hAnsi="宋体" w:cs="宋体"/>
          <w:sz w:val="32"/>
          <w:szCs w:val="32"/>
        </w:rPr>
        <w:t>第四部分      评标办法</w:t>
      </w:r>
    </w:p>
    <w:p>
      <w:pPr>
        <w:spacing w:line="360" w:lineRule="auto"/>
        <w:ind w:firstLine="2560" w:firstLineChars="8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2560" w:firstLineChars="8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jc w:val="center"/>
        <w:outlineLvl w:val="0"/>
        <w:rPr>
          <w:rFonts w:ascii="宋体" w:hAnsi="宋体" w:cs="宋体"/>
          <w:b/>
          <w:sz w:val="32"/>
          <w:szCs w:val="32"/>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sz w:val="32"/>
          <w:szCs w:val="32"/>
        </w:rPr>
        <w:t>第一部分 招标公告</w:t>
      </w:r>
    </w:p>
    <w:p>
      <w:pPr>
        <w:pBdr>
          <w:top w:val="single" w:color="auto" w:sz="4" w:space="1"/>
          <w:left w:val="single" w:color="auto" w:sz="4" w:space="4"/>
          <w:bottom w:val="single" w:color="auto" w:sz="4" w:space="2"/>
          <w:right w:val="single" w:color="auto" w:sz="4" w:space="4"/>
        </w:pBdr>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2"/>
          <w:right w:val="single" w:color="auto" w:sz="4" w:space="4"/>
        </w:pBdr>
        <w:ind w:firstLine="480" w:firstLineChars="200"/>
        <w:rPr>
          <w:rFonts w:ascii="宋体" w:hAnsi="宋体" w:cs="宋体"/>
          <w:sz w:val="24"/>
          <w:u w:val="single"/>
        </w:rPr>
      </w:pPr>
      <w:r>
        <w:rPr>
          <w:rFonts w:hint="eastAsia" w:ascii="宋体" w:hAnsi="宋体" w:cs="宋体"/>
          <w:color w:val="00B0F0"/>
          <w:sz w:val="24"/>
          <w:u w:val="single"/>
          <w:lang w:eastAsia="zh-CN"/>
        </w:rPr>
        <w:t>武义县桃溪中学实验室建设项目</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宋体" w:hAnsi="宋体" w:eastAsia="宋体" w:cs="宋体"/>
          <w:snapToGrid/>
          <w:kern w:val="2"/>
          <w:sz w:val="24"/>
          <w:szCs w:val="24"/>
        </w:rPr>
        <w:t>https://www.zcygov.cn/）获取（下载）招标文件，并于</w:t>
      </w:r>
      <w:r>
        <w:rPr>
          <w:rStyle w:val="76"/>
          <w:rFonts w:hint="eastAsia" w:ascii="宋体" w:hAnsi="宋体" w:eastAsia="宋体" w:cs="宋体"/>
          <w:snapToGrid/>
          <w:color w:val="FF0000"/>
          <w:kern w:val="2"/>
          <w:sz w:val="24"/>
          <w:szCs w:val="24"/>
          <w:highlight w:val="yellow"/>
        </w:rPr>
        <w:t>202</w:t>
      </w:r>
      <w:r>
        <w:rPr>
          <w:rStyle w:val="76"/>
          <w:rFonts w:hint="eastAsia" w:ascii="宋体" w:hAnsi="宋体" w:cs="宋体"/>
          <w:snapToGrid/>
          <w:color w:val="FF0000"/>
          <w:kern w:val="2"/>
          <w:sz w:val="24"/>
          <w:szCs w:val="24"/>
          <w:highlight w:val="yellow"/>
          <w:lang w:val="en-US" w:eastAsia="zh-CN"/>
        </w:rPr>
        <w:t>4</w:t>
      </w:r>
      <w:r>
        <w:rPr>
          <w:rStyle w:val="76"/>
          <w:rFonts w:hint="eastAsia" w:ascii="宋体" w:hAnsi="宋体" w:eastAsia="宋体" w:cs="宋体"/>
          <w:snapToGrid/>
          <w:color w:val="FF0000"/>
          <w:kern w:val="2"/>
          <w:sz w:val="24"/>
          <w:szCs w:val="24"/>
          <w:highlight w:val="yellow"/>
        </w:rPr>
        <w:t>年</w:t>
      </w:r>
      <w:r>
        <w:rPr>
          <w:rStyle w:val="76"/>
          <w:rFonts w:hint="eastAsia" w:ascii="宋体" w:hAnsi="宋体" w:cs="宋体"/>
          <w:snapToGrid/>
          <w:color w:val="FF0000"/>
          <w:kern w:val="2"/>
          <w:sz w:val="24"/>
          <w:szCs w:val="24"/>
          <w:highlight w:val="yellow"/>
          <w:lang w:val="en-US" w:eastAsia="zh-CN"/>
        </w:rPr>
        <w:t>7</w:t>
      </w:r>
      <w:r>
        <w:rPr>
          <w:rStyle w:val="76"/>
          <w:rFonts w:hint="eastAsia" w:ascii="宋体" w:hAnsi="宋体" w:eastAsia="宋体" w:cs="宋体"/>
          <w:snapToGrid/>
          <w:color w:val="FF0000"/>
          <w:kern w:val="2"/>
          <w:sz w:val="24"/>
          <w:szCs w:val="24"/>
          <w:highlight w:val="yellow"/>
        </w:rPr>
        <w:t>月</w:t>
      </w:r>
      <w:r>
        <w:rPr>
          <w:rStyle w:val="76"/>
          <w:rFonts w:hint="eastAsia" w:ascii="宋体" w:hAnsi="宋体" w:cs="宋体"/>
          <w:snapToGrid/>
          <w:color w:val="FF0000"/>
          <w:kern w:val="2"/>
          <w:sz w:val="24"/>
          <w:szCs w:val="24"/>
          <w:highlight w:val="yellow"/>
          <w:lang w:val="en-US" w:eastAsia="zh-CN"/>
        </w:rPr>
        <w:t>30</w:t>
      </w:r>
      <w:r>
        <w:rPr>
          <w:rStyle w:val="76"/>
          <w:rFonts w:hint="eastAsia" w:ascii="宋体" w:hAnsi="宋体" w:eastAsia="宋体" w:cs="宋体"/>
          <w:snapToGrid/>
          <w:color w:val="FF0000"/>
          <w:kern w:val="2"/>
          <w:sz w:val="24"/>
          <w:szCs w:val="24"/>
          <w:highlight w:val="yellow"/>
        </w:rPr>
        <w:t>日 9点00分</w:t>
      </w:r>
      <w:r>
        <w:rPr>
          <w:rStyle w:val="76"/>
          <w:rFonts w:hint="eastAsia" w:ascii="宋体" w:hAnsi="宋体" w:eastAsia="宋体" w:cs="宋体"/>
          <w:bCs/>
          <w:snapToGrid/>
          <w:color w:val="FF0000"/>
          <w:kern w:val="2"/>
          <w:sz w:val="24"/>
          <w:szCs w:val="24"/>
          <w:highlight w:val="yellow"/>
        </w:rPr>
        <w:t>00秒</w:t>
      </w:r>
      <w:r>
        <w:rPr>
          <w:rStyle w:val="76"/>
          <w:rFonts w:hint="eastAsia" w:ascii="宋体" w:hAnsi="宋体" w:eastAsia="宋体" w:cs="宋体"/>
          <w:bCs/>
          <w:snapToGrid/>
          <w:color w:val="FF0000"/>
          <w:kern w:val="2"/>
          <w:sz w:val="24"/>
          <w:szCs w:val="24"/>
          <w:highlight w:val="yellow"/>
        </w:rPr>
        <w:fldChar w:fldCharType="end"/>
      </w:r>
      <w:r>
        <w:rPr>
          <w:rFonts w:hint="eastAsia" w:ascii="宋体" w:hAnsi="宋体" w:cs="宋体"/>
          <w:bCs/>
          <w:sz w:val="24"/>
        </w:rPr>
        <w:t>（北京时间）前</w:t>
      </w:r>
      <w:r>
        <w:rPr>
          <w:rFonts w:hint="eastAsia" w:ascii="宋体" w:hAnsi="宋体" w:cs="宋体"/>
          <w:sz w:val="24"/>
        </w:rPr>
        <w:t>递交（上传）投标文件。</w:t>
      </w:r>
    </w:p>
    <w:p>
      <w:pPr>
        <w:rPr>
          <w:rFonts w:ascii="宋体" w:hAnsi="宋体" w:cs="宋体"/>
          <w:b/>
          <w:sz w:val="24"/>
        </w:rPr>
      </w:pPr>
      <w:r>
        <w:rPr>
          <w:rFonts w:hint="eastAsia" w:ascii="宋体" w:hAnsi="宋体" w:cs="宋体"/>
          <w:b/>
          <w:sz w:val="24"/>
        </w:rPr>
        <w:t xml:space="preserve">一、项目基本情况                                            </w:t>
      </w:r>
    </w:p>
    <w:p>
      <w:pPr>
        <w:rPr>
          <w:rFonts w:ascii="宋体" w:hAnsi="宋体" w:cs="宋体"/>
          <w:color w:val="0000FF"/>
          <w:sz w:val="24"/>
        </w:rPr>
      </w:pPr>
      <w:r>
        <w:rPr>
          <w:rFonts w:hint="eastAsia" w:ascii="宋体" w:hAnsi="宋体" w:cs="宋体"/>
          <w:sz w:val="24"/>
        </w:rPr>
        <w:t xml:space="preserve">    </w:t>
      </w:r>
      <w:r>
        <w:rPr>
          <w:rFonts w:hint="eastAsia" w:ascii="宋体" w:hAnsi="宋体" w:cs="宋体"/>
          <w:b/>
          <w:bCs/>
          <w:color w:val="0000FF"/>
          <w:sz w:val="24"/>
        </w:rPr>
        <w:t>采购计划文号：</w:t>
      </w:r>
      <w:r>
        <w:rPr>
          <w:rFonts w:hint="eastAsia" w:ascii="宋体" w:hAnsi="宋体" w:cs="宋体"/>
          <w:color w:val="0000FF"/>
          <w:sz w:val="24"/>
          <w:shd w:val="clear" w:color="auto" w:fill="FFFFFF"/>
        </w:rPr>
        <w:t>临[2024]394号</w:t>
      </w:r>
    </w:p>
    <w:p>
      <w:pPr>
        <w:ind w:firstLine="482" w:firstLineChars="200"/>
        <w:rPr>
          <w:rFonts w:hint="eastAsia" w:ascii="宋体" w:hAnsi="宋体" w:eastAsia="宋体" w:cs="宋体"/>
          <w:color w:val="0000FF"/>
          <w:sz w:val="24"/>
          <w:lang w:eastAsia="zh-CN"/>
        </w:rPr>
      </w:pPr>
      <w:r>
        <w:rPr>
          <w:rFonts w:hint="eastAsia" w:ascii="宋体" w:hAnsi="宋体" w:cs="宋体"/>
          <w:b/>
          <w:color w:val="0000FF"/>
          <w:sz w:val="24"/>
        </w:rPr>
        <w:t>项目编号：</w:t>
      </w:r>
      <w:r>
        <w:rPr>
          <w:rFonts w:hint="eastAsia" w:ascii="宋体" w:hAnsi="宋体" w:cs="宋体"/>
          <w:color w:val="0000FF"/>
          <w:sz w:val="24"/>
          <w:lang w:eastAsia="zh-CN"/>
        </w:rPr>
        <w:t>2024CG021</w:t>
      </w:r>
    </w:p>
    <w:p>
      <w:pPr>
        <w:ind w:firstLine="480"/>
        <w:rPr>
          <w:rFonts w:hint="eastAsia" w:ascii="宋体" w:hAnsi="宋体" w:eastAsia="宋体" w:cs="宋体"/>
          <w:color w:val="0000FF"/>
          <w:sz w:val="24"/>
          <w:lang w:eastAsia="zh-CN"/>
        </w:rPr>
      </w:pPr>
      <w:r>
        <w:rPr>
          <w:rFonts w:hint="eastAsia" w:ascii="宋体" w:hAnsi="宋体" w:cs="宋体"/>
          <w:b/>
          <w:color w:val="0000FF"/>
          <w:sz w:val="24"/>
        </w:rPr>
        <w:t>项目名称：</w:t>
      </w:r>
      <w:r>
        <w:rPr>
          <w:rFonts w:hint="eastAsia" w:ascii="宋体" w:hAnsi="宋体" w:cs="宋体"/>
          <w:color w:val="0000FF"/>
          <w:sz w:val="24"/>
          <w:lang w:eastAsia="zh-CN"/>
        </w:rPr>
        <w:t>武义县桃溪中学实验室建设项目</w:t>
      </w:r>
    </w:p>
    <w:p>
      <w:pPr>
        <w:rPr>
          <w:rFonts w:ascii="宋体" w:hAnsi="宋体" w:cs="宋体"/>
          <w:color w:val="0000FF"/>
          <w:sz w:val="24"/>
        </w:rPr>
      </w:pPr>
      <w:r>
        <w:rPr>
          <w:rFonts w:hint="eastAsia" w:ascii="宋体" w:hAnsi="宋体" w:cs="宋体"/>
          <w:color w:val="0000FF"/>
          <w:sz w:val="24"/>
        </w:rPr>
        <w:t xml:space="preserve">   </w:t>
      </w:r>
      <w:r>
        <w:rPr>
          <w:rFonts w:hint="eastAsia" w:ascii="宋体" w:hAnsi="宋体" w:cs="宋体"/>
          <w:b/>
          <w:color w:val="0000FF"/>
          <w:sz w:val="24"/>
        </w:rPr>
        <w:t xml:space="preserve"> 预算金额（元）：</w:t>
      </w:r>
      <w:r>
        <w:rPr>
          <w:rFonts w:hint="eastAsia" w:ascii="宋体" w:hAnsi="宋体" w:cs="宋体"/>
          <w:bCs/>
          <w:color w:val="0000FF"/>
          <w:sz w:val="24"/>
          <w:lang w:val="en-US" w:eastAsia="zh-CN"/>
        </w:rPr>
        <w:t>50</w:t>
      </w:r>
      <w:r>
        <w:rPr>
          <w:rFonts w:hint="eastAsia" w:ascii="宋体" w:hAnsi="宋体" w:cs="宋体"/>
          <w:bCs/>
          <w:color w:val="0000FF"/>
          <w:sz w:val="24"/>
        </w:rPr>
        <w:t xml:space="preserve">万元 </w:t>
      </w:r>
    </w:p>
    <w:p>
      <w:pPr>
        <w:pStyle w:val="7"/>
        <w:spacing w:line="240" w:lineRule="auto"/>
        <w:ind w:firstLine="480"/>
        <w:rPr>
          <w:rFonts w:hAnsi="宋体" w:cs="宋体"/>
          <w:bCs/>
          <w:snapToGrid/>
          <w:color w:val="auto"/>
          <w:kern w:val="2"/>
          <w:sz w:val="24"/>
          <w:szCs w:val="24"/>
        </w:rPr>
      </w:pPr>
      <w:r>
        <w:rPr>
          <w:rFonts w:hint="eastAsia" w:hAnsi="宋体" w:cs="宋体"/>
          <w:b/>
          <w:color w:val="auto"/>
          <w:sz w:val="24"/>
          <w:szCs w:val="24"/>
        </w:rPr>
        <w:t>采购需求：</w:t>
      </w:r>
      <w:r>
        <w:rPr>
          <w:rFonts w:hint="eastAsia" w:hAnsi="宋体" w:cs="宋体"/>
          <w:snapToGrid/>
          <w:color w:val="auto"/>
          <w:kern w:val="2"/>
          <w:sz w:val="24"/>
          <w:szCs w:val="24"/>
        </w:rPr>
        <w:t>具体以招标文件第三部分采购需求为准。</w:t>
      </w:r>
    </w:p>
    <w:p>
      <w:pPr>
        <w:rPr>
          <w:rFonts w:ascii="宋体" w:hAnsi="宋体" w:cs="宋体"/>
          <w:b/>
          <w:color w:val="auto"/>
          <w:sz w:val="24"/>
        </w:rPr>
      </w:pPr>
      <w:r>
        <w:rPr>
          <w:rFonts w:hint="eastAsia" w:ascii="宋体" w:hAnsi="宋体" w:cs="宋体"/>
          <w:b/>
          <w:color w:val="auto"/>
          <w:sz w:val="24"/>
        </w:rPr>
        <w:t>二、</w:t>
      </w:r>
      <w:bookmarkStart w:id="11" w:name="_Hlk101132948"/>
      <w:r>
        <w:rPr>
          <w:rFonts w:hint="eastAsia" w:ascii="宋体" w:hAnsi="宋体" w:cs="宋体"/>
          <w:b/>
          <w:color w:val="auto"/>
          <w:sz w:val="24"/>
        </w:rPr>
        <w:t>申请人的资格要求</w:t>
      </w:r>
      <w:bookmarkEnd w:id="11"/>
      <w:r>
        <w:rPr>
          <w:rFonts w:hint="eastAsia" w:ascii="宋体" w:hAnsi="宋体" w:cs="宋体"/>
          <w:b/>
          <w:color w:val="auto"/>
          <w:sz w:val="24"/>
        </w:rPr>
        <w:t>：</w:t>
      </w:r>
    </w:p>
    <w:p>
      <w:pPr>
        <w:ind w:firstLine="480"/>
        <w:rPr>
          <w:rFonts w:ascii="宋体" w:hAnsi="宋体" w:cs="宋体"/>
          <w:snapToGrid w:val="0"/>
          <w:color w:val="auto"/>
          <w:kern w:val="28"/>
          <w:sz w:val="24"/>
        </w:rPr>
      </w:pPr>
      <w:r>
        <w:rPr>
          <w:rFonts w:hint="eastAsia" w:ascii="宋体" w:hAnsi="宋体" w:cs="宋体"/>
          <w:snapToGrid w:val="0"/>
          <w:color w:val="auto"/>
          <w:kern w:val="28"/>
          <w:sz w:val="24"/>
        </w:rPr>
        <w:t>1. 满足《中华人民共和国政府采购法》第二十二条规定；未被“信用中国”（www.creditchina.gov.cn)、中国政府采购网（www.ccgp.gov.cn）列入失信被执行人、重大税收违法案件当事人名单、政府采购严重违法失信行为记录名单；</w:t>
      </w:r>
    </w:p>
    <w:p>
      <w:pPr>
        <w:rPr>
          <w:rFonts w:ascii="宋体" w:hAnsi="宋体" w:cs="宋体"/>
          <w:snapToGrid w:val="0"/>
          <w:color w:val="auto"/>
          <w:kern w:val="28"/>
          <w:sz w:val="24"/>
        </w:rPr>
      </w:pPr>
      <w:r>
        <w:rPr>
          <w:rFonts w:hint="eastAsia" w:ascii="宋体" w:hAnsi="宋体" w:cs="宋体"/>
          <w:snapToGrid w:val="0"/>
          <w:color w:val="auto"/>
          <w:kern w:val="28"/>
          <w:sz w:val="24"/>
        </w:rPr>
        <w:t xml:space="preserve">    2.本项目不接受联合体投标；</w:t>
      </w:r>
    </w:p>
    <w:p>
      <w:pPr>
        <w:ind w:firstLine="480" w:firstLineChars="200"/>
        <w:rPr>
          <w:rFonts w:ascii="宋体" w:hAnsi="宋体" w:cs="宋体"/>
          <w:color w:val="0000FF"/>
          <w:sz w:val="24"/>
        </w:rPr>
      </w:pPr>
      <w:r>
        <w:rPr>
          <w:rFonts w:hint="eastAsia" w:ascii="宋体" w:hAnsi="宋体" w:cs="宋体"/>
          <w:snapToGrid w:val="0"/>
          <w:color w:val="auto"/>
          <w:kern w:val="28"/>
          <w:sz w:val="24"/>
        </w:rPr>
        <w:t>3.落实政府采购政策需满足的资格要求：</w:t>
      </w:r>
      <w:r>
        <w:rPr>
          <w:rFonts w:hint="eastAsia" w:ascii="宋体" w:hAnsi="宋体" w:cs="宋体"/>
          <w:color w:val="0000FF"/>
          <w:sz w:val="24"/>
        </w:rPr>
        <w:t>本项目专门面向中小企业，提供的货物全部由符合政策要求的中小企业制造，提供中小企业声明函；</w:t>
      </w:r>
    </w:p>
    <w:p>
      <w:pPr>
        <w:ind w:firstLine="480" w:firstLineChars="200"/>
        <w:rPr>
          <w:rFonts w:ascii="宋体" w:hAnsi="宋体" w:cs="宋体"/>
          <w:color w:val="auto"/>
          <w:sz w:val="24"/>
        </w:rPr>
      </w:pPr>
      <w:r>
        <w:rPr>
          <w:rFonts w:hint="eastAsia" w:ascii="宋体" w:hAnsi="宋体" w:cs="宋体"/>
          <w:color w:val="auto"/>
          <w:sz w:val="24"/>
        </w:rPr>
        <w:t>4.本项目的特定资格要求：无；</w:t>
      </w:r>
    </w:p>
    <w:p>
      <w:pPr>
        <w:snapToGrid w:val="0"/>
        <w:ind w:firstLine="480" w:firstLineChars="200"/>
        <w:rPr>
          <w:rFonts w:ascii="宋体" w:hAnsi="宋体" w:cs="宋体"/>
          <w:sz w:val="24"/>
        </w:rPr>
      </w:pPr>
      <w:r>
        <w:rPr>
          <w:rFonts w:hint="eastAsia" w:ascii="宋体" w:hAnsi="宋体" w:cs="宋体"/>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rPr>
          <w:rFonts w:ascii="宋体" w:hAnsi="宋体" w:cs="宋体"/>
          <w:b/>
          <w:sz w:val="24"/>
        </w:rPr>
      </w:pPr>
      <w:r>
        <w:rPr>
          <w:rFonts w:hint="eastAsia" w:ascii="宋体" w:hAnsi="宋体" w:cs="宋体"/>
          <w:b/>
          <w:sz w:val="24"/>
        </w:rPr>
        <w:t xml:space="preserve">三、获取招标文件 </w:t>
      </w:r>
    </w:p>
    <w:p>
      <w:pPr>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截至</w:t>
      </w:r>
      <w:r>
        <w:rPr>
          <w:rStyle w:val="76"/>
          <w:rFonts w:hint="eastAsia" w:ascii="宋体" w:hAnsi="宋体" w:eastAsia="宋体" w:cs="宋体"/>
          <w:snapToGrid/>
          <w:color w:val="FF0000"/>
          <w:kern w:val="2"/>
          <w:sz w:val="24"/>
          <w:szCs w:val="24"/>
          <w:highlight w:val="yellow"/>
        </w:rPr>
        <w:t>202</w:t>
      </w:r>
      <w:r>
        <w:rPr>
          <w:rStyle w:val="76"/>
          <w:rFonts w:hint="eastAsia" w:ascii="宋体" w:hAnsi="宋体" w:cs="宋体"/>
          <w:snapToGrid/>
          <w:color w:val="FF0000"/>
          <w:kern w:val="2"/>
          <w:sz w:val="24"/>
          <w:szCs w:val="24"/>
          <w:highlight w:val="yellow"/>
          <w:lang w:val="en-US" w:eastAsia="zh-CN"/>
        </w:rPr>
        <w:t>4</w:t>
      </w:r>
      <w:r>
        <w:rPr>
          <w:rStyle w:val="76"/>
          <w:rFonts w:hint="eastAsia" w:ascii="宋体" w:hAnsi="宋体" w:eastAsia="宋体" w:cs="宋体"/>
          <w:snapToGrid/>
          <w:color w:val="FF0000"/>
          <w:kern w:val="2"/>
          <w:sz w:val="24"/>
          <w:szCs w:val="24"/>
          <w:highlight w:val="yellow"/>
        </w:rPr>
        <w:t>年</w:t>
      </w:r>
      <w:r>
        <w:rPr>
          <w:rStyle w:val="76"/>
          <w:rFonts w:hint="eastAsia" w:ascii="宋体" w:hAnsi="宋体" w:cs="宋体"/>
          <w:snapToGrid/>
          <w:color w:val="FF0000"/>
          <w:kern w:val="2"/>
          <w:sz w:val="24"/>
          <w:szCs w:val="24"/>
          <w:highlight w:val="yellow"/>
          <w:lang w:val="en-US" w:eastAsia="zh-CN"/>
        </w:rPr>
        <w:t>7</w:t>
      </w:r>
      <w:r>
        <w:rPr>
          <w:rStyle w:val="76"/>
          <w:rFonts w:hint="eastAsia" w:ascii="宋体" w:hAnsi="宋体" w:eastAsia="宋体" w:cs="宋体"/>
          <w:snapToGrid/>
          <w:color w:val="FF0000"/>
          <w:kern w:val="2"/>
          <w:sz w:val="24"/>
          <w:szCs w:val="24"/>
          <w:highlight w:val="yellow"/>
        </w:rPr>
        <w:t>月</w:t>
      </w:r>
      <w:r>
        <w:rPr>
          <w:rStyle w:val="76"/>
          <w:rFonts w:hint="eastAsia" w:ascii="宋体" w:hAnsi="宋体" w:cs="宋体"/>
          <w:snapToGrid/>
          <w:color w:val="FF0000"/>
          <w:kern w:val="2"/>
          <w:sz w:val="24"/>
          <w:szCs w:val="24"/>
          <w:highlight w:val="yellow"/>
          <w:lang w:val="en-US" w:eastAsia="zh-CN"/>
        </w:rPr>
        <w:t>30</w:t>
      </w:r>
      <w:r>
        <w:rPr>
          <w:rStyle w:val="76"/>
          <w:rFonts w:hint="eastAsia" w:ascii="宋体" w:hAnsi="宋体" w:eastAsia="宋体" w:cs="宋体"/>
          <w:snapToGrid/>
          <w:color w:val="FF0000"/>
          <w:kern w:val="2"/>
          <w:sz w:val="24"/>
          <w:szCs w:val="24"/>
          <w:highlight w:val="yellow"/>
        </w:rPr>
        <w:t>日</w:t>
      </w:r>
      <w:r>
        <w:rPr>
          <w:rFonts w:hint="eastAsia" w:ascii="宋体" w:hAnsi="宋体" w:cs="宋体"/>
          <w:sz w:val="24"/>
        </w:rPr>
        <w:t>，每天上午00:00至12:00 ，下午12:00至23:59（北京时间，线上获取法定节假日均可，线下获取文件法定节假日除外）</w:t>
      </w:r>
    </w:p>
    <w:p>
      <w:pPr>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rPr>
          <w:rFonts w:ascii="宋体" w:hAnsi="宋体" w:cs="宋体"/>
          <w:b/>
          <w:sz w:val="24"/>
        </w:rPr>
      </w:pPr>
      <w:r>
        <w:rPr>
          <w:rFonts w:hint="eastAsia" w:ascii="宋体" w:hAnsi="宋体" w:cs="宋体"/>
          <w:b/>
          <w:sz w:val="24"/>
        </w:rPr>
        <w:t>四、提交投标文件截止时间、开标时间和地点</w:t>
      </w:r>
    </w:p>
    <w:p>
      <w:pPr>
        <w:ind w:firstLine="482" w:firstLineChars="200"/>
        <w:rPr>
          <w:rFonts w:ascii="宋体" w:hAnsi="宋体" w:cs="宋体"/>
          <w:sz w:val="24"/>
        </w:rPr>
      </w:pPr>
      <w:r>
        <w:rPr>
          <w:rFonts w:hint="eastAsia" w:ascii="宋体" w:hAnsi="宋体" w:cs="宋体"/>
          <w:b/>
          <w:sz w:val="24"/>
        </w:rPr>
        <w:t>提交投标文件截止时间：</w:t>
      </w:r>
      <w:r>
        <w:rPr>
          <w:rStyle w:val="76"/>
          <w:rFonts w:hint="eastAsia" w:ascii="宋体" w:hAnsi="宋体" w:eastAsia="宋体" w:cs="宋体"/>
          <w:snapToGrid/>
          <w:color w:val="FF0000"/>
          <w:kern w:val="2"/>
          <w:sz w:val="24"/>
          <w:szCs w:val="24"/>
          <w:highlight w:val="yellow"/>
        </w:rPr>
        <w:t>202</w:t>
      </w:r>
      <w:r>
        <w:rPr>
          <w:rStyle w:val="76"/>
          <w:rFonts w:hint="eastAsia" w:ascii="宋体" w:hAnsi="宋体" w:cs="宋体"/>
          <w:snapToGrid/>
          <w:color w:val="FF0000"/>
          <w:kern w:val="2"/>
          <w:sz w:val="24"/>
          <w:szCs w:val="24"/>
          <w:highlight w:val="yellow"/>
          <w:lang w:val="en-US" w:eastAsia="zh-CN"/>
        </w:rPr>
        <w:t>4</w:t>
      </w:r>
      <w:r>
        <w:rPr>
          <w:rStyle w:val="76"/>
          <w:rFonts w:hint="eastAsia" w:ascii="宋体" w:hAnsi="宋体" w:eastAsia="宋体" w:cs="宋体"/>
          <w:snapToGrid/>
          <w:color w:val="FF0000"/>
          <w:kern w:val="2"/>
          <w:sz w:val="24"/>
          <w:szCs w:val="24"/>
          <w:highlight w:val="yellow"/>
        </w:rPr>
        <w:t>年</w:t>
      </w:r>
      <w:r>
        <w:rPr>
          <w:rStyle w:val="76"/>
          <w:rFonts w:hint="eastAsia" w:ascii="宋体" w:hAnsi="宋体" w:cs="宋体"/>
          <w:snapToGrid/>
          <w:color w:val="FF0000"/>
          <w:kern w:val="2"/>
          <w:sz w:val="24"/>
          <w:szCs w:val="24"/>
          <w:highlight w:val="yellow"/>
          <w:lang w:val="en-US" w:eastAsia="zh-CN"/>
        </w:rPr>
        <w:t>7</w:t>
      </w:r>
      <w:r>
        <w:rPr>
          <w:rStyle w:val="76"/>
          <w:rFonts w:hint="eastAsia" w:ascii="宋体" w:hAnsi="宋体" w:eastAsia="宋体" w:cs="宋体"/>
          <w:snapToGrid/>
          <w:color w:val="FF0000"/>
          <w:kern w:val="2"/>
          <w:sz w:val="24"/>
          <w:szCs w:val="24"/>
          <w:highlight w:val="yellow"/>
        </w:rPr>
        <w:t>月</w:t>
      </w:r>
      <w:r>
        <w:rPr>
          <w:rStyle w:val="76"/>
          <w:rFonts w:hint="eastAsia" w:ascii="宋体" w:hAnsi="宋体" w:cs="宋体"/>
          <w:snapToGrid/>
          <w:color w:val="FF0000"/>
          <w:kern w:val="2"/>
          <w:sz w:val="24"/>
          <w:szCs w:val="24"/>
          <w:highlight w:val="yellow"/>
          <w:lang w:val="en-US" w:eastAsia="zh-CN"/>
        </w:rPr>
        <w:t>30</w:t>
      </w:r>
      <w:r>
        <w:rPr>
          <w:rStyle w:val="76"/>
          <w:rFonts w:hint="eastAsia" w:ascii="宋体" w:hAnsi="宋体" w:eastAsia="宋体" w:cs="宋体"/>
          <w:snapToGrid/>
          <w:color w:val="FF0000"/>
          <w:kern w:val="2"/>
          <w:sz w:val="24"/>
          <w:szCs w:val="24"/>
          <w:highlight w:val="yellow"/>
        </w:rPr>
        <w:t>日 9点00分</w:t>
      </w:r>
      <w:r>
        <w:rPr>
          <w:rStyle w:val="76"/>
          <w:rFonts w:hint="eastAsia" w:ascii="宋体" w:hAnsi="宋体" w:eastAsia="宋体" w:cs="宋体"/>
          <w:bCs/>
          <w:snapToGrid/>
          <w:color w:val="FF0000"/>
          <w:kern w:val="2"/>
          <w:sz w:val="24"/>
          <w:szCs w:val="24"/>
          <w:highlight w:val="yellow"/>
        </w:rPr>
        <w:t>00秒</w:t>
      </w:r>
      <w:r>
        <w:rPr>
          <w:rFonts w:hint="eastAsia" w:ascii="宋体" w:hAnsi="宋体" w:cs="宋体"/>
          <w:sz w:val="24"/>
        </w:rPr>
        <w:t>（北京时间）</w:t>
      </w:r>
    </w:p>
    <w:p>
      <w:pPr>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ind w:firstLine="482" w:firstLineChars="200"/>
        <w:rPr>
          <w:rFonts w:hint="eastAsia" w:ascii="宋体" w:hAnsi="宋体" w:eastAsia="宋体" w:cs="宋体"/>
          <w:bCs/>
          <w:sz w:val="24"/>
          <w:highlight w:val="yellow"/>
          <w:u w:val="single"/>
          <w:lang w:eastAsia="zh-CN"/>
        </w:rPr>
      </w:pPr>
      <w:r>
        <w:rPr>
          <w:rFonts w:hint="eastAsia" w:ascii="宋体" w:hAnsi="宋体" w:cs="宋体"/>
          <w:b/>
          <w:sz w:val="24"/>
        </w:rPr>
        <w:t>开标时间：</w:t>
      </w:r>
      <w:r>
        <w:rPr>
          <w:rStyle w:val="76"/>
          <w:rFonts w:hint="eastAsia" w:ascii="宋体" w:hAnsi="宋体" w:eastAsia="宋体" w:cs="宋体"/>
          <w:snapToGrid/>
          <w:color w:val="FF0000"/>
          <w:kern w:val="2"/>
          <w:sz w:val="24"/>
          <w:szCs w:val="24"/>
          <w:highlight w:val="yellow"/>
        </w:rPr>
        <w:t>202</w:t>
      </w:r>
      <w:r>
        <w:rPr>
          <w:rStyle w:val="76"/>
          <w:rFonts w:hint="eastAsia" w:ascii="宋体" w:hAnsi="宋体" w:cs="宋体"/>
          <w:snapToGrid/>
          <w:color w:val="FF0000"/>
          <w:kern w:val="2"/>
          <w:sz w:val="24"/>
          <w:szCs w:val="24"/>
          <w:highlight w:val="yellow"/>
          <w:lang w:val="en-US" w:eastAsia="zh-CN"/>
        </w:rPr>
        <w:t>4</w:t>
      </w:r>
      <w:r>
        <w:rPr>
          <w:rStyle w:val="76"/>
          <w:rFonts w:hint="eastAsia" w:ascii="宋体" w:hAnsi="宋体" w:eastAsia="宋体" w:cs="宋体"/>
          <w:snapToGrid/>
          <w:color w:val="FF0000"/>
          <w:kern w:val="2"/>
          <w:sz w:val="24"/>
          <w:szCs w:val="24"/>
          <w:highlight w:val="yellow"/>
        </w:rPr>
        <w:t>年</w:t>
      </w:r>
      <w:r>
        <w:rPr>
          <w:rStyle w:val="76"/>
          <w:rFonts w:hint="eastAsia" w:ascii="宋体" w:hAnsi="宋体" w:cs="宋体"/>
          <w:snapToGrid/>
          <w:color w:val="FF0000"/>
          <w:kern w:val="2"/>
          <w:sz w:val="24"/>
          <w:szCs w:val="24"/>
          <w:highlight w:val="yellow"/>
          <w:lang w:val="en-US" w:eastAsia="zh-CN"/>
        </w:rPr>
        <w:t>7</w:t>
      </w:r>
      <w:r>
        <w:rPr>
          <w:rStyle w:val="76"/>
          <w:rFonts w:hint="eastAsia" w:ascii="宋体" w:hAnsi="宋体" w:eastAsia="宋体" w:cs="宋体"/>
          <w:snapToGrid/>
          <w:color w:val="FF0000"/>
          <w:kern w:val="2"/>
          <w:sz w:val="24"/>
          <w:szCs w:val="24"/>
          <w:highlight w:val="yellow"/>
        </w:rPr>
        <w:t>月</w:t>
      </w:r>
      <w:r>
        <w:rPr>
          <w:rStyle w:val="76"/>
          <w:rFonts w:hint="eastAsia" w:ascii="宋体" w:hAnsi="宋体" w:cs="宋体"/>
          <w:snapToGrid/>
          <w:color w:val="FF0000"/>
          <w:kern w:val="2"/>
          <w:sz w:val="24"/>
          <w:szCs w:val="24"/>
          <w:highlight w:val="yellow"/>
          <w:lang w:val="en-US" w:eastAsia="zh-CN"/>
        </w:rPr>
        <w:t>30</w:t>
      </w:r>
      <w:r>
        <w:rPr>
          <w:rStyle w:val="76"/>
          <w:rFonts w:hint="eastAsia" w:ascii="宋体" w:hAnsi="宋体" w:eastAsia="宋体" w:cs="宋体"/>
          <w:snapToGrid/>
          <w:color w:val="FF0000"/>
          <w:kern w:val="2"/>
          <w:sz w:val="24"/>
          <w:szCs w:val="24"/>
          <w:highlight w:val="yellow"/>
        </w:rPr>
        <w:t>日 9点00分</w:t>
      </w:r>
      <w:r>
        <w:rPr>
          <w:rStyle w:val="76"/>
          <w:rFonts w:hint="eastAsia" w:ascii="宋体" w:hAnsi="宋体" w:eastAsia="宋体" w:cs="宋体"/>
          <w:bCs/>
          <w:snapToGrid/>
          <w:color w:val="FF0000"/>
          <w:kern w:val="2"/>
          <w:sz w:val="24"/>
          <w:szCs w:val="24"/>
          <w:highlight w:val="yellow"/>
        </w:rPr>
        <w:t>00秒</w:t>
      </w:r>
    </w:p>
    <w:p>
      <w:pPr>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rPr>
          <w:rFonts w:ascii="宋体" w:hAnsi="宋体" w:cs="宋体"/>
          <w:sz w:val="24"/>
        </w:rPr>
      </w:pPr>
      <w:r>
        <w:rPr>
          <w:rFonts w:hint="eastAsia" w:ascii="宋体" w:hAnsi="宋体" w:cs="宋体"/>
          <w:b/>
          <w:sz w:val="24"/>
        </w:rPr>
        <w:t xml:space="preserve">五、公告期限 </w:t>
      </w:r>
    </w:p>
    <w:p>
      <w:pPr>
        <w:ind w:firstLine="480" w:firstLineChars="200"/>
        <w:rPr>
          <w:rFonts w:ascii="宋体" w:hAnsi="宋体" w:cs="宋体"/>
          <w:sz w:val="24"/>
        </w:rPr>
      </w:pPr>
      <w:r>
        <w:rPr>
          <w:rFonts w:hint="eastAsia" w:ascii="宋体" w:hAnsi="宋体" w:cs="宋体"/>
          <w:sz w:val="24"/>
        </w:rPr>
        <w:t>自本公告发布之日起5个工作日。</w:t>
      </w:r>
    </w:p>
    <w:p>
      <w:pPr>
        <w:rPr>
          <w:rFonts w:ascii="宋体" w:hAnsi="宋体" w:cs="宋体"/>
          <w:b/>
          <w:sz w:val="24"/>
        </w:rPr>
      </w:pPr>
      <w:r>
        <w:rPr>
          <w:rFonts w:hint="eastAsia" w:ascii="宋体" w:hAnsi="宋体" w:cs="宋体"/>
          <w:b/>
          <w:sz w:val="24"/>
        </w:rPr>
        <w:t>六、其他补充事宜</w:t>
      </w:r>
    </w:p>
    <w:p>
      <w:pPr>
        <w:ind w:firstLine="480" w:firstLineChars="200"/>
        <w:rPr>
          <w:rFonts w:ascii="宋体" w:hAnsi="宋体" w:cs="宋体"/>
          <w:sz w:val="24"/>
        </w:rPr>
      </w:pPr>
      <w:r>
        <w:rPr>
          <w:rFonts w:hint="eastAsia" w:ascii="宋体" w:hAnsi="宋体" w:cs="宋体"/>
          <w:sz w:val="24"/>
        </w:rPr>
        <w:t xml:space="preserve"> 1. 《浙江省财政厅关于进一步发挥政府采购政策功能全力推动经济稳进提质的通知》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0" w:firstLineChars="200"/>
        <w:rPr>
          <w:rFonts w:hint="eastAsia"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⑨投标文件的解密：投标人按照平台提示和招标文件的规定在半小时内完成在线解密。通过“政府采购云平台”上传递交的投标文件无法按时解密则视为投标文件撤回；⑩具体操作指南：详见政采云平台“服务中心-帮助文档-项目采购-操作流程-电子招投标-政府采购项目电子交易管理操作指南-供应商”。（3）招标文件公告期限与招标公告的公告期限一致。</w:t>
      </w:r>
    </w:p>
    <w:p>
      <w:pPr>
        <w:pStyle w:val="5"/>
        <w:spacing w:line="240" w:lineRule="auto"/>
        <w:jc w:val="center"/>
        <w:rPr>
          <w:rFonts w:ascii="宋体" w:hAnsi="宋体" w:eastAsia="宋体" w:cs="宋体"/>
          <w:b w:val="0"/>
          <w:bCs w:val="0"/>
          <w:sz w:val="24"/>
          <w:szCs w:val="24"/>
        </w:rPr>
      </w:pPr>
      <w:r>
        <w:rPr>
          <w:rFonts w:hint="eastAsia" w:ascii="宋体" w:hAnsi="宋体" w:eastAsia="宋体" w:cs="宋体"/>
          <w:b w:val="0"/>
          <w:bCs w:val="0"/>
          <w:sz w:val="24"/>
          <w:szCs w:val="24"/>
        </w:rPr>
        <w:t>政府采购金融服务提示</w:t>
      </w:r>
    </w:p>
    <w:p>
      <w:pPr>
        <w:pStyle w:val="5"/>
        <w:spacing w:line="240" w:lineRule="auto"/>
        <w:ind w:left="433" w:leftChars="202" w:hanging="9" w:hangingChars="4"/>
        <w:rPr>
          <w:rFonts w:ascii="宋体" w:hAnsi="宋体" w:eastAsia="宋体" w:cs="宋体"/>
          <w:b w:val="0"/>
          <w:bCs w:val="0"/>
          <w:sz w:val="24"/>
          <w:szCs w:val="24"/>
        </w:rPr>
      </w:pPr>
      <w:r>
        <w:rPr>
          <w:rFonts w:hint="eastAsia" w:ascii="宋体" w:hAnsi="宋体" w:eastAsia="宋体" w:cs="宋体"/>
          <w:b w:val="0"/>
          <w:bCs w:val="0"/>
          <w:sz w:val="24"/>
          <w:szCs w:val="24"/>
        </w:rPr>
        <w:t>为扩大政府采购金融服务面，除政采云网上金融服务合作银行外，金华市范围增加线下合</w:t>
      </w:r>
    </w:p>
    <w:p>
      <w:pPr>
        <w:pStyle w:val="5"/>
        <w:spacing w:line="240" w:lineRule="auto"/>
        <w:rPr>
          <w:rFonts w:ascii="宋体" w:hAnsi="宋体" w:eastAsia="宋体" w:cs="宋体"/>
          <w:b w:val="0"/>
          <w:bCs w:val="0"/>
          <w:sz w:val="24"/>
          <w:szCs w:val="24"/>
        </w:rPr>
      </w:pPr>
      <w:r>
        <w:rPr>
          <w:rFonts w:hint="eastAsia" w:ascii="宋体" w:hAnsi="宋体" w:eastAsia="宋体" w:cs="宋体"/>
          <w:b w:val="0"/>
          <w:bCs w:val="0"/>
          <w:sz w:val="24"/>
          <w:szCs w:val="24"/>
        </w:rPr>
        <w:t>作银行三家，具体信息如下：</w:t>
      </w:r>
    </w:p>
    <w:p>
      <w:pPr>
        <w:pStyle w:val="5"/>
        <w:spacing w:line="240" w:lineRule="auto"/>
        <w:ind w:left="433" w:leftChars="202" w:hanging="9" w:hangingChars="4"/>
        <w:rPr>
          <w:rFonts w:ascii="宋体" w:hAnsi="宋体" w:eastAsia="宋体" w:cs="宋体"/>
          <w:b w:val="0"/>
          <w:bCs w:val="0"/>
          <w:sz w:val="24"/>
          <w:szCs w:val="24"/>
        </w:rPr>
      </w:pPr>
      <w:r>
        <w:rPr>
          <w:rFonts w:hint="eastAsia" w:ascii="宋体" w:hAnsi="宋体" w:eastAsia="宋体" w:cs="宋体"/>
          <w:b w:val="0"/>
          <w:bCs w:val="0"/>
          <w:sz w:val="24"/>
          <w:szCs w:val="24"/>
        </w:rPr>
        <w:t>中国建设银行武义支行  联系人：徐浩  联系电话：17858158909  0579-87622385</w:t>
      </w:r>
    </w:p>
    <w:p>
      <w:pPr>
        <w:pStyle w:val="5"/>
        <w:spacing w:line="240" w:lineRule="auto"/>
        <w:ind w:left="433" w:leftChars="202" w:hanging="9" w:hangingChars="4"/>
        <w:rPr>
          <w:rFonts w:ascii="宋体" w:hAnsi="宋体" w:eastAsia="宋体" w:cs="宋体"/>
          <w:b w:val="0"/>
          <w:bCs w:val="0"/>
          <w:sz w:val="24"/>
          <w:szCs w:val="24"/>
        </w:rPr>
      </w:pPr>
      <w:r>
        <w:rPr>
          <w:rFonts w:hint="eastAsia" w:ascii="宋体" w:hAnsi="宋体" w:eastAsia="宋体" w:cs="宋体"/>
          <w:b w:val="0"/>
          <w:bCs w:val="0"/>
          <w:sz w:val="24"/>
          <w:szCs w:val="24"/>
        </w:rPr>
        <w:t>金华银行文创支行  联系人：姜锋  联系电话：13505792828  0579-82479020</w:t>
      </w:r>
    </w:p>
    <w:p>
      <w:pPr>
        <w:pStyle w:val="5"/>
        <w:spacing w:line="240" w:lineRule="auto"/>
        <w:ind w:left="433" w:leftChars="202" w:hanging="9" w:hangingChars="4"/>
        <w:rPr>
          <w:rFonts w:ascii="宋体" w:hAnsi="宋体" w:eastAsia="宋体" w:cs="宋体"/>
          <w:sz w:val="24"/>
          <w:szCs w:val="24"/>
        </w:rPr>
      </w:pPr>
      <w:r>
        <w:rPr>
          <w:rFonts w:hint="eastAsia" w:ascii="宋体" w:hAnsi="宋体" w:eastAsia="宋体" w:cs="宋体"/>
          <w:b w:val="0"/>
          <w:bCs w:val="0"/>
          <w:sz w:val="24"/>
          <w:szCs w:val="24"/>
        </w:rPr>
        <w:t>浙商银行金华分行  联系人：朱晨祥  联系电话：15857978811  0579-82999581</w:t>
      </w:r>
    </w:p>
    <w:p>
      <w:pPr>
        <w:rPr>
          <w:rFonts w:ascii="宋体" w:hAnsi="宋体" w:cs="宋体"/>
          <w:b/>
          <w:sz w:val="24"/>
        </w:rPr>
      </w:pPr>
      <w:r>
        <w:rPr>
          <w:rFonts w:hint="eastAsia" w:ascii="宋体" w:hAnsi="宋体" w:cs="宋体"/>
          <w:b/>
          <w:sz w:val="24"/>
        </w:rPr>
        <w:t>七、对本次采购提出询问、质疑、投诉，请按以下方式联系</w:t>
      </w:r>
    </w:p>
    <w:p>
      <w:pPr>
        <w:rPr>
          <w:rFonts w:ascii="宋体" w:hAnsi="宋体" w:cs="宋体"/>
          <w:sz w:val="24"/>
        </w:rPr>
      </w:pPr>
      <w:r>
        <w:rPr>
          <w:rFonts w:hint="eastAsia" w:ascii="宋体" w:hAnsi="宋体" w:cs="宋体"/>
          <w:sz w:val="24"/>
        </w:rPr>
        <w:t xml:space="preserve">    1.采购人信息</w:t>
      </w:r>
    </w:p>
    <w:p>
      <w:pPr>
        <w:ind w:firstLine="480" w:firstLineChars="200"/>
        <w:rPr>
          <w:rFonts w:ascii="宋体" w:hAnsi="宋体" w:cs="宋体"/>
          <w:color w:val="auto"/>
          <w:sz w:val="24"/>
        </w:rPr>
      </w:pPr>
      <w:r>
        <w:rPr>
          <w:rFonts w:hint="eastAsia" w:ascii="宋体" w:hAnsi="宋体" w:cs="宋体"/>
          <w:color w:val="auto"/>
          <w:sz w:val="24"/>
        </w:rPr>
        <w:t>名    称：</w:t>
      </w:r>
      <w:r>
        <w:rPr>
          <w:rFonts w:hint="eastAsia" w:ascii="宋体" w:hAnsi="宋体" w:cs="宋体"/>
          <w:color w:val="auto"/>
          <w:sz w:val="24"/>
          <w:lang w:eastAsia="zh-CN"/>
        </w:rPr>
        <w:t>武义县桃溪中学</w:t>
      </w:r>
      <w:r>
        <w:rPr>
          <w:rFonts w:hint="eastAsia" w:ascii="宋体" w:hAnsi="宋体" w:cs="宋体"/>
          <w:color w:val="auto"/>
          <w:sz w:val="24"/>
        </w:rPr>
        <w:t xml:space="preserve"> </w:t>
      </w:r>
    </w:p>
    <w:p>
      <w:pPr>
        <w:rPr>
          <w:rFonts w:ascii="宋体" w:hAnsi="宋体" w:cs="宋体"/>
          <w:color w:val="auto"/>
          <w:sz w:val="24"/>
        </w:rPr>
      </w:pPr>
      <w:r>
        <w:rPr>
          <w:rFonts w:hint="eastAsia" w:ascii="宋体" w:hAnsi="宋体" w:cs="宋体"/>
          <w:color w:val="auto"/>
          <w:sz w:val="24"/>
        </w:rPr>
        <w:t xml:space="preserve">    地    址：</w:t>
      </w:r>
      <w:r>
        <w:rPr>
          <w:rFonts w:hint="eastAsia" w:ascii="宋体" w:hAnsi="宋体" w:cs="宋体"/>
          <w:color w:val="auto"/>
          <w:sz w:val="24"/>
          <w:lang w:eastAsia="zh-CN"/>
        </w:rPr>
        <w:t>武义县桃溪中学</w:t>
      </w:r>
      <w:r>
        <w:rPr>
          <w:rFonts w:hint="eastAsia" w:ascii="宋体" w:hAnsi="宋体" w:cs="宋体"/>
          <w:color w:val="auto"/>
          <w:sz w:val="24"/>
        </w:rPr>
        <w:t xml:space="preserve">      </w:t>
      </w:r>
    </w:p>
    <w:p>
      <w:pPr>
        <w:ind w:firstLine="480"/>
        <w:rPr>
          <w:rFonts w:ascii="宋体" w:hAnsi="宋体" w:cs="宋体"/>
          <w:color w:val="auto"/>
          <w:sz w:val="24"/>
        </w:rPr>
      </w:pPr>
      <w:r>
        <w:rPr>
          <w:rFonts w:hint="eastAsia" w:ascii="宋体" w:hAnsi="宋体" w:cs="宋体"/>
          <w:color w:val="auto"/>
          <w:sz w:val="24"/>
        </w:rPr>
        <w:t>传    真： /</w:t>
      </w:r>
    </w:p>
    <w:p>
      <w:pPr>
        <w:ind w:firstLine="480"/>
        <w:rPr>
          <w:rFonts w:ascii="宋体" w:hAnsi="宋体" w:cs="宋体"/>
          <w:color w:val="auto"/>
          <w:sz w:val="24"/>
        </w:rPr>
      </w:pPr>
      <w:r>
        <w:rPr>
          <w:rFonts w:hint="eastAsia" w:ascii="宋体" w:hAnsi="宋体" w:cs="宋体"/>
          <w:color w:val="auto"/>
          <w:sz w:val="24"/>
        </w:rPr>
        <w:t>项目联系人（询问）：</w:t>
      </w:r>
      <w:r>
        <w:rPr>
          <w:rFonts w:hint="eastAsia" w:ascii="宋体" w:hAnsi="宋体" w:cs="宋体"/>
          <w:color w:val="auto"/>
          <w:sz w:val="24"/>
          <w:lang w:eastAsia="zh-CN"/>
        </w:rPr>
        <w:t>王</w:t>
      </w:r>
      <w:r>
        <w:rPr>
          <w:rFonts w:hint="eastAsia" w:ascii="宋体" w:hAnsi="宋体" w:cs="宋体"/>
          <w:color w:val="auto"/>
          <w:sz w:val="24"/>
        </w:rPr>
        <w:t xml:space="preserve">老师  </w:t>
      </w:r>
    </w:p>
    <w:p>
      <w:pPr>
        <w:ind w:firstLine="480"/>
        <w:rPr>
          <w:rFonts w:ascii="宋体" w:hAnsi="宋体" w:cs="宋体"/>
          <w:color w:val="auto"/>
          <w:sz w:val="24"/>
          <w:shd w:val="clear" w:color="auto" w:fill="FFFFFF"/>
        </w:rPr>
      </w:pPr>
      <w:r>
        <w:rPr>
          <w:rFonts w:hint="eastAsia" w:ascii="宋体" w:hAnsi="宋体" w:cs="宋体"/>
          <w:color w:val="auto"/>
          <w:sz w:val="24"/>
        </w:rPr>
        <w:t>项目联系方式（询问）：</w:t>
      </w:r>
      <w:r>
        <w:rPr>
          <w:rFonts w:ascii="微软雅黑" w:hAnsi="微软雅黑" w:eastAsia="微软雅黑" w:cs="微软雅黑"/>
          <w:i w:val="0"/>
          <w:iCs w:val="0"/>
          <w:caps w:val="0"/>
          <w:color w:val="333333"/>
          <w:spacing w:val="0"/>
          <w:sz w:val="21"/>
          <w:szCs w:val="21"/>
          <w:shd w:val="clear" w:fill="FFFFFF"/>
        </w:rPr>
        <w:t>0579-89093216</w:t>
      </w:r>
    </w:p>
    <w:p>
      <w:pPr>
        <w:ind w:firstLine="480"/>
        <w:rPr>
          <w:rFonts w:ascii="宋体" w:hAnsi="宋体" w:cs="宋体"/>
          <w:color w:val="auto"/>
          <w:sz w:val="24"/>
        </w:rPr>
      </w:pPr>
      <w:r>
        <w:rPr>
          <w:rFonts w:hint="eastAsia" w:ascii="宋体" w:hAnsi="宋体" w:cs="宋体"/>
          <w:color w:val="auto"/>
          <w:sz w:val="24"/>
        </w:rPr>
        <w:t>质疑联系人：</w:t>
      </w:r>
      <w:r>
        <w:rPr>
          <w:rFonts w:hint="eastAsia" w:ascii="宋体" w:hAnsi="宋体" w:cs="宋体"/>
          <w:color w:val="auto"/>
          <w:sz w:val="24"/>
          <w:lang w:eastAsia="zh-CN"/>
        </w:rPr>
        <w:t>王</w:t>
      </w:r>
      <w:r>
        <w:rPr>
          <w:rFonts w:hint="eastAsia" w:ascii="宋体" w:hAnsi="宋体" w:cs="宋体"/>
          <w:color w:val="auto"/>
          <w:sz w:val="24"/>
        </w:rPr>
        <w:t>老师</w:t>
      </w:r>
    </w:p>
    <w:p>
      <w:pPr>
        <w:rPr>
          <w:rFonts w:ascii="宋体" w:hAnsi="宋体" w:cs="宋体"/>
          <w:color w:val="auto"/>
          <w:sz w:val="24"/>
        </w:rPr>
      </w:pPr>
      <w:r>
        <w:rPr>
          <w:rFonts w:hint="eastAsia" w:ascii="宋体" w:hAnsi="宋体" w:cs="宋体"/>
          <w:color w:val="auto"/>
          <w:sz w:val="24"/>
        </w:rPr>
        <w:t xml:space="preserve">    质疑联系方式：</w:t>
      </w:r>
      <w:r>
        <w:rPr>
          <w:rFonts w:ascii="微软雅黑" w:hAnsi="微软雅黑" w:eastAsia="微软雅黑" w:cs="微软雅黑"/>
          <w:i w:val="0"/>
          <w:iCs w:val="0"/>
          <w:caps w:val="0"/>
          <w:color w:val="333333"/>
          <w:spacing w:val="0"/>
          <w:sz w:val="21"/>
          <w:szCs w:val="21"/>
          <w:shd w:val="clear" w:fill="FFFFFF"/>
        </w:rPr>
        <w:t>0579-89093216</w:t>
      </w:r>
    </w:p>
    <w:p>
      <w:pPr>
        <w:ind w:firstLine="480"/>
        <w:rPr>
          <w:rFonts w:ascii="宋体" w:hAnsi="宋体" w:cs="宋体"/>
          <w:sz w:val="24"/>
        </w:rPr>
      </w:pPr>
      <w:r>
        <w:rPr>
          <w:rFonts w:hint="eastAsia" w:ascii="宋体" w:hAnsi="宋体" w:cs="宋体"/>
          <w:sz w:val="24"/>
        </w:rPr>
        <w:t xml:space="preserve">2.采购代理机构信息            </w:t>
      </w:r>
    </w:p>
    <w:p>
      <w:pPr>
        <w:ind w:firstLine="480"/>
        <w:rPr>
          <w:rFonts w:ascii="宋体" w:hAnsi="宋体" w:cs="宋体"/>
          <w:sz w:val="24"/>
        </w:rPr>
      </w:pPr>
      <w:r>
        <w:rPr>
          <w:rFonts w:hint="eastAsia" w:ascii="宋体" w:hAnsi="宋体" w:cs="宋体"/>
          <w:sz w:val="24"/>
        </w:rPr>
        <w:t>名    称：金华市政府采购中心武义县分中心</w:t>
      </w:r>
    </w:p>
    <w:p>
      <w:pPr>
        <w:ind w:firstLine="480"/>
        <w:rPr>
          <w:rFonts w:ascii="宋体" w:hAnsi="宋体" w:cs="宋体"/>
          <w:sz w:val="24"/>
        </w:rPr>
      </w:pPr>
      <w:r>
        <w:rPr>
          <w:rFonts w:hint="eastAsia" w:ascii="宋体" w:hAnsi="宋体" w:cs="宋体"/>
          <w:sz w:val="24"/>
        </w:rPr>
        <w:t>地    址：武义县武阳中路2号建行12楼</w:t>
      </w:r>
    </w:p>
    <w:p>
      <w:pPr>
        <w:rPr>
          <w:rFonts w:ascii="宋体" w:hAnsi="宋体" w:cs="宋体"/>
          <w:sz w:val="24"/>
        </w:rPr>
      </w:pPr>
      <w:r>
        <w:rPr>
          <w:rFonts w:hint="eastAsia" w:ascii="宋体" w:hAnsi="宋体" w:cs="宋体"/>
          <w:sz w:val="24"/>
        </w:rPr>
        <w:t xml:space="preserve">    传    真：0579-88046811</w:t>
      </w:r>
    </w:p>
    <w:p>
      <w:pPr>
        <w:rPr>
          <w:rFonts w:ascii="宋体" w:hAnsi="宋体" w:cs="宋体"/>
          <w:sz w:val="24"/>
        </w:rPr>
      </w:pPr>
      <w:r>
        <w:rPr>
          <w:rFonts w:hint="eastAsia" w:ascii="宋体" w:hAnsi="宋体" w:cs="宋体"/>
          <w:sz w:val="24"/>
        </w:rPr>
        <w:t xml:space="preserve">    项目联系人（询问）：</w:t>
      </w:r>
      <w:r>
        <w:rPr>
          <w:rFonts w:hint="eastAsia" w:ascii="宋体" w:hAnsi="宋体" w:cs="宋体"/>
          <w:b w:val="0"/>
          <w:bCs w:val="0"/>
          <w:color w:val="auto"/>
          <w:sz w:val="24"/>
          <w:lang w:eastAsia="zh-CN"/>
        </w:rPr>
        <w:t>刘先生</w:t>
      </w:r>
      <w:r>
        <w:rPr>
          <w:rFonts w:hint="eastAsia" w:ascii="宋体" w:hAnsi="宋体" w:cs="宋体"/>
          <w:b w:val="0"/>
          <w:bCs w:val="0"/>
          <w:color w:val="auto"/>
          <w:sz w:val="24"/>
        </w:rPr>
        <w:t xml:space="preserve"> </w:t>
      </w:r>
    </w:p>
    <w:p>
      <w:pPr>
        <w:rPr>
          <w:rFonts w:ascii="宋体" w:hAnsi="宋体" w:cs="宋体"/>
          <w:sz w:val="24"/>
        </w:rPr>
      </w:pPr>
      <w:r>
        <w:rPr>
          <w:rFonts w:hint="eastAsia" w:ascii="宋体" w:hAnsi="宋体" w:cs="宋体"/>
          <w:sz w:val="24"/>
        </w:rPr>
        <w:t xml:space="preserve">    项目联系方式（询问）：0579-88046816</w:t>
      </w:r>
    </w:p>
    <w:p>
      <w:pPr>
        <w:rPr>
          <w:rFonts w:ascii="宋体" w:hAnsi="宋体" w:cs="宋体"/>
          <w:sz w:val="24"/>
        </w:rPr>
      </w:pPr>
      <w:r>
        <w:rPr>
          <w:rFonts w:hint="eastAsia" w:ascii="宋体" w:hAnsi="宋体" w:cs="宋体"/>
          <w:sz w:val="24"/>
        </w:rPr>
        <w:t xml:space="preserve">    质疑联系人：</w:t>
      </w:r>
      <w:r>
        <w:rPr>
          <w:rFonts w:hint="eastAsia" w:ascii="宋体" w:hAnsi="宋体" w:cs="宋体"/>
          <w:sz w:val="24"/>
          <w:lang w:eastAsia="zh-CN"/>
        </w:rPr>
        <w:t>王女士</w:t>
      </w:r>
      <w:r>
        <w:rPr>
          <w:rFonts w:hint="eastAsia" w:ascii="宋体" w:hAnsi="宋体" w:cs="宋体"/>
          <w:sz w:val="24"/>
        </w:rPr>
        <w:t xml:space="preserve"> </w:t>
      </w:r>
    </w:p>
    <w:p>
      <w:pPr>
        <w:ind w:firstLine="480"/>
        <w:rPr>
          <w:rFonts w:hint="eastAsia" w:ascii="宋体" w:hAnsi="宋体" w:cs="宋体"/>
          <w:sz w:val="24"/>
          <w:lang w:val="en-US" w:eastAsia="zh-CN"/>
        </w:rPr>
      </w:pPr>
      <w:r>
        <w:rPr>
          <w:rFonts w:hint="eastAsia" w:ascii="宋体" w:hAnsi="宋体" w:cs="宋体"/>
          <w:sz w:val="24"/>
        </w:rPr>
        <w:t>质疑联系方式：0579-8</w:t>
      </w:r>
      <w:r>
        <w:rPr>
          <w:rFonts w:hint="eastAsia" w:ascii="宋体" w:hAnsi="宋体" w:cs="宋体"/>
          <w:sz w:val="24"/>
          <w:lang w:val="en-US" w:eastAsia="zh-CN"/>
        </w:rPr>
        <w:t>9072389</w:t>
      </w:r>
    </w:p>
    <w:p>
      <w:pPr>
        <w:rPr>
          <w:rFonts w:ascii="宋体" w:hAnsi="宋体" w:cs="宋体"/>
          <w:sz w:val="24"/>
        </w:rPr>
      </w:pPr>
      <w:r>
        <w:rPr>
          <w:rFonts w:hint="eastAsia" w:ascii="宋体" w:hAnsi="宋体" w:cs="宋体"/>
          <w:sz w:val="24"/>
        </w:rPr>
        <w:t xml:space="preserve">    3. 同级政府采购监督管理部门            </w:t>
      </w:r>
    </w:p>
    <w:p>
      <w:pPr>
        <w:ind w:firstLine="480"/>
        <w:rPr>
          <w:rFonts w:ascii="宋体" w:hAnsi="宋体" w:cs="宋体"/>
          <w:sz w:val="24"/>
        </w:rPr>
      </w:pPr>
      <w:r>
        <w:rPr>
          <w:rFonts w:hint="eastAsia" w:ascii="宋体" w:hAnsi="宋体" w:cs="宋体"/>
          <w:sz w:val="24"/>
        </w:rPr>
        <w:t>名    称：武义县财政局政府采购监管科</w:t>
      </w:r>
    </w:p>
    <w:p>
      <w:pPr>
        <w:ind w:firstLine="480"/>
        <w:rPr>
          <w:rFonts w:ascii="宋体" w:hAnsi="宋体" w:cs="宋体"/>
          <w:sz w:val="24"/>
        </w:rPr>
      </w:pPr>
      <w:r>
        <w:rPr>
          <w:rFonts w:hint="eastAsia" w:ascii="宋体" w:hAnsi="宋体" w:cs="宋体"/>
          <w:sz w:val="24"/>
        </w:rPr>
        <w:t>地    址：武义县温泉南路100号供电大厦520室</w:t>
      </w:r>
    </w:p>
    <w:p>
      <w:pPr>
        <w:rPr>
          <w:rFonts w:ascii="宋体" w:hAnsi="宋体" w:cs="宋体"/>
          <w:sz w:val="24"/>
        </w:rPr>
      </w:pPr>
      <w:r>
        <w:rPr>
          <w:rFonts w:hint="eastAsia" w:ascii="宋体" w:hAnsi="宋体" w:cs="宋体"/>
          <w:sz w:val="24"/>
        </w:rPr>
        <w:t xml:space="preserve">    传    真： /</w:t>
      </w:r>
    </w:p>
    <w:p>
      <w:pPr>
        <w:rPr>
          <w:rFonts w:ascii="宋体" w:hAnsi="宋体" w:cs="宋体"/>
          <w:sz w:val="24"/>
        </w:rPr>
      </w:pPr>
      <w:r>
        <w:rPr>
          <w:rFonts w:hint="eastAsia" w:ascii="宋体" w:hAnsi="宋体" w:cs="宋体"/>
          <w:sz w:val="24"/>
        </w:rPr>
        <w:t xml:space="preserve">    联系人 ：魏女士 裘女士</w:t>
      </w:r>
    </w:p>
    <w:p>
      <w:pPr>
        <w:ind w:firstLine="480"/>
        <w:rPr>
          <w:rFonts w:ascii="宋体" w:hAnsi="宋体" w:cs="宋体"/>
          <w:sz w:val="24"/>
        </w:rPr>
      </w:pPr>
      <w:r>
        <w:rPr>
          <w:rFonts w:hint="eastAsia" w:ascii="宋体" w:hAnsi="宋体" w:cs="宋体"/>
          <w:sz w:val="24"/>
        </w:rPr>
        <w:t xml:space="preserve">监督投诉电话：0579-87646372    </w:t>
      </w:r>
    </w:p>
    <w:p>
      <w:pPr>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ind w:firstLine="480" w:firstLineChars="200"/>
        <w:rPr>
          <w:rFonts w:ascii="宋体" w:hAnsi="宋体" w:cs="宋体"/>
          <w:b/>
          <w:sz w:val="36"/>
          <w:szCs w:val="20"/>
        </w:rPr>
      </w:pPr>
      <w:r>
        <w:rPr>
          <w:rFonts w:hint="eastAsia" w:ascii="宋体" w:hAnsi="宋体" w:cs="宋体"/>
          <w:sz w:val="24"/>
        </w:rPr>
        <w:t xml:space="preserve">CA问题联系电话（人工）：汇信CA 400-888-4636；天谷CA 400-087-8198。                        </w:t>
      </w:r>
      <w:r>
        <w:rPr>
          <w:rFonts w:hint="eastAsia" w:ascii="宋体" w:hAnsi="宋体" w:cs="宋体"/>
          <w:b/>
          <w:sz w:val="36"/>
          <w:szCs w:val="20"/>
        </w:rPr>
        <w:t xml:space="preserve"> </w:t>
      </w:r>
    </w:p>
    <w:p>
      <w:pPr>
        <w:pStyle w:val="5"/>
        <w:rPr>
          <w:rFonts w:ascii="宋体" w:hAnsi="宋体" w:eastAsia="宋体" w:cs="宋体"/>
          <w:snapToGrid w:val="0"/>
        </w:rPr>
      </w:pPr>
      <w:r>
        <w:rPr>
          <w:rFonts w:hint="eastAsia" w:ascii="宋体" w:hAnsi="宋体" w:eastAsia="宋体" w:cs="宋体"/>
        </w:rPr>
        <w:br w:type="page"/>
      </w:r>
    </w:p>
    <w:p>
      <w:pPr>
        <w:adjustRightInd/>
        <w:jc w:val="center"/>
        <w:outlineLvl w:val="0"/>
        <w:rPr>
          <w:rFonts w:ascii="宋体" w:hAnsi="宋体" w:cs="宋体"/>
          <w:b/>
          <w:sz w:val="32"/>
          <w:szCs w:val="32"/>
        </w:rPr>
      </w:pPr>
      <w:r>
        <w:rPr>
          <w:rFonts w:hint="eastAsia" w:ascii="宋体" w:hAnsi="宋体" w:cs="宋体"/>
          <w:b/>
          <w:sz w:val="32"/>
          <w:szCs w:val="32"/>
        </w:rPr>
        <w:t>第二部分</w:t>
      </w:r>
      <w:bookmarkEnd w:id="8"/>
      <w:r>
        <w:rPr>
          <w:rFonts w:hint="eastAsia" w:ascii="宋体" w:hAnsi="宋体" w:cs="宋体"/>
          <w:b/>
          <w:sz w:val="32"/>
          <w:szCs w:val="32"/>
        </w:rPr>
        <w:t xml:space="preserve"> 投标人须知</w:t>
      </w:r>
      <w:bookmarkEnd w:id="9"/>
    </w:p>
    <w:p>
      <w:pPr>
        <w:adjustRightInd/>
        <w:jc w:val="center"/>
        <w:outlineLvl w:val="0"/>
        <w:rPr>
          <w:rFonts w:ascii="宋体" w:hAnsi="宋体" w:cs="宋体"/>
          <w:b/>
          <w:sz w:val="24"/>
        </w:rPr>
      </w:pPr>
      <w:r>
        <w:rPr>
          <w:rFonts w:hint="eastAsia" w:ascii="宋体" w:hAnsi="宋体" w:cs="宋体"/>
          <w:b/>
          <w:sz w:val="24"/>
        </w:rPr>
        <w:t>前附表</w:t>
      </w:r>
    </w:p>
    <w:tbl>
      <w:tblPr>
        <w:tblStyle w:val="62"/>
        <w:tblW w:w="0" w:type="auto"/>
        <w:tblInd w:w="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27"/>
        <w:gridCol w:w="2447"/>
        <w:gridCol w:w="65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727"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b/>
                <w:sz w:val="24"/>
              </w:rPr>
            </w:pPr>
            <w:r>
              <w:rPr>
                <w:rFonts w:hint="eastAsia" w:ascii="宋体" w:hAnsi="宋体" w:cs="宋体"/>
                <w:b/>
                <w:sz w:val="24"/>
              </w:rPr>
              <w:t>序号</w:t>
            </w:r>
          </w:p>
        </w:tc>
        <w:tc>
          <w:tcPr>
            <w:tcW w:w="244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事项</w:t>
            </w:r>
          </w:p>
        </w:tc>
        <w:tc>
          <w:tcPr>
            <w:tcW w:w="6570"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3" w:hRule="atLeast"/>
          <w:tblHeader/>
        </w:trPr>
        <w:tc>
          <w:tcPr>
            <w:tcW w:w="7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1</w:t>
            </w:r>
          </w:p>
        </w:tc>
        <w:tc>
          <w:tcPr>
            <w:tcW w:w="244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项目属性与核心产品</w:t>
            </w:r>
          </w:p>
        </w:tc>
        <w:tc>
          <w:tcPr>
            <w:tcW w:w="6570"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auto"/>
                <w:sz w:val="24"/>
              </w:rPr>
            </w:pPr>
            <w:r>
              <w:rPr>
                <w:rFonts w:hint="eastAsia" w:ascii="宋体" w:hAnsi="宋体" w:cs="宋体"/>
                <w:color w:val="auto"/>
                <w:sz w:val="24"/>
              </w:rPr>
              <w:t>货物类，单一产品或</w:t>
            </w:r>
            <w:r>
              <w:rPr>
                <w:rFonts w:hint="eastAsia" w:ascii="宋体" w:hAnsi="宋体" w:cs="宋体"/>
                <w:color w:val="auto"/>
                <w:kern w:val="0"/>
                <w:sz w:val="24"/>
              </w:rPr>
              <w:t>核心产品为：</w:t>
            </w:r>
            <w:r>
              <w:rPr>
                <w:rFonts w:hint="eastAsia" w:ascii="宋体" w:hAnsi="宋体" w:cs="宋体"/>
                <w:color w:val="auto"/>
                <w:sz w:val="24"/>
                <w:u w:val="single"/>
              </w:rPr>
              <w:t>学生实验桌</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75" w:hRule="atLeast"/>
          <w:tblHeader/>
        </w:trPr>
        <w:tc>
          <w:tcPr>
            <w:tcW w:w="7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2</w:t>
            </w:r>
          </w:p>
        </w:tc>
        <w:tc>
          <w:tcPr>
            <w:tcW w:w="244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采购标的及其对应的中小企业划分标准所属行业</w:t>
            </w:r>
          </w:p>
        </w:tc>
        <w:tc>
          <w:tcPr>
            <w:tcW w:w="6570" w:type="dxa"/>
            <w:tcBorders>
              <w:top w:val="single" w:color="000000" w:sz="8" w:space="0"/>
              <w:left w:val="single" w:color="000000" w:sz="2" w:space="0"/>
              <w:bottom w:val="single" w:color="000000" w:sz="8" w:space="0"/>
              <w:right w:val="single" w:color="000000" w:sz="8" w:space="0"/>
            </w:tcBorders>
            <w:vAlign w:val="center"/>
          </w:tcPr>
          <w:p>
            <w:pPr>
              <w:pStyle w:val="5"/>
              <w:spacing w:line="240" w:lineRule="auto"/>
              <w:rPr>
                <w:rFonts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项目对应的中小企业划分标准所属行业：</w:t>
            </w:r>
            <w:r>
              <w:rPr>
                <w:rFonts w:hint="eastAsia" w:ascii="宋体" w:hAnsi="宋体" w:eastAsia="宋体" w:cs="宋体"/>
                <w:b w:val="0"/>
                <w:bCs w:val="0"/>
                <w:color w:val="auto"/>
                <w:kern w:val="0"/>
                <w:sz w:val="24"/>
                <w:szCs w:val="24"/>
                <w:u w:val="single"/>
              </w:rPr>
              <w:t>工业</w:t>
            </w:r>
            <w:r>
              <w:rPr>
                <w:rFonts w:hint="eastAsia" w:ascii="宋体" w:hAnsi="宋体" w:eastAsia="宋体" w:cs="宋体"/>
                <w:b w:val="0"/>
                <w:bCs w:val="0"/>
                <w:color w:val="auto"/>
                <w:kern w:val="0"/>
                <w:sz w:val="24"/>
                <w:szCs w:val="24"/>
              </w:rPr>
              <w:t>（具体根据《中</w:t>
            </w:r>
          </w:p>
          <w:p>
            <w:pPr>
              <w:pStyle w:val="5"/>
              <w:spacing w:line="240" w:lineRule="auto"/>
              <w:ind w:left="0" w:firstLine="0"/>
              <w:rPr>
                <w:rFonts w:ascii="宋体" w:hAnsi="宋体" w:eastAsia="宋体" w:cs="宋体"/>
                <w:color w:val="auto"/>
                <w:sz w:val="24"/>
                <w:szCs w:val="24"/>
                <w:lang w:val="en-US"/>
              </w:rPr>
            </w:pPr>
            <w:r>
              <w:rPr>
                <w:rFonts w:hint="eastAsia" w:ascii="宋体" w:hAnsi="宋体" w:eastAsia="宋体" w:cs="宋体"/>
                <w:b w:val="0"/>
                <w:bCs w:val="0"/>
                <w:color w:val="auto"/>
                <w:kern w:val="0"/>
                <w:sz w:val="24"/>
                <w:szCs w:val="24"/>
              </w:rPr>
              <w:t>小企业划型标准规定》执行）。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3" w:hRule="atLeast"/>
          <w:tblHeader/>
        </w:trPr>
        <w:tc>
          <w:tcPr>
            <w:tcW w:w="7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3</w:t>
            </w:r>
          </w:p>
        </w:tc>
        <w:tc>
          <w:tcPr>
            <w:tcW w:w="244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是否允许采购进口产品</w:t>
            </w:r>
          </w:p>
        </w:tc>
        <w:tc>
          <w:tcPr>
            <w:tcW w:w="6570"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rPr>
                <w:rFonts w:ascii="宋体" w:hAnsi="宋体" w:cs="宋体"/>
                <w:sz w:val="24"/>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0" w:hRule="atLeast"/>
          <w:tblHeader/>
        </w:trPr>
        <w:tc>
          <w:tcPr>
            <w:tcW w:w="7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4</w:t>
            </w:r>
          </w:p>
        </w:tc>
        <w:tc>
          <w:tcPr>
            <w:tcW w:w="244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开标前答疑会或现场考察</w:t>
            </w:r>
          </w:p>
        </w:tc>
        <w:tc>
          <w:tcPr>
            <w:tcW w:w="6570"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不组织。</w:t>
            </w:r>
          </w:p>
          <w:p>
            <w:pPr>
              <w:rPr>
                <w:rFonts w:ascii="宋体" w:hAnsi="宋体" w:cs="宋体"/>
                <w:sz w:val="24"/>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727"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5</w:t>
            </w:r>
          </w:p>
        </w:tc>
        <w:tc>
          <w:tcPr>
            <w:tcW w:w="2447" w:type="dxa"/>
            <w:vMerge w:val="restart"/>
            <w:tcBorders>
              <w:top w:val="single" w:color="000000" w:sz="8" w:space="0"/>
              <w:left w:val="single" w:color="auto" w:sz="4"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投标人应当提供的资格、资信证明文件</w:t>
            </w:r>
          </w:p>
        </w:tc>
        <w:tc>
          <w:tcPr>
            <w:tcW w:w="6570" w:type="dxa"/>
            <w:tcBorders>
              <w:top w:val="single" w:color="000000" w:sz="8" w:space="0"/>
              <w:left w:val="single" w:color="000000" w:sz="2" w:space="0"/>
              <w:bottom w:val="single" w:color="auto" w:sz="4" w:space="0"/>
              <w:right w:val="single" w:color="000000" w:sz="8" w:space="0"/>
            </w:tcBorders>
            <w:vAlign w:val="center"/>
          </w:tcPr>
          <w:p>
            <w:pPr>
              <w:rPr>
                <w:rFonts w:ascii="宋体" w:hAnsi="宋体" w:cs="宋体"/>
                <w:sz w:val="24"/>
              </w:rPr>
            </w:pPr>
            <w:r>
              <w:rPr>
                <w:rFonts w:hint="eastAsia" w:ascii="宋体" w:hAnsi="宋体" w:cs="宋体"/>
                <w:sz w:val="24"/>
              </w:rPr>
              <w:t>（1）资格证明文件：见招标文件第二部分11.1。</w:t>
            </w:r>
          </w:p>
          <w:p>
            <w:pPr>
              <w:rPr>
                <w:rFonts w:ascii="宋体" w:hAnsi="宋体" w:cs="宋体"/>
                <w:snapToGrid w:val="0"/>
                <w:kern w:val="0"/>
                <w:sz w:val="24"/>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8" w:hRule="atLeast"/>
          <w:tblHeader/>
        </w:trPr>
        <w:tc>
          <w:tcPr>
            <w:tcW w:w="727"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2447" w:type="dxa"/>
            <w:vMerge w:val="continue"/>
            <w:tcBorders>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p>
        </w:tc>
        <w:tc>
          <w:tcPr>
            <w:tcW w:w="6570" w:type="dxa"/>
            <w:tcBorders>
              <w:top w:val="single" w:color="auto" w:sz="4" w:space="0"/>
              <w:left w:val="single" w:color="000000" w:sz="2" w:space="0"/>
              <w:bottom w:val="single" w:color="000000" w:sz="8" w:space="0"/>
              <w:right w:val="single" w:color="000000" w:sz="8" w:space="0"/>
            </w:tcBorders>
            <w:vAlign w:val="center"/>
          </w:tcPr>
          <w:p>
            <w:pPr>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27"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6</w:t>
            </w:r>
          </w:p>
        </w:tc>
        <w:tc>
          <w:tcPr>
            <w:tcW w:w="244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节能产品、环境标志产品</w:t>
            </w:r>
          </w:p>
        </w:tc>
        <w:tc>
          <w:tcPr>
            <w:tcW w:w="6570"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sz w:val="24"/>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27"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7</w:t>
            </w:r>
          </w:p>
        </w:tc>
        <w:tc>
          <w:tcPr>
            <w:tcW w:w="244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报价要求</w:t>
            </w:r>
          </w:p>
        </w:tc>
        <w:tc>
          <w:tcPr>
            <w:tcW w:w="6570"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rPr>
              <w:t>;</w:t>
            </w:r>
          </w:p>
          <w:p>
            <w:pPr>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08" w:hRule="atLeast"/>
          <w:tblHeader/>
        </w:trPr>
        <w:tc>
          <w:tcPr>
            <w:tcW w:w="727" w:type="dxa"/>
            <w:tcBorders>
              <w:top w:val="single" w:color="auto" w:sz="4" w:space="0"/>
              <w:left w:val="single" w:color="000000" w:sz="8"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8</w:t>
            </w:r>
          </w:p>
        </w:tc>
        <w:tc>
          <w:tcPr>
            <w:tcW w:w="2447" w:type="dxa"/>
            <w:tcBorders>
              <w:top w:val="single" w:color="000000" w:sz="8" w:space="0"/>
              <w:left w:val="single" w:color="000000" w:sz="2"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中小企业信用融资</w:t>
            </w:r>
          </w:p>
        </w:tc>
        <w:tc>
          <w:tcPr>
            <w:tcW w:w="6570" w:type="dxa"/>
            <w:tcBorders>
              <w:top w:val="single" w:color="000000" w:sz="8" w:space="0"/>
              <w:left w:val="single" w:color="000000" w:sz="2" w:space="0"/>
              <w:right w:val="single" w:color="000000" w:sz="8" w:space="0"/>
            </w:tcBorders>
            <w:vAlign w:val="center"/>
          </w:tcPr>
          <w:p>
            <w:pPr>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bookmarkEnd w:id="10"/>
    </w:tbl>
    <w:p>
      <w:pPr>
        <w:adjustRightInd/>
        <w:jc w:val="center"/>
        <w:outlineLvl w:val="0"/>
        <w:rPr>
          <w:rFonts w:ascii="宋体" w:hAnsi="宋体" w:cs="宋体"/>
          <w:b/>
          <w:sz w:val="24"/>
        </w:rPr>
      </w:pPr>
      <w:bookmarkStart w:id="12" w:name="第三部分"/>
      <w:bookmarkStart w:id="13" w:name="_Toc164416483"/>
      <w:r>
        <w:rPr>
          <w:rFonts w:hint="eastAsia" w:ascii="宋体" w:hAnsi="宋体" w:cs="宋体"/>
          <w:b/>
          <w:sz w:val="24"/>
        </w:rPr>
        <w:t>一、总则</w:t>
      </w:r>
    </w:p>
    <w:p>
      <w:pPr>
        <w:snapToGrid w:val="0"/>
        <w:ind w:firstLine="241" w:firstLineChars="100"/>
        <w:jc w:val="left"/>
        <w:outlineLvl w:val="1"/>
        <w:rPr>
          <w:rFonts w:ascii="宋体" w:hAnsi="宋体" w:cs="宋体"/>
          <w:b/>
          <w:sz w:val="24"/>
        </w:rPr>
      </w:pPr>
      <w:r>
        <w:rPr>
          <w:rFonts w:hint="eastAsia" w:ascii="宋体" w:hAnsi="宋体" w:cs="宋体"/>
          <w:b/>
          <w:sz w:val="24"/>
        </w:rPr>
        <w:t>1. 适用范围</w:t>
      </w:r>
    </w:p>
    <w:p>
      <w:pPr>
        <w:snapToGrid w:val="0"/>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ind w:firstLine="241" w:firstLineChars="100"/>
        <w:outlineLvl w:val="0"/>
        <w:rPr>
          <w:rFonts w:ascii="宋体" w:hAnsi="宋体" w:cs="宋体"/>
          <w:b/>
          <w:sz w:val="24"/>
        </w:rPr>
      </w:pPr>
      <w:r>
        <w:rPr>
          <w:rFonts w:hint="eastAsia" w:ascii="宋体" w:hAnsi="宋体" w:cs="宋体"/>
          <w:b/>
          <w:sz w:val="24"/>
        </w:rPr>
        <w:t>2.定义</w:t>
      </w:r>
    </w:p>
    <w:p>
      <w:pPr>
        <w:ind w:firstLine="480" w:firstLineChars="200"/>
        <w:rPr>
          <w:rFonts w:ascii="宋体" w:hAnsi="宋体" w:cs="宋体"/>
          <w:sz w:val="24"/>
        </w:rPr>
      </w:pPr>
      <w:r>
        <w:rPr>
          <w:rFonts w:hint="eastAsia" w:ascii="宋体" w:hAnsi="宋体" w:cs="宋体"/>
          <w:sz w:val="24"/>
        </w:rPr>
        <w:t>2.1 “采购人”系指招标公告中载明的本项目的采购人。</w:t>
      </w:r>
    </w:p>
    <w:p>
      <w:pPr>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w:t>
      </w:r>
    </w:p>
    <w:p>
      <w:pPr>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r>
        <w:rPr>
          <w:rFonts w:hint="eastAsia" w:ascii="宋体" w:hAnsi="宋体" w:cs="宋体"/>
          <w:sz w:val="24"/>
        </w:rPr>
        <w:sym w:font="Wingdings" w:char="00A8"/>
      </w:r>
      <w:r>
        <w:rPr>
          <w:rFonts w:hint="eastAsia" w:ascii="宋体" w:hAnsi="宋体" w:cs="宋体"/>
          <w:sz w:val="24"/>
        </w:rPr>
        <w:t>” 系指不适用本项目的要求。</w:t>
      </w:r>
    </w:p>
    <w:p>
      <w:pPr>
        <w:ind w:firstLine="241" w:firstLineChars="100"/>
        <w:rPr>
          <w:rFonts w:ascii="宋体" w:hAnsi="宋体" w:cs="宋体"/>
          <w:b/>
          <w:sz w:val="24"/>
        </w:rPr>
      </w:pPr>
      <w:r>
        <w:rPr>
          <w:rFonts w:hint="eastAsia" w:ascii="宋体" w:hAnsi="宋体" w:cs="宋体"/>
          <w:b/>
          <w:sz w:val="24"/>
        </w:rPr>
        <w:t>3.</w:t>
      </w:r>
      <w:r>
        <w:rPr>
          <w:rFonts w:hint="eastAsia" w:ascii="宋体" w:hAnsi="宋体" w:cs="宋体"/>
          <w:sz w:val="24"/>
        </w:rPr>
        <w:t xml:space="preserve"> </w:t>
      </w:r>
      <w:r>
        <w:rPr>
          <w:rFonts w:hint="eastAsia" w:ascii="宋体" w:hAnsi="宋体" w:cs="宋体"/>
          <w:b/>
          <w:sz w:val="24"/>
        </w:rPr>
        <w:t>采购项目需要落实的政府采购政策</w:t>
      </w:r>
    </w:p>
    <w:p>
      <w:pPr>
        <w:ind w:firstLine="480" w:firstLineChars="2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ind w:firstLine="480" w:firstLineChars="200"/>
        <w:rPr>
          <w:rFonts w:ascii="宋体" w:hAnsi="宋体" w:cs="宋体"/>
          <w:sz w:val="24"/>
        </w:rPr>
      </w:pPr>
      <w:r>
        <w:rPr>
          <w:rFonts w:hint="eastAsia" w:ascii="宋体" w:hAnsi="宋体" w:cs="宋体"/>
          <w:sz w:val="24"/>
        </w:rPr>
        <w:t>3.2 支持绿色发展</w:t>
      </w:r>
    </w:p>
    <w:p>
      <w:pPr>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ind w:firstLine="480" w:firstLineChars="200"/>
        <w:rPr>
          <w:rFonts w:ascii="宋体" w:hAnsi="宋体" w:cs="宋体"/>
          <w:sz w:val="24"/>
        </w:rPr>
      </w:pPr>
      <w:r>
        <w:rPr>
          <w:rFonts w:hint="eastAsia" w:ascii="宋体" w:hAnsi="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4"/>
    </w:p>
    <w:p>
      <w:pPr>
        <w:ind w:firstLine="240" w:firstLineChars="100"/>
        <w:rPr>
          <w:rFonts w:ascii="宋体" w:hAnsi="宋体" w:cs="宋体"/>
          <w:sz w:val="24"/>
        </w:rPr>
      </w:pPr>
      <w:r>
        <w:rPr>
          <w:rFonts w:hint="eastAsia" w:ascii="宋体" w:hAnsi="宋体" w:cs="宋体"/>
          <w:sz w:val="24"/>
        </w:rPr>
        <w:t>3.3支持中小企业发展</w:t>
      </w:r>
    </w:p>
    <w:p>
      <w:pPr>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w:t>
      </w:r>
      <w:r>
        <w:rPr>
          <w:rFonts w:hint="eastAsia" w:ascii="宋体" w:hAnsi="宋体" w:cs="宋体"/>
          <w:color w:val="FF0000"/>
          <w:sz w:val="24"/>
        </w:rPr>
        <w:t>20%</w:t>
      </w:r>
      <w:r>
        <w:rPr>
          <w:rFonts w:hint="eastAsia" w:ascii="宋体" w:hAnsi="宋体" w:cs="宋体"/>
          <w:sz w:val="24"/>
        </w:rPr>
        <w:t>的扣除，用扣除后的价格参与评审。</w:t>
      </w:r>
    </w:p>
    <w:p>
      <w:pPr>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ind w:firstLine="480" w:firstLineChars="200"/>
        <w:rPr>
          <w:rFonts w:ascii="宋体" w:hAnsi="宋体" w:cs="宋体"/>
          <w:sz w:val="24"/>
        </w:rPr>
      </w:pPr>
      <w:r>
        <w:rPr>
          <w:rFonts w:hint="eastAsia" w:ascii="宋体" w:hAnsi="宋体" w:cs="宋体"/>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ind w:firstLine="240" w:firstLineChars="100"/>
        <w:rPr>
          <w:rFonts w:ascii="宋体" w:hAnsi="宋体" w:cs="宋体"/>
          <w:sz w:val="24"/>
        </w:rPr>
      </w:pPr>
      <w:r>
        <w:rPr>
          <w:rFonts w:hint="eastAsia" w:ascii="宋体" w:hAnsi="宋体" w:cs="宋体"/>
          <w:sz w:val="24"/>
        </w:rPr>
        <w:t>3.5平等对待内外资企业和符合条件的破产重整企业</w:t>
      </w:r>
    </w:p>
    <w:p>
      <w:pPr>
        <w:ind w:firstLine="480" w:firstLineChars="2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pStyle w:val="886"/>
        <w:shd w:val="clear" w:color="auto" w:fill="FFFFFF"/>
        <w:snapToGrid w:val="0"/>
        <w:spacing w:before="0" w:beforeAutospacing="0" w:after="0" w:afterAutospacing="0"/>
        <w:ind w:firstLine="400"/>
        <w:contextualSpacing/>
        <w:rPr>
          <w:lang w:val="zh-CN"/>
        </w:rPr>
      </w:pPr>
      <w:r>
        <w:rPr>
          <w:rFonts w:hint="eastAsia"/>
          <w:lang w:val="zh-CN"/>
        </w:rPr>
        <w:t>4.1在线询问、质疑、投诉</w:t>
      </w:r>
    </w:p>
    <w:p>
      <w:pPr>
        <w:pStyle w:val="886"/>
        <w:shd w:val="clear" w:color="auto" w:fill="FFFFFF"/>
        <w:snapToGrid w:val="0"/>
        <w:spacing w:before="0" w:beforeAutospacing="0" w:after="0" w:afterAutospacing="0"/>
        <w:ind w:firstLine="480" w:firstLineChars="2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ind w:firstLine="480" w:firstLineChars="200"/>
        <w:rPr>
          <w:rFonts w:hAnsi="宋体" w:cs="宋体"/>
          <w:sz w:val="24"/>
          <w:szCs w:val="24"/>
        </w:rPr>
      </w:pPr>
      <w:r>
        <w:rPr>
          <w:rFonts w:hint="eastAsia" w:hAnsi="宋体" w:cs="宋体"/>
          <w:kern w:val="0"/>
          <w:sz w:val="24"/>
          <w:szCs w:val="24"/>
          <w:lang w:val="zh-CN"/>
        </w:rPr>
        <w:t>4.3</w:t>
      </w:r>
      <w:r>
        <w:rPr>
          <w:rFonts w:hint="eastAsia" w:hAnsi="宋体" w:cs="宋体"/>
          <w:sz w:val="24"/>
          <w:szCs w:val="24"/>
        </w:rPr>
        <w:t>.1提出质疑的供应商应当是参与所质疑项目采购活动的供应商。潜在供应商已依法获取其可质疑的招标文件的，可以对该文件提出质疑。</w:t>
      </w:r>
    </w:p>
    <w:p>
      <w:pPr>
        <w:pStyle w:val="34"/>
        <w:ind w:firstLine="480" w:firstLineChars="200"/>
        <w:rPr>
          <w:rFonts w:hAnsi="宋体" w:cs="宋体"/>
          <w:sz w:val="24"/>
          <w:szCs w:val="24"/>
        </w:rPr>
      </w:pPr>
      <w:r>
        <w:rPr>
          <w:rFonts w:hint="eastAsia" w:hAnsi="宋体" w:cs="宋体"/>
          <w:kern w:val="0"/>
          <w:sz w:val="24"/>
          <w:szCs w:val="24"/>
          <w:lang w:val="zh-CN"/>
        </w:rPr>
        <w:t>4.3</w:t>
      </w:r>
      <w:r>
        <w:rPr>
          <w:rFonts w:hint="eastAsia" w:hAnsi="宋体" w:cs="宋体"/>
          <w:sz w:val="24"/>
          <w:szCs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240" w:lineRule="auto"/>
        <w:ind w:firstLine="480" w:firstLineChars="200"/>
        <w:rPr>
          <w:rFonts w:hAnsi="宋体" w:cs="宋体"/>
          <w:snapToGrid/>
          <w:color w:val="auto"/>
          <w:kern w:val="2"/>
          <w:sz w:val="24"/>
          <w:szCs w:val="24"/>
        </w:rPr>
      </w:pPr>
      <w:r>
        <w:rPr>
          <w:rFonts w:hint="eastAsia" w:hAnsi="宋体" w:cs="宋体"/>
          <w:snapToGrid/>
          <w:color w:val="auto"/>
          <w:kern w:val="2"/>
          <w:sz w:val="24"/>
          <w:szCs w:val="24"/>
        </w:rPr>
        <w:t>4.3.2.1对招标文件提出质疑的，质疑期限为供应商获得招标文件之日或者招标文件公告期限届满之日起计算。</w:t>
      </w:r>
    </w:p>
    <w:p>
      <w:pPr>
        <w:pStyle w:val="34"/>
        <w:ind w:left="479" w:leftChars="228"/>
        <w:rPr>
          <w:rFonts w:hAnsi="宋体" w:cs="宋体"/>
          <w:sz w:val="24"/>
          <w:szCs w:val="24"/>
        </w:rPr>
      </w:pPr>
      <w:r>
        <w:rPr>
          <w:rFonts w:hint="eastAsia" w:hAnsi="宋体" w:cs="宋体"/>
          <w:sz w:val="24"/>
          <w:szCs w:val="24"/>
        </w:rPr>
        <w:t>4.3.2.2对采购过程提出质疑的，质疑期限为各采购程序环节结束之日起计算。4.3.2.3对采购结果提出质疑的，质疑期限自采购结果公告期限届满之日起计算。</w:t>
      </w:r>
    </w:p>
    <w:p>
      <w:pPr>
        <w:pStyle w:val="34"/>
        <w:ind w:firstLine="480" w:firstLineChars="200"/>
        <w:rPr>
          <w:rFonts w:hAnsi="宋体" w:cs="宋体"/>
          <w:kern w:val="0"/>
          <w:sz w:val="24"/>
          <w:szCs w:val="24"/>
          <w:lang w:val="zh-CN"/>
        </w:rPr>
      </w:pPr>
      <w:r>
        <w:rPr>
          <w:rFonts w:hint="eastAsia" w:hAnsi="宋体" w:cs="宋体"/>
          <w:kern w:val="0"/>
          <w:sz w:val="24"/>
          <w:szCs w:val="24"/>
          <w:lang w:val="zh-CN"/>
        </w:rPr>
        <w:t>4.3.3</w:t>
      </w:r>
      <w:r>
        <w:rPr>
          <w:rFonts w:hint="eastAsia" w:hAnsi="宋体" w:cs="宋体"/>
          <w:sz w:val="24"/>
          <w:szCs w:val="24"/>
        </w:rPr>
        <w:t>供应商提出质疑应当提交质疑函和必要的证明材料。质疑函应当包括下列内容：</w:t>
      </w:r>
    </w:p>
    <w:p>
      <w:pPr>
        <w:pStyle w:val="34"/>
        <w:ind w:firstLine="480" w:firstLineChars="200"/>
        <w:rPr>
          <w:rFonts w:hAnsi="宋体" w:cs="宋体"/>
          <w:kern w:val="0"/>
          <w:sz w:val="24"/>
          <w:szCs w:val="24"/>
          <w:lang w:val="zh-CN"/>
        </w:rPr>
      </w:pPr>
      <w:r>
        <w:rPr>
          <w:rFonts w:hint="eastAsia" w:hAnsi="宋体" w:cs="宋体"/>
          <w:kern w:val="0"/>
          <w:sz w:val="24"/>
          <w:szCs w:val="24"/>
          <w:lang w:val="zh-CN"/>
        </w:rPr>
        <w:t>　　4.3.3.1供应商的姓名或者名称、地址、邮编、联系人及联系电话；</w:t>
      </w:r>
    </w:p>
    <w:p>
      <w:pPr>
        <w:pStyle w:val="34"/>
        <w:ind w:firstLine="480" w:firstLineChars="200"/>
        <w:rPr>
          <w:rFonts w:hAnsi="宋体" w:cs="宋体"/>
          <w:kern w:val="0"/>
          <w:sz w:val="24"/>
          <w:szCs w:val="24"/>
          <w:lang w:val="zh-CN"/>
        </w:rPr>
      </w:pPr>
      <w:r>
        <w:rPr>
          <w:rFonts w:hint="eastAsia" w:hAnsi="宋体" w:cs="宋体"/>
          <w:kern w:val="0"/>
          <w:sz w:val="24"/>
          <w:szCs w:val="24"/>
          <w:lang w:val="zh-CN"/>
        </w:rPr>
        <w:t>　　4.3.3.2质疑项目的名称、编号；</w:t>
      </w:r>
    </w:p>
    <w:p>
      <w:pPr>
        <w:pStyle w:val="34"/>
        <w:ind w:firstLine="480" w:firstLineChars="200"/>
        <w:rPr>
          <w:rFonts w:hAnsi="宋体" w:cs="宋体"/>
          <w:kern w:val="0"/>
          <w:sz w:val="24"/>
          <w:szCs w:val="24"/>
          <w:lang w:val="zh-CN"/>
        </w:rPr>
      </w:pPr>
      <w:r>
        <w:rPr>
          <w:rFonts w:hint="eastAsia" w:hAnsi="宋体" w:cs="宋体"/>
          <w:kern w:val="0"/>
          <w:sz w:val="24"/>
          <w:szCs w:val="24"/>
          <w:lang w:val="zh-CN"/>
        </w:rPr>
        <w:t>　　4.3.3.3具体、明确的质疑事项和与质疑事项相关的请求；</w:t>
      </w:r>
    </w:p>
    <w:p>
      <w:pPr>
        <w:pStyle w:val="34"/>
        <w:ind w:firstLine="480" w:firstLineChars="200"/>
        <w:rPr>
          <w:rFonts w:hAnsi="宋体" w:cs="宋体"/>
          <w:kern w:val="0"/>
          <w:sz w:val="24"/>
          <w:szCs w:val="24"/>
          <w:lang w:val="zh-CN"/>
        </w:rPr>
      </w:pPr>
      <w:r>
        <w:rPr>
          <w:rFonts w:hint="eastAsia" w:hAnsi="宋体" w:cs="宋体"/>
          <w:kern w:val="0"/>
          <w:sz w:val="24"/>
          <w:szCs w:val="24"/>
          <w:lang w:val="zh-CN"/>
        </w:rPr>
        <w:t>　　4.3.3.4事实依据；</w:t>
      </w:r>
    </w:p>
    <w:p>
      <w:pPr>
        <w:pStyle w:val="34"/>
        <w:ind w:firstLine="480" w:firstLineChars="200"/>
        <w:rPr>
          <w:rFonts w:hAnsi="宋体" w:cs="宋体"/>
          <w:kern w:val="0"/>
          <w:sz w:val="24"/>
          <w:szCs w:val="24"/>
          <w:lang w:val="zh-CN"/>
        </w:rPr>
      </w:pPr>
      <w:r>
        <w:rPr>
          <w:rFonts w:hint="eastAsia" w:hAnsi="宋体" w:cs="宋体"/>
          <w:kern w:val="0"/>
          <w:sz w:val="24"/>
          <w:szCs w:val="24"/>
          <w:lang w:val="zh-CN"/>
        </w:rPr>
        <w:t>　　4.3.3.5必要的法律依据；</w:t>
      </w:r>
    </w:p>
    <w:p>
      <w:pPr>
        <w:pStyle w:val="34"/>
        <w:ind w:firstLine="960" w:firstLineChars="400"/>
        <w:rPr>
          <w:rFonts w:hAnsi="宋体" w:cs="宋体"/>
          <w:kern w:val="0"/>
          <w:sz w:val="24"/>
          <w:szCs w:val="24"/>
          <w:lang w:val="zh-CN"/>
        </w:rPr>
      </w:pPr>
      <w:r>
        <w:rPr>
          <w:rFonts w:hint="eastAsia" w:hAnsi="宋体" w:cs="宋体"/>
          <w:kern w:val="0"/>
          <w:sz w:val="24"/>
          <w:szCs w:val="24"/>
          <w:lang w:val="zh-CN"/>
        </w:rPr>
        <w:t>4.3.3.6提出质疑的日期。</w:t>
      </w:r>
    </w:p>
    <w:p>
      <w:pPr>
        <w:pStyle w:val="886"/>
        <w:shd w:val="clear" w:color="auto" w:fill="FFFFFF"/>
        <w:snapToGrid w:val="0"/>
        <w:spacing w:before="0" w:beforeAutospacing="0" w:after="0" w:afterAutospacing="0"/>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before="0" w:beforeAutospacing="0" w:after="0" w:afterAutospacing="0"/>
        <w:ind w:firstLine="400"/>
        <w:contextualSpacing/>
      </w:pPr>
      <w:r>
        <w:rPr>
          <w:rFonts w:hint="eastAsia"/>
        </w:rPr>
        <w:t>4.3.4对同一采购程序环节的质疑，供应商须在法定质疑期内一次性提出。</w:t>
      </w:r>
    </w:p>
    <w:p>
      <w:pPr>
        <w:pStyle w:val="886"/>
        <w:shd w:val="clear" w:color="auto" w:fill="FFFFFF"/>
        <w:snapToGrid w:val="0"/>
        <w:spacing w:before="0" w:beforeAutospacing="0" w:after="0" w:afterAutospacing="0"/>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886"/>
        <w:shd w:val="clear" w:color="auto" w:fill="FFFFFF"/>
        <w:snapToGrid w:val="0"/>
        <w:spacing w:before="0" w:beforeAutospacing="0" w:after="0" w:afterAutospacing="0"/>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before="0" w:beforeAutospacing="0" w:after="0" w:afterAutospacing="0"/>
        <w:ind w:firstLine="480" w:firstLineChars="200"/>
        <w:contextualSpacing/>
        <w:rPr>
          <w:lang w:val="zh-CN"/>
        </w:rPr>
      </w:pPr>
      <w:r>
        <w:rPr>
          <w:rFonts w:hint="eastAsia"/>
          <w:lang w:val="zh-CN"/>
        </w:rPr>
        <w:t>4.4供应商投诉</w:t>
      </w:r>
    </w:p>
    <w:p>
      <w:pPr>
        <w:pStyle w:val="886"/>
        <w:shd w:val="clear" w:color="auto" w:fill="FFFFFF"/>
        <w:snapToGrid w:val="0"/>
        <w:spacing w:before="0" w:beforeAutospacing="0" w:after="0" w:afterAutospacing="0"/>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before="0" w:beforeAutospacing="0" w:after="0" w:afterAutospacing="0"/>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before="0" w:beforeAutospacing="0" w:after="0" w:afterAutospacing="0"/>
        <w:ind w:firstLine="400"/>
        <w:contextualSpacing/>
      </w:pPr>
      <w:r>
        <w:rPr>
          <w:rFonts w:hint="eastAsia"/>
        </w:rPr>
        <w:t>4.4.3供应商投诉应当有明确的请求和必要的证明材料。</w:t>
      </w:r>
    </w:p>
    <w:p>
      <w:pPr>
        <w:pStyle w:val="886"/>
        <w:shd w:val="clear" w:color="auto" w:fill="FFFFFF"/>
        <w:snapToGrid w:val="0"/>
        <w:spacing w:before="0" w:beforeAutospacing="0" w:after="0" w:afterAutospacing="0"/>
        <w:ind w:firstLine="400"/>
        <w:contextualSpacing/>
      </w:pPr>
    </w:p>
    <w:p>
      <w:pPr>
        <w:adjustRightInd/>
        <w:jc w:val="center"/>
        <w:outlineLvl w:val="0"/>
        <w:rPr>
          <w:rFonts w:ascii="宋体" w:hAnsi="宋体" w:cs="宋体"/>
          <w:b/>
          <w:sz w:val="24"/>
        </w:rPr>
      </w:pPr>
      <w:r>
        <w:rPr>
          <w:rFonts w:hint="eastAsia" w:ascii="宋体" w:hAnsi="宋体" w:cs="宋体"/>
          <w:b/>
          <w:sz w:val="24"/>
        </w:rPr>
        <w:t xml:space="preserve">      二、招标文件的构成、澄清、修改</w:t>
      </w:r>
    </w:p>
    <w:p>
      <w:pPr>
        <w:pStyle w:val="34"/>
        <w:ind w:firstLine="241" w:firstLineChars="100"/>
        <w:rPr>
          <w:rFonts w:hAnsi="宋体" w:cs="宋体"/>
          <w:b/>
          <w:sz w:val="24"/>
          <w:szCs w:val="24"/>
        </w:rPr>
      </w:pPr>
      <w:r>
        <w:rPr>
          <w:rFonts w:hint="eastAsia" w:hAnsi="宋体" w:cs="宋体"/>
          <w:b/>
          <w:sz w:val="24"/>
          <w:szCs w:val="24"/>
        </w:rPr>
        <w:t>5．招标文件的构成</w:t>
      </w:r>
    </w:p>
    <w:p>
      <w:pPr>
        <w:pStyle w:val="34"/>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ind w:firstLine="960" w:firstLineChars="400"/>
        <w:rPr>
          <w:rFonts w:hAnsi="宋体" w:cs="宋体"/>
          <w:sz w:val="24"/>
          <w:szCs w:val="24"/>
        </w:rPr>
      </w:pPr>
      <w:r>
        <w:rPr>
          <w:rFonts w:hint="eastAsia" w:hAnsi="宋体" w:cs="宋体"/>
          <w:sz w:val="24"/>
          <w:szCs w:val="24"/>
        </w:rPr>
        <w:t>5.1.1招标公告；</w:t>
      </w:r>
    </w:p>
    <w:p>
      <w:pPr>
        <w:pStyle w:val="34"/>
        <w:tabs>
          <w:tab w:val="left" w:pos="840"/>
        </w:tabs>
        <w:ind w:firstLine="960" w:firstLineChars="400"/>
        <w:rPr>
          <w:rFonts w:hAnsi="宋体" w:cs="宋体"/>
          <w:sz w:val="24"/>
          <w:szCs w:val="24"/>
        </w:rPr>
      </w:pPr>
      <w:r>
        <w:rPr>
          <w:rFonts w:hint="eastAsia" w:hAnsi="宋体" w:cs="宋体"/>
          <w:sz w:val="24"/>
          <w:szCs w:val="24"/>
        </w:rPr>
        <w:t>5.1.2投标人须知；</w:t>
      </w:r>
    </w:p>
    <w:p>
      <w:pPr>
        <w:pStyle w:val="34"/>
        <w:tabs>
          <w:tab w:val="left" w:pos="840"/>
        </w:tabs>
        <w:ind w:firstLine="960" w:firstLineChars="400"/>
        <w:rPr>
          <w:rFonts w:hAnsi="宋体" w:cs="宋体"/>
          <w:sz w:val="24"/>
          <w:szCs w:val="24"/>
        </w:rPr>
      </w:pPr>
      <w:r>
        <w:rPr>
          <w:rFonts w:hint="eastAsia" w:hAnsi="宋体" w:cs="宋体"/>
          <w:sz w:val="24"/>
          <w:szCs w:val="24"/>
        </w:rPr>
        <w:t>5.1.3采购需求；</w:t>
      </w:r>
    </w:p>
    <w:p>
      <w:pPr>
        <w:pStyle w:val="34"/>
        <w:tabs>
          <w:tab w:val="left" w:pos="840"/>
        </w:tabs>
        <w:ind w:firstLine="960" w:firstLineChars="400"/>
        <w:rPr>
          <w:rFonts w:hAnsi="宋体" w:cs="宋体"/>
          <w:sz w:val="24"/>
          <w:szCs w:val="24"/>
        </w:rPr>
      </w:pPr>
      <w:r>
        <w:rPr>
          <w:rFonts w:hint="eastAsia" w:hAnsi="宋体" w:cs="宋体"/>
          <w:sz w:val="24"/>
          <w:szCs w:val="24"/>
        </w:rPr>
        <w:t>5.1.4评标办法；</w:t>
      </w:r>
    </w:p>
    <w:p>
      <w:pPr>
        <w:pStyle w:val="34"/>
        <w:tabs>
          <w:tab w:val="left" w:pos="840"/>
        </w:tabs>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ind w:firstLine="960" w:firstLineChars="400"/>
        <w:rPr>
          <w:rFonts w:hAnsi="宋体" w:cs="宋体"/>
          <w:sz w:val="24"/>
          <w:szCs w:val="24"/>
        </w:rPr>
      </w:pPr>
      <w:r>
        <w:rPr>
          <w:rFonts w:hint="eastAsia" w:hAnsi="宋体" w:cs="宋体"/>
          <w:sz w:val="24"/>
          <w:szCs w:val="24"/>
        </w:rPr>
        <w:t>5.1.6应提交的有关格式范例。</w:t>
      </w:r>
    </w:p>
    <w:p>
      <w:pPr>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ind w:firstLine="241" w:firstLineChars="100"/>
        <w:rPr>
          <w:rFonts w:hAnsi="宋体" w:cs="宋体"/>
          <w:b/>
          <w:sz w:val="24"/>
          <w:szCs w:val="24"/>
        </w:rPr>
      </w:pPr>
      <w:r>
        <w:rPr>
          <w:rFonts w:hint="eastAsia" w:hAnsi="宋体" w:cs="宋体"/>
          <w:b/>
          <w:sz w:val="24"/>
          <w:szCs w:val="24"/>
        </w:rPr>
        <w:t>6. 招标文件的澄清、修改</w:t>
      </w:r>
    </w:p>
    <w:p>
      <w:pPr>
        <w:pStyle w:val="129"/>
        <w:snapToGrid w:val="0"/>
        <w:spacing w:before="0" w:line="240" w:lineRule="auto"/>
        <w:ind w:firstLine="480"/>
        <w:rPr>
          <w:rFonts w:ascii="宋体" w:hAnsi="宋体" w:cs="宋体"/>
          <w:szCs w:val="24"/>
        </w:rPr>
      </w:pPr>
      <w:r>
        <w:rPr>
          <w:rFonts w:hint="eastAsia" w:ascii="宋体" w:hAnsi="宋体" w:cs="宋体"/>
          <w:szCs w:val="24"/>
        </w:rPr>
        <w:t>6.1已获取招标文件的潜在投标人，若有问题需要澄清，应于投标截止时间前，以书面形式向采购代理机构提出。</w:t>
      </w:r>
    </w:p>
    <w:p>
      <w:pPr>
        <w:pStyle w:val="129"/>
        <w:snapToGrid w:val="0"/>
        <w:spacing w:before="0" w:line="240" w:lineRule="auto"/>
        <w:ind w:firstLine="480"/>
        <w:rPr>
          <w:rFonts w:ascii="宋体" w:hAnsi="宋体" w:cs="宋体"/>
          <w:szCs w:val="24"/>
        </w:rPr>
      </w:pPr>
      <w:r>
        <w:rPr>
          <w:rFonts w:hint="eastAsia" w:ascii="宋体" w:hAnsi="宋体" w:cs="宋体"/>
          <w:szCs w:val="24"/>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spacing w:line="240" w:lineRule="auto"/>
        <w:rPr>
          <w:rFonts w:hAnsi="宋体" w:cs="宋体"/>
          <w:szCs w:val="24"/>
          <w:lang w:val="en-US"/>
        </w:rPr>
      </w:pPr>
      <w:r>
        <w:rPr>
          <w:rFonts w:hint="eastAsia" w:hAnsi="宋体" w:cs="宋体"/>
          <w:szCs w:val="24"/>
          <w:lang w:val="en-US"/>
        </w:rPr>
        <w:t xml:space="preserve">    </w:t>
      </w:r>
    </w:p>
    <w:p>
      <w:pPr>
        <w:adjustRightInd/>
        <w:jc w:val="center"/>
        <w:outlineLvl w:val="0"/>
        <w:rPr>
          <w:rFonts w:ascii="宋体" w:hAnsi="宋体" w:cs="宋体"/>
          <w:b/>
          <w:sz w:val="24"/>
        </w:rPr>
      </w:pPr>
      <w:r>
        <w:rPr>
          <w:rFonts w:hint="eastAsia" w:ascii="宋体" w:hAnsi="宋体" w:cs="宋体"/>
          <w:b/>
          <w:sz w:val="24"/>
        </w:rPr>
        <w:t>三、投标</w:t>
      </w:r>
    </w:p>
    <w:p>
      <w:pPr>
        <w:pStyle w:val="34"/>
        <w:ind w:firstLine="241" w:firstLineChars="100"/>
        <w:rPr>
          <w:rFonts w:hAnsi="宋体" w:cs="宋体"/>
          <w:b/>
          <w:sz w:val="24"/>
          <w:szCs w:val="24"/>
        </w:rPr>
      </w:pPr>
      <w:r>
        <w:rPr>
          <w:rFonts w:hint="eastAsia" w:hAnsi="宋体" w:cs="宋体"/>
          <w:b/>
          <w:sz w:val="24"/>
          <w:szCs w:val="24"/>
        </w:rPr>
        <w:t>7. 招标文件的获取</w:t>
      </w:r>
    </w:p>
    <w:p>
      <w:pPr>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w:t>
      </w:r>
    </w:p>
    <w:p>
      <w:pPr>
        <w:pStyle w:val="34"/>
        <w:ind w:firstLine="241" w:firstLineChars="100"/>
        <w:rPr>
          <w:rFonts w:hAnsi="宋体" w:cs="宋体"/>
          <w:b/>
          <w:sz w:val="24"/>
          <w:szCs w:val="24"/>
        </w:rPr>
      </w:pPr>
      <w:r>
        <w:rPr>
          <w:rFonts w:hint="eastAsia" w:hAnsi="宋体" w:cs="宋体"/>
          <w:b/>
          <w:sz w:val="24"/>
          <w:szCs w:val="24"/>
        </w:rPr>
        <w:t>8.开标前答疑会或现场考察</w:t>
      </w:r>
    </w:p>
    <w:p>
      <w:pPr>
        <w:pStyle w:val="34"/>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ind w:firstLine="241" w:firstLineChars="100"/>
        <w:rPr>
          <w:rFonts w:hAnsi="宋体" w:cs="宋体"/>
          <w:b/>
          <w:sz w:val="24"/>
          <w:szCs w:val="24"/>
        </w:rPr>
      </w:pPr>
      <w:r>
        <w:rPr>
          <w:rFonts w:hint="eastAsia" w:hAnsi="宋体" w:cs="宋体"/>
          <w:b/>
          <w:kern w:val="28"/>
          <w:sz w:val="24"/>
          <w:szCs w:val="24"/>
        </w:rPr>
        <w:t>9.投标保证金</w:t>
      </w:r>
    </w:p>
    <w:p>
      <w:pPr>
        <w:pStyle w:val="7"/>
        <w:spacing w:line="240" w:lineRule="auto"/>
        <w:ind w:firstLine="470" w:firstLineChars="196"/>
        <w:rPr>
          <w:rFonts w:hAnsi="宋体" w:cs="宋体"/>
          <w:color w:val="auto"/>
          <w:sz w:val="24"/>
          <w:szCs w:val="24"/>
        </w:rPr>
      </w:pPr>
      <w:r>
        <w:rPr>
          <w:rFonts w:hint="eastAsia" w:hAnsi="宋体" w:cs="宋体"/>
          <w:color w:val="auto"/>
          <w:sz w:val="24"/>
          <w:szCs w:val="24"/>
        </w:rPr>
        <w:t>本项目不需缴纳投标保证金。</w:t>
      </w:r>
    </w:p>
    <w:p>
      <w:pPr>
        <w:pStyle w:val="34"/>
        <w:ind w:firstLine="241" w:firstLineChars="100"/>
        <w:rPr>
          <w:rFonts w:hAnsi="宋体" w:cs="宋体"/>
          <w:b/>
          <w:sz w:val="24"/>
          <w:szCs w:val="24"/>
        </w:rPr>
      </w:pPr>
      <w:r>
        <w:rPr>
          <w:rFonts w:hint="eastAsia" w:hAnsi="宋体" w:cs="宋体"/>
          <w:b/>
          <w:sz w:val="24"/>
          <w:szCs w:val="24"/>
        </w:rPr>
        <w:t>10. 投标文件的语言</w:t>
      </w:r>
    </w:p>
    <w:p>
      <w:pPr>
        <w:autoSpaceDE w:val="0"/>
        <w:autoSpaceDN w:val="0"/>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ind w:firstLine="241" w:firstLineChars="100"/>
        <w:rPr>
          <w:rFonts w:hAnsi="宋体" w:cs="宋体"/>
          <w:b/>
          <w:sz w:val="24"/>
          <w:szCs w:val="24"/>
        </w:rPr>
      </w:pPr>
      <w:r>
        <w:rPr>
          <w:rFonts w:hint="eastAsia" w:hAnsi="宋体" w:cs="宋体"/>
          <w:b/>
          <w:sz w:val="24"/>
          <w:szCs w:val="24"/>
        </w:rPr>
        <w:t>11. 投标文件的组成</w:t>
      </w:r>
    </w:p>
    <w:p>
      <w:pPr>
        <w:snapToGrid w:val="0"/>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ind w:firstLine="960" w:firstLineChars="400"/>
        <w:rPr>
          <w:rFonts w:ascii="宋体" w:hAnsi="宋体" w:cs="宋体"/>
          <w:color w:val="auto"/>
          <w:sz w:val="24"/>
        </w:rPr>
      </w:pPr>
      <w:r>
        <w:rPr>
          <w:rFonts w:hint="eastAsia" w:ascii="宋体" w:hAnsi="宋体" w:cs="宋体"/>
          <w:color w:val="auto"/>
          <w:sz w:val="24"/>
        </w:rPr>
        <w:t>11.1.2营业执照副本(或事业法人登记证或其他工商等登记证明材料)复印件或扫描件；</w:t>
      </w:r>
    </w:p>
    <w:p>
      <w:pPr>
        <w:snapToGrid w:val="0"/>
        <w:ind w:firstLine="480" w:firstLineChars="200"/>
        <w:rPr>
          <w:rFonts w:ascii="宋体" w:hAnsi="宋体" w:cs="宋体"/>
          <w:color w:val="auto"/>
          <w:sz w:val="24"/>
        </w:rPr>
      </w:pPr>
      <w:r>
        <w:rPr>
          <w:rFonts w:hint="eastAsia" w:ascii="宋体" w:hAnsi="宋体" w:cs="宋体"/>
          <w:color w:val="auto"/>
          <w:sz w:val="24"/>
        </w:rPr>
        <w:t xml:space="preserve">    11.1.3 中小企业申明函（面向中小企业的项目在资格文件中提供，不面向中小企业的项目如符合中小企业政策请在报价标中提供）。</w:t>
      </w:r>
    </w:p>
    <w:p>
      <w:pPr>
        <w:snapToGrid w:val="0"/>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b/>
          <w:bCs/>
          <w:color w:val="auto"/>
          <w:sz w:val="24"/>
        </w:rPr>
        <w:t>商务技术</w:t>
      </w:r>
      <w:r>
        <w:rPr>
          <w:rFonts w:hint="eastAsia" w:ascii="宋体" w:hAnsi="宋体" w:cs="宋体"/>
          <w:b/>
          <w:bCs/>
          <w:color w:val="auto"/>
          <w:sz w:val="24"/>
          <w:lang w:val="zh-CN"/>
        </w:rPr>
        <w:t>文件：</w:t>
      </w:r>
    </w:p>
    <w:p>
      <w:pPr>
        <w:snapToGrid w:val="0"/>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ind w:firstLine="960" w:firstLineChars="400"/>
        <w:rPr>
          <w:rFonts w:ascii="宋体" w:hAnsi="宋体" w:cs="宋体"/>
          <w:color w:val="auto"/>
          <w:sz w:val="24"/>
        </w:rPr>
      </w:pPr>
      <w:r>
        <w:rPr>
          <w:rFonts w:hint="eastAsia" w:ascii="宋体" w:hAnsi="宋体" w:cs="宋体"/>
          <w:color w:val="auto"/>
          <w:sz w:val="24"/>
        </w:rPr>
        <w:t>11.2.3符合性审查资料；</w:t>
      </w:r>
    </w:p>
    <w:p>
      <w:pPr>
        <w:snapToGrid w:val="0"/>
        <w:ind w:firstLine="960" w:firstLineChars="400"/>
        <w:rPr>
          <w:rFonts w:ascii="宋体" w:hAnsi="宋体" w:cs="宋体"/>
          <w:color w:val="auto"/>
          <w:sz w:val="24"/>
        </w:rPr>
      </w:pPr>
      <w:r>
        <w:rPr>
          <w:rFonts w:hint="eastAsia" w:ascii="宋体" w:hAnsi="宋体" w:cs="宋体"/>
          <w:color w:val="auto"/>
          <w:sz w:val="24"/>
        </w:rPr>
        <w:t>11.2.4评标标准相应的商务技术资料；</w:t>
      </w:r>
    </w:p>
    <w:p>
      <w:pPr>
        <w:snapToGrid w:val="0"/>
        <w:ind w:firstLine="960" w:firstLineChars="400"/>
        <w:rPr>
          <w:rFonts w:ascii="宋体" w:hAnsi="宋体" w:cs="宋体"/>
          <w:color w:val="auto"/>
          <w:sz w:val="24"/>
        </w:rPr>
      </w:pPr>
      <w:r>
        <w:rPr>
          <w:rFonts w:hint="eastAsia" w:ascii="宋体" w:hAnsi="宋体" w:cs="宋体"/>
          <w:color w:val="auto"/>
          <w:sz w:val="24"/>
        </w:rPr>
        <w:t>11.2.5投标标的清单；</w:t>
      </w:r>
    </w:p>
    <w:p>
      <w:pPr>
        <w:snapToGrid w:val="0"/>
        <w:ind w:firstLine="960" w:firstLineChars="400"/>
        <w:rPr>
          <w:rFonts w:ascii="宋体" w:hAnsi="宋体" w:cs="宋体"/>
          <w:color w:val="auto"/>
          <w:sz w:val="24"/>
        </w:rPr>
      </w:pPr>
      <w:r>
        <w:rPr>
          <w:rFonts w:hint="eastAsia" w:ascii="宋体" w:hAnsi="宋体" w:cs="宋体"/>
          <w:color w:val="auto"/>
          <w:sz w:val="24"/>
        </w:rPr>
        <w:t>11.2.6商务技术偏离表；</w:t>
      </w:r>
    </w:p>
    <w:p>
      <w:pPr>
        <w:snapToGrid w:val="0"/>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7</w:t>
      </w:r>
      <w:r>
        <w:rPr>
          <w:rFonts w:hint="eastAsia" w:ascii="宋体" w:hAnsi="宋体" w:cs="宋体"/>
          <w:color w:val="auto"/>
          <w:sz w:val="24"/>
          <w:lang w:val="zh-CN"/>
        </w:rPr>
        <w:t>政府采购供应商廉洁自律承诺书；</w:t>
      </w:r>
    </w:p>
    <w:p>
      <w:pPr>
        <w:snapToGrid w:val="0"/>
        <w:ind w:firstLine="720" w:firstLineChars="3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ind w:firstLine="960" w:firstLineChars="400"/>
        <w:rPr>
          <w:rFonts w:ascii="宋体" w:hAnsi="宋体" w:cs="宋体"/>
          <w:color w:val="auto"/>
          <w:sz w:val="24"/>
        </w:rPr>
      </w:pPr>
      <w:r>
        <w:rPr>
          <w:rFonts w:hint="eastAsia" w:ascii="宋体" w:hAnsi="宋体" w:cs="宋体"/>
          <w:color w:val="auto"/>
          <w:sz w:val="24"/>
        </w:rPr>
        <w:t>11.3.2中小企业声明函（面向中小企业的项目在资格文件中提供，不面向中小企业的项目如符合中小企业政策请在报价标中提供）。</w:t>
      </w:r>
    </w:p>
    <w:p>
      <w:pPr>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ind w:firstLine="723" w:firstLineChars="300"/>
        <w:rPr>
          <w:rFonts w:ascii="宋体" w:hAnsi="宋体" w:cs="宋体"/>
          <w:b/>
          <w:sz w:val="24"/>
        </w:rPr>
      </w:pPr>
      <w:r>
        <w:rPr>
          <w:rFonts w:hint="eastAsia" w:ascii="宋体" w:hAnsi="宋体" w:cs="宋体"/>
          <w:b/>
          <w:sz w:val="24"/>
        </w:rPr>
        <w:t>投标人提供虚假材料投标的，投标无效。</w:t>
      </w:r>
    </w:p>
    <w:p>
      <w:pPr>
        <w:pStyle w:val="129"/>
        <w:snapToGrid w:val="0"/>
        <w:spacing w:before="0" w:line="240" w:lineRule="auto"/>
        <w:ind w:firstLine="241" w:firstLineChars="10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ind w:firstLine="241" w:firstLineChars="100"/>
        <w:rPr>
          <w:rFonts w:ascii="宋体" w:hAnsi="宋体" w:cs="宋体"/>
          <w:b/>
          <w:sz w:val="24"/>
        </w:rPr>
      </w:pPr>
      <w:r>
        <w:rPr>
          <w:rFonts w:hint="eastAsia" w:ascii="宋体" w:hAnsi="宋体" w:cs="宋体"/>
          <w:b/>
          <w:sz w:val="24"/>
        </w:rPr>
        <w:t>13.投标文件的签署、盖章</w:t>
      </w:r>
    </w:p>
    <w:p>
      <w:pPr>
        <w:pStyle w:val="129"/>
        <w:snapToGrid w:val="0"/>
        <w:spacing w:before="0" w:line="240" w:lineRule="auto"/>
        <w:ind w:firstLine="480"/>
        <w:rPr>
          <w:rFonts w:ascii="宋体" w:hAnsi="宋体" w:cs="宋体"/>
          <w:b/>
          <w:szCs w:val="24"/>
        </w:rPr>
      </w:pPr>
      <w:r>
        <w:rPr>
          <w:rFonts w:hint="eastAsia" w:ascii="宋体" w:hAnsi="宋体" w:cs="宋体"/>
          <w:szCs w:val="24"/>
        </w:rPr>
        <w:t>13.1投标文件按照招标文件第六部分格式要求进行签署、盖章。</w:t>
      </w:r>
      <w:r>
        <w:rPr>
          <w:rFonts w:hint="eastAsia" w:ascii="宋体" w:hAnsi="宋体" w:cs="宋体"/>
          <w:b/>
          <w:szCs w:val="24"/>
        </w:rPr>
        <w:t>▲投标人的投标文件未按照招标文件要求签署、盖章的，其投标无效</w:t>
      </w:r>
      <w:r>
        <w:rPr>
          <w:rFonts w:hint="eastAsia" w:ascii="宋体" w:hAnsi="宋体" w:cs="宋体"/>
          <w:szCs w:val="24"/>
        </w:rPr>
        <w:t>。</w:t>
      </w:r>
    </w:p>
    <w:p>
      <w:pPr>
        <w:pStyle w:val="129"/>
        <w:snapToGrid w:val="0"/>
        <w:spacing w:before="0" w:line="240" w:lineRule="auto"/>
        <w:ind w:firstLine="480"/>
        <w:rPr>
          <w:rFonts w:ascii="宋体" w:hAnsi="宋体" w:cs="宋体"/>
          <w:szCs w:val="24"/>
        </w:rPr>
      </w:pPr>
      <w:r>
        <w:rPr>
          <w:rFonts w:hint="eastAsia" w:ascii="宋体" w:hAnsi="宋体" w:cs="宋体"/>
          <w:szCs w:val="24"/>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line="240" w:lineRule="auto"/>
        <w:ind w:firstLine="480"/>
        <w:rPr>
          <w:rFonts w:ascii="宋体" w:hAnsi="宋体" w:cs="宋体"/>
          <w:szCs w:val="24"/>
        </w:rPr>
      </w:pPr>
      <w:r>
        <w:rPr>
          <w:rFonts w:hint="eastAsia" w:ascii="宋体" w:hAnsi="宋体" w:cs="宋体"/>
          <w:szCs w:val="24"/>
        </w:rPr>
        <w:t>13.3招标文件对投标文件签署、盖章的要求适用于电子签名。</w:t>
      </w:r>
    </w:p>
    <w:p>
      <w:pPr>
        <w:pStyle w:val="129"/>
        <w:spacing w:before="0" w:line="240" w:lineRule="auto"/>
        <w:ind w:firstLine="241" w:firstLineChars="100"/>
        <w:rPr>
          <w:rFonts w:ascii="宋体" w:hAnsi="宋体" w:cs="宋体"/>
          <w:b/>
          <w:szCs w:val="24"/>
        </w:rPr>
      </w:pPr>
      <w:r>
        <w:rPr>
          <w:rFonts w:hint="eastAsia" w:ascii="宋体" w:hAnsi="宋体" w:cs="宋体"/>
          <w:b/>
          <w:szCs w:val="24"/>
        </w:rPr>
        <w:t>14. 投标文件的提交、补充、修改、撤回</w:t>
      </w:r>
    </w:p>
    <w:p>
      <w:pPr>
        <w:pStyle w:val="129"/>
        <w:spacing w:before="0" w:line="240" w:lineRule="auto"/>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line="240" w:lineRule="auto"/>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line="240" w:lineRule="auto"/>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129"/>
        <w:spacing w:before="0" w:line="240" w:lineRule="auto"/>
        <w:ind w:firstLine="241" w:firstLineChars="100"/>
        <w:rPr>
          <w:rFonts w:ascii="宋体" w:hAnsi="宋体" w:cs="宋体"/>
          <w:b/>
          <w:szCs w:val="24"/>
        </w:rPr>
      </w:pPr>
      <w:r>
        <w:rPr>
          <w:rFonts w:hint="eastAsia" w:ascii="宋体" w:hAnsi="宋体" w:cs="宋体"/>
          <w:b/>
          <w:szCs w:val="24"/>
        </w:rPr>
        <w:t>15.投标文件的无效处理</w:t>
      </w:r>
    </w:p>
    <w:p>
      <w:pPr>
        <w:pStyle w:val="25"/>
        <w:spacing w:line="240" w:lineRule="auto"/>
        <w:ind w:firstLine="360" w:firstLineChars="150"/>
        <w:rPr>
          <w:rFonts w:cs="宋体"/>
        </w:rPr>
      </w:pPr>
      <w:r>
        <w:rPr>
          <w:rFonts w:hint="eastAsia" w:cs="宋体"/>
        </w:rPr>
        <w:t>有招标文件第四部分4.2规定的情形之一的，投标无效：</w:t>
      </w:r>
    </w:p>
    <w:p>
      <w:pPr>
        <w:pStyle w:val="129"/>
        <w:spacing w:before="0" w:line="240" w:lineRule="auto"/>
        <w:ind w:firstLine="241" w:firstLineChars="100"/>
        <w:rPr>
          <w:rFonts w:ascii="宋体" w:hAnsi="宋体" w:cs="宋体"/>
          <w:b/>
          <w:szCs w:val="24"/>
        </w:rPr>
      </w:pPr>
      <w:r>
        <w:rPr>
          <w:rFonts w:hint="eastAsia" w:ascii="宋体" w:hAnsi="宋体" w:cs="宋体"/>
          <w:b/>
          <w:szCs w:val="24"/>
        </w:rPr>
        <w:t>16.投标有效期</w:t>
      </w:r>
    </w:p>
    <w:p>
      <w:pPr>
        <w:ind w:firstLine="480" w:firstLineChars="200"/>
        <w:rPr>
          <w:rFonts w:ascii="宋体" w:hAnsi="宋体" w:cs="宋体"/>
          <w:b/>
          <w:sz w:val="24"/>
        </w:rPr>
      </w:pPr>
      <w:r>
        <w:rPr>
          <w:rFonts w:hint="eastAsia" w:ascii="宋体" w:hAnsi="宋体" w:cs="宋体"/>
          <w:sz w:val="24"/>
        </w:rPr>
        <w:t>16.1投标有效期为从提交投标文件的截止之日起90天。▲</w:t>
      </w:r>
      <w:r>
        <w:rPr>
          <w:rFonts w:hint="eastAsia" w:ascii="宋体" w:hAnsi="宋体" w:cs="宋体"/>
          <w:b/>
          <w:sz w:val="24"/>
        </w:rPr>
        <w:t>投标人的投标文件中承诺的投标有效期少于招标文件中载明的投标有效期的，投标无效。</w:t>
      </w:r>
    </w:p>
    <w:p>
      <w:pPr>
        <w:pStyle w:val="129"/>
        <w:spacing w:before="0" w:line="240" w:lineRule="auto"/>
        <w:ind w:firstLine="480"/>
        <w:rPr>
          <w:rFonts w:ascii="宋体" w:hAnsi="宋体" w:cs="宋体"/>
          <w:szCs w:val="24"/>
        </w:rPr>
      </w:pPr>
      <w:r>
        <w:rPr>
          <w:rFonts w:hint="eastAsia" w:ascii="宋体" w:hAnsi="宋体" w:cs="宋体"/>
          <w:szCs w:val="24"/>
        </w:rPr>
        <w:t>16.2投标文件合格投递后，自投标截止日期起，在投标有效期内有效。</w:t>
      </w:r>
    </w:p>
    <w:p>
      <w:pPr>
        <w:pStyle w:val="129"/>
        <w:spacing w:before="0" w:line="240" w:lineRule="auto"/>
        <w:ind w:firstLine="480"/>
        <w:rPr>
          <w:rFonts w:ascii="宋体" w:hAnsi="宋体" w:cs="宋体"/>
          <w:szCs w:val="24"/>
        </w:rPr>
      </w:pPr>
      <w:r>
        <w:rPr>
          <w:rFonts w:hint="eastAsia" w:ascii="宋体" w:hAnsi="宋体" w:cs="宋体"/>
          <w:szCs w:val="24"/>
        </w:rPr>
        <w:t>16.3在原定投标有效期满之前，如果出现特殊情况，采购代理机构可以以书面形式通知投标人延长投标有效期。投标人同意延长的，不得要求或被允许修改其投标文件，投标人拒绝延长的，其投标无效。</w:t>
      </w:r>
    </w:p>
    <w:p>
      <w:pPr>
        <w:pStyle w:val="129"/>
        <w:spacing w:before="0" w:line="240" w:lineRule="auto"/>
        <w:ind w:firstLine="482"/>
        <w:rPr>
          <w:rFonts w:ascii="宋体" w:hAnsi="宋体" w:cs="宋体"/>
          <w:b/>
          <w:szCs w:val="24"/>
        </w:rPr>
      </w:pPr>
    </w:p>
    <w:p>
      <w:pPr>
        <w:pStyle w:val="129"/>
        <w:spacing w:before="0" w:line="240" w:lineRule="auto"/>
        <w:ind w:firstLine="0" w:firstLineChars="0"/>
        <w:jc w:val="center"/>
        <w:rPr>
          <w:rFonts w:ascii="宋体" w:hAnsi="宋体" w:cs="宋体"/>
          <w:b/>
          <w:szCs w:val="24"/>
        </w:rPr>
      </w:pPr>
      <w:r>
        <w:rPr>
          <w:rFonts w:hint="eastAsia" w:ascii="宋体" w:hAnsi="宋体" w:cs="宋体"/>
          <w:b/>
          <w:szCs w:val="24"/>
        </w:rPr>
        <w:t>四、开标、资格审查与信用信息查询</w:t>
      </w:r>
    </w:p>
    <w:p>
      <w:pPr>
        <w:pStyle w:val="554"/>
        <w:spacing w:before="0" w:line="240" w:lineRule="auto"/>
        <w:ind w:left="0" w:firstLine="241" w:firstLineChars="100"/>
        <w:contextualSpacing/>
        <w:rPr>
          <w:rFonts w:ascii="宋体" w:hAnsi="宋体" w:cs="宋体"/>
          <w:sz w:val="24"/>
          <w:szCs w:val="24"/>
        </w:rPr>
      </w:pPr>
      <w:r>
        <w:rPr>
          <w:rFonts w:hint="eastAsia" w:ascii="宋体" w:hAnsi="宋体" w:cs="宋体"/>
          <w:b/>
          <w:sz w:val="24"/>
          <w:szCs w:val="24"/>
        </w:rPr>
        <w:t>17.开标</w:t>
      </w:r>
      <w:r>
        <w:rPr>
          <w:rFonts w:hint="eastAsia" w:ascii="宋体" w:hAnsi="宋体" w:cs="宋体"/>
          <w:sz w:val="24"/>
          <w:szCs w:val="24"/>
        </w:rPr>
        <w:t xml:space="preserve"> </w:t>
      </w:r>
    </w:p>
    <w:p>
      <w:pPr>
        <w:pStyle w:val="554"/>
        <w:spacing w:before="0" w:line="240" w:lineRule="auto"/>
        <w:ind w:left="0" w:firstLine="480" w:firstLineChars="200"/>
        <w:contextualSpacing/>
        <w:rPr>
          <w:rFonts w:ascii="宋体" w:hAnsi="宋体" w:cs="宋体"/>
          <w:sz w:val="24"/>
          <w:szCs w:val="24"/>
        </w:rPr>
      </w:pPr>
      <w:r>
        <w:rPr>
          <w:rFonts w:hint="eastAsia" w:ascii="宋体" w:hAnsi="宋体" w:cs="宋体"/>
          <w:sz w:val="24"/>
          <w:szCs w:val="24"/>
        </w:rPr>
        <w:t>17.1采购代理机构按照招标文件规定的时间通过电子交易平台组织开标，所有投标人均应当准时在线参加。投标人不足3家的，不得开标。</w:t>
      </w:r>
    </w:p>
    <w:p>
      <w:pPr>
        <w:pStyle w:val="554"/>
        <w:spacing w:before="0" w:line="240" w:lineRule="auto"/>
        <w:ind w:left="0" w:firstLine="240" w:firstLineChars="100"/>
        <w:contextualSpacing/>
        <w:rPr>
          <w:rFonts w:ascii="宋体" w:hAnsi="宋体" w:cs="宋体"/>
          <w:sz w:val="24"/>
          <w:szCs w:val="24"/>
        </w:rPr>
      </w:pPr>
      <w:r>
        <w:rPr>
          <w:rFonts w:hint="eastAsia" w:ascii="宋体" w:hAnsi="宋体" w:cs="宋体"/>
          <w:sz w:val="24"/>
          <w:szCs w:val="24"/>
        </w:rPr>
        <w:t>　17.2开标时，电子交易平台按开标时间自动提取所有投标文件。采购代理机构依托电子交易平台发起开始解密指令，投标人按照平台提示和招标文件的规定在半小时内完成在线解密。</w:t>
      </w:r>
    </w:p>
    <w:p>
      <w:pPr>
        <w:widowControl/>
        <w:jc w:val="left"/>
        <w:rPr>
          <w:rFonts w:ascii="宋体" w:hAnsi="宋体" w:cs="宋体"/>
          <w:b/>
          <w:sz w:val="24"/>
        </w:rPr>
      </w:pPr>
      <w:r>
        <w:rPr>
          <w:rFonts w:hint="eastAsia" w:ascii="宋体" w:hAnsi="宋体" w:cs="宋体"/>
          <w:b/>
          <w:sz w:val="24"/>
        </w:rPr>
        <w:t>　18、资格审查</w:t>
      </w:r>
    </w:p>
    <w:p>
      <w:pPr>
        <w:snapToGrid w:val="0"/>
        <w:ind w:firstLine="480" w:firstLineChars="200"/>
        <w:rPr>
          <w:rFonts w:ascii="宋体" w:hAnsi="宋体" w:cs="宋体"/>
          <w:sz w:val="24"/>
        </w:rPr>
      </w:pPr>
      <w:r>
        <w:rPr>
          <w:rFonts w:hint="eastAsia" w:ascii="宋体" w:hAnsi="宋体" w:cs="宋体"/>
          <w:kern w:val="0"/>
          <w:sz w:val="24"/>
        </w:rPr>
        <w:t>18.1</w:t>
      </w:r>
      <w:r>
        <w:rPr>
          <w:rFonts w:hint="eastAsia" w:ascii="宋体" w:hAnsi="宋体" w:cs="宋体"/>
          <w:sz w:val="24"/>
        </w:rPr>
        <w:t>采购人或采购代理机构依据法律法规和招标文件的规定，对投标人的资格进行审查。</w:t>
      </w:r>
    </w:p>
    <w:p>
      <w:pPr>
        <w:pStyle w:val="129"/>
        <w:spacing w:before="0" w:line="240" w:lineRule="auto"/>
        <w:ind w:firstLine="480"/>
        <w:rPr>
          <w:rFonts w:ascii="宋体" w:hAnsi="宋体" w:cs="宋体"/>
          <w:szCs w:val="24"/>
        </w:rPr>
      </w:pPr>
      <w:r>
        <w:rPr>
          <w:rFonts w:hint="eastAsia" w:ascii="宋体" w:hAnsi="宋体" w:cs="宋体"/>
          <w:kern w:val="0"/>
          <w:szCs w:val="24"/>
        </w:rPr>
        <w:t>18.2投标人未按照招标文件要求提供与</w:t>
      </w:r>
      <w:r>
        <w:rPr>
          <w:rFonts w:hint="eastAsia" w:ascii="宋体" w:hAnsi="宋体" w:cs="宋体"/>
          <w:szCs w:val="24"/>
        </w:rPr>
        <w:t>资格条件相应的</w:t>
      </w:r>
      <w:r>
        <w:rPr>
          <w:rFonts w:hint="eastAsia" w:ascii="宋体" w:hAnsi="宋体" w:cs="宋体"/>
          <w:kern w:val="0"/>
          <w:szCs w:val="24"/>
        </w:rPr>
        <w:t>有效资格证明材料的，视为</w:t>
      </w:r>
      <w:r>
        <w:rPr>
          <w:rFonts w:hint="eastAsia" w:ascii="宋体" w:hAnsi="宋体" w:cs="宋体"/>
          <w:szCs w:val="24"/>
        </w:rPr>
        <w:t>投标人不具备招标文件中规定的资格要求，其投标无效。</w:t>
      </w:r>
    </w:p>
    <w:p>
      <w:pPr>
        <w:pStyle w:val="129"/>
        <w:spacing w:before="0" w:line="240" w:lineRule="auto"/>
        <w:ind w:firstLine="480"/>
        <w:rPr>
          <w:rFonts w:ascii="宋体" w:hAnsi="宋体" w:cs="宋体"/>
          <w:szCs w:val="24"/>
        </w:rPr>
      </w:pPr>
      <w:r>
        <w:rPr>
          <w:rFonts w:hint="eastAsia" w:ascii="宋体" w:hAnsi="宋体" w:cs="宋体"/>
          <w:kern w:val="0"/>
          <w:szCs w:val="24"/>
        </w:rPr>
        <w:t>18.</w:t>
      </w:r>
      <w:r>
        <w:rPr>
          <w:rFonts w:hint="eastAsia" w:ascii="宋体" w:hAnsi="宋体" w:cs="宋体"/>
          <w:szCs w:val="24"/>
        </w:rPr>
        <w:t>3对未通过资格审查的投标人，采购人或采购代理机构告知其未通过的原因。</w:t>
      </w:r>
    </w:p>
    <w:p>
      <w:pPr>
        <w:pStyle w:val="129"/>
        <w:spacing w:before="0" w:line="240" w:lineRule="auto"/>
        <w:ind w:firstLine="480"/>
        <w:rPr>
          <w:rFonts w:ascii="宋体" w:hAnsi="宋体" w:cs="宋体"/>
          <w:szCs w:val="24"/>
        </w:rPr>
      </w:pPr>
      <w:r>
        <w:rPr>
          <w:rFonts w:hint="eastAsia" w:ascii="宋体" w:hAnsi="宋体" w:cs="宋体"/>
          <w:kern w:val="0"/>
          <w:szCs w:val="24"/>
        </w:rPr>
        <w:t>18.</w:t>
      </w:r>
      <w:r>
        <w:rPr>
          <w:rFonts w:hint="eastAsia" w:ascii="宋体" w:hAnsi="宋体" w:cs="宋体"/>
          <w:szCs w:val="24"/>
        </w:rPr>
        <w:t>4合格投标人不足3家的，不再评标。</w:t>
      </w:r>
    </w:p>
    <w:p>
      <w:pPr>
        <w:pStyle w:val="129"/>
        <w:spacing w:before="0" w:line="240" w:lineRule="auto"/>
        <w:ind w:firstLine="241" w:firstLineChars="100"/>
        <w:rPr>
          <w:rFonts w:ascii="宋体" w:hAnsi="宋体" w:cs="宋体"/>
          <w:b/>
          <w:szCs w:val="24"/>
        </w:rPr>
      </w:pPr>
      <w:r>
        <w:rPr>
          <w:rFonts w:hint="eastAsia" w:ascii="宋体" w:hAnsi="宋体" w:cs="宋体"/>
          <w:b/>
          <w:szCs w:val="24"/>
        </w:rPr>
        <w:t>19、信用信息查询</w:t>
      </w:r>
    </w:p>
    <w:p>
      <w:pPr>
        <w:pStyle w:val="129"/>
        <w:spacing w:before="0" w:line="240" w:lineRule="auto"/>
        <w:ind w:firstLine="495" w:firstLineChars="0"/>
        <w:rPr>
          <w:rFonts w:ascii="宋体" w:hAnsi="宋体" w:cs="宋体"/>
          <w:kern w:val="0"/>
          <w:szCs w:val="24"/>
        </w:rPr>
      </w:pPr>
      <w:r>
        <w:rPr>
          <w:rFonts w:hint="eastAsia" w:ascii="宋体" w:hAnsi="宋体" w:cs="宋体"/>
          <w:kern w:val="0"/>
          <w:szCs w:val="24"/>
        </w:rPr>
        <w:t>19.1信用信息查询渠道及截止时间：采购代理机构将在资格审查时通过“信用中国”网站(www.creditchina.gov.cn)、中国政府采购网(www.ccgp.gov.cn)渠道查询投标人接受资格审查时的信用记录。</w:t>
      </w:r>
    </w:p>
    <w:p>
      <w:pPr>
        <w:pStyle w:val="129"/>
        <w:spacing w:before="0" w:line="240" w:lineRule="auto"/>
        <w:ind w:firstLine="495" w:firstLineChars="0"/>
        <w:rPr>
          <w:rFonts w:ascii="宋体" w:hAnsi="宋体" w:cs="宋体"/>
          <w:kern w:val="0"/>
          <w:szCs w:val="24"/>
        </w:rPr>
      </w:pPr>
      <w:r>
        <w:rPr>
          <w:rFonts w:hint="eastAsia" w:ascii="宋体" w:hAnsi="宋体" w:cs="宋体"/>
          <w:kern w:val="0"/>
          <w:szCs w:val="24"/>
        </w:rPr>
        <w:t>19.2信用信息查询记录和证据留存的具体方式：现场查询的投标人的信用记录、查询结果经确认后将与采购文件一起存档。</w:t>
      </w:r>
    </w:p>
    <w:p>
      <w:pPr>
        <w:pStyle w:val="129"/>
        <w:spacing w:before="0" w:line="240" w:lineRule="auto"/>
        <w:ind w:firstLine="495" w:firstLineChars="0"/>
        <w:rPr>
          <w:rFonts w:ascii="宋体" w:hAnsi="宋体" w:cs="宋体"/>
          <w:kern w:val="0"/>
          <w:szCs w:val="24"/>
        </w:rPr>
      </w:pPr>
      <w:r>
        <w:rPr>
          <w:rFonts w:hint="eastAsia" w:ascii="宋体" w:hAnsi="宋体" w:cs="宋体"/>
          <w:kern w:val="0"/>
          <w:szCs w:val="24"/>
        </w:rPr>
        <w:t>19.3信用信息的使用规则：经查询列入失信被执行人名单、重大税收违法案件当事人名单、政府采购严重违法失信行为记录名单的投标人将被拒绝参与政府采购活动。</w:t>
      </w:r>
    </w:p>
    <w:p>
      <w:pPr>
        <w:pStyle w:val="129"/>
        <w:spacing w:before="0" w:line="240" w:lineRule="auto"/>
        <w:ind w:firstLine="495" w:firstLineChars="0"/>
        <w:rPr>
          <w:rFonts w:ascii="宋体" w:hAnsi="宋体" w:cs="宋体"/>
          <w:kern w:val="0"/>
          <w:szCs w:val="24"/>
        </w:rPr>
      </w:pPr>
    </w:p>
    <w:p>
      <w:pPr>
        <w:snapToGrid w:val="0"/>
        <w:jc w:val="center"/>
        <w:outlineLvl w:val="0"/>
        <w:rPr>
          <w:rFonts w:ascii="宋体" w:hAnsi="宋体" w:cs="宋体"/>
          <w:b/>
          <w:sz w:val="24"/>
        </w:rPr>
      </w:pPr>
      <w:r>
        <w:rPr>
          <w:rFonts w:hint="eastAsia" w:ascii="宋体" w:hAnsi="宋体" w:cs="宋体"/>
          <w:b/>
          <w:sz w:val="24"/>
        </w:rPr>
        <w:t>五、评标</w:t>
      </w:r>
    </w:p>
    <w:p>
      <w:pPr>
        <w:ind w:firstLine="241" w:firstLineChars="100"/>
        <w:rPr>
          <w:rFonts w:ascii="宋体" w:hAnsi="宋体" w:cs="宋体"/>
          <w:b/>
          <w:sz w:val="24"/>
        </w:rPr>
      </w:pPr>
      <w:bookmarkStart w:id="15" w:name="_Toc91899903"/>
      <w:r>
        <w:rPr>
          <w:rFonts w:hint="eastAsia" w:ascii="宋体" w:hAnsi="宋体" w:cs="宋体"/>
          <w:b/>
          <w:sz w:val="24"/>
        </w:rPr>
        <w:t>20.</w:t>
      </w:r>
      <w:r>
        <w:rPr>
          <w:rFonts w:hint="eastAsia" w:ascii="宋体" w:hAnsi="宋体" w:cs="宋体"/>
          <w:sz w:val="24"/>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rPr>
          <w:rFonts w:ascii="宋体" w:hAnsi="宋体" w:cs="宋体"/>
          <w:b/>
          <w:sz w:val="24"/>
        </w:rPr>
      </w:pPr>
    </w:p>
    <w:p>
      <w:pPr>
        <w:snapToGrid w:val="0"/>
        <w:jc w:val="center"/>
        <w:outlineLvl w:val="0"/>
        <w:rPr>
          <w:rFonts w:ascii="宋体" w:hAnsi="宋体" w:cs="宋体"/>
          <w:b/>
          <w:sz w:val="24"/>
        </w:rPr>
      </w:pPr>
      <w:r>
        <w:rPr>
          <w:rFonts w:hint="eastAsia" w:ascii="宋体" w:hAnsi="宋体" w:cs="宋体"/>
          <w:b/>
          <w:sz w:val="24"/>
        </w:rPr>
        <w:t>六、定 标</w:t>
      </w:r>
    </w:p>
    <w:p>
      <w:pPr>
        <w:pStyle w:val="25"/>
        <w:spacing w:line="240" w:lineRule="auto"/>
        <w:ind w:left="478" w:leftChars="114" w:hanging="239" w:hangingChars="99"/>
        <w:rPr>
          <w:rFonts w:cs="宋体"/>
          <w:b/>
        </w:rPr>
      </w:pPr>
      <w:r>
        <w:rPr>
          <w:rFonts w:hint="eastAsia" w:cs="宋体"/>
          <w:b/>
        </w:rPr>
        <w:t>21. 确定中标供应商</w:t>
      </w:r>
    </w:p>
    <w:p>
      <w:pPr>
        <w:pStyle w:val="129"/>
        <w:snapToGrid w:val="0"/>
        <w:spacing w:before="0" w:line="240" w:lineRule="auto"/>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line="240" w:lineRule="auto"/>
        <w:ind w:firstLine="241" w:firstLineChars="100"/>
        <w:rPr>
          <w:rFonts w:ascii="宋体" w:hAnsi="宋体" w:cs="宋体"/>
          <w:b/>
          <w:szCs w:val="24"/>
        </w:rPr>
      </w:pPr>
      <w:r>
        <w:rPr>
          <w:rFonts w:hint="eastAsia" w:ascii="宋体" w:hAnsi="宋体" w:cs="宋体"/>
          <w:b/>
          <w:szCs w:val="24"/>
        </w:rPr>
        <w:t>22. 中标通知与中标结果公告</w:t>
      </w:r>
    </w:p>
    <w:p>
      <w:pPr>
        <w:widowControl/>
        <w:shd w:val="clear" w:color="auto" w:fill="FFFFFF"/>
        <w:ind w:firstLine="480"/>
        <w:jc w:val="left"/>
        <w:rPr>
          <w:rFonts w:ascii="宋体" w:hAnsi="宋体" w:cs="宋体"/>
          <w:sz w:val="24"/>
        </w:rPr>
      </w:pPr>
      <w:r>
        <w:rPr>
          <w:rFonts w:hint="eastAsia" w:ascii="宋体" w:hAnsi="宋体" w:cs="宋体"/>
          <w:sz w:val="24"/>
        </w:rPr>
        <w:t>22.1自中标人确定之日起2个工作日内，采购代理机构通过电子交易平台向中标人发出中标通知书，同时编制发布采购结果公告。采购代理机构也可以以纸质形式进行中标通知。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ind w:firstLine="480"/>
        <w:jc w:val="left"/>
        <w:rPr>
          <w:rFonts w:ascii="宋体" w:hAnsi="宋体" w:cs="宋体"/>
          <w:sz w:val="24"/>
        </w:rPr>
      </w:pPr>
      <w:r>
        <w:rPr>
          <w:rFonts w:hint="eastAsia" w:ascii="宋体" w:hAnsi="宋体" w:cs="宋体"/>
          <w:sz w:val="24"/>
        </w:rPr>
        <w:t>22.2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ind w:firstLine="480"/>
        <w:jc w:val="left"/>
        <w:rPr>
          <w:rFonts w:ascii="宋体" w:hAnsi="宋体" w:cs="宋体"/>
          <w:sz w:val="24"/>
        </w:rPr>
      </w:pPr>
      <w:r>
        <w:rPr>
          <w:rFonts w:hint="eastAsia" w:ascii="宋体" w:hAnsi="宋体" w:cs="宋体"/>
          <w:sz w:val="24"/>
        </w:rPr>
        <w:t>22.3公告期限为1个工作日。</w:t>
      </w:r>
    </w:p>
    <w:p>
      <w:pPr>
        <w:snapToGrid w:val="0"/>
        <w:ind w:left="120" w:leftChars="57" w:firstLine="361" w:firstLineChars="150"/>
        <w:jc w:val="center"/>
        <w:rPr>
          <w:rFonts w:ascii="宋体" w:hAnsi="宋体" w:cs="宋体"/>
          <w:b/>
          <w:sz w:val="24"/>
        </w:rPr>
      </w:pPr>
    </w:p>
    <w:p>
      <w:pPr>
        <w:snapToGrid w:val="0"/>
        <w:ind w:left="120" w:leftChars="57" w:firstLine="361" w:firstLineChars="150"/>
        <w:jc w:val="center"/>
        <w:rPr>
          <w:rFonts w:ascii="宋体" w:hAnsi="宋体" w:cs="宋体"/>
          <w:b/>
          <w:sz w:val="24"/>
        </w:rPr>
      </w:pPr>
      <w:r>
        <w:rPr>
          <w:rFonts w:hint="eastAsia" w:ascii="宋体" w:hAnsi="宋体" w:cs="宋体"/>
          <w:b/>
          <w:sz w:val="24"/>
        </w:rPr>
        <w:t>七、合同授予</w:t>
      </w:r>
    </w:p>
    <w:p>
      <w:pPr>
        <w:pStyle w:val="25"/>
        <w:spacing w:line="240" w:lineRule="auto"/>
        <w:ind w:left="478" w:leftChars="114" w:hanging="239" w:hangingChars="99"/>
        <w:rPr>
          <w:rFonts w:cs="宋体"/>
          <w:b/>
        </w:rPr>
      </w:pPr>
      <w:r>
        <w:rPr>
          <w:rFonts w:hint="eastAsia" w:cs="宋体"/>
          <w:b/>
        </w:rPr>
        <w:t xml:space="preserve">23. </w:t>
      </w:r>
      <w:r>
        <w:rPr>
          <w:rFonts w:hint="eastAsia" w:cs="宋体"/>
        </w:rPr>
        <w:t>合同主要条款详见第五部分拟签订的合同文本。</w:t>
      </w:r>
    </w:p>
    <w:p>
      <w:pPr>
        <w:pStyle w:val="25"/>
        <w:spacing w:line="240" w:lineRule="auto"/>
        <w:ind w:left="478" w:leftChars="114" w:hanging="239" w:hangingChars="99"/>
        <w:rPr>
          <w:rFonts w:cs="宋体"/>
          <w:b/>
        </w:rPr>
      </w:pPr>
      <w:r>
        <w:rPr>
          <w:rFonts w:hint="eastAsia" w:cs="宋体"/>
          <w:b/>
        </w:rPr>
        <w:t>24. 合同的签订</w:t>
      </w:r>
    </w:p>
    <w:p>
      <w:pPr>
        <w:widowControl/>
        <w:shd w:val="clear" w:color="auto" w:fill="FFFFFF"/>
        <w:ind w:firstLine="480"/>
        <w:jc w:val="left"/>
        <w:rPr>
          <w:rFonts w:ascii="宋体" w:hAnsi="宋体" w:cs="宋体"/>
          <w:kern w:val="0"/>
          <w:sz w:val="24"/>
        </w:rPr>
      </w:pPr>
      <w:r>
        <w:rPr>
          <w:rFonts w:hint="eastAsia" w:ascii="宋体" w:hAnsi="宋体" w:cs="宋体"/>
          <w:sz w:val="24"/>
        </w:rPr>
        <w:t>24.1</w:t>
      </w:r>
      <w:r>
        <w:rPr>
          <w:rFonts w:hint="eastAsia" w:ascii="宋体" w:hAnsi="宋体" w:cs="宋体"/>
          <w:kern w:val="0"/>
          <w:sz w:val="24"/>
        </w:rPr>
        <w:t xml:space="preserve"> 采购人与中标人应当通过电子交易平台在中标通知书发出之日</w:t>
      </w:r>
      <w:r>
        <w:rPr>
          <w:rFonts w:hint="eastAsia" w:ascii="宋体" w:hAnsi="宋体" w:cs="宋体"/>
          <w:color w:val="auto"/>
          <w:kern w:val="0"/>
          <w:sz w:val="24"/>
        </w:rPr>
        <w:t>起二十日</w:t>
      </w:r>
      <w:r>
        <w:rPr>
          <w:rFonts w:hint="eastAsia" w:ascii="宋体" w:hAnsi="宋体" w:cs="宋体"/>
          <w:kern w:val="0"/>
          <w:sz w:val="24"/>
        </w:rPr>
        <w:t>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line="240" w:lineRule="auto"/>
        <w:ind w:firstLine="480"/>
        <w:rPr>
          <w:rFonts w:ascii="宋体" w:hAnsi="宋体" w:cs="宋体"/>
          <w:kern w:val="0"/>
          <w:szCs w:val="24"/>
          <w:lang w:val="zh-CN"/>
        </w:rPr>
      </w:pPr>
      <w:r>
        <w:rPr>
          <w:rFonts w:hint="eastAsia" w:ascii="宋体" w:hAnsi="宋体" w:cs="宋体"/>
          <w:kern w:val="0"/>
          <w:szCs w:val="24"/>
          <w:lang w:val="zh-CN"/>
        </w:rPr>
        <w:t>2</w:t>
      </w:r>
      <w:r>
        <w:rPr>
          <w:rFonts w:hint="eastAsia" w:ascii="宋体" w:hAnsi="宋体" w:cs="宋体"/>
          <w:kern w:val="0"/>
          <w:szCs w:val="24"/>
        </w:rPr>
        <w:t>4</w:t>
      </w:r>
      <w:r>
        <w:rPr>
          <w:rFonts w:hint="eastAsia" w:ascii="宋体" w:hAnsi="宋体" w:cs="宋体"/>
          <w:kern w:val="0"/>
          <w:szCs w:val="24"/>
          <w:lang w:val="zh-CN"/>
        </w:rPr>
        <w:t>.2中标人按规定的日期、时间、地点，由法定代表人或其授权代表与采购人代表签订合同。</w:t>
      </w:r>
    </w:p>
    <w:p>
      <w:pPr>
        <w:pStyle w:val="129"/>
        <w:snapToGrid w:val="0"/>
        <w:spacing w:before="0" w:line="240" w:lineRule="auto"/>
        <w:ind w:firstLine="480"/>
        <w:rPr>
          <w:rFonts w:ascii="宋体" w:hAnsi="宋体" w:cs="宋体"/>
          <w:color w:val="auto"/>
          <w:szCs w:val="24"/>
        </w:rPr>
      </w:pPr>
      <w:r>
        <w:rPr>
          <w:rFonts w:hint="eastAsia" w:ascii="宋体" w:hAnsi="宋体" w:cs="宋体"/>
          <w:szCs w:val="24"/>
        </w:rPr>
        <w:t>24.3如签订合同并生效后，供应商无故拒绝或延期，除按照合同条款处理外，列入不良行为记录一次，并给予通报。</w:t>
      </w:r>
    </w:p>
    <w:p>
      <w:pPr>
        <w:pStyle w:val="129"/>
        <w:snapToGrid w:val="0"/>
        <w:spacing w:before="0" w:line="240" w:lineRule="auto"/>
        <w:ind w:firstLine="480"/>
        <w:rPr>
          <w:rFonts w:ascii="宋体" w:hAnsi="宋体" w:cs="宋体"/>
          <w:szCs w:val="24"/>
        </w:rPr>
      </w:pPr>
      <w:r>
        <w:rPr>
          <w:rFonts w:hint="eastAsia" w:ascii="宋体" w:hAnsi="宋体" w:cs="宋体"/>
          <w:color w:val="auto"/>
          <w:szCs w:val="24"/>
        </w:rPr>
        <w:t>24.4中标供应商拒绝与采购人签订合同的，不再确定下一候选人为中标人，重</w:t>
      </w:r>
      <w:r>
        <w:rPr>
          <w:rFonts w:hint="eastAsia" w:ascii="宋体" w:hAnsi="宋体" w:cs="宋体"/>
          <w:szCs w:val="24"/>
        </w:rPr>
        <w:t>新开展政府采购活动。</w:t>
      </w:r>
    </w:p>
    <w:p>
      <w:pPr>
        <w:pStyle w:val="129"/>
        <w:snapToGrid w:val="0"/>
        <w:spacing w:before="0" w:line="240" w:lineRule="auto"/>
        <w:ind w:firstLine="480"/>
        <w:rPr>
          <w:rFonts w:ascii="宋体" w:hAnsi="宋体" w:cs="宋体"/>
          <w:szCs w:val="24"/>
        </w:rPr>
      </w:pPr>
      <w:r>
        <w:rPr>
          <w:rFonts w:hint="eastAsia" w:ascii="宋体" w:hAnsi="宋体" w:cs="宋体"/>
          <w:szCs w:val="24"/>
        </w:rPr>
        <w:t>24.5采购合同由采购人与中标供应商根据招标文件、投标文件等内容通过政府采购电子交易平台在线签订，自动备案。</w:t>
      </w:r>
    </w:p>
    <w:p>
      <w:pPr>
        <w:pStyle w:val="25"/>
        <w:spacing w:line="240" w:lineRule="auto"/>
        <w:ind w:left="478" w:leftChars="114" w:hanging="239" w:hangingChars="99"/>
        <w:rPr>
          <w:rFonts w:cs="宋体"/>
          <w:b/>
        </w:rPr>
      </w:pPr>
      <w:r>
        <w:rPr>
          <w:rFonts w:hint="eastAsia" w:cs="宋体"/>
          <w:b/>
        </w:rPr>
        <w:t>25. 履约保证金</w:t>
      </w:r>
    </w:p>
    <w:p>
      <w:pPr>
        <w:tabs>
          <w:tab w:val="left" w:pos="0"/>
        </w:tabs>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5"/>
        <w:spacing w:line="240" w:lineRule="auto"/>
        <w:ind w:left="0" w:firstLine="480" w:firstLineChars="200"/>
        <w:rPr>
          <w:rFonts w:ascii="宋体" w:hAnsi="宋体" w:eastAsia="宋体" w:cs="宋体"/>
          <w:b w:val="0"/>
          <w:bCs w:val="0"/>
          <w:snapToGrid w:val="0"/>
          <w:kern w:val="28"/>
          <w:sz w:val="24"/>
          <w:szCs w:val="24"/>
        </w:rPr>
      </w:pPr>
      <w:r>
        <w:rPr>
          <w:rFonts w:hint="eastAsia" w:ascii="宋体" w:hAnsi="宋体" w:eastAsia="宋体" w:cs="宋体"/>
          <w:b w:val="0"/>
          <w:bCs w:val="0"/>
          <w:snapToGrid w:val="0"/>
          <w:kern w:val="28"/>
          <w:sz w:val="24"/>
          <w:szCs w:val="24"/>
        </w:rPr>
        <w:t>供应商</w:t>
      </w:r>
      <w:r>
        <w:rPr>
          <w:rFonts w:hint="eastAsia" w:ascii="宋体" w:hAnsi="宋体" w:eastAsia="宋体" w:cs="宋体"/>
          <w:b w:val="0"/>
          <w:bCs w:val="0"/>
          <w:snapToGrid w:val="0"/>
          <w:kern w:val="28"/>
          <w:sz w:val="24"/>
          <w:szCs w:val="24"/>
          <w:lang w:val="en-US"/>
        </w:rPr>
        <w:t>可</w:t>
      </w:r>
      <w:r>
        <w:rPr>
          <w:rFonts w:hint="eastAsia" w:ascii="宋体" w:hAnsi="宋体" w:eastAsia="宋体" w:cs="宋体"/>
          <w:b w:val="0"/>
          <w:bCs w:val="0"/>
          <w:snapToGrid w:val="0"/>
          <w:kern w:val="28"/>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spacing w:line="240" w:lineRule="auto"/>
        <w:ind w:left="438" w:leftChars="88" w:hanging="253" w:hangingChars="105"/>
        <w:rPr>
          <w:rFonts w:ascii="宋体" w:hAnsi="宋体" w:eastAsia="宋体" w:cs="宋体"/>
          <w:sz w:val="24"/>
          <w:szCs w:val="24"/>
        </w:rPr>
      </w:pPr>
      <w:r>
        <w:rPr>
          <w:rFonts w:hint="eastAsia" w:ascii="宋体" w:hAnsi="宋体" w:eastAsia="宋体" w:cs="宋体"/>
          <w:sz w:val="24"/>
          <w:szCs w:val="24"/>
          <w:lang w:val="en-US"/>
        </w:rPr>
        <w:t>26.预付款</w:t>
      </w:r>
    </w:p>
    <w:p>
      <w:pPr>
        <w:adjustRightInd/>
        <w:ind w:firstLine="480" w:firstLineChars="200"/>
        <w:rPr>
          <w:rFonts w:ascii="宋体" w:hAnsi="宋体" w:cs="宋体"/>
          <w:sz w:val="24"/>
        </w:rPr>
      </w:pPr>
      <w:r>
        <w:rPr>
          <w:rFonts w:hint="eastAsia" w:ascii="宋体" w:hAnsi="宋体" w:cs="宋体"/>
          <w:sz w:val="24"/>
        </w:rPr>
        <w:t>26.1预付款支付方式详见第三部分商务条款；</w:t>
      </w:r>
    </w:p>
    <w:p>
      <w:pPr>
        <w:adjustRightInd/>
        <w:ind w:firstLine="480" w:firstLineChars="200"/>
        <w:rPr>
          <w:rFonts w:ascii="宋体" w:hAnsi="宋体" w:cs="宋体"/>
          <w:sz w:val="24"/>
        </w:rPr>
      </w:pPr>
      <w:r>
        <w:rPr>
          <w:rFonts w:hint="eastAsia" w:ascii="宋体" w:hAnsi="宋体" w:cs="宋体"/>
          <w:sz w:val="24"/>
        </w:rPr>
        <w:t>26.2供应商可登录政采云前台大厅选择金融服务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rPr>
          <w:rFonts w:ascii="宋体" w:hAnsi="宋体" w:cs="宋体"/>
          <w:b/>
          <w:sz w:val="24"/>
        </w:rPr>
      </w:pPr>
    </w:p>
    <w:p>
      <w:pPr>
        <w:snapToGrid w:val="0"/>
        <w:jc w:val="center"/>
        <w:rPr>
          <w:rFonts w:ascii="宋体" w:hAnsi="宋体" w:cs="宋体"/>
          <w:b/>
          <w:sz w:val="24"/>
        </w:rPr>
      </w:pPr>
      <w:r>
        <w:rPr>
          <w:rFonts w:hint="eastAsia" w:ascii="宋体" w:hAnsi="宋体" w:cs="宋体"/>
          <w:b/>
          <w:sz w:val="24"/>
        </w:rPr>
        <w:t>八、电子交易活动的中止</w:t>
      </w:r>
    </w:p>
    <w:p>
      <w:pPr>
        <w:pStyle w:val="129"/>
        <w:snapToGrid w:val="0"/>
        <w:spacing w:before="0" w:line="240" w:lineRule="auto"/>
        <w:ind w:firstLine="241" w:firstLineChars="100"/>
        <w:rPr>
          <w:rFonts w:ascii="宋体" w:hAnsi="宋体" w:cs="宋体"/>
          <w:szCs w:val="24"/>
        </w:rPr>
      </w:pPr>
      <w:r>
        <w:rPr>
          <w:rFonts w:hint="eastAsia" w:ascii="宋体" w:hAnsi="宋体" w:cs="宋体"/>
          <w:b/>
          <w:bCs/>
          <w:szCs w:val="24"/>
        </w:rPr>
        <w:t>27</w:t>
      </w:r>
      <w:r>
        <w:rPr>
          <w:rFonts w:hint="eastAsia" w:ascii="宋体" w:hAnsi="宋体" w:cs="宋体"/>
          <w:b/>
          <w:szCs w:val="24"/>
        </w:rPr>
        <w:t>. 电子交易活动的中止。</w:t>
      </w:r>
      <w:r>
        <w:rPr>
          <w:rFonts w:hint="eastAsia" w:ascii="宋体" w:hAnsi="宋体" w:cs="宋体"/>
          <w:szCs w:val="24"/>
        </w:rPr>
        <w:t>采购过程中出现以下情形，导致电子交易平台无法正常运行，或者无法保证电子交易的公平、公正和安全时，采购代理机构可中止电子交易活动：</w:t>
      </w:r>
    </w:p>
    <w:p>
      <w:pPr>
        <w:pStyle w:val="129"/>
        <w:snapToGrid w:val="0"/>
        <w:spacing w:before="0" w:line="240" w:lineRule="auto"/>
        <w:ind w:firstLine="480"/>
        <w:rPr>
          <w:rFonts w:ascii="宋体" w:hAnsi="宋体" w:cs="宋体"/>
          <w:szCs w:val="24"/>
        </w:rPr>
      </w:pPr>
      <w:r>
        <w:rPr>
          <w:rFonts w:hint="eastAsia" w:ascii="宋体" w:hAnsi="宋体" w:cs="宋体"/>
          <w:szCs w:val="24"/>
        </w:rPr>
        <w:t xml:space="preserve">27.1电子交易平台发生故障而无法登录访问的； </w:t>
      </w:r>
    </w:p>
    <w:p>
      <w:pPr>
        <w:pStyle w:val="129"/>
        <w:snapToGrid w:val="0"/>
        <w:spacing w:before="0" w:line="240" w:lineRule="auto"/>
        <w:ind w:firstLine="480"/>
        <w:rPr>
          <w:rFonts w:ascii="宋体" w:hAnsi="宋体" w:cs="宋体"/>
          <w:szCs w:val="24"/>
        </w:rPr>
      </w:pPr>
      <w:r>
        <w:rPr>
          <w:rFonts w:hint="eastAsia" w:ascii="宋体" w:hAnsi="宋体" w:cs="宋体"/>
          <w:szCs w:val="24"/>
        </w:rPr>
        <w:t>27.2电子交易平台应用或数据库出现错误，不能进行正常操作的；</w:t>
      </w:r>
    </w:p>
    <w:p>
      <w:pPr>
        <w:pStyle w:val="129"/>
        <w:snapToGrid w:val="0"/>
        <w:spacing w:before="0" w:line="240" w:lineRule="auto"/>
        <w:ind w:firstLine="480"/>
        <w:rPr>
          <w:rFonts w:ascii="宋体" w:hAnsi="宋体" w:cs="宋体"/>
          <w:szCs w:val="24"/>
        </w:rPr>
      </w:pPr>
      <w:r>
        <w:rPr>
          <w:rFonts w:hint="eastAsia" w:ascii="宋体" w:hAnsi="宋体" w:cs="宋体"/>
          <w:szCs w:val="24"/>
        </w:rPr>
        <w:t>27.3电子交易平台发现严重安全漏洞，有潜在泄密危险的；</w:t>
      </w:r>
    </w:p>
    <w:p>
      <w:pPr>
        <w:pStyle w:val="129"/>
        <w:snapToGrid w:val="0"/>
        <w:spacing w:before="0" w:line="240" w:lineRule="auto"/>
        <w:ind w:firstLine="480"/>
        <w:rPr>
          <w:rFonts w:ascii="宋体" w:hAnsi="宋体" w:cs="宋体"/>
          <w:szCs w:val="24"/>
        </w:rPr>
      </w:pPr>
      <w:r>
        <w:rPr>
          <w:rFonts w:hint="eastAsia" w:ascii="宋体" w:hAnsi="宋体" w:cs="宋体"/>
          <w:szCs w:val="24"/>
        </w:rPr>
        <w:t xml:space="preserve">27.4病毒发作导致不能进行正常操作的； </w:t>
      </w:r>
    </w:p>
    <w:p>
      <w:pPr>
        <w:pStyle w:val="129"/>
        <w:snapToGrid w:val="0"/>
        <w:spacing w:before="0" w:line="240" w:lineRule="auto"/>
        <w:ind w:firstLine="480"/>
        <w:rPr>
          <w:rFonts w:ascii="宋体" w:hAnsi="宋体" w:cs="宋体"/>
          <w:szCs w:val="24"/>
        </w:rPr>
      </w:pPr>
      <w:r>
        <w:rPr>
          <w:rFonts w:hint="eastAsia" w:ascii="宋体" w:hAnsi="宋体" w:cs="宋体"/>
          <w:szCs w:val="24"/>
        </w:rPr>
        <w:t>27.5其他无法保证电子交易的公平、公正和安全的情况。</w:t>
      </w:r>
    </w:p>
    <w:p>
      <w:pPr>
        <w:pStyle w:val="129"/>
        <w:snapToGrid w:val="0"/>
        <w:spacing w:before="0" w:line="240" w:lineRule="auto"/>
        <w:ind w:firstLine="240" w:firstLineChars="100"/>
        <w:rPr>
          <w:rFonts w:ascii="宋体" w:hAnsi="宋体" w:cs="宋体"/>
          <w:szCs w:val="24"/>
        </w:rPr>
      </w:pPr>
      <w:r>
        <w:rPr>
          <w:rFonts w:hint="eastAsia" w:ascii="宋体" w:hAnsi="宋体" w:cs="宋体"/>
          <w:szCs w:val="24"/>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ind w:firstLine="480"/>
        <w:rPr>
          <w:rFonts w:ascii="宋体" w:hAnsi="宋体" w:cs="宋体"/>
          <w:color w:val="auto"/>
          <w:sz w:val="24"/>
        </w:rPr>
      </w:pPr>
    </w:p>
    <w:p>
      <w:pPr>
        <w:snapToGrid w:val="0"/>
        <w:ind w:left="120" w:leftChars="57" w:firstLine="361" w:firstLineChars="150"/>
        <w:jc w:val="center"/>
        <w:rPr>
          <w:rFonts w:ascii="宋体" w:hAnsi="宋体" w:cs="宋体"/>
          <w:b/>
          <w:color w:val="auto"/>
          <w:sz w:val="24"/>
        </w:rPr>
      </w:pPr>
      <w:r>
        <w:rPr>
          <w:rFonts w:hint="eastAsia" w:ascii="宋体" w:hAnsi="宋体" w:cs="宋体"/>
          <w:b/>
          <w:color w:val="auto"/>
          <w:sz w:val="24"/>
        </w:rPr>
        <w:t>九、履约验收</w:t>
      </w:r>
    </w:p>
    <w:bookmarkEnd w:id="12"/>
    <w:bookmarkEnd w:id="13"/>
    <w:bookmarkEnd w:id="15"/>
    <w:p>
      <w:pPr>
        <w:pStyle w:val="25"/>
        <w:spacing w:line="240" w:lineRule="auto"/>
        <w:ind w:firstLine="241" w:firstLineChars="100"/>
        <w:rPr>
          <w:rFonts w:cs="宋体"/>
          <w:b/>
        </w:rPr>
      </w:pPr>
      <w:bookmarkStart w:id="16" w:name="第四部分"/>
      <w:r>
        <w:rPr>
          <w:rFonts w:hint="eastAsia" w:cs="宋体"/>
          <w:b/>
        </w:rPr>
        <w:t>29.验收</w:t>
      </w:r>
    </w:p>
    <w:p>
      <w:pPr>
        <w:tabs>
          <w:tab w:val="left" w:pos="0"/>
        </w:tabs>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ind w:firstLine="480" w:firstLineChars="200"/>
        <w:rPr>
          <w:rFonts w:ascii="宋体" w:hAnsi="宋体" w:cs="宋体"/>
          <w:color w:val="auto"/>
          <w:sz w:val="24"/>
        </w:rPr>
      </w:pPr>
      <w:r>
        <w:rPr>
          <w:rFonts w:hint="eastAsia" w:ascii="宋体" w:hAnsi="宋体" w:cs="宋体"/>
          <w:color w:val="auto"/>
          <w:kern w:val="0"/>
          <w:sz w:val="24"/>
        </w:rPr>
        <w:t>29.</w:t>
      </w:r>
      <w:r>
        <w:rPr>
          <w:rFonts w:hint="eastAsia" w:ascii="宋体" w:hAnsi="宋体" w:cs="宋体"/>
          <w:color w:val="auto"/>
          <w:sz w:val="24"/>
        </w:rPr>
        <w:t>4 采购人原则上应当在履约验收之日起2个工作日内，将履约验收结果在浙江政府采购网上公告。</w:t>
      </w:r>
    </w:p>
    <w:p>
      <w:pPr>
        <w:tabs>
          <w:tab w:val="left" w:pos="0"/>
        </w:tabs>
        <w:ind w:firstLine="480"/>
        <w:rPr>
          <w:rFonts w:ascii="宋体" w:hAnsi="宋体" w:cs="宋体"/>
          <w:kern w:val="0"/>
          <w:sz w:val="24"/>
        </w:rPr>
      </w:pPr>
      <w:r>
        <w:rPr>
          <w:rFonts w:hint="eastAsia" w:ascii="宋体" w:hAnsi="宋体" w:cs="宋体"/>
          <w:color w:val="auto"/>
          <w:kern w:val="0"/>
          <w:sz w:val="24"/>
        </w:rPr>
        <w:t>29.5 验收合格的项目，采购人将根据采购合同的约定及时向供应商支付采购资金、退还履约保证金。验收不</w:t>
      </w:r>
      <w:r>
        <w:rPr>
          <w:rFonts w:hint="eastAsia" w:ascii="宋体" w:hAnsi="宋体" w:cs="宋体"/>
          <w:kern w:val="0"/>
          <w:sz w:val="24"/>
        </w:rPr>
        <w:t>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Start w:id="17" w:name="_Hlt68403820"/>
      <w:bookmarkEnd w:id="17"/>
      <w:bookmarkStart w:id="18" w:name="_Hlt68057669"/>
      <w:bookmarkEnd w:id="18"/>
      <w:bookmarkStart w:id="19" w:name="_Hlt74714665"/>
      <w:bookmarkEnd w:id="19"/>
      <w:bookmarkStart w:id="20" w:name="_Hlt75236101"/>
      <w:bookmarkEnd w:id="20"/>
      <w:bookmarkStart w:id="21" w:name="_Hlt75236290"/>
      <w:bookmarkEnd w:id="21"/>
      <w:bookmarkStart w:id="22" w:name="_Hlt75236011"/>
      <w:bookmarkEnd w:id="22"/>
      <w:bookmarkStart w:id="23" w:name="_Hlt74730295"/>
      <w:bookmarkEnd w:id="23"/>
      <w:bookmarkStart w:id="24" w:name="_Hlt74707468"/>
      <w:bookmarkEnd w:id="24"/>
      <w:bookmarkStart w:id="25" w:name="_Hlt68072990"/>
      <w:bookmarkEnd w:id="25"/>
      <w:bookmarkStart w:id="26" w:name="_Hlt74729768"/>
      <w:bookmarkEnd w:id="26"/>
      <w:bookmarkStart w:id="27" w:name="_Hlt68072998"/>
      <w:bookmarkEnd w:id="27"/>
      <w:bookmarkStart w:id="28" w:name="_Hlt68073093"/>
      <w:bookmarkEnd w:id="28"/>
    </w:p>
    <w:p>
      <w:pPr>
        <w:rPr>
          <w:rFonts w:ascii="宋体" w:hAnsi="宋体" w:cs="宋体"/>
          <w:kern w:val="0"/>
          <w:sz w:val="24"/>
        </w:rPr>
      </w:pPr>
      <w:r>
        <w:rPr>
          <w:rFonts w:hint="eastAsia" w:ascii="宋体" w:hAnsi="宋体" w:cs="宋体"/>
          <w:kern w:val="0"/>
          <w:sz w:val="24"/>
        </w:rPr>
        <w:br w:type="page"/>
      </w:r>
    </w:p>
    <w:p>
      <w:pPr>
        <w:tabs>
          <w:tab w:val="left" w:pos="0"/>
        </w:tabs>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992" w:gutter="0"/>
          <w:cols w:space="0" w:num="1"/>
          <w:docGrid w:linePitch="312" w:charSpace="0"/>
        </w:sectPr>
      </w:pPr>
    </w:p>
    <w:p>
      <w:pPr>
        <w:jc w:val="center"/>
        <w:outlineLvl w:val="0"/>
        <w:rPr>
          <w:rFonts w:ascii="宋体" w:hAnsi="宋体" w:cs="宋体"/>
          <w:b/>
          <w:sz w:val="32"/>
          <w:szCs w:val="32"/>
        </w:rPr>
      </w:pPr>
      <w:r>
        <w:rPr>
          <w:rFonts w:hint="eastAsia" w:ascii="宋体" w:hAnsi="宋体" w:cs="宋体"/>
          <w:b/>
          <w:sz w:val="32"/>
          <w:szCs w:val="32"/>
        </w:rPr>
        <w:t>第三部分   采购需求</w:t>
      </w:r>
    </w:p>
    <w:p>
      <w:pPr>
        <w:rPr>
          <w:rFonts w:ascii="宋体" w:hAnsi="宋体" w:cs="宋体"/>
          <w:b/>
          <w:sz w:val="24"/>
        </w:rPr>
      </w:pPr>
      <w:r>
        <w:rPr>
          <w:rFonts w:hint="eastAsia" w:ascii="宋体" w:hAnsi="宋体" w:cs="宋体"/>
          <w:b/>
          <w:sz w:val="24"/>
        </w:rPr>
        <w:t>一、采购清单</w:t>
      </w:r>
    </w:p>
    <w:tbl>
      <w:tblPr>
        <w:tblStyle w:val="62"/>
        <w:tblW w:w="13979"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7537"/>
        <w:gridCol w:w="1905"/>
        <w:gridCol w:w="229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02" w:type="dxa"/>
            <w:shd w:val="clear" w:color="auto" w:fill="BEBEBE"/>
            <w:vAlign w:val="center"/>
          </w:tcPr>
          <w:p>
            <w:pPr>
              <w:jc w:val="center"/>
              <w:rPr>
                <w:rFonts w:ascii="宋体" w:hAnsi="宋体" w:cs="宋体"/>
                <w:b/>
                <w:sz w:val="24"/>
              </w:rPr>
            </w:pPr>
            <w:r>
              <w:rPr>
                <w:rFonts w:hint="eastAsia" w:ascii="宋体" w:hAnsi="宋体" w:cs="宋体"/>
                <w:b/>
                <w:sz w:val="24"/>
              </w:rPr>
              <w:t>序号</w:t>
            </w:r>
          </w:p>
        </w:tc>
        <w:tc>
          <w:tcPr>
            <w:tcW w:w="7537" w:type="dxa"/>
            <w:shd w:val="clear" w:color="auto" w:fill="BEBEBE"/>
            <w:vAlign w:val="center"/>
          </w:tcPr>
          <w:p>
            <w:pPr>
              <w:jc w:val="center"/>
              <w:rPr>
                <w:rFonts w:ascii="宋体" w:hAnsi="宋体" w:cs="宋体"/>
                <w:b/>
                <w:sz w:val="24"/>
              </w:rPr>
            </w:pPr>
            <w:r>
              <w:rPr>
                <w:rFonts w:hint="eastAsia" w:ascii="宋体" w:hAnsi="宋体" w:cs="宋体"/>
                <w:b/>
                <w:sz w:val="24"/>
              </w:rPr>
              <w:t>项目名称</w:t>
            </w:r>
          </w:p>
        </w:tc>
        <w:tc>
          <w:tcPr>
            <w:tcW w:w="1905" w:type="dxa"/>
            <w:shd w:val="clear" w:color="auto" w:fill="BEBEBE"/>
            <w:vAlign w:val="center"/>
          </w:tcPr>
          <w:p>
            <w:pPr>
              <w:jc w:val="center"/>
              <w:rPr>
                <w:rFonts w:ascii="宋体" w:hAnsi="宋体" w:cs="宋体"/>
                <w:b/>
                <w:sz w:val="24"/>
              </w:rPr>
            </w:pPr>
            <w:r>
              <w:rPr>
                <w:rFonts w:hint="eastAsia" w:ascii="宋体" w:hAnsi="宋体" w:cs="宋体"/>
                <w:b/>
                <w:sz w:val="24"/>
              </w:rPr>
              <w:t>数量</w:t>
            </w:r>
          </w:p>
        </w:tc>
        <w:tc>
          <w:tcPr>
            <w:tcW w:w="2295" w:type="dxa"/>
            <w:shd w:val="clear" w:color="auto" w:fill="BEBEBE"/>
            <w:vAlign w:val="center"/>
          </w:tcPr>
          <w:p>
            <w:pPr>
              <w:jc w:val="center"/>
              <w:rPr>
                <w:rFonts w:ascii="宋体" w:hAnsi="宋体" w:cs="宋体"/>
                <w:b/>
                <w:sz w:val="24"/>
              </w:rPr>
            </w:pPr>
            <w:r>
              <w:rPr>
                <w:rFonts w:hint="eastAsia" w:ascii="宋体" w:hAnsi="宋体" w:cs="宋体"/>
                <w:b/>
                <w:sz w:val="24"/>
              </w:rPr>
              <w:t>预算金额</w:t>
            </w:r>
          </w:p>
        </w:tc>
        <w:tc>
          <w:tcPr>
            <w:tcW w:w="1440" w:type="dxa"/>
            <w:shd w:val="clear" w:color="auto" w:fill="BEBEBE"/>
            <w:vAlign w:val="center"/>
          </w:tcPr>
          <w:p>
            <w:pPr>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02" w:type="dxa"/>
            <w:vAlign w:val="center"/>
          </w:tcPr>
          <w:p>
            <w:pPr>
              <w:jc w:val="center"/>
              <w:rPr>
                <w:rFonts w:ascii="宋体" w:hAnsi="宋体" w:cs="宋体"/>
                <w:bCs/>
                <w:sz w:val="24"/>
                <w:shd w:val="clear" w:color="auto" w:fill="FFFFFF"/>
              </w:rPr>
            </w:pPr>
            <w:r>
              <w:rPr>
                <w:rFonts w:hint="eastAsia" w:ascii="宋体" w:hAnsi="宋体" w:cs="宋体"/>
                <w:bCs/>
                <w:sz w:val="24"/>
                <w:shd w:val="clear" w:color="auto" w:fill="FFFFFF"/>
              </w:rPr>
              <w:t>1</w:t>
            </w:r>
          </w:p>
        </w:tc>
        <w:tc>
          <w:tcPr>
            <w:tcW w:w="7537" w:type="dxa"/>
            <w:vAlign w:val="center"/>
          </w:tcPr>
          <w:p>
            <w:pPr>
              <w:jc w:val="center"/>
              <w:rPr>
                <w:rFonts w:hint="eastAsia" w:ascii="宋体" w:hAnsi="宋体" w:eastAsia="宋体" w:cs="宋体"/>
                <w:bCs/>
                <w:sz w:val="24"/>
                <w:shd w:val="clear" w:color="auto" w:fill="FFFFFF"/>
                <w:lang w:eastAsia="zh-CN"/>
              </w:rPr>
            </w:pPr>
            <w:r>
              <w:rPr>
                <w:rFonts w:hint="eastAsia" w:ascii="宋体" w:hAnsi="宋体" w:cs="宋体"/>
                <w:color w:val="00B0F0"/>
                <w:sz w:val="24"/>
                <w:lang w:eastAsia="zh-CN"/>
              </w:rPr>
              <w:t>武义县桃溪中学实验室建设项目</w:t>
            </w:r>
          </w:p>
        </w:tc>
        <w:tc>
          <w:tcPr>
            <w:tcW w:w="1905" w:type="dxa"/>
            <w:vAlign w:val="center"/>
          </w:tcPr>
          <w:p>
            <w:pPr>
              <w:jc w:val="center"/>
              <w:rPr>
                <w:rFonts w:ascii="宋体" w:hAnsi="宋体" w:cs="宋体"/>
                <w:bCs/>
                <w:sz w:val="24"/>
                <w:shd w:val="clear" w:color="auto" w:fill="FFFFFF"/>
              </w:rPr>
            </w:pPr>
            <w:r>
              <w:rPr>
                <w:rFonts w:hint="eastAsia" w:ascii="宋体" w:hAnsi="宋体" w:cs="宋体"/>
                <w:bCs/>
                <w:color w:val="00B0F0"/>
                <w:sz w:val="24"/>
                <w:shd w:val="clear" w:color="auto" w:fill="FFFFFF"/>
              </w:rPr>
              <w:t>1批</w:t>
            </w:r>
          </w:p>
        </w:tc>
        <w:tc>
          <w:tcPr>
            <w:tcW w:w="2295" w:type="dxa"/>
            <w:vAlign w:val="center"/>
          </w:tcPr>
          <w:p>
            <w:pPr>
              <w:jc w:val="center"/>
              <w:rPr>
                <w:rFonts w:ascii="宋体" w:hAnsi="宋体" w:cs="宋体"/>
                <w:bCs/>
                <w:sz w:val="24"/>
                <w:shd w:val="clear" w:color="auto" w:fill="FFFFFF"/>
              </w:rPr>
            </w:pPr>
            <w:r>
              <w:rPr>
                <w:rFonts w:hint="eastAsia" w:ascii="宋体" w:hAnsi="宋体" w:cs="宋体"/>
                <w:bCs/>
                <w:color w:val="00B0F0"/>
                <w:sz w:val="24"/>
                <w:shd w:val="clear" w:color="auto" w:fill="FFFFFF"/>
                <w:lang w:val="en-US" w:eastAsia="zh-CN"/>
              </w:rPr>
              <w:t>50</w:t>
            </w:r>
            <w:r>
              <w:rPr>
                <w:rFonts w:hint="eastAsia" w:ascii="宋体" w:hAnsi="宋体" w:cs="宋体"/>
                <w:bCs/>
                <w:color w:val="00B0F0"/>
                <w:sz w:val="24"/>
                <w:shd w:val="clear" w:color="auto" w:fill="FFFFFF"/>
              </w:rPr>
              <w:t>万元</w:t>
            </w:r>
          </w:p>
        </w:tc>
        <w:tc>
          <w:tcPr>
            <w:tcW w:w="1440" w:type="dxa"/>
            <w:vAlign w:val="center"/>
          </w:tcPr>
          <w:p>
            <w:pPr>
              <w:jc w:val="center"/>
              <w:rPr>
                <w:rFonts w:ascii="宋体" w:hAnsi="宋体" w:cs="宋体"/>
                <w:sz w:val="24"/>
              </w:rPr>
            </w:pPr>
          </w:p>
        </w:tc>
      </w:tr>
    </w:tbl>
    <w:p>
      <w:pPr>
        <w:snapToGrid w:val="0"/>
        <w:jc w:val="left"/>
        <w:rPr>
          <w:rFonts w:ascii="宋体" w:hAnsi="宋体" w:cs="宋体"/>
          <w:bCs/>
          <w:sz w:val="24"/>
        </w:rPr>
      </w:pPr>
    </w:p>
    <w:p>
      <w:pPr>
        <w:rPr>
          <w:rFonts w:ascii="宋体" w:hAnsi="宋体" w:cs="宋体"/>
          <w:b/>
          <w:sz w:val="24"/>
        </w:rPr>
      </w:pPr>
      <w:r>
        <w:rPr>
          <w:rFonts w:hint="eastAsia" w:ascii="宋体" w:hAnsi="宋体" w:cs="宋体"/>
          <w:b/>
          <w:sz w:val="24"/>
        </w:rPr>
        <w:t>二</w:t>
      </w:r>
      <w:r>
        <w:rPr>
          <w:rFonts w:ascii="宋体" w:hAnsi="宋体" w:cs="宋体"/>
          <w:b/>
          <w:sz w:val="24"/>
        </w:rPr>
        <w:t>、技术标准</w:t>
      </w:r>
    </w:p>
    <w:p>
      <w:pPr>
        <w:rPr>
          <w:rFonts w:ascii="宋体" w:hAnsi="宋体" w:eastAsia="宋体" w:cs="宋体"/>
          <w:b/>
          <w:sz w:val="24"/>
        </w:rPr>
      </w:pPr>
      <w:r>
        <w:rPr>
          <w:rFonts w:hint="eastAsia" w:ascii="宋体" w:hAnsi="宋体" w:eastAsia="宋体" w:cs="宋体"/>
          <w:b/>
          <w:sz w:val="24"/>
        </w:rPr>
        <w:t>1.化</w:t>
      </w:r>
      <w:r>
        <w:rPr>
          <w:rFonts w:ascii="宋体" w:hAnsi="宋体" w:eastAsia="宋体" w:cs="宋体"/>
          <w:b/>
          <w:sz w:val="24"/>
        </w:rPr>
        <w:t>学实验室</w:t>
      </w:r>
    </w:p>
    <w:tbl>
      <w:tblPr>
        <w:tblStyle w:val="62"/>
        <w:tblW w:w="138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2"/>
        <w:gridCol w:w="1023"/>
        <w:gridCol w:w="10851"/>
        <w:gridCol w:w="709"/>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教师演示台</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规格尺寸：2800*700*850㎜；</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台面材质：采用12mm实心理化板，四周贴边加厚至25mm，台面前端人性化设计，按人体工程学，安全无棱角，呈半圆倒鸭嘴形状，圆润下滑，曲面优美，无棱角工艺，使做实验学生碰到无疼感。</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3、台面下部增设承重钢架，采用40*60*1.2mm方形钢管，起到稳固台面，加强</w:t>
            </w:r>
            <w:r>
              <w:rPr>
                <w:rFonts w:hint="eastAsia" w:ascii="宋体" w:hAnsi="宋体" w:cs="宋体"/>
                <w:i w:val="0"/>
                <w:iCs w:val="0"/>
                <w:color w:val="000000"/>
                <w:kern w:val="0"/>
                <w:sz w:val="20"/>
                <w:szCs w:val="20"/>
                <w:u w:val="none"/>
                <w:lang w:val="en-US" w:eastAsia="zh-CN" w:bidi="ar"/>
              </w:rPr>
              <w:t>承</w:t>
            </w:r>
            <w:r>
              <w:rPr>
                <w:rFonts w:hint="eastAsia" w:ascii="宋体" w:hAnsi="宋体" w:eastAsia="宋体" w:cs="宋体"/>
                <w:i w:val="0"/>
                <w:iCs w:val="0"/>
                <w:color w:val="000000"/>
                <w:kern w:val="0"/>
                <w:sz w:val="20"/>
                <w:szCs w:val="20"/>
                <w:u w:val="none"/>
                <w:lang w:val="en-US" w:eastAsia="zh-CN" w:bidi="ar"/>
              </w:rPr>
              <w:t>重能力的作用。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柜身中部框架采用40*60*1.2mm方形钢管，配1.2mm厚优质冷轧钢板中间吊板，表面环氧树脂塑粉静电喷涂，采用高温固化处理，表面光滑无颗粒，经久耐用，碰撞不脱落。中间设两个抽屉，其中一个用来存放教师电源主控台。</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5、左右柜体钢塑结构且做工一致，柜体外侧边塑料外框，采用安全设计，边角圆弧设计 ，防止撞伤、剐蹭，柜体前后采用pp工程塑料一次性注塑成型，侧边配1.2mm厚优质冷轧钢板，柜门采用pp工程塑料一次成型，塑料铰链设计，开关角度270度且静音，设有长条把手，设有关门紧固设施，防止门关不紧，门内镶嵌数控折弯成型1mm冷轧钢板。</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6、箱体内衬数控成型支撑钢架，配以专用连接件连接，整体精钢配件与注塑件相组合，牢固耐用，拆装方便。</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7、配套水槽台，三联水嘴。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4"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学生实验桌</w:t>
            </w:r>
          </w:p>
        </w:tc>
        <w:tc>
          <w:tcPr>
            <w:tcW w:w="10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规格≧1200*600*780</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台面桌面：采用12mm实心理化板，台面前端人性化设计，按人体工程学，安全无棱角，呈半圆倒鸭嘴形状，圆润下滑，曲面优美，无棱角工艺，使做实验学生碰到无疼感。为了确保使用者的健康安全，产品需通过国家建筑材料测试中心或国家化学建筑材料测试中心、国家化学建材质量监督检验中心及SGS等知名检测机构检测，各项性能满足或优于如下要求：A、通过硫酸（98%）、硝酸（65%）、氢氧化钠（40%）、四氯化碳、松节油、乙腈、正丙醇、乙酸甲酯、间二甲苯等不少于126项酸、碱及其它化学试剂的检验结果为无明显变化。B、参照GB18585-2001或GB18586-2001等国家标准，经国家化学建筑材料测试中心检测，重金属铅、镉等未检出。依据GB6566-2010方法进行放射性测试，内、外照射检测值均≤0.1。C、参照GB 18580-2017检测，甲醛释放量≤0.024mg/M3，满足E1级≤0.124mg/M3技术限量要求。D、通过国家化学建筑材料测试中心等机构检测依据GB/T17657-2013等标准及方法检验进行不少于19项物理性能检测，检测结果为： 含水率：≤1.0；表面耐冷热循环性能（80℃）：无裂纹、鼓泡、变色、起皱；漆膜硬度≥8H；漆膜附着力：切割边缘完全平滑，无脱落；表面耐干热性能、表面耐湿热性能、表面耐香烟灼烧性能、耐沸水性能等均为5级无变化；吸水率≤0.1%；表面耐磨性能检验结果不低于568r；耐高温性：表面无裂痕；弯曲强度≥120MPa，抗冲击性能：压痕直径6.0MM表面无破损、耐光色牢度≥4级；表面耐磨性能（磨耗值）≤46mg/100r；表面耐龟裂性：5级，用6倍放大镜观察表面无裂纹、尺寸稳定性横向、纵向均不大于0.55%、密度达到1.4g/cm3以上。E、用ATLAS氙灯老化试验机根据GB/T16422.2-2014标准进行580小时以上氙灯耐候测试，结果为5级，无明显变化。F、参照GB/T 2408-2021《塑料燃烧性能的测定 水平法和垂直法》和依据GB 8624-2012《建筑材料及制品燃烧性能分级》作为检测和判定依据进行检测，结果达B1级，烟气毒性项目符合t1级要求；水平燃烧符合HB级，垂直燃烧符合V-0级。G、具有不少于180项以上高关注度物质（SVHC）检验报告；H、依据HJ571-2010（环境标志产品技术要求 人造板及其制品）检测，总挥发性有机化合物TVOC（72h）释放量为≤0.02mg/m2*h。I、防霉性能：依据GB/T24128-2018或JC/T 2039-2010等方法检测黑曲霉、土曲霉、球毛壳霉、宛氏拟青霉、绳状青霉、出芽短梗霉、长枝木霉等不少于7种的霉菌检测结果≤1级。J、抗菌性能：依据ISO 22196:2011或JC/T 2039-2010等方法检测大肠杆菌、金黄色葡萄球菌、肺炎克雷伯氏菌、鼠伤寒沙门氏菌、表皮葡萄球菌、铜绿假单胞菌、宋氏志贺氏菌、白色葡萄球菌、粪肠球菌；枯草芽孢杆菌、变异库克菌、甲型溶血性链球菌、白色念珠菌、肠沙门氏菌肠亚种等不少于14种菌抗菌率≥99.9%。</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★（投标人应针对以上台面技术参数要求，提供符合参数的检测报告复印件加盖公章）。</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桌身结构：铝合金框架结构，左右桌脚采用Z字形结构设计，左右桌脚之间通过前、中、后、以及桌身中部4条铝合金横梁由M8内六角不锈钢螺丝连接，起到稳固桌子的作用。Z字形结构保证前后重心稳固，有效防止桌身倾倒。</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桌身材质及配件：</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3、前横梁：采用40*38mm壁厚1.5mm的优质铝型材材料一次性成型，内设1.5mm厚十字加强筋保证牢固度，材料表面经过防腐氧化处理和纯环氧树脂塑粉高温固化处理，具有较强的耐蚀性及承重性。</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4、中横梁：采用20*20mm壁厚1.2mm的优质铝型材材料一次性成型，材料表面经过防腐氧化处理和纯环氧树脂塑粉高温固化处理，具有较强的耐蚀性及承重性。</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5、后横梁：采用100*38mm壁厚1.5mm的优质铝型材材料一次性成型，内设1.5mm厚十字加强筋保证牢固度，材料表面经过防腐氧化处理和纯环氧树脂塑粉高温固化处理，具有较强的耐蚀性及承重性。</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桌身中部结构横梁：采用100*20mm壁厚1.2mm的优质铝型材材料一次性成型，拉力弧形结构设计，横截面8字形结构，内设1.2mm厚加强筋，保证牢固度，材料表面经过防腐氧化处理和纯环氧树脂塑粉高温固化处理，具有较强的耐蚀性及承重性。</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7、左右Z字形桌脚：由立柱、上下支脚、脚垫四部分组成。</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8、立柱：采用100x40mm壁厚2mm的优质铝材材料，内设2根2mm的加强筋，材料表面经过防腐氧化处理和纯环氧树脂塑粉高温固化处理，具有较强的耐蚀性。</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9、上支脚：采用580*46mm壁厚3.5mm厚优质铝型材材料一次性成型，压铸脚形状独特，造型美观，牢固耐用。</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下支脚：采用530*60mm壁厚3.5mm厚优质铝型材材料一次性成型，拱桥型设计，地面接触处设弧形，受力稳固防倾倒，底脚下方增设防摩擦垫，地脚前侧上方增设ABS耐踩踏塑料盖，防止学生踩踏而导致桌脚表面喷漆掉落。</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11、地脚脚垫：采用PA材料，注塑模一次性成型，可调节，保证桌子平稳。</w:t>
            </w:r>
          </w:p>
          <w:p>
            <w:pPr>
              <w:keepNext w:val="0"/>
              <w:keepLines w:val="0"/>
              <w:widowControl/>
              <w:suppressLineNumbers w:val="0"/>
              <w:spacing w:after="200" w:afterAutospacing="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12、抽屉：规格430*250*170mm，采用ABS塑料一次性注塑成型，内设7条结构加强条，保证抽屉强度，抽屉前侧U型卡扣设计，可</w:t>
            </w:r>
            <w:r>
              <w:rPr>
                <w:rFonts w:hint="eastAsia" w:ascii="宋体" w:hAnsi="宋体" w:cs="宋体"/>
                <w:i w:val="0"/>
                <w:iCs w:val="0"/>
                <w:color w:val="000000"/>
                <w:kern w:val="0"/>
                <w:sz w:val="20"/>
                <w:szCs w:val="20"/>
                <w:u w:val="none"/>
                <w:lang w:val="en-US" w:eastAsia="zh-CN" w:bidi="ar"/>
              </w:rPr>
              <w:t>放置</w:t>
            </w:r>
            <w:r>
              <w:rPr>
                <w:rFonts w:hint="eastAsia" w:ascii="宋体" w:hAnsi="宋体" w:eastAsia="宋体" w:cs="宋体"/>
                <w:i w:val="0"/>
                <w:iCs w:val="0"/>
                <w:color w:val="000000"/>
                <w:kern w:val="0"/>
                <w:sz w:val="20"/>
                <w:szCs w:val="20"/>
                <w:u w:val="none"/>
                <w:lang w:val="en-US" w:eastAsia="zh-CN" w:bidi="ar"/>
              </w:rPr>
              <w:t>实验圆凳，方便整理打扫。</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7"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电源总控台</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配备总漏电保护和分组保护，可分组控制学生的电源，确保学生实验安全方便 1、装置在组合柜内，内装有教师演示电源及主控电源装置，教师能对实验室进行总体及分组控制：电源带总开关、漏电保护开关、工作指示灯、220V交流输出多用豪华插座；电源必须符合教育部JY/J0374-2004标准。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功能柱</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规格≧：350*220*760mm，采用ABS塑料一体注塑成型，两段式结构，四周圆弧形设计防碰撞，置于桌面下方后侧，用于放置实验桌电线及通风管道。底部设固定底座，底座内部设通风管道连接口。</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学生电源实验板</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翻斗式电源，闭合设计，防溅水，内设220V插座，开启和闭合出有固定块，保证使用时的角度。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7"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学生实验凳</w:t>
            </w:r>
          </w:p>
        </w:tc>
        <w:tc>
          <w:tcPr>
            <w:tcW w:w="10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Φ300*450mm。4个凳脚采用15×30×1.5mm 椭圆钢管模具一次成型。满焊接完成，结构牢固，经高温粉体烤漆处理，长时间使用也不会产生表面烤漆剥落现象 固定式凳面直径不小于300mm ，凳面采用聚丙烯共聚级注塑,厚6mm。表面细纹咬花，防滑不发光 。凳面底部镶嵌4枚铜质螺纹，采用不锈钢螺丝与圆型托盘固定。脚垫采用PP加耐磨纤维质塑料，实心倒勾式一体射出成型。</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多功能水槽台</w:t>
            </w:r>
          </w:p>
        </w:tc>
        <w:tc>
          <w:tcPr>
            <w:tcW w:w="10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规格尺寸≧左右500*前后600*高度830㎜。</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水槽内部尺寸：400mm*300mm*220mm。</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 水槽台面：采用PP工程塑料一次性注塑成型结合，黑色，水槽面部下沉式构造，使废水无法沿着桌面侵蚀柜体，后挡水边采用注塑一体化成型，带内部安装固件，前后边所有梯形片材与柜体连接，台盆面设安装水龙头与紧急洗眼器的安装孔，水槽前端设有凹形设计，方便操作者使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 水槽具有防止溢水功能，水槽内部设有一个水满到一定位置的时候，把水排到PP下水器进行排出，防止废水外溢。</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 废水防臭器：构建组合成型的防臭防倒流装置，注塑模具一次性成型组合件，防止废气与废水倒灌。</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 PP注塑成型自由转弯软管：采用PP材料注塑已形成形，吸塑PP软管节节可伸缩功能，规格1000任意伸缩长度，直径50mm。</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 水槽柜底盖：PP材质，注塑模具一次成型，防锈、耐酸碱、防水、防潮、底部设有可调整高度的螺旋脚。</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 柜门：PP材质，注塑一次性成型，无铰链设计，静音，270度打开，前后门工艺一致，永不生锈。</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 门框及箱体：前后门框均采用PP工程塑料一次性注塑成型，箱体内衬宝钢数控型材支撑架，配以专用连接件进行组装连接.箱体为精钢配件与注塑组合件联合。</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FF"/>
                <w:kern w:val="0"/>
                <w:sz w:val="20"/>
                <w:szCs w:val="20"/>
                <w:u w:val="none"/>
                <w:lang w:val="en-US" w:eastAsia="zh-CN" w:bidi="ar"/>
              </w:rPr>
              <w:t>★投标人需提供下水装置密封性能检测报告。</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4"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三联水嘴</w:t>
            </w:r>
          </w:p>
        </w:tc>
        <w:tc>
          <w:tcPr>
            <w:tcW w:w="10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三口专用实验龙头：全铜质结构，铜管无痕迹弯制成型，陶瓷阀芯，鹅颈造型，节出水口。</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 采用实验室专用三联水嘴90度瓷质阀芯，出水嘴为铜质尖嘴，可拆卸，内有螺纹，可方便连接循环等特殊用水，水管管体部分为黄铜合金制品，铜质表面经过烤漆喷涂处理，增强耐酸碱防腐蚀以及防锈性能，可360度旋转。</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台式洗眼器</w:t>
            </w:r>
          </w:p>
        </w:tc>
        <w:tc>
          <w:tcPr>
            <w:tcW w:w="10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1.主体采用加厚铜材。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2.洗眼喷头采用加厚铜质环氧树脂涂层外加软性橡胶,出水经缓压处理呈泡沫状水柱,防止冲伤眼睛。</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3.莲蓬头护罩：Φ70橡胶质护杯，以避免紧急使用时瞬间接触眼部造成碰撞二次伤害。</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4.防尘盖: PP材质, 平常可防尘，使用时可随时被水冲开，并降低突然时短暂的高水压，防止冲伤眼睛，防尘盖有连接于护罩可防尘脱落，使用时自动被水冲开。</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5.水流锁定开关:水流开启,水流锁定功能一次完成,方便使用。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6.控水阀:止逆阀,其阀门可自动关闭。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7.前置过滤器：配有小型前置过滤器主要的去除管道所产生的沉淀杂质和细菌、微生物残骸、铁锈、沙泥等大于5微米以上的颗粒杂质，避免眼睛及人体肌肤受到伤害。</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8.供水软管:长度1.5米,软性PVC管外覆不锈钢网,外层包裹PE管,有效防止生锈、渗漏。</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电气布线（地面以上部分）</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DN25mm阻燃线管；2.5平方国标线材，符合国家标准。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4"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给、排水系统（地面以上部分）</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828675</wp:posOffset>
                  </wp:positionH>
                  <wp:positionV relativeFrom="paragraph">
                    <wp:posOffset>57150</wp:posOffset>
                  </wp:positionV>
                  <wp:extent cx="600710" cy="1466850"/>
                  <wp:effectExtent l="0" t="0" r="0" b="0"/>
                  <wp:wrapNone/>
                  <wp:docPr id="25" name="图片_64"/>
                  <wp:cNvGraphicFramePr/>
                  <a:graphic xmlns:a="http://schemas.openxmlformats.org/drawingml/2006/main">
                    <a:graphicData uri="http://schemas.openxmlformats.org/drawingml/2006/picture">
                      <pic:pic xmlns:pic="http://schemas.openxmlformats.org/drawingml/2006/picture">
                        <pic:nvPicPr>
                          <pic:cNvPr id="25" name="图片_64"/>
                          <pic:cNvPicPr/>
                        </pic:nvPicPr>
                        <pic:blipFill>
                          <a:blip r:embed="rId26"/>
                          <a:stretch>
                            <a:fillRect/>
                          </a:stretch>
                        </pic:blipFill>
                        <pic:spPr>
                          <a:xfrm>
                            <a:off x="0" y="0"/>
                            <a:ext cx="600710" cy="146685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828675</wp:posOffset>
                  </wp:positionH>
                  <wp:positionV relativeFrom="paragraph">
                    <wp:posOffset>57150</wp:posOffset>
                  </wp:positionV>
                  <wp:extent cx="600710" cy="1466850"/>
                  <wp:effectExtent l="0" t="0" r="0" b="0"/>
                  <wp:wrapNone/>
                  <wp:docPr id="37" name="图片_64_SpCnt_1"/>
                  <wp:cNvGraphicFramePr/>
                  <a:graphic xmlns:a="http://schemas.openxmlformats.org/drawingml/2006/main">
                    <a:graphicData uri="http://schemas.openxmlformats.org/drawingml/2006/picture">
                      <pic:pic xmlns:pic="http://schemas.openxmlformats.org/drawingml/2006/picture">
                        <pic:nvPicPr>
                          <pic:cNvPr id="37" name="图片_64_SpCnt_1"/>
                          <pic:cNvPicPr/>
                        </pic:nvPicPr>
                        <pic:blipFill>
                          <a:blip r:embed="rId26"/>
                          <a:stretch>
                            <a:fillRect/>
                          </a:stretch>
                        </pic:blipFill>
                        <pic:spPr>
                          <a:xfrm>
                            <a:off x="0" y="0"/>
                            <a:ext cx="600710" cy="146685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ф32、ф25、ф20；DN75、DN50给水：采用PPR复合管敷设。排水：使用国标优质UPVC专用排水管。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5"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地下线路改造</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开槽及恢复地面，地下给排水系统改造，地下电气线路改造。</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安装费</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实验室设备安装及调试</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设备拆除</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室内报废桌椅拆除，垃圾清运处理。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排气扇</w:t>
            </w:r>
          </w:p>
        </w:tc>
        <w:tc>
          <w:tcPr>
            <w:tcW w:w="10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规格≥600*600*300mm；风量≥8000m³/h；噪音≤60db，含排气扇线路调整，设备安装。</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2"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墙面刮腻子粉刷</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教室墙顶面乳胶漆刷新，根据学校实际要求配色。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将墙面上起皮、松动、鼓包以及灰尘、污垢、砂浆残留等进行清除，依据墙面的平整度刮腻子多遍，通风干燥腻子；</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遮挡所有门窗、家具、开关插座等一切不想粘上乳胶漆的物品，在干燥腻子打磨墙面，完成后扫掉浮灰，喷完乳胶漆后的遮挡物揭除。</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3"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学科窗帘</w:t>
            </w:r>
          </w:p>
        </w:tc>
        <w:tc>
          <w:tcPr>
            <w:tcW w:w="1085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拉珠绳卷帘，涤纶PVC防水材质的半透布或遮光布料，单面图案。精制耐用的塑料传动系统，结构紧凑、操作简便、坚固耐用、刚性强，Ф28mm铝合金卷筒。</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用窗帘的形式表现描述与学科教学内容相关或科学普及方面，选题适当，主题明确，无科学性错误，以图为主辅以文字。图片清晰美观，文字准确精炼，语句通顺易读，标点使用正确.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铝方通吊顶</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轻钢龙骨支架：1.∮8钢筋吊杆，M8螺母，A8垫圈，顶面钻孔埋入膨胀螺栓，固定 吊挂杆件，吊杆间距控制在1200mm以内；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2.主龙骨为C50轻钢龙骨，厚度0.5mm以上，及相应挂插件，间距控 制在1200mm以内；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3.边龙骨，按天花净高要求在墙四周用水泥钉固定25x25mm烤漆龙骨 ，水泥钉间距不大于300mm；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4.次龙骨，铝扣板配套三角龙骨，厚度0.6mm以上，及相应挂插件；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5.铝方通：抗油污滚涂板制成，规格40*70mm，壁厚0.5mm，间距不大于120mm。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6、现场安装，环保净味,工程量按展开面积计算。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LED灯光改造</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产品规格：1.2米*0.3米;额定电压：220V;额定功率：36W;灯具寿命:≥30000h;显色指数：≥90;灯具色温: 5000K;灯具光效：≥90lm/W;光通量：≥3200lm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精密光学配光设计，采用优质PC偏光透镜/一体式防眩挡板，有效降低黑板书写眩光/灯具照射角度与高度双自由度调节/超长寿命≥30000小时/环保无汞。</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防盗门</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规格≥1970*960mm；优质冷轧钢，粉末图层。</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化学地面处理</w:t>
            </w:r>
          </w:p>
        </w:tc>
        <w:tc>
          <w:tcPr>
            <w:tcW w:w="10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地面自流平处理，铺设厚环保PVC地胶。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一、地胶概述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同质透心地板主要成分为聚氯乙烯材料（PVC），加入填料、增塑剂、稳定剂、着色剂等辅料，是从底背到面层的花纹材质上下一体的PVC地板。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二、地胶规格</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产品为2.0mm厚度，产品形态为卷材。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1、外观质量：色泽均匀，无明显色差，无裂痕，分层等缺陷。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★2、依据GB/T24128-2018标准，抗霉菌性能试验方法，对黑曲霉、球毛壳霉、宛氏拟青霉、绳状青霉、长枝木霉在试验条件为21天时间，湿度90%RH，温度24℃下，检测结果为0级；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★3、依据GB/T21605-2008标准化学品急性吸入毒性试验，试验结果对ICR小鼠的急性吸入LC50＞2000mg/ m³。依据毒性分级，产品属于低毒级；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★4、依据GB/T11982.1-2015标准，PVC地板焊接强度≥240；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5、依据GB/T11547-2008标准，产品在40%浓度硫酸、40%浓度硝酸、37%浓度盐酸在浸渍温度23℃条件下，浸渍24小时，样品无变化。</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6、依据GB/T19889.3-2005《声学 建筑和建筑构件隔声测量》标准，产品隔声性能≥24dB；</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备注：投标时须提供获得CMA、CNAS等国家认可的检测机构出具的检测报告扫描件（</w:t>
            </w:r>
            <w:r>
              <w:rPr>
                <w:rFonts w:hint="eastAsia" w:ascii="宋体" w:hAnsi="宋体" w:cs="宋体"/>
                <w:i w:val="0"/>
                <w:iCs w:val="0"/>
                <w:color w:val="000000"/>
                <w:kern w:val="0"/>
                <w:sz w:val="20"/>
                <w:szCs w:val="20"/>
                <w:u w:val="none"/>
                <w:lang w:val="en-US" w:eastAsia="zh-CN" w:bidi="ar"/>
              </w:rPr>
              <w:t>加</w:t>
            </w:r>
            <w:r>
              <w:rPr>
                <w:rFonts w:hint="eastAsia" w:ascii="宋体" w:hAnsi="宋体" w:eastAsia="宋体" w:cs="宋体"/>
                <w:i w:val="0"/>
                <w:iCs w:val="0"/>
                <w:color w:val="000000"/>
                <w:kern w:val="0"/>
                <w:sz w:val="20"/>
                <w:szCs w:val="20"/>
                <w:u w:val="none"/>
                <w:lang w:val="en-US" w:eastAsia="zh-CN" w:bidi="ar"/>
              </w:rPr>
              <w:t>盖公章），</w:t>
            </w:r>
            <w:r>
              <w:rPr>
                <w:rFonts w:hint="eastAsia" w:ascii="宋体" w:hAnsi="宋体" w:cs="宋体"/>
                <w:i w:val="0"/>
                <w:iCs w:val="0"/>
                <w:color w:val="000000"/>
                <w:kern w:val="0"/>
                <w:sz w:val="20"/>
                <w:szCs w:val="20"/>
                <w:u w:val="none"/>
                <w:lang w:val="en-US" w:eastAsia="zh-CN" w:bidi="ar"/>
              </w:rPr>
              <w:t>中标后</w:t>
            </w:r>
            <w:r>
              <w:rPr>
                <w:rFonts w:hint="eastAsia" w:ascii="宋体" w:hAnsi="宋体" w:eastAsia="宋体" w:cs="宋体"/>
                <w:i w:val="0"/>
                <w:iCs w:val="0"/>
                <w:color w:val="000000"/>
                <w:kern w:val="0"/>
                <w:sz w:val="20"/>
                <w:szCs w:val="20"/>
                <w:u w:val="none"/>
                <w:lang w:val="en-US" w:eastAsia="zh-CN" w:bidi="ar"/>
              </w:rPr>
              <w:t xml:space="preserve">原件备查。 </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pPr>
        <w:numPr>
          <w:ilvl w:val="0"/>
          <w:numId w:val="1"/>
        </w:numPr>
        <w:rPr>
          <w:rFonts w:ascii="Times New Roman" w:hAnsi="Times New Roman" w:eastAsia="宋体" w:cs="Times New Roman"/>
          <w:b/>
          <w:sz w:val="25"/>
        </w:rPr>
      </w:pPr>
      <w:r>
        <w:rPr>
          <w:rFonts w:hint="eastAsia" w:ascii="Times New Roman" w:hAnsi="Times New Roman" w:eastAsia="宋体" w:cs="Times New Roman"/>
          <w:b/>
          <w:sz w:val="25"/>
        </w:rPr>
        <w:t>化</w:t>
      </w:r>
      <w:r>
        <w:rPr>
          <w:rFonts w:ascii="Times New Roman" w:hAnsi="Times New Roman" w:eastAsia="宋体" w:cs="Times New Roman"/>
          <w:b/>
          <w:sz w:val="25"/>
        </w:rPr>
        <w:t>学准备室</w:t>
      </w:r>
    </w:p>
    <w:tbl>
      <w:tblPr>
        <w:tblStyle w:val="62"/>
        <w:tblW w:w="135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772"/>
        <w:gridCol w:w="10527"/>
        <w:gridCol w:w="397"/>
        <w:gridCol w:w="734"/>
        <w:gridCol w:w="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835" w:type="dxa"/>
          <w:trHeight w:val="480" w:hRule="atLeast"/>
        </w:trPr>
        <w:tc>
          <w:tcPr>
            <w:tcW w:w="11715"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化学准备室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0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准备台</w:t>
            </w:r>
          </w:p>
        </w:tc>
        <w:tc>
          <w:tcPr>
            <w:tcW w:w="10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2400*1200*850，台面：台面要求：采用国内知名品牌13.0mm厚实芯双面理化膜优抗板台面，台面边缘用同质材料板双层加厚至26.0mm，由专业生产厂家用CNC机械加工而成。</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3.结构：钢木结构，主框架采用60mm*40mm(壁厚2mm)方钢组成的C型骨架，前后梁：采用2.0mm厚优质冷轧钢板；底柜托梁：采用40*25（壁厚2mm）优质方钢；整体表面喷涂纯环氧树脂塑粉高温固化处理，耐酸耐腐蚀。</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4.箱体：背板及吊板采用16mm厚E1级优质三聚氰胺刨花板，台身板材组合采用ABS子母件连接组装而成，所有板材截面均采用全自动热溶封边机以2mm厚PVC封边条热溶封边；</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5.柜门：采用16mm厚E1级优质三聚氰胺刨花板，柜门和四周2mm厚PVC封边，圆弧拉手。</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6.固定脚：采用ABS工程塑料模具成型制作而成，高度可调。</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7.带2个钢制双面岛式电源，含4个国标五孔插座。</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仪器柜</w:t>
            </w:r>
          </w:p>
        </w:tc>
        <w:tc>
          <w:tcPr>
            <w:tcW w:w="10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1000*500*2000mm，铝木结构，柜体板材16mm厚三聚氰氨板（双贴面），外露截面用PVC条封边。柜门上部为铝合金门框，5mm厚钢化玻璃对开门。下部为16mm厚三聚氰胺贴面板对开门（双贴面）。上层3块隔板，下层2块隔板，隔板间距可调，16mm厚三聚氰胺面板（双贴面），有铝合金加强条。</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★投标人提供饰面刨花板检测报告（执行标准GB 1858/4-2001，甲醛含量需达到E1级标准≤0.5mg/L）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★投标人提供铰链耐用性10万次检测报告</w:t>
            </w:r>
            <w:r>
              <w:rPr>
                <w:rFonts w:hint="eastAsia" w:ascii="宋体" w:hAnsi="宋体" w:cs="宋体"/>
                <w:i w:val="0"/>
                <w:iCs w:val="0"/>
                <w:color w:val="000000"/>
                <w:kern w:val="0"/>
                <w:sz w:val="20"/>
                <w:szCs w:val="20"/>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设备拆除</w:t>
            </w:r>
          </w:p>
        </w:tc>
        <w:tc>
          <w:tcPr>
            <w:tcW w:w="10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室内报废设备拆除，仪器整理，垃圾清运处理。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4"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易燃品储存柜</w:t>
            </w:r>
          </w:p>
        </w:tc>
        <w:tc>
          <w:tcPr>
            <w:tcW w:w="1092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外形尺寸：900×510×1840(W×D×H/mm);</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门类型：双门，手动;</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门锁：三点联动式密码门锁，双人双锁管理和控制；</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层板：3块直板式层板或阶梯式层板；</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材质：柜体由1.0MM双层优质冷轧钢板做成，具有防火防爆耐强效果；柜内嵌耐腐蚀PP板，防强腐蚀；</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涂层：柜子表面磷酸钝化处理，环氧树脂静电喷涂，防锈防腐蚀；</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颜色：黄色/灰色；</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配备：温湿度报警及自动排风功能；</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文件：带防爆检测报告及认证证书。   </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8"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2"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毒害品储存柜</w:t>
            </w:r>
          </w:p>
        </w:tc>
        <w:tc>
          <w:tcPr>
            <w:tcW w:w="1092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外形尺寸：900×510×1840(W×D×H/mm);</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门类型：双门，手动;</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门锁：三点联动式密码门锁，双人双锁管理和控制；</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层板：3块直板式层板或阶梯式层板；</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材质：柜体由1.0MM双层优质冷轧钢板做成，具有防火防爆耐强效果；柜内嵌耐腐蚀PP板，防强腐蚀；</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涂层：柜子表面磷酸钝化处理，环氧树脂静电喷涂，防锈防腐蚀；</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颜色：黄色/灰色；</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配备：温湿度报警及自动排风功能；</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文件：带防爆检测报告及认证证书。   </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危化品室隔断</w:t>
            </w:r>
          </w:p>
        </w:tc>
        <w:tc>
          <w:tcPr>
            <w:tcW w:w="10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石膏板，铝合金龙骨，防盗门</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墙面刮腻子粉刷</w:t>
            </w:r>
          </w:p>
        </w:tc>
        <w:tc>
          <w:tcPr>
            <w:tcW w:w="10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教室墙顶面乳胶漆刷新，根据学校实际要求配色。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将墙面上起皮、松动、鼓包以及灰尘、污垢、砂浆残留等进行清除，依据墙面的平整度刮腻子多遍，通风干燥腻子；</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遮挡所有门窗、家具、开关插座等一切不想粘上乳胶漆的物品，在干燥腻子打磨墙面，完成后扫掉浮灰，喷完乳胶漆后的遮挡物揭除。</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pPr>
        <w:widowControl w:val="0"/>
        <w:numPr>
          <w:ilvl w:val="0"/>
          <w:numId w:val="0"/>
        </w:numPr>
        <w:adjustRightInd w:val="0"/>
        <w:jc w:val="both"/>
        <w:rPr>
          <w:rFonts w:ascii="Times New Roman" w:hAnsi="Times New Roman" w:eastAsia="宋体" w:cs="Times New Roman"/>
          <w:b/>
          <w:sz w:val="25"/>
        </w:rPr>
      </w:pPr>
    </w:p>
    <w:p>
      <w:pPr>
        <w:rPr>
          <w:rFonts w:hint="eastAsia" w:ascii="宋体" w:hAnsi="宋体" w:eastAsia="宋体" w:cs="宋体"/>
          <w:b/>
          <w:sz w:val="24"/>
        </w:rPr>
      </w:pPr>
      <w:r>
        <w:rPr>
          <w:rFonts w:hint="eastAsia" w:ascii="宋体" w:hAnsi="宋体" w:eastAsia="宋体" w:cs="宋体"/>
          <w:b/>
          <w:sz w:val="24"/>
        </w:rPr>
        <w:br w:type="page"/>
      </w:r>
    </w:p>
    <w:p>
      <w:pPr>
        <w:widowControl/>
        <w:adjustRightInd/>
        <w:jc w:val="left"/>
        <w:rPr>
          <w:rFonts w:hint="eastAsia" w:ascii="宋体" w:hAnsi="宋体" w:eastAsia="宋体" w:cs="宋体"/>
          <w:b/>
          <w:sz w:val="24"/>
        </w:rPr>
      </w:pPr>
      <w:r>
        <w:rPr>
          <w:rFonts w:hint="eastAsia" w:ascii="宋体" w:hAnsi="宋体" w:eastAsia="宋体" w:cs="宋体"/>
          <w:b/>
          <w:sz w:val="24"/>
        </w:rPr>
        <w:t>3.生物实验室</w:t>
      </w:r>
    </w:p>
    <w:tbl>
      <w:tblPr>
        <w:tblStyle w:val="62"/>
        <w:tblW w:w="14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8"/>
        <w:gridCol w:w="1050"/>
        <w:gridCol w:w="11478"/>
        <w:gridCol w:w="685"/>
        <w:gridCol w:w="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设备名称</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w:t>
            </w:r>
            <w:r>
              <w:rPr>
                <w:rFonts w:hint="eastAsia" w:ascii="等线" w:hAnsi="等线" w:eastAsia="等线" w:cs="等线"/>
                <w:i w:val="0"/>
                <w:iCs w:val="0"/>
                <w:color w:val="000000"/>
                <w:kern w:val="0"/>
                <w:sz w:val="20"/>
                <w:szCs w:val="20"/>
                <w:u w:val="none"/>
                <w:lang w:val="en-US" w:eastAsia="zh-CN" w:bidi="ar"/>
              </w:rPr>
              <w:t>参数</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数量</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教师演示台</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规格尺寸：2800*700*850㎜；</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台面材质：采用12mm实心理化板，四周贴边加厚至25mm，台面前端人性化设计，按人体工程学，安全无棱角，呈半圆倒鸭嘴形状，圆润下滑，曲面优美，无棱角工艺，使做实验验学生碰到无疼感。</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3、台面下部增设承重钢架，采用40*60*1.2mm方形钢管，起到稳固台面，加强称重能力的作用。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柜身中部框架采用40*60*1.2mm方形钢管，配1.2mm厚优质冷轧钢板中间吊板，表面环氧树脂塑粉静电喷涂，采用高温固化处理，表面光滑无颗粒，经久耐用，碰撞不脱落。中间设两个抽屉，其中一个用来存放教师电源主控台。</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5、左右柜体钢塑结构且做工一致，柜体外侧边塑料外框，采用安全设计，边角圆弧设计， ，防止撞伤、剐蹭，柜体前后采用pp工程塑料一次性注塑成型，侧边配1.2mm厚优质冷轧钢板，柜门采用pp工程塑料一次成型，塑料铰链设计，开关角度270度且静音，设有长条把手，设有关门紧固设施，防止门关不紧，门内镶嵌数控折弯成型1mm冷轧钢板。</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6、箱体内衬数控成型支撑钢架，配以专用连接件连接，整体精钢配件与注塑件相组合，牢固耐用，拆装方便。</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7、配套水槽台，三联水嘴。</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★投标人需提供带喷塑涂层的钢部件检测报告，检测依据为HJ2547-2016、CEC042-2020、GB6675-2014，检测项包含可迁移元素。</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学生实验桌</w:t>
            </w:r>
          </w:p>
        </w:tc>
        <w:tc>
          <w:tcPr>
            <w:tcW w:w="1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规格≧1200*600*780</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1.台面桌面：采用12mm实心理化板，台面前端人性化设计，按人体工程学，安全无棱角，呈半圆倒鸭嘴形状，圆润下滑，曲面优美，无棱角工艺，使做实验学生碰到无疼感。</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桌身结构：铝合金框架结构，左右桌脚采用Z字形结构设计，左右桌脚之间通过前、中、后、以及桌身中部4条铝合金横梁由M8内六角不锈钢螺丝连接，起到稳固桌子的作用。Z字形结构保证前后重心稳固，有效防止桌身倾倒。</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桌身材质及配件：</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3、前横梁：采用40*38mm壁厚1.5mm的优质铝型材材料一次性成型，内设1.5mm厚十字加强筋保证牢固度，材料表面经过防腐氧化处理和纯环氧树脂塑粉高温固化处理，具有较强的耐蚀性及承重性。</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4、中横梁：采用20*20mm壁厚1.2mm的优质铝型材材料一次性成型，材料表面经过防腐氧化处理和纯环氧树脂塑粉高温固化处理，具有较强的耐蚀性及承重性。</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5、后横梁：采用100*38mm壁厚1.5mm的优质铝型材材料一次性成型，内设1.5mm厚十字加强筋保证牢固度，材料表面经过防腐氧化处理和纯环氧树脂塑粉高温固化处理，具有较强的耐蚀性及承重性。</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桌身中部结构横梁：采用100*20mm壁厚1.2mm的优质铝型材材料一次性成型，拉力弧形结构设计，横截面8字形结构，内设1.2mm厚加强筋，保证牢固度，材料表面经过防腐氧化处理和纯环氧树脂塑粉高温固化处理，具有较强的耐蚀性及承重性。</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7、左右Z字形桌脚：由立柱、上下支脚、脚垫四部分组成。</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8、立柱：采用100x40mm壁厚2mm的优质铝材材料，内设2根2mm的加强筋，材料表面经过防腐氧化处理和纯环氧树脂塑粉高温固化处理，具有较强的耐蚀性。</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9、上支脚：采用580*46mm壁厚3.5mm厚优质铝型材材料一次性成型，压铸脚形状独特，造型美观，牢固耐用。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下支脚：采用530*60mm壁厚3.5mm厚优质铝型材材料一次性成型，拱桥型设计，地面接触处设弧形，受力稳固防倾倒，底脚下方增设防摩擦垫，地脚前侧上方增设ABS耐踩踏塑料盖，防止学生踩踏而导致桌脚表面喷漆掉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11、地脚脚垫：采用PA材料，注塑模一次性成型，可调节，保证桌子平稳。</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12、抽屉：规格430*250*170mm，采用ABS塑料一次性注塑成型，内设7条结构加强条，保证抽屉强度，抽屉前侧U型卡扣设计，可</w:t>
            </w:r>
            <w:r>
              <w:rPr>
                <w:rFonts w:hint="eastAsia" w:ascii="宋体" w:hAnsi="宋体" w:cs="宋体"/>
                <w:i w:val="0"/>
                <w:iCs w:val="0"/>
                <w:color w:val="000000"/>
                <w:kern w:val="0"/>
                <w:sz w:val="20"/>
                <w:szCs w:val="20"/>
                <w:u w:val="none"/>
                <w:lang w:val="en-US" w:eastAsia="zh-CN" w:bidi="ar"/>
              </w:rPr>
              <w:t>放置</w:t>
            </w:r>
            <w:r>
              <w:rPr>
                <w:rFonts w:hint="eastAsia" w:ascii="宋体" w:hAnsi="宋体" w:eastAsia="宋体" w:cs="宋体"/>
                <w:i w:val="0"/>
                <w:iCs w:val="0"/>
                <w:color w:val="000000"/>
                <w:kern w:val="0"/>
                <w:sz w:val="20"/>
                <w:szCs w:val="20"/>
                <w:u w:val="none"/>
                <w:lang w:val="en-US" w:eastAsia="zh-CN" w:bidi="ar"/>
              </w:rPr>
              <w:t>实验圆凳，方便整理打扫。</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电源总控台</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配备总漏电保护和分组保护，可分组控制学生的电源，确保学生实验安全方便 1、装置在组合柜内，内装有教师演示电源及主控电源装置，教师能对实验室进行总体及分组控制：电源带总开关、漏电保护开关、工作指示灯、220V交流输出多用豪华插座；电源必须符合教育部JY/J0374-2004标准。</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功能柱</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规格≧：350*220*760mm，采用ABS塑料一体注塑成型，两段式结构，四周圆弧形设计防碰撞，置于桌面下方后侧，用于放置实验桌电线及通风管道。底部设固定底座，底座内部设通风管道连接口。</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学生电源实验板</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翻斗式电源，闭合设计，防溅水，内设220V插座，开启和闭合出有固定块，保证使用时的角度。</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学生实验凳</w:t>
            </w:r>
          </w:p>
        </w:tc>
        <w:tc>
          <w:tcPr>
            <w:tcW w:w="1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ascii="Calibri" w:hAnsi="Calibri" w:eastAsia="宋体" w:cs="Calibri"/>
                <w:i w:val="0"/>
                <w:iCs w:val="0"/>
                <w:color w:val="000000"/>
                <w:kern w:val="0"/>
                <w:sz w:val="20"/>
                <w:szCs w:val="20"/>
                <w:u w:val="none"/>
                <w:lang w:val="en-US" w:eastAsia="zh-CN" w:bidi="ar"/>
              </w:rPr>
              <w:t>Φ</w:t>
            </w:r>
            <w:r>
              <w:rPr>
                <w:rFonts w:hint="eastAsia" w:ascii="宋体" w:hAnsi="宋体" w:eastAsia="宋体" w:cs="宋体"/>
                <w:i w:val="0"/>
                <w:iCs w:val="0"/>
                <w:color w:val="000000"/>
                <w:kern w:val="0"/>
                <w:sz w:val="20"/>
                <w:szCs w:val="20"/>
                <w:u w:val="none"/>
                <w:lang w:val="en-US" w:eastAsia="zh-CN" w:bidi="ar"/>
              </w:rPr>
              <w:t>300*450mm。4个凳脚采用15×30×1.5mm 椭圆钢管模具一次成型。满焊接完成，结构牢固，经高温粉体烤漆处理，长时间使用也不会产生表面烤漆剥落现象 固定式凳面直径不小于300mm ，凳面采用聚丙烯共聚级注塑,厚6mm。表面细纹咬花，防滑不发光 。凳面底部镶嵌4枚铜质螺纹，采用不锈钢螺丝与圆型托盘固定。脚垫采用PP加耐磨纤维质塑料，实心倒勾式一体射出成型。</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ascii="Segoe UI Symbol" w:hAnsi="Segoe UI Symbol" w:eastAsia="Segoe UI Symbol" w:cs="Segoe UI Symbo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投标人需提供实验凳</w:t>
            </w:r>
            <w:r>
              <w:rPr>
                <w:rStyle w:val="965"/>
                <w:rFonts w:eastAsia="宋体"/>
                <w:lang w:val="en-US" w:eastAsia="zh-CN" w:bidi="ar"/>
              </w:rPr>
              <w:t>GB 8624-2012</w:t>
            </w:r>
            <w:r>
              <w:rPr>
                <w:rFonts w:hint="eastAsia" w:ascii="宋体" w:hAnsi="宋体" w:eastAsia="宋体" w:cs="宋体"/>
                <w:i w:val="0"/>
                <w:iCs w:val="0"/>
                <w:color w:val="000000"/>
                <w:kern w:val="0"/>
                <w:sz w:val="20"/>
                <w:szCs w:val="20"/>
                <w:u w:val="none"/>
                <w:lang w:val="en-US" w:eastAsia="zh-CN" w:bidi="ar"/>
              </w:rPr>
              <w:t>《建筑材料及制品燃烧性能分级》且燃烧性能达到难燃</w:t>
            </w:r>
            <w:r>
              <w:rPr>
                <w:rStyle w:val="965"/>
                <w:rFonts w:eastAsia="宋体"/>
                <w:lang w:val="en-US" w:eastAsia="zh-CN" w:bidi="ar"/>
              </w:rPr>
              <w:t>B1</w:t>
            </w:r>
            <w:r>
              <w:rPr>
                <w:rFonts w:hint="eastAsia" w:ascii="宋体" w:hAnsi="宋体" w:eastAsia="宋体" w:cs="宋体"/>
                <w:i w:val="0"/>
                <w:iCs w:val="0"/>
                <w:color w:val="000000"/>
                <w:kern w:val="0"/>
                <w:sz w:val="20"/>
                <w:szCs w:val="20"/>
                <w:u w:val="none"/>
                <w:lang w:val="en-US" w:eastAsia="zh-CN" w:bidi="ar"/>
              </w:rPr>
              <w:t>级、</w:t>
            </w:r>
            <w:r>
              <w:rPr>
                <w:rStyle w:val="965"/>
                <w:rFonts w:eastAsia="宋体"/>
                <w:lang w:val="en-US" w:eastAsia="zh-CN" w:bidi="ar"/>
              </w:rPr>
              <w:t>GB 20286-2006</w:t>
            </w:r>
            <w:r>
              <w:rPr>
                <w:rFonts w:hint="eastAsia" w:ascii="宋体" w:hAnsi="宋体" w:eastAsia="宋体" w:cs="宋体"/>
                <w:i w:val="0"/>
                <w:iCs w:val="0"/>
                <w:color w:val="000000"/>
                <w:kern w:val="0"/>
                <w:sz w:val="20"/>
                <w:szCs w:val="20"/>
                <w:u w:val="none"/>
                <w:lang w:val="en-US" w:eastAsia="zh-CN" w:bidi="ar"/>
              </w:rPr>
              <w:t>《公共场所阻燃制品及组件燃烧性能要求和标识》检测报告。</w:t>
            </w:r>
            <w:r>
              <w:rPr>
                <w:rFonts w:ascii="Segoe UI Symbol" w:hAnsi="Segoe UI Symbol" w:eastAsia="Segoe UI Symbol" w:cs="Segoe UI Symbo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投标人需提供钢管检测报告，检测依据为</w:t>
            </w:r>
            <w:r>
              <w:rPr>
                <w:rStyle w:val="965"/>
                <w:rFonts w:eastAsia="宋体"/>
                <w:lang w:val="en-US" w:eastAsia="zh-CN" w:bidi="ar"/>
              </w:rPr>
              <w:t>GB/T 3325-2017</w:t>
            </w:r>
            <w:r>
              <w:rPr>
                <w:rFonts w:hint="eastAsia" w:ascii="宋体" w:hAnsi="宋体" w:eastAsia="宋体" w:cs="宋体"/>
                <w:i w:val="0"/>
                <w:iCs w:val="0"/>
                <w:color w:val="000000"/>
                <w:kern w:val="0"/>
                <w:sz w:val="20"/>
                <w:szCs w:val="20"/>
                <w:u w:val="none"/>
                <w:lang w:val="en-US" w:eastAsia="zh-CN" w:bidi="ar"/>
              </w:rPr>
              <w:t>，包含抗盐雾</w:t>
            </w:r>
            <w:r>
              <w:rPr>
                <w:rStyle w:val="965"/>
                <w:rFonts w:eastAsia="宋体"/>
                <w:lang w:val="en-US" w:eastAsia="zh-CN" w:bidi="ar"/>
              </w:rPr>
              <w:t>720h</w:t>
            </w:r>
            <w:r>
              <w:rPr>
                <w:rFonts w:hint="eastAsia" w:ascii="宋体" w:hAnsi="宋体" w:eastAsia="宋体" w:cs="宋体"/>
                <w:i w:val="0"/>
                <w:iCs w:val="0"/>
                <w:color w:val="000000"/>
                <w:kern w:val="0"/>
                <w:sz w:val="20"/>
                <w:szCs w:val="20"/>
                <w:u w:val="none"/>
                <w:lang w:val="en-US" w:eastAsia="zh-CN" w:bidi="ar"/>
              </w:rPr>
              <w:t>检测项。</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7"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水槽台</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5000*600*850mm，1.台面板材12.7mm厚实芯理化板，面板四边加厚，截面机械打磨；边缘倒圆角半径不小于10mm，颜色为墨绿色。2.台身铝木框架结构，立柱为双层圆管铝合金，截面直径不小于50mm，外层壁厚不小于1.5㎜。</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 铝木结构采用45*45mm铝合金型材框架结构，ABS连接件，表面环氧树脂粉末喷涂。板材16mm三聚氰氨板，外露截面用PVC条封边。</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以上芯板均为E1级环保芯板，甲醛释放量（穿孔萃取法 ）应不大于≤8mg/100g。配ABS塑料脚垫，高低可调。其他各项技术指标和质量要求应符合GB/T 21747-2008《教学实验室设备 实验台(桌)的安全要求及试验方法》。</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配套3副三联水嘴及水槽。</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电气布线（地面以上部分）</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DN25mm阻燃线管；2.5平方国标线材，符合国家标准。</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3"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给、排水系统（地面以上部分）</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ф32、ф25、ф20；DN75、DN50给水：采用PPR复合管敷设。排水：使用国标优质UPVC专用排水管。</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地面开槽及复原</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开槽及恢复地面，地下电路系统改造。</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安装费</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实验室设备安装及调试</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设备拆除</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室内报废桌椅拆除，垃圾清运处理。</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9"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生物地面处理</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地面自流平处理，铺设厚环保PVC地胶。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一、地胶概述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同质透心地板主要成分为聚氯乙烯材料（PVC），加入填料、增塑剂、稳定剂、着色剂等辅料，是从底背到面层的花纹材质上下一体的PVC地板。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二、地胶规格</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产品为2.0mm厚度，产品形态为卷材。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1、外观质量：色泽均匀，无明显色差，无裂痕，分层等缺陷。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★2、依据GB/T24128-2018标准，抗霉菌性能试验方法，对黑曲霉、球毛壳霉、宛氏拟青霉、绳状青霉、长枝木霉在试验条件为21天时间，湿度90%RH，温度24℃下，检测结果为0级；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★3、依据GB/T21605-2008标准化学品急性吸入毒性试验，试验结果对ICR小鼠的急性吸入LC50＞2000mg/ m³。依据毒性分级，产品属于低毒级；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★4、依据GB/T11982.1-2015标准，PVC地板焊接强度≥240；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★5、依据GB/T11547-2008标准，产品在40%浓度硫酸、40%浓度硝酸、37%浓度盐酸在浸渍温度23℃条件下，浸渍24小时，样品无变化。</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★6、依据GB/T19889.3-2005《声学 建筑和建筑构件隔声测量》标准，产品隔声性能≥24dB；</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备注：投标时须提供获得CMA、CNAS等国家认可的检测机构出具的检测报告扫描件（盖公司</w:t>
            </w:r>
            <w:r>
              <w:rPr>
                <w:rFonts w:hint="eastAsia" w:ascii="宋体" w:hAnsi="宋体" w:cs="宋体"/>
                <w:i w:val="0"/>
                <w:iCs w:val="0"/>
                <w:color w:val="000000"/>
                <w:kern w:val="0"/>
                <w:sz w:val="20"/>
                <w:szCs w:val="20"/>
                <w:u w:val="none"/>
                <w:lang w:val="en-US" w:eastAsia="zh-CN" w:bidi="ar"/>
              </w:rPr>
              <w:t>公</w:t>
            </w:r>
            <w:r>
              <w:rPr>
                <w:rFonts w:hint="eastAsia" w:ascii="宋体" w:hAnsi="宋体" w:eastAsia="宋体" w:cs="宋体"/>
                <w:i w:val="0"/>
                <w:iCs w:val="0"/>
                <w:color w:val="000000"/>
                <w:kern w:val="0"/>
                <w:sz w:val="20"/>
                <w:szCs w:val="20"/>
                <w:u w:val="none"/>
                <w:lang w:val="en-US" w:eastAsia="zh-CN" w:bidi="ar"/>
              </w:rPr>
              <w:t>章），</w:t>
            </w:r>
            <w:r>
              <w:rPr>
                <w:rFonts w:hint="eastAsia" w:ascii="宋体" w:hAnsi="宋体" w:cs="宋体"/>
                <w:i w:val="0"/>
                <w:iCs w:val="0"/>
                <w:color w:val="000000"/>
                <w:kern w:val="0"/>
                <w:sz w:val="20"/>
                <w:szCs w:val="20"/>
                <w:u w:val="none"/>
                <w:lang w:val="en-US" w:eastAsia="zh-CN" w:bidi="ar"/>
              </w:rPr>
              <w:t>中标后</w:t>
            </w:r>
            <w:r>
              <w:rPr>
                <w:rFonts w:hint="eastAsia" w:ascii="宋体" w:hAnsi="宋体" w:eastAsia="宋体" w:cs="宋体"/>
                <w:i w:val="0"/>
                <w:iCs w:val="0"/>
                <w:color w:val="000000"/>
                <w:kern w:val="0"/>
                <w:sz w:val="20"/>
                <w:szCs w:val="20"/>
                <w:u w:val="none"/>
                <w:lang w:val="en-US" w:eastAsia="zh-CN" w:bidi="ar"/>
              </w:rPr>
              <w:t xml:space="preserve">原件备查。 </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7"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墙面刮腻子粉刷</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教室墙顶面乳胶漆刷新，根据学校实际要求配色。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将墙面上起皮、松动、鼓包以及灰尘、污垢、砂浆残留等进行清除，依据墙面的平整度刮腻子多遍，通风干燥腻子；</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遮挡所有门窗、家具、开关插座等一切不想粘上乳胶漆的物品，在干燥腻子打磨墙面，完成后扫掉浮灰，喷完乳胶漆后的遮挡物揭除。</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学科窗帘</w:t>
            </w:r>
          </w:p>
        </w:tc>
        <w:tc>
          <w:tcPr>
            <w:tcW w:w="1147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拉珠绳卷帘，涤纶PVC防水材质的半透布或遮光布料，单面图案。精制耐用的塑料传动系统，结构紧凑、操作简便、坚固耐用、刚性强，Ф28mm铝合金卷筒。</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用窗帘的形式表现描述与学科教学内容相关或科学普及方面，选题适当，主题明确，无科学性错误，以图为主辅以文字。图片清晰美观，文字准确精炼，语句通顺易读，标点使用正确.</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LED灯光改造</w:t>
            </w:r>
          </w:p>
        </w:tc>
        <w:tc>
          <w:tcPr>
            <w:tcW w:w="1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产品规格：1.2米*0.3米;额定电压：220V;额定功率：36W;灯具寿命:≥30000h;显色指数：≥90;灯具色温: 5000K;灯具光效：≥90lm/W;光通量：≥3200lm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精密光学配光设计，采用优质PC偏光透镜/一体式防眩挡板，有效降低黑板书写眩光/灯具照射角度与高度双自由度调节/超长寿命≥30000小时/环保无汞。</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办公桌椅</w:t>
            </w:r>
          </w:p>
        </w:tc>
        <w:tc>
          <w:tcPr>
            <w:tcW w:w="1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办公桌尺寸≥1200mm*600mm*760mm，中密度环保三聚氰胺板，可见边PVC封边，知名品牌五金件。测评椅:组装，金属不绣钢材质，8cm原生高回弹海绵，网布，散热透气，固定扶手，支持人体工程学，U型弹力护腰枕。</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bl>
    <w:p>
      <w:pPr>
        <w:widowControl/>
        <w:adjustRightInd/>
        <w:jc w:val="left"/>
        <w:rPr>
          <w:rFonts w:ascii="宋体" w:hAnsi="宋体" w:eastAsia="宋体" w:cs="宋体"/>
          <w:b/>
          <w:sz w:val="24"/>
        </w:rPr>
      </w:pPr>
      <w:r>
        <w:rPr>
          <w:rFonts w:ascii="宋体" w:hAnsi="宋体" w:eastAsia="宋体" w:cs="宋体"/>
          <w:b/>
          <w:sz w:val="24"/>
        </w:rPr>
        <w:br w:type="page"/>
      </w:r>
    </w:p>
    <w:p>
      <w:pPr>
        <w:widowControl/>
        <w:adjustRightInd/>
        <w:jc w:val="left"/>
        <w:rPr>
          <w:rFonts w:hint="eastAsia" w:ascii="宋体" w:hAnsi="宋体" w:eastAsia="宋体" w:cs="宋体"/>
          <w:b/>
          <w:sz w:val="24"/>
        </w:rPr>
      </w:pPr>
      <w:r>
        <w:rPr>
          <w:rFonts w:hint="eastAsia" w:ascii="宋体" w:hAnsi="宋体" w:eastAsia="宋体" w:cs="宋体"/>
          <w:b/>
          <w:sz w:val="24"/>
        </w:rPr>
        <w:t>4.生物准备室</w:t>
      </w:r>
    </w:p>
    <w:tbl>
      <w:tblPr>
        <w:tblStyle w:val="62"/>
        <w:tblW w:w="141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1072"/>
        <w:gridCol w:w="10955"/>
        <w:gridCol w:w="833"/>
        <w:gridCol w:w="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0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准备台</w:t>
            </w:r>
          </w:p>
        </w:tc>
        <w:tc>
          <w:tcPr>
            <w:tcW w:w="10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2400*1200*850，台面：台面要求：采用国内知名品牌13.0mm厚实芯双面理化膜优抗板台面，台面边缘用同质材料板双层加厚至26.0mm，由专业生产厂家用CNC机械加工而成。</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3.结构：钢木结构，主框架采用60mm*40mm(壁厚2mm)方钢组成的C型骨架，前后梁：采用2.0mm厚优质冷轧钢板；底柜托梁：采用40*25（壁厚2mm）优质方钢；整体表面喷涂纯环氧树脂塑粉高温固化处理，耐酸耐腐蚀。</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4.箱体：背板及吊板采用16mm厚E1级优质三聚氰胺刨花板，台身板材组合采用ABS子母件连接组装而成，所有板材截面均采用全自动热溶封边机以2mm厚PVC封边条热溶封边；</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5.柜门：采用16mm厚E1级优质三聚氰胺刨花板，柜门和四周2mm厚PVC封边，圆弧拉手。</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6.固定脚：采用ABS工程塑料模具成型制作而成，高度可调。</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7.带2个钢制双面岛式电源，含4个国标五孔插座。</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3"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标本柜</w:t>
            </w:r>
          </w:p>
        </w:tc>
        <w:tc>
          <w:tcPr>
            <w:tcW w:w="10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1000*500*2000铝木结构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下柜采用全木结构，橱体基材采用16㎜厚E1级三聚氰胺板，其截面用2㎜厚PVC封边条机械高温热熔胶封边，具有粘力强、密封性好，牢固、美观、耐用的特点；一块层板为16MM三聚氰胺板，长边采用30.5*24MM,壁厚1.2MM专用铝型材加固，防止层板弯曲变形铝型材可以插入标签贴，方便药品及仪器放置分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上部高1200mm，四面为5mm厚透明白玻镶嵌，双面为金属包边白玻推拉门设计，内部两层5mm厚玻璃活动隔层；下部橱柜高为800mm，板式对开门。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连接件：ABS专用连接组装件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脚垫：采用特制模具优质注塑脚垫，高度为2.5cm，高度可调，可有效防潮。</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仪器柜</w:t>
            </w:r>
          </w:p>
        </w:tc>
        <w:tc>
          <w:tcPr>
            <w:tcW w:w="10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1000*500*2000mm，铝木结构，柜体板材16mm厚三聚氰氨板（双贴面），外露截面用PVC条封边。柜门上部为铝合金门框，5mm厚钢化玻璃对开门。下部为16mm厚三聚氰胺贴面板对开门（双贴面）。上层3块隔板，下层2块隔板，隔板间距可调，16mm厚三聚氰胺面板（双贴面），有铝合金加强条。</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设备拆除</w:t>
            </w:r>
          </w:p>
        </w:tc>
        <w:tc>
          <w:tcPr>
            <w:tcW w:w="10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室内报废设备拆除，仪器整理，垃圾清运处理。</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墙面刮腻子粉刷</w:t>
            </w:r>
          </w:p>
        </w:tc>
        <w:tc>
          <w:tcPr>
            <w:tcW w:w="10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教室墙顶面乳胶漆刷新，根据学校实际要求配色。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将墙面上起皮、松动、鼓包以及灰尘、污垢、砂浆残留等进行清除，依据墙面的平整度刮腻子多遍，通风干燥腻子；</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遮挡所有门窗、家具、开关插座等一切不想粘上乳胶漆的物品，在干燥腻子打磨墙面，完成后扫掉浮灰，喷完乳胶漆后的遮挡物揭除。</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pPr>
        <w:widowControl/>
        <w:adjustRightInd/>
        <w:jc w:val="left"/>
        <w:rPr>
          <w:rFonts w:hint="eastAsia" w:ascii="宋体" w:hAnsi="宋体" w:eastAsia="宋体" w:cs="宋体"/>
          <w:b/>
          <w:sz w:val="24"/>
        </w:rPr>
      </w:pPr>
    </w:p>
    <w:p>
      <w:pPr>
        <w:rPr>
          <w:rFonts w:ascii="宋体" w:hAnsi="宋体" w:eastAsia="宋体" w:cs="宋体"/>
          <w:b/>
          <w:sz w:val="24"/>
        </w:rPr>
      </w:pPr>
      <w:r>
        <w:rPr>
          <w:rFonts w:ascii="宋体" w:hAnsi="宋体" w:eastAsia="宋体" w:cs="宋体"/>
          <w:b/>
          <w:sz w:val="24"/>
        </w:rPr>
        <w:br w:type="page"/>
      </w:r>
    </w:p>
    <w:p>
      <w:pPr>
        <w:widowControl/>
        <w:adjustRightInd/>
        <w:jc w:val="left"/>
        <w:rPr>
          <w:rFonts w:hint="eastAsia" w:ascii="宋体" w:hAnsi="宋体" w:eastAsia="宋体" w:cs="宋体"/>
          <w:b/>
          <w:sz w:val="24"/>
        </w:rPr>
      </w:pPr>
      <w:r>
        <w:rPr>
          <w:rFonts w:hint="eastAsia" w:ascii="宋体" w:hAnsi="宋体" w:eastAsia="宋体" w:cs="宋体"/>
          <w:b/>
          <w:sz w:val="24"/>
        </w:rPr>
        <w:t>5.物理实验室</w:t>
      </w:r>
    </w:p>
    <w:tbl>
      <w:tblPr>
        <w:tblStyle w:val="62"/>
        <w:tblW w:w="140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789"/>
        <w:gridCol w:w="10769"/>
        <w:gridCol w:w="1041"/>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0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水槽台</w:t>
            </w:r>
          </w:p>
        </w:tc>
        <w:tc>
          <w:tcPr>
            <w:tcW w:w="10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5000*600*850mm，1.台面板材12.7mm厚实芯理化板，面板四边加厚，截面机械打磨；边缘倒圆角半径不小于10mm，颜色为墨绿色。2.台身铝木框架结构，立柱为双层圆管铝合金，截面直径不小于50mm，外层壁厚不小于1.5㎜。</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 铝木结构采用45*45mm铝合金型材框架结构，ABS连接件，表面环氧树脂粉末喷涂。板材16mm三聚氰氨板，外露截面用PVC条封边。</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以上芯板均为E1级环保芯板，甲醛释放量（穿孔萃取法 ）应不大于≤8mg/100g。配ABS塑料脚垫，高低可调。其他各项技术指标和质量要求应符合GB/T 21747-2008《教学实验室设备 实验台(桌)的安全要求及试验方法》。</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配套3副三联水嘴及水槽。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★投标人提供烤漆粉重金属含量检测报告。</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★投标人提供滑轨耐久性10万次检测报告。</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LED灯光改造</w:t>
            </w:r>
          </w:p>
        </w:tc>
        <w:tc>
          <w:tcPr>
            <w:tcW w:w="10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产品规格：1.2米*0.3米;额定电压：220V;额定功率：36W;灯具寿命:≥30000h;显色指数：≥90;灯具色温: 5000K;灯具光效：≥90lm/W;光通量：≥3200lm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精密光学配光设计，采用优质PC偏光透镜/一体式防眩挡板，有效降低黑板书写眩光/灯具照射角度与高度双自由度调节/超长寿命≥30000小时/环保无汞。</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墙面刮腻子粉刷</w:t>
            </w:r>
          </w:p>
        </w:tc>
        <w:tc>
          <w:tcPr>
            <w:tcW w:w="10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教室墙顶面乳胶漆刷新，根据学校实际要求配色。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将墙面上起皮、松动、鼓包以及灰尘、污垢、砂浆残留等进行清除，依据墙面的平整度刮腻子多遍，通风干燥腻子；</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遮挡所有门窗、家具、开关插座等一切不想粘上乳胶漆的物品，在干燥腻子打磨墙面，完成后扫掉浮灰，喷完乳胶漆后的遮挡物揭除。</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铝方通吊顶</w:t>
            </w:r>
          </w:p>
        </w:tc>
        <w:tc>
          <w:tcPr>
            <w:tcW w:w="10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轻钢龙骨支架：1.∮8钢筋吊杆，M8螺母，A8垫圈，顶面钻孔埋入膨胀螺栓，固定 吊挂杆件，吊杆间距控制在1200mm以内；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2.主龙骨为C50轻钢龙骨，厚度0.5mm以上，及相应挂插件，间距控制在1200mm以内；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3.边龙骨，按天花净高要求在墙四周用水泥钉固定25x25mm烤漆龙骨，水泥钉间距不大于300mm；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4.次龙骨，铝扣板配套三角龙骨，厚度0.6mm以上，及相应挂插件；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5.铝方通：抗油污滚涂板制成，规格40*70mm，壁厚0.5mm，间距不大于120mm。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6、现场安装，环保净味,工程量按展开面积计算。</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pPr>
        <w:widowControl/>
        <w:adjustRightInd/>
        <w:jc w:val="left"/>
        <w:rPr>
          <w:rFonts w:ascii="宋体" w:hAnsi="宋体" w:eastAsia="宋体" w:cs="宋体"/>
          <w:b/>
          <w:sz w:val="24"/>
        </w:rPr>
      </w:pPr>
    </w:p>
    <w:p>
      <w:pPr>
        <w:widowControl/>
        <w:adjustRightInd/>
        <w:jc w:val="left"/>
        <w:rPr>
          <w:rFonts w:ascii="宋体" w:hAnsi="宋体" w:eastAsia="宋体" w:cs="宋体"/>
          <w:b/>
          <w:sz w:val="24"/>
        </w:rPr>
      </w:pPr>
      <w:r>
        <w:rPr>
          <w:rFonts w:ascii="宋体" w:hAnsi="宋体" w:eastAsia="宋体" w:cs="宋体"/>
          <w:b/>
          <w:sz w:val="24"/>
        </w:rPr>
        <w:br w:type="page"/>
      </w:r>
    </w:p>
    <w:p>
      <w:pPr>
        <w:widowControl/>
        <w:adjustRightInd/>
        <w:jc w:val="left"/>
        <w:rPr>
          <w:rFonts w:ascii="宋体" w:hAnsi="宋体" w:eastAsia="宋体" w:cs="宋体"/>
          <w:b/>
          <w:sz w:val="24"/>
        </w:rPr>
      </w:pPr>
      <w:r>
        <w:rPr>
          <w:rFonts w:hint="eastAsia" w:ascii="宋体" w:hAnsi="宋体" w:eastAsia="宋体" w:cs="宋体"/>
          <w:b/>
          <w:sz w:val="24"/>
        </w:rPr>
        <w:t>6.物理准备室</w:t>
      </w:r>
    </w:p>
    <w:tbl>
      <w:tblPr>
        <w:tblStyle w:val="62"/>
        <w:tblW w:w="140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2"/>
        <w:gridCol w:w="907"/>
        <w:gridCol w:w="10548"/>
        <w:gridCol w:w="1025"/>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0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4" w:hRule="atLeast"/>
        </w:trPr>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准备台</w:t>
            </w:r>
          </w:p>
        </w:tc>
        <w:tc>
          <w:tcPr>
            <w:tcW w:w="10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2400*1200*850，台面：台面要求：采用国内知名品牌13.0mm厚实芯双面理化膜优抗板台面，台面边缘用同质材料板双层加厚至26.0mm，由专业生产厂家用CNC机械加工而成。</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3.结构：钢木结构，主框架采用60mm*40mm(壁厚2mm)方钢组成的C型骨架，前后梁：采用2.0mm厚优质冷轧钢板；底柜托梁：采用40*25（壁厚2mm）优质方钢；整体表面喷涂纯环氧树脂塑粉高温固化处理，耐酸耐腐蚀。</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4.箱体：背板及吊板采用16mm厚E1级优质三聚氰胺刨花板，台身板材组合采用ABS子母件连接组装而成，所有板材截面均采用全自动热溶封边机以2mm厚PVC封边条热溶封边；</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5.柜门：采用16mm厚E1级优质三聚氰胺刨花板，柜门和四周2mm厚PVC封边，圆弧拉手。</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6.固定脚：采用ABS工程塑料模具成型制作而成，高度可调。</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7.带2个钢制双面岛式电源，含4个国标五孔插座。</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设备拆除</w:t>
            </w:r>
          </w:p>
        </w:tc>
        <w:tc>
          <w:tcPr>
            <w:tcW w:w="10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室内报废设备拆除，仪器整理，垃圾清运处理。</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2" w:hRule="atLeast"/>
        </w:trPr>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墙面刮腻子粉刷</w:t>
            </w:r>
          </w:p>
        </w:tc>
        <w:tc>
          <w:tcPr>
            <w:tcW w:w="10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教室墙顶面乳胶漆刷新，根据学校实际要求配色。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将墙面上起皮、松动、鼓包以及灰尘、污垢、砂浆残留等进行清除，依据墙面的平整度刮腻子多遍，通风干燥腻子；</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遮挡所有门窗、家具、开关插座等一切不想粘上乳胶漆的物品，在干燥腻子打磨墙面，完成后扫掉浮灰，喷完乳胶漆后的遮挡物揭除。</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pPr>
        <w:rPr>
          <w:rFonts w:ascii="宋体" w:hAnsi="宋体" w:eastAsia="宋体" w:cs="宋体"/>
          <w:b/>
          <w:sz w:val="24"/>
        </w:rPr>
      </w:pPr>
      <w:r>
        <w:rPr>
          <w:rFonts w:ascii="宋体" w:hAnsi="宋体" w:eastAsia="宋体" w:cs="宋体"/>
          <w:b/>
          <w:sz w:val="24"/>
        </w:rPr>
        <w:br w:type="page"/>
      </w:r>
    </w:p>
    <w:p>
      <w:pPr>
        <w:widowControl/>
        <w:adjustRightInd/>
        <w:jc w:val="left"/>
        <w:rPr>
          <w:rFonts w:ascii="宋体" w:hAnsi="宋体" w:eastAsia="宋体" w:cs="宋体"/>
          <w:b/>
          <w:sz w:val="24"/>
        </w:rPr>
      </w:pPr>
      <w:r>
        <w:rPr>
          <w:rFonts w:hint="eastAsia" w:ascii="宋体" w:hAnsi="宋体" w:eastAsia="宋体" w:cs="宋体"/>
          <w:b/>
          <w:sz w:val="24"/>
        </w:rPr>
        <w:t>7.实验器材</w:t>
      </w:r>
    </w:p>
    <w:tbl>
      <w:tblPr>
        <w:tblStyle w:val="62"/>
        <w:tblW w:w="139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0"/>
        <w:gridCol w:w="1347"/>
        <w:gridCol w:w="9211"/>
        <w:gridCol w:w="1120"/>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9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分液漏斗</w:t>
            </w:r>
          </w:p>
        </w:tc>
        <w:tc>
          <w:tcPr>
            <w:tcW w:w="92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 mL，锥型  瓶塞应有凹槽，瓶口有气孔</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锥形瓶</w:t>
            </w:r>
          </w:p>
        </w:tc>
        <w:tc>
          <w:tcPr>
            <w:tcW w:w="92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 mL 透明硼硅酸盐玻璃制， 放在平台上应直立不摇晃、不转动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铁架台</w:t>
            </w:r>
          </w:p>
        </w:tc>
        <w:tc>
          <w:tcPr>
            <w:tcW w:w="9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由矩形底座、立杆、烧瓶夹、大小铁环、垂直夹（2只）、平行夹等组成。2． 方座支架的底座尺寸为210×135mm，立杆直径为Φ12mm，一端有M10×18mm螺纹，底座和立杆表面应作防锈处理。3． 底座放置平稳，无明显晃动现象，支承夹持可靠。4． 立杆与方座组装后应垂直。</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电压表</w:t>
            </w:r>
          </w:p>
        </w:tc>
        <w:tc>
          <w:tcPr>
            <w:tcW w:w="9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产品由测量机构、外壳等组成。1.指示面板与水平面成45度夹角。2.测量范围：（-1~0~3V）（-5~0~15V）。3.仪表准确度等级：2.5级。4.对外界磁场的防御等级为Ⅲ级。5.规格：130mm×95mm×90mm。</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电流表</w:t>
            </w:r>
          </w:p>
        </w:tc>
        <w:tc>
          <w:tcPr>
            <w:tcW w:w="9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产品由测量机构、外壳等组成。1.指示面板与水平面成45度夹角。2.测量范围：（-0.2A~0~0.6A）（-1~0~3A）。3.仪表准确度等级：2.5级。4.对外界磁场的防御等级为Ⅲ级。5.规格：130mm×95mm×90mm。</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灵敏电流表</w:t>
            </w:r>
          </w:p>
        </w:tc>
        <w:tc>
          <w:tcPr>
            <w:tcW w:w="9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产品由测量机构、外壳等组成。1.指示面板与水平面成45度夹角。2.测量范围：±300μA内阻。3.仪表准确度等级：2.5级。4.对外界磁场的防御等级为Ⅲ级。5.规格：130mm×95mm×90mm。</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学生电源</w:t>
            </w:r>
          </w:p>
        </w:tc>
        <w:tc>
          <w:tcPr>
            <w:tcW w:w="9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出电压：1.5V－9V直流稳压输出，每1.5V一档共六档。2.额定电流：1.5A。3.空载电压偏调：±（1％U标＋0.1V）。4.电压稳定性：输入电压在198V－242V间变化，在满载时各档输出电压变化量不大于0.1V。5.负载稳定性：输入电压保持220V不变，负载电流在0至满载范围内变化，各档输出电压变化量不大于1％U标＋0.1V。6.纹波电压：电源电压保持220V，满载时各档纹波电压不大于3mv（有效值）。7.过载保护：当输出电流在额定输出电流值的1.05－1.5倍间自动关断输出。8.短路保护：当输出电路短路时，仪器自动关断电压输出。8.工作电压：220V 50Hz。9.机箱采用全塑料注塑成型，外形尺寸：190mm×160mm×95mm。</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显微镜</w:t>
            </w:r>
          </w:p>
        </w:tc>
        <w:tc>
          <w:tcPr>
            <w:tcW w:w="9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XSP-01（500X）。单目直筒，分离式粗微调，目镜：10X、12.5X，三孔转换器，物镜：4X、10X、40Xs，108mm×118mm塑料平台带切片压片，拨盘光栏，50平凹面反光镜，干燥剂。木箱（塑料手提箱）包装。</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药匙</w:t>
            </w:r>
          </w:p>
        </w:tc>
        <w:tc>
          <w:tcPr>
            <w:tcW w:w="9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药匙采用塑料制成。药匙的宽度约10mm，长度为120±5mm。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产品制作应光滑、平整、无毛剌、无缺陷。</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静电起电机</w:t>
            </w:r>
          </w:p>
        </w:tc>
        <w:tc>
          <w:tcPr>
            <w:tcW w:w="9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1、环境温度：-10~40℃。 2、起电盘直径：235mm。3、放电距离：在相对湿度为65%的环境中火花放电距离≥30mm。4、本仪器由底座、莱顿瓶、支架、放电叉绝缘柄、集电杆、放电叉杆、导电层、中和电刷（感应电刷）、电刷杆、上轴及上轴螺钉、莱顿瓶盖、导电弹簧、大皮带轮、连接片组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天文望远镜</w:t>
            </w:r>
          </w:p>
        </w:tc>
        <w:tc>
          <w:tcPr>
            <w:tcW w:w="9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口径: 50mm(2”),焦距: 600mm,折射式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配备：Φ24.5H6mm  H20mm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3X巴洛镜 5×24寻星镜 铝脚架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bl>
    <w:p>
      <w:pPr>
        <w:widowControl/>
        <w:adjustRightInd/>
        <w:jc w:val="left"/>
        <w:rPr>
          <w:rFonts w:hint="eastAsia" w:ascii="宋体" w:hAnsi="宋体" w:eastAsia="宋体" w:cs="宋体"/>
          <w:b/>
          <w:sz w:val="24"/>
        </w:rPr>
      </w:pPr>
    </w:p>
    <w:p>
      <w:pPr>
        <w:widowControl/>
        <w:adjustRightInd/>
        <w:jc w:val="left"/>
        <w:rPr>
          <w:rFonts w:ascii="宋体" w:hAnsi="宋体" w:eastAsia="宋体" w:cs="宋体"/>
          <w:b/>
          <w:sz w:val="24"/>
        </w:rPr>
      </w:pPr>
      <w:r>
        <w:rPr>
          <w:rFonts w:ascii="宋体" w:hAnsi="宋体" w:eastAsia="宋体" w:cs="宋体"/>
          <w:b/>
          <w:sz w:val="24"/>
        </w:rPr>
        <w:br w:type="page"/>
      </w:r>
    </w:p>
    <w:p>
      <w:pPr>
        <w:rPr>
          <w:rFonts w:ascii="宋体" w:hAnsi="宋体" w:cs="宋体"/>
          <w:b/>
          <w:sz w:val="24"/>
        </w:rPr>
        <w:sectPr>
          <w:headerReference r:id="rId8" w:type="default"/>
          <w:footerReference r:id="rId9" w:type="default"/>
          <w:pgSz w:w="16840" w:h="11907" w:orient="landscape"/>
          <w:pgMar w:top="1080" w:right="1440" w:bottom="1080" w:left="1440" w:header="851" w:footer="851" w:gutter="0"/>
          <w:cols w:space="720" w:num="1"/>
        </w:sectPr>
      </w:pPr>
    </w:p>
    <w:p>
      <w:pPr>
        <w:widowControl/>
        <w:adjustRightInd/>
        <w:jc w:val="left"/>
        <w:rPr>
          <w:rFonts w:ascii="宋体" w:hAnsi="宋体" w:cs="宋体"/>
          <w:b/>
          <w:sz w:val="24"/>
        </w:rPr>
      </w:pPr>
    </w:p>
    <w:p>
      <w:pPr>
        <w:pStyle w:val="79"/>
        <w:keepNext w:val="0"/>
        <w:keepLines w:val="0"/>
        <w:pageBreakBefore w:val="0"/>
        <w:kinsoku/>
        <w:wordWrap/>
        <w:overflowPunct/>
        <w:topLinePunct w:val="0"/>
        <w:bidi w:val="0"/>
        <w:spacing w:line="24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三、商务条款</w:t>
      </w:r>
    </w:p>
    <w:tbl>
      <w:tblPr>
        <w:tblStyle w:val="62"/>
        <w:tblpPr w:leftFromText="180" w:rightFromText="180" w:vertAnchor="text" w:horzAnchor="page" w:tblpX="1532" w:tblpY="546"/>
        <w:tblOverlap w:val="never"/>
        <w:tblW w:w="13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99" w:type="dxa"/>
            <w:vAlign w:val="center"/>
          </w:tcPr>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项目投标</w:t>
            </w:r>
          </w:p>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报价要求</w:t>
            </w:r>
          </w:p>
        </w:tc>
        <w:tc>
          <w:tcPr>
            <w:tcW w:w="12496" w:type="dxa"/>
            <w:vAlign w:val="center"/>
          </w:tcPr>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1.投标报价包括产品购置费、运输费、安装调试费、验收费、监理费、技术服务费、质保期内维护费、辅料费、税金等，即投标人所投报的投标报价为投标人所能承受的整个项目的一次性最终最低报价，如有漏项，视同已包含在其它项目中，合同总价和单价不做调整。</w:t>
            </w:r>
          </w:p>
          <w:p>
            <w:pPr>
              <w:widowControl/>
              <w:adjustRightInd/>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2.按国家规定由中标人缴纳的各种税收已包含在投标总价内，由中标人向税务机关缴纳。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99" w:type="dxa"/>
            <w:vAlign w:val="center"/>
          </w:tcPr>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包装及运输</w:t>
            </w:r>
          </w:p>
        </w:tc>
        <w:tc>
          <w:tcPr>
            <w:tcW w:w="12496" w:type="dxa"/>
            <w:vAlign w:val="center"/>
          </w:tcPr>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1.产品包装应符合国家或专业（部）标准规定。货物的交付时，应附有产品合格证书（包括合格证、部件合格证、材料合格证等）、产品说明书、装箱单、易损件、备件及专用工具清单等，一套完整的技术文件资料。</w:t>
            </w:r>
          </w:p>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2．供货方应保证所供货物是全新的、未使用过的货物。供货方应保证其货物在正确安装、正常使用和保养条件下，在使用寿命内应确保正常使用。</w:t>
            </w:r>
          </w:p>
          <w:p>
            <w:pPr>
              <w:widowControl/>
              <w:adjustRightInd/>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3.供方应负责设备的途中运输，对途中运输的安全负责。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99" w:type="dxa"/>
            <w:vAlign w:val="center"/>
          </w:tcPr>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质保期及售后服务</w:t>
            </w:r>
          </w:p>
        </w:tc>
        <w:tc>
          <w:tcPr>
            <w:tcW w:w="12496" w:type="dxa"/>
            <w:vAlign w:val="center"/>
          </w:tcPr>
          <w:p>
            <w:pPr>
              <w:widowControl/>
              <w:adjustRightInd/>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在设备整个使用期内，投标人应确保设备的正常使用。在接到采购人维修要求后应立即作出回应，并在8小时内派员到达采购人现场实施维修。零配件在该设备停产后仍需保证十年的供应。维修过程中所需零配件供应商在接到通知后最长不超过3天必须送达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99" w:type="dxa"/>
            <w:vAlign w:val="center"/>
          </w:tcPr>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交货时间及地点</w:t>
            </w:r>
          </w:p>
        </w:tc>
        <w:tc>
          <w:tcPr>
            <w:tcW w:w="12496" w:type="dxa"/>
            <w:vAlign w:val="center"/>
          </w:tcPr>
          <w:p>
            <w:pPr>
              <w:widowControl/>
              <w:adjustRightInd/>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rPr>
              <w:t>工期：合同签订后</w:t>
            </w:r>
            <w:r>
              <w:rPr>
                <w:rFonts w:hint="eastAsia" w:ascii="宋体" w:hAnsi="宋体" w:cs="宋体"/>
                <w:color w:val="000000"/>
                <w:kern w:val="0"/>
                <w:sz w:val="20"/>
                <w:szCs w:val="20"/>
                <w:lang w:val="en-US" w:eastAsia="zh-CN"/>
              </w:rPr>
              <w:t>30天</w:t>
            </w:r>
            <w:r>
              <w:rPr>
                <w:rFonts w:hint="eastAsia" w:ascii="宋体" w:hAnsi="宋体" w:cs="宋体"/>
                <w:color w:val="000000"/>
                <w:kern w:val="0"/>
                <w:sz w:val="20"/>
                <w:szCs w:val="20"/>
              </w:rPr>
              <w:t>内中标人须根据采购人需求完成项目内容建设</w:t>
            </w:r>
            <w:r>
              <w:rPr>
                <w:rFonts w:hint="eastAsia" w:ascii="宋体" w:hAnsi="宋体" w:cs="宋体"/>
                <w:color w:val="000000"/>
                <w:kern w:val="0"/>
                <w:sz w:val="20"/>
                <w:szCs w:val="20"/>
                <w:lang w:eastAsia="zh-CN"/>
              </w:rPr>
              <w:t>。</w:t>
            </w:r>
          </w:p>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地点：由</w:t>
            </w:r>
            <w:r>
              <w:rPr>
                <w:rFonts w:hint="eastAsia" w:ascii="宋体" w:hAnsi="宋体" w:cs="宋体"/>
                <w:color w:val="000000"/>
                <w:kern w:val="0"/>
                <w:sz w:val="20"/>
                <w:szCs w:val="20"/>
                <w:lang w:eastAsia="zh-CN"/>
              </w:rPr>
              <w:t>武义县桃溪中学</w:t>
            </w:r>
            <w:r>
              <w:rPr>
                <w:rFonts w:hint="eastAsia" w:ascii="宋体" w:hAnsi="宋体" w:cs="宋体"/>
                <w:color w:val="000000"/>
                <w:kern w:val="0"/>
                <w:sz w:val="20"/>
                <w:szCs w:val="20"/>
              </w:rPr>
              <w:t>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499" w:type="dxa"/>
            <w:vAlign w:val="center"/>
          </w:tcPr>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验收标准及要求</w:t>
            </w:r>
          </w:p>
        </w:tc>
        <w:tc>
          <w:tcPr>
            <w:tcW w:w="12496" w:type="dxa"/>
            <w:vAlign w:val="center"/>
          </w:tcPr>
          <w:p>
            <w:pPr>
              <w:widowControl/>
              <w:adjustRightInd/>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rPr>
              <w:t>根据中华人民共和国现行技术标准，按招标文件以及合同规定的验收评定标准等规范，由</w:t>
            </w:r>
            <w:r>
              <w:rPr>
                <w:rFonts w:hint="eastAsia" w:ascii="宋体" w:hAnsi="宋体" w:cs="宋体"/>
                <w:color w:val="000000"/>
                <w:kern w:val="0"/>
                <w:sz w:val="20"/>
                <w:szCs w:val="20"/>
                <w:lang w:eastAsia="zh-CN"/>
              </w:rPr>
              <w:t>武义县桃溪中学</w:t>
            </w:r>
            <w:r>
              <w:rPr>
                <w:rFonts w:hint="eastAsia" w:ascii="宋体" w:hAnsi="宋体" w:cs="宋体"/>
                <w:color w:val="000000"/>
                <w:kern w:val="0"/>
                <w:sz w:val="20"/>
                <w:szCs w:val="20"/>
              </w:rPr>
              <w:t>组织验收</w:t>
            </w:r>
            <w:r>
              <w:rPr>
                <w:rFonts w:hint="eastAsia" w:ascii="宋体" w:hAnsi="宋体" w:cs="宋体"/>
                <w:color w:val="000000"/>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499" w:type="dxa"/>
            <w:vAlign w:val="center"/>
          </w:tcPr>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付款方式</w:t>
            </w:r>
          </w:p>
        </w:tc>
        <w:tc>
          <w:tcPr>
            <w:tcW w:w="12496" w:type="dxa"/>
            <w:vAlign w:val="center"/>
          </w:tcPr>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合同签订</w:t>
            </w:r>
            <w:r>
              <w:rPr>
                <w:rFonts w:hint="eastAsia" w:ascii="宋体" w:hAnsi="宋体" w:cs="宋体"/>
                <w:color w:val="000000"/>
                <w:kern w:val="0"/>
                <w:sz w:val="20"/>
                <w:szCs w:val="20"/>
                <w:lang w:eastAsia="zh-CN"/>
              </w:rPr>
              <w:t>且具备实施条件</w:t>
            </w:r>
            <w:r>
              <w:rPr>
                <w:rFonts w:hint="eastAsia" w:ascii="宋体" w:hAnsi="宋体" w:cs="宋体"/>
                <w:color w:val="000000"/>
                <w:kern w:val="0"/>
                <w:sz w:val="20"/>
                <w:szCs w:val="20"/>
              </w:rPr>
              <w:t>后7个工作日内支付合同价款的40%预付款；验收</w:t>
            </w:r>
            <w:r>
              <w:rPr>
                <w:rFonts w:hint="eastAsia" w:ascii="宋体" w:hAnsi="宋体" w:cs="宋体"/>
                <w:color w:val="000000"/>
                <w:kern w:val="0"/>
                <w:sz w:val="20"/>
                <w:szCs w:val="20"/>
                <w:lang w:eastAsia="zh-CN"/>
              </w:rPr>
              <w:t>完成后</w:t>
            </w:r>
            <w:r>
              <w:rPr>
                <w:rFonts w:hint="eastAsia" w:ascii="宋体" w:hAnsi="宋体" w:cs="宋体"/>
                <w:color w:val="000000"/>
                <w:kern w:val="0"/>
                <w:sz w:val="20"/>
                <w:szCs w:val="20"/>
              </w:rPr>
              <w:t>，支付全部价款。</w:t>
            </w:r>
          </w:p>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注：①若中标人明确表示无需预付款或者主动要求降低预付款比例的，采购人可不适用前述规定。</w:t>
            </w:r>
          </w:p>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t>②中标人若须采购人支付预付款的则须提供预付款保函，预付款保函可采用银行保函、保险机构保证保险保单和融资担保公司保函。若中标人不提供预付款保函的，采购人不予支付。</w:t>
            </w:r>
          </w:p>
          <w:p>
            <w:pPr>
              <w:widowControl/>
              <w:adjustRightInd/>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2.中标人在结算合同价款时须提供正式发票</w:t>
            </w:r>
            <w:r>
              <w:rPr>
                <w:rFonts w:hint="eastAsia" w:ascii="宋体" w:hAnsi="宋体" w:cs="宋体"/>
                <w:color w:val="000000"/>
                <w:kern w:val="0"/>
                <w:sz w:val="20"/>
                <w:szCs w:val="20"/>
                <w:lang w:eastAsia="zh-CN"/>
              </w:rPr>
              <w:t>。</w:t>
            </w:r>
          </w:p>
        </w:tc>
      </w:tr>
    </w:tbl>
    <w:p>
      <w:pPr>
        <w:widowControl/>
        <w:adjustRightInd/>
        <w:jc w:val="left"/>
        <w:rPr>
          <w:rFonts w:hint="eastAsia" w:ascii="宋体" w:hAnsi="宋体" w:cs="宋体"/>
          <w:color w:val="000000"/>
          <w:kern w:val="0"/>
          <w:sz w:val="20"/>
          <w:szCs w:val="20"/>
        </w:rPr>
      </w:pPr>
      <w:r>
        <w:rPr>
          <w:rFonts w:hint="eastAsia" w:ascii="宋体" w:hAnsi="宋体" w:cs="宋体"/>
          <w:color w:val="000000"/>
          <w:kern w:val="0"/>
          <w:sz w:val="20"/>
          <w:szCs w:val="20"/>
        </w:rPr>
        <w:br w:type="page"/>
      </w:r>
    </w:p>
    <w:p>
      <w:pPr>
        <w:rPr>
          <w:rFonts w:ascii="宋体" w:hAnsi="宋体" w:cs="宋体"/>
          <w:b/>
          <w:sz w:val="24"/>
        </w:rPr>
        <w:sectPr>
          <w:headerReference r:id="rId10" w:type="default"/>
          <w:footerReference r:id="rId11" w:type="default"/>
          <w:pgSz w:w="16840" w:h="11907" w:orient="landscape"/>
          <w:pgMar w:top="1080" w:right="1440" w:bottom="1080" w:left="1440" w:header="851" w:footer="851" w:gutter="0"/>
          <w:cols w:space="720" w:num="1"/>
        </w:sectPr>
      </w:pPr>
    </w:p>
    <w:p>
      <w:pPr>
        <w:jc w:val="center"/>
        <w:rPr>
          <w:rFonts w:ascii="宋体" w:hAnsi="宋体" w:cs="宋体"/>
          <w:b/>
          <w:sz w:val="32"/>
          <w:szCs w:val="32"/>
        </w:rPr>
      </w:pPr>
      <w:r>
        <w:rPr>
          <w:rFonts w:hint="eastAsia" w:ascii="宋体" w:hAnsi="宋体" w:cs="宋体"/>
          <w:b/>
          <w:sz w:val="32"/>
          <w:szCs w:val="32"/>
        </w:rPr>
        <w:t>第四部分   评标办法</w:t>
      </w:r>
    </w:p>
    <w:p>
      <w:pPr>
        <w:snapToGrid w:val="0"/>
        <w:jc w:val="center"/>
        <w:rPr>
          <w:rFonts w:ascii="宋体" w:hAnsi="宋体" w:cs="宋体"/>
          <w:b/>
          <w:sz w:val="24"/>
        </w:rPr>
      </w:pPr>
      <w:r>
        <w:rPr>
          <w:rFonts w:hint="eastAsia" w:ascii="宋体" w:hAnsi="宋体" w:cs="宋体"/>
          <w:b/>
          <w:sz w:val="24"/>
        </w:rPr>
        <w:t>评标办法前附表</w:t>
      </w:r>
    </w:p>
    <w:tbl>
      <w:tblPr>
        <w:tblStyle w:val="62"/>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797"/>
        <w:gridCol w:w="910"/>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49"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eastAsia="宋体" w:cs="Times New Roman"/>
                <w:sz w:val="21"/>
                <w:szCs w:val="21"/>
              </w:rPr>
              <w:t>序号</w:t>
            </w:r>
          </w:p>
        </w:tc>
        <w:tc>
          <w:tcPr>
            <w:tcW w:w="797"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eastAsia="宋体" w:cs="Times New Roman"/>
                <w:sz w:val="21"/>
                <w:szCs w:val="21"/>
              </w:rPr>
              <w:t>评审因素</w:t>
            </w:r>
          </w:p>
        </w:tc>
        <w:tc>
          <w:tcPr>
            <w:tcW w:w="910"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eastAsia="宋体" w:cs="Times New Roman"/>
                <w:sz w:val="21"/>
                <w:szCs w:val="21"/>
              </w:rPr>
              <w:t>分值</w:t>
            </w:r>
          </w:p>
        </w:tc>
        <w:tc>
          <w:tcPr>
            <w:tcW w:w="7243"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eastAsia="宋体" w:cs="Times New Roman"/>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jc w:val="center"/>
        </w:trPr>
        <w:tc>
          <w:tcPr>
            <w:tcW w:w="649"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hint="eastAsia" w:ascii="宋体" w:hAnsi="宋体" w:eastAsia="宋体" w:cs="Times New Roman"/>
                <w:sz w:val="21"/>
                <w:szCs w:val="21"/>
                <w:lang w:val="en-US" w:eastAsia="zh-CN"/>
              </w:rPr>
            </w:pPr>
            <w:r>
              <w:rPr>
                <w:rFonts w:hint="eastAsia" w:ascii="宋体" w:hAnsi="宋体" w:cs="Times New Roman"/>
                <w:sz w:val="21"/>
                <w:szCs w:val="21"/>
                <w:lang w:val="en-US" w:eastAsia="zh-CN"/>
              </w:rPr>
              <w:t>1</w:t>
            </w:r>
          </w:p>
        </w:tc>
        <w:tc>
          <w:tcPr>
            <w:tcW w:w="797"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eastAsia="宋体" w:cs="Times New Roman"/>
                <w:sz w:val="21"/>
                <w:szCs w:val="21"/>
              </w:rPr>
              <w:t>专业化体系认证</w:t>
            </w:r>
          </w:p>
        </w:tc>
        <w:tc>
          <w:tcPr>
            <w:tcW w:w="910"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hint="eastAsia" w:ascii="宋体" w:hAnsi="宋体" w:eastAsia="宋体" w:cs="Times New Roman"/>
                <w:sz w:val="21"/>
                <w:szCs w:val="21"/>
                <w:lang w:eastAsia="zh-CN"/>
              </w:rPr>
            </w:pPr>
            <w:r>
              <w:rPr>
                <w:rFonts w:hint="eastAsia" w:ascii="宋体" w:hAnsi="宋体" w:cs="Times New Roman"/>
                <w:sz w:val="21"/>
                <w:szCs w:val="21"/>
                <w:lang w:val="en-US" w:eastAsia="zh-CN"/>
              </w:rPr>
              <w:t>3</w:t>
            </w:r>
            <w:r>
              <w:rPr>
                <w:rFonts w:hint="eastAsia" w:ascii="宋体" w:hAnsi="宋体" w:eastAsia="宋体" w:cs="Times New Roman"/>
                <w:sz w:val="21"/>
                <w:szCs w:val="21"/>
              </w:rPr>
              <w:t>分</w:t>
            </w:r>
            <w:r>
              <w:rPr>
                <w:rFonts w:hint="eastAsia" w:ascii="宋体" w:hAnsi="宋体"/>
                <w:lang w:val="en-US" w:eastAsia="zh-CN"/>
              </w:rPr>
              <w:t>（客观分）</w:t>
            </w:r>
          </w:p>
        </w:tc>
        <w:tc>
          <w:tcPr>
            <w:tcW w:w="7243" w:type="dxa"/>
            <w:vAlign w:val="center"/>
          </w:tcPr>
          <w:p>
            <w:pPr>
              <w:keepNext w:val="0"/>
              <w:keepLines w:val="0"/>
              <w:pageBreakBefore w:val="0"/>
              <w:widowControl w:val="0"/>
              <w:numPr>
                <w:ilvl w:val="0"/>
                <w:numId w:val="2"/>
              </w:numPr>
              <w:kinsoku/>
              <w:wordWrap/>
              <w:overflowPunct/>
              <w:topLinePunct w:val="0"/>
              <w:bidi w:val="0"/>
              <w:adjustRightInd w:val="0"/>
              <w:snapToGrid/>
              <w:spacing w:line="240" w:lineRule="auto"/>
              <w:ind w:left="425" w:hanging="425"/>
              <w:textAlignment w:val="auto"/>
              <w:rPr>
                <w:rFonts w:ascii="宋体" w:hAnsi="宋体" w:eastAsia="宋体" w:cs="Times New Roman"/>
                <w:sz w:val="21"/>
                <w:szCs w:val="21"/>
              </w:rPr>
            </w:pPr>
            <w:r>
              <w:rPr>
                <w:rFonts w:hint="eastAsia" w:ascii="宋体" w:hAnsi="宋体" w:eastAsia="宋体" w:cs="Times New Roman"/>
                <w:sz w:val="21"/>
                <w:szCs w:val="21"/>
              </w:rPr>
              <w:t>投标人所投实验室产品生产厂家具有有效期内的ISO9001质量管理体系认证证书（1分）；</w:t>
            </w:r>
          </w:p>
          <w:p>
            <w:pPr>
              <w:keepNext w:val="0"/>
              <w:keepLines w:val="0"/>
              <w:pageBreakBefore w:val="0"/>
              <w:widowControl w:val="0"/>
              <w:numPr>
                <w:ilvl w:val="0"/>
                <w:numId w:val="2"/>
              </w:numPr>
              <w:kinsoku/>
              <w:wordWrap/>
              <w:overflowPunct/>
              <w:topLinePunct w:val="0"/>
              <w:bidi w:val="0"/>
              <w:adjustRightInd w:val="0"/>
              <w:snapToGrid/>
              <w:spacing w:line="240" w:lineRule="auto"/>
              <w:ind w:left="425" w:hanging="425"/>
              <w:textAlignment w:val="auto"/>
              <w:rPr>
                <w:rFonts w:ascii="宋体" w:hAnsi="宋体" w:eastAsia="宋体" w:cs="Times New Roman"/>
                <w:sz w:val="21"/>
                <w:szCs w:val="21"/>
              </w:rPr>
            </w:pPr>
            <w:r>
              <w:rPr>
                <w:rFonts w:hint="eastAsia" w:ascii="宋体" w:hAnsi="宋体" w:eastAsia="宋体" w:cs="Times New Roman"/>
                <w:sz w:val="21"/>
                <w:szCs w:val="21"/>
              </w:rPr>
              <w:t>投标人所投实验室产品生产厂家具有有效期内的ISO14001环境管理体系认证证书（认证范围包含理化生实验室设备）（</w:t>
            </w:r>
            <w:r>
              <w:rPr>
                <w:rFonts w:hint="eastAsia" w:ascii="宋体" w:hAnsi="宋体" w:cs="Times New Roman"/>
                <w:sz w:val="21"/>
                <w:szCs w:val="21"/>
                <w:lang w:val="en-US" w:eastAsia="zh-CN"/>
              </w:rPr>
              <w:t>1</w:t>
            </w:r>
            <w:r>
              <w:rPr>
                <w:rFonts w:hint="eastAsia" w:ascii="宋体" w:hAnsi="宋体" w:eastAsia="宋体" w:cs="Times New Roman"/>
                <w:sz w:val="21"/>
                <w:szCs w:val="21"/>
              </w:rPr>
              <w:t>分）；</w:t>
            </w:r>
          </w:p>
          <w:p>
            <w:pPr>
              <w:keepNext w:val="0"/>
              <w:keepLines w:val="0"/>
              <w:pageBreakBefore w:val="0"/>
              <w:widowControl w:val="0"/>
              <w:numPr>
                <w:ilvl w:val="0"/>
                <w:numId w:val="2"/>
              </w:numPr>
              <w:kinsoku/>
              <w:wordWrap/>
              <w:overflowPunct/>
              <w:topLinePunct w:val="0"/>
              <w:bidi w:val="0"/>
              <w:adjustRightInd w:val="0"/>
              <w:snapToGrid/>
              <w:spacing w:line="240" w:lineRule="auto"/>
              <w:ind w:left="425" w:hanging="425"/>
              <w:textAlignment w:val="auto"/>
              <w:rPr>
                <w:rFonts w:ascii="宋体" w:hAnsi="宋体" w:eastAsia="宋体" w:cs="Times New Roman"/>
                <w:sz w:val="21"/>
                <w:szCs w:val="21"/>
              </w:rPr>
            </w:pPr>
            <w:r>
              <w:rPr>
                <w:rFonts w:hint="eastAsia" w:ascii="宋体" w:hAnsi="宋体" w:eastAsia="宋体" w:cs="Times New Roman"/>
                <w:sz w:val="21"/>
                <w:szCs w:val="21"/>
              </w:rPr>
              <w:t>投标人所投实验室产品生产厂家具有有效期内的ISO45001职业健康安全管理体系认证证书或（GB/T28001职业健康安全管理体系认证证书）（认证范围包含理化生实验室设备）（1分）；</w:t>
            </w:r>
          </w:p>
          <w:p>
            <w:pPr>
              <w:keepNext w:val="0"/>
              <w:keepLines w:val="0"/>
              <w:pageBreakBefore w:val="0"/>
              <w:widowControl w:val="0"/>
              <w:kinsoku/>
              <w:wordWrap/>
              <w:overflowPunct/>
              <w:topLinePunct w:val="0"/>
              <w:bidi w:val="0"/>
              <w:adjustRightInd w:val="0"/>
              <w:snapToGrid/>
              <w:spacing w:line="240" w:lineRule="auto"/>
              <w:ind w:left="425"/>
              <w:textAlignment w:val="auto"/>
              <w:rPr>
                <w:rFonts w:ascii="宋体" w:hAnsi="宋体" w:eastAsia="宋体" w:cs="Times New Roman"/>
                <w:sz w:val="21"/>
                <w:szCs w:val="21"/>
              </w:rPr>
            </w:pPr>
            <w:r>
              <w:rPr>
                <w:rFonts w:hint="eastAsia" w:ascii="宋体" w:hAnsi="宋体" w:eastAsia="宋体" w:cs="Times New Roman"/>
                <w:sz w:val="21"/>
                <w:szCs w:val="21"/>
              </w:rPr>
              <w:t>以上证书提供证书扫描件，证书必须在有效期内，提供全国认证认可信息公共服务平台查询截图。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649"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hint="eastAsia" w:ascii="宋体" w:hAnsi="宋体" w:eastAsia="宋体" w:cs="Times New Roman"/>
                <w:sz w:val="21"/>
                <w:szCs w:val="21"/>
                <w:lang w:val="en-US" w:eastAsia="zh-CN"/>
              </w:rPr>
            </w:pPr>
            <w:r>
              <w:rPr>
                <w:rFonts w:hint="eastAsia" w:ascii="宋体" w:hAnsi="宋体" w:cs="Times New Roman"/>
                <w:sz w:val="21"/>
                <w:szCs w:val="21"/>
                <w:lang w:val="en-US" w:eastAsia="zh-CN"/>
              </w:rPr>
              <w:t>2</w:t>
            </w:r>
          </w:p>
        </w:tc>
        <w:tc>
          <w:tcPr>
            <w:tcW w:w="797"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hint="eastAsia" w:ascii="宋体" w:hAnsi="宋体" w:eastAsia="宋体" w:cs="Times New Roman"/>
                <w:sz w:val="21"/>
                <w:szCs w:val="21"/>
              </w:rPr>
            </w:pPr>
            <w:r>
              <w:rPr>
                <w:rFonts w:hint="eastAsia" w:ascii="宋体" w:hAnsi="宋体" w:eastAsia="宋体"/>
                <w:szCs w:val="21"/>
              </w:rPr>
              <w:t>企业业绩案例</w:t>
            </w:r>
          </w:p>
        </w:tc>
        <w:tc>
          <w:tcPr>
            <w:tcW w:w="910"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lang w:val="en-US" w:eastAsia="zh-CN"/>
              </w:rPr>
              <w:t>3分（客观分）</w:t>
            </w:r>
          </w:p>
        </w:tc>
        <w:tc>
          <w:tcPr>
            <w:tcW w:w="7243" w:type="dxa"/>
            <w:vAlign w:val="center"/>
          </w:tcPr>
          <w:p>
            <w:pPr>
              <w:keepNext w:val="0"/>
              <w:keepLines w:val="0"/>
              <w:pageBreakBefore w:val="0"/>
              <w:widowControl w:val="0"/>
              <w:kinsoku/>
              <w:wordWrap/>
              <w:overflowPunct/>
              <w:topLinePunct w:val="0"/>
              <w:bidi w:val="0"/>
              <w:adjustRightInd w:val="0"/>
              <w:snapToGrid/>
              <w:spacing w:line="240" w:lineRule="auto"/>
              <w:textAlignment w:val="auto"/>
              <w:rPr>
                <w:rFonts w:hint="eastAsia" w:ascii="宋体" w:hAnsi="宋体" w:eastAsia="宋体" w:cs="Times New Roman"/>
                <w:sz w:val="21"/>
                <w:szCs w:val="21"/>
              </w:rPr>
            </w:pPr>
            <w:r>
              <w:rPr>
                <w:rFonts w:hint="eastAsia" w:ascii="宋体" w:hAnsi="宋体" w:eastAsia="宋体"/>
                <w:szCs w:val="21"/>
              </w:rPr>
              <w:t>投标人提供2021年</w:t>
            </w:r>
            <w:r>
              <w:rPr>
                <w:rFonts w:hint="eastAsia" w:ascii="宋体" w:hAnsi="宋体"/>
                <w:szCs w:val="21"/>
                <w:lang w:val="en-US" w:eastAsia="zh-CN"/>
              </w:rPr>
              <w:t>1月1日</w:t>
            </w:r>
            <w:r>
              <w:rPr>
                <w:rFonts w:hint="eastAsia" w:ascii="宋体" w:hAnsi="宋体" w:eastAsia="宋体"/>
                <w:szCs w:val="21"/>
              </w:rPr>
              <w:t>以来类似项目</w:t>
            </w:r>
            <w:r>
              <w:rPr>
                <w:rFonts w:hint="eastAsia" w:ascii="宋体" w:hAnsi="宋体"/>
                <w:szCs w:val="21"/>
                <w:lang w:eastAsia="zh-CN"/>
              </w:rPr>
              <w:t>案例，</w:t>
            </w:r>
            <w:r>
              <w:rPr>
                <w:rFonts w:hint="eastAsia" w:ascii="宋体" w:hAnsi="宋体" w:eastAsia="宋体" w:cs="Times New Roman"/>
                <w:szCs w:val="21"/>
              </w:rPr>
              <w:t>以合同签订时间为准</w:t>
            </w:r>
            <w:r>
              <w:rPr>
                <w:rFonts w:hint="eastAsia" w:ascii="宋体" w:hAnsi="宋体" w:cs="Times New Roman"/>
                <w:szCs w:val="21"/>
                <w:lang w:eastAsia="zh-CN"/>
              </w:rPr>
              <w:t>，</w:t>
            </w:r>
            <w:r>
              <w:rPr>
                <w:rFonts w:hint="eastAsia" w:ascii="宋体" w:hAnsi="宋体" w:eastAsia="宋体"/>
                <w:szCs w:val="21"/>
              </w:rPr>
              <w:t>每个得1分，最多得3分; （提供清晰的采购合同</w:t>
            </w:r>
            <w:r>
              <w:rPr>
                <w:rFonts w:hint="eastAsia" w:ascii="宋体" w:hAnsi="宋体" w:eastAsia="宋体"/>
                <w:szCs w:val="21"/>
                <w:lang w:eastAsia="zh-CN"/>
              </w:rPr>
              <w:t>、发票</w:t>
            </w:r>
            <w:r>
              <w:rPr>
                <w:rFonts w:hint="eastAsia" w:ascii="宋体" w:hAnsi="宋体" w:eastAsia="宋体"/>
                <w:szCs w:val="21"/>
              </w:rPr>
              <w:t>扫描件</w:t>
            </w:r>
            <w:r>
              <w:rPr>
                <w:rFonts w:hint="eastAsia" w:ascii="宋体" w:hAnsi="宋体"/>
                <w:szCs w:val="21"/>
                <w:lang w:eastAsia="zh-CN"/>
              </w:rPr>
              <w:t>，</w:t>
            </w:r>
            <w:r>
              <w:rPr>
                <w:rFonts w:hint="eastAsia" w:ascii="宋体" w:hAnsi="宋体" w:eastAsia="宋体"/>
                <w:szCs w:val="21"/>
              </w:rPr>
              <w:t>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649"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eastAsia="宋体" w:cs="Times New Roman"/>
                <w:sz w:val="21"/>
                <w:szCs w:val="21"/>
              </w:rPr>
              <w:t>3</w:t>
            </w:r>
          </w:p>
        </w:tc>
        <w:tc>
          <w:tcPr>
            <w:tcW w:w="797"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eastAsia="宋体" w:cs="Times New Roman"/>
                <w:sz w:val="21"/>
                <w:szCs w:val="21"/>
              </w:rPr>
              <w:t>投标产品的性能与需求</w:t>
            </w:r>
          </w:p>
        </w:tc>
        <w:tc>
          <w:tcPr>
            <w:tcW w:w="910"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cs="Times New Roman"/>
                <w:sz w:val="21"/>
                <w:szCs w:val="21"/>
                <w:lang w:val="en-US" w:eastAsia="zh-CN"/>
              </w:rPr>
              <w:t>42</w:t>
            </w:r>
            <w:r>
              <w:rPr>
                <w:rFonts w:hint="eastAsia" w:ascii="宋体" w:hAnsi="宋体" w:eastAsia="宋体" w:cs="Times New Roman"/>
                <w:sz w:val="21"/>
                <w:szCs w:val="21"/>
              </w:rPr>
              <w:t>分</w:t>
            </w:r>
            <w:r>
              <w:rPr>
                <w:rFonts w:hint="eastAsia" w:ascii="宋体" w:hAnsi="宋体"/>
                <w:lang w:val="en-US" w:eastAsia="zh-CN"/>
              </w:rPr>
              <w:t>（客观分）</w:t>
            </w:r>
          </w:p>
        </w:tc>
        <w:tc>
          <w:tcPr>
            <w:tcW w:w="7243" w:type="dxa"/>
            <w:vAlign w:val="center"/>
          </w:tcPr>
          <w:p>
            <w:pPr>
              <w:keepNext w:val="0"/>
              <w:keepLines w:val="0"/>
              <w:pageBreakBefore w:val="0"/>
              <w:widowControl w:val="0"/>
              <w:kinsoku/>
              <w:wordWrap/>
              <w:overflowPunct/>
              <w:topLinePunct w:val="0"/>
              <w:bidi w:val="0"/>
              <w:adjustRightInd w:val="0"/>
              <w:snapToGrid/>
              <w:spacing w:line="240" w:lineRule="auto"/>
              <w:textAlignment w:val="auto"/>
              <w:rPr>
                <w:rFonts w:ascii="宋体" w:hAnsi="宋体" w:eastAsia="宋体" w:cs="Times New Roman"/>
                <w:sz w:val="21"/>
                <w:szCs w:val="21"/>
              </w:rPr>
            </w:pPr>
            <w:r>
              <w:rPr>
                <w:rFonts w:hint="eastAsia" w:ascii="宋体" w:hAnsi="宋体" w:eastAsia="宋体" w:cs="Times New Roman"/>
                <w:sz w:val="21"/>
                <w:szCs w:val="21"/>
              </w:rPr>
              <w:t>根据各投标人对本次招标技术参数部分响应情况进行评定。投标人的所有技术参数满足招标要求的得满分</w:t>
            </w:r>
            <w:r>
              <w:rPr>
                <w:rFonts w:hint="eastAsia" w:ascii="宋体" w:hAnsi="宋体" w:cs="Times New Roman"/>
                <w:sz w:val="21"/>
                <w:szCs w:val="21"/>
                <w:lang w:val="en-US" w:eastAsia="zh-CN"/>
              </w:rPr>
              <w:t>42</w:t>
            </w:r>
            <w:r>
              <w:rPr>
                <w:rFonts w:hint="eastAsia" w:ascii="宋体" w:hAnsi="宋体" w:eastAsia="宋体" w:cs="Times New Roman"/>
                <w:sz w:val="21"/>
                <w:szCs w:val="21"/>
              </w:rPr>
              <w:t>分；技术参数加“★”部分为重要指标参数，投标时需提供相应证明材料，出现负偏离的有一项扣</w:t>
            </w:r>
            <w:r>
              <w:rPr>
                <w:rFonts w:ascii="宋体" w:hAnsi="宋体" w:eastAsia="宋体" w:cs="Times New Roman"/>
                <w:sz w:val="21"/>
                <w:szCs w:val="21"/>
              </w:rPr>
              <w:t>2</w:t>
            </w:r>
            <w:r>
              <w:rPr>
                <w:rFonts w:hint="eastAsia" w:ascii="宋体" w:hAnsi="宋体" w:eastAsia="宋体" w:cs="Times New Roman"/>
                <w:sz w:val="21"/>
                <w:szCs w:val="21"/>
              </w:rPr>
              <w:t>分；其他部分出现负偏离有一项扣</w:t>
            </w:r>
            <w:r>
              <w:rPr>
                <w:rFonts w:ascii="宋体" w:hAnsi="宋体" w:eastAsia="宋体" w:cs="Times New Roman"/>
                <w:sz w:val="21"/>
                <w:szCs w:val="21"/>
              </w:rPr>
              <w:t>0.5</w:t>
            </w:r>
            <w:r>
              <w:rPr>
                <w:rFonts w:hint="eastAsia" w:ascii="宋体" w:hAnsi="宋体" w:eastAsia="宋体" w:cs="Times New Roman"/>
                <w:sz w:val="21"/>
                <w:szCs w:val="21"/>
              </w:rPr>
              <w:t>分，扣完为止。</w:t>
            </w:r>
          </w:p>
          <w:p>
            <w:pPr>
              <w:keepNext w:val="0"/>
              <w:keepLines w:val="0"/>
              <w:pageBreakBefore w:val="0"/>
              <w:widowControl w:val="0"/>
              <w:kinsoku/>
              <w:wordWrap/>
              <w:overflowPunct/>
              <w:topLinePunct w:val="0"/>
              <w:bidi w:val="0"/>
              <w:adjustRightInd w:val="0"/>
              <w:snapToGrid/>
              <w:spacing w:line="240" w:lineRule="auto"/>
              <w:textAlignment w:val="auto"/>
              <w:rPr>
                <w:rFonts w:ascii="宋体" w:hAnsi="宋体" w:eastAsia="宋体" w:cs="Times New Roman"/>
                <w:sz w:val="21"/>
                <w:szCs w:val="21"/>
              </w:rPr>
            </w:pPr>
            <w:r>
              <w:rPr>
                <w:rFonts w:hint="eastAsia" w:ascii="宋体" w:hAnsi="宋体" w:eastAsia="宋体" w:cs="Times New Roman"/>
                <w:sz w:val="21"/>
                <w:szCs w:val="21"/>
              </w:rPr>
              <w:t>注：技术参数中每一条的要求为一项。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649" w:type="dxa"/>
            <w:vMerge w:val="restart"/>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ascii="宋体" w:hAnsi="宋体" w:eastAsia="宋体" w:cs="Times New Roman"/>
                <w:sz w:val="21"/>
                <w:szCs w:val="21"/>
              </w:rPr>
              <w:t>4</w:t>
            </w:r>
          </w:p>
        </w:tc>
        <w:tc>
          <w:tcPr>
            <w:tcW w:w="797" w:type="dxa"/>
            <w:vMerge w:val="restart"/>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eastAsia="宋体" w:cs="Times New Roman"/>
                <w:sz w:val="21"/>
                <w:szCs w:val="21"/>
              </w:rPr>
              <w:t>安装施工组织方案</w:t>
            </w:r>
          </w:p>
        </w:tc>
        <w:tc>
          <w:tcPr>
            <w:tcW w:w="910"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hint="eastAsia" w:ascii="宋体" w:hAnsi="宋体" w:eastAsia="宋体" w:cs="Times New Roman"/>
                <w:sz w:val="21"/>
                <w:szCs w:val="21"/>
                <w:lang w:val="en-US" w:eastAsia="zh-CN"/>
              </w:rPr>
            </w:pPr>
            <w:r>
              <w:rPr>
                <w:rFonts w:hint="eastAsia" w:ascii="宋体" w:hAnsi="宋体" w:cs="Times New Roman"/>
                <w:sz w:val="21"/>
                <w:szCs w:val="21"/>
                <w:lang w:val="en-US" w:eastAsia="zh-CN"/>
              </w:rPr>
              <w:t>6分</w:t>
            </w:r>
            <w:r>
              <w:rPr>
                <w:rFonts w:hint="eastAsia" w:ascii="宋体" w:hAnsi="宋体"/>
                <w:lang w:val="en-US" w:eastAsia="zh-CN"/>
              </w:rPr>
              <w:t>（主观分）</w:t>
            </w:r>
          </w:p>
        </w:tc>
        <w:tc>
          <w:tcPr>
            <w:tcW w:w="7243" w:type="dxa"/>
            <w:vAlign w:val="center"/>
          </w:tcPr>
          <w:p>
            <w:pPr>
              <w:keepNext w:val="0"/>
              <w:keepLines w:val="0"/>
              <w:pageBreakBefore w:val="0"/>
              <w:widowControl w:val="0"/>
              <w:numPr>
                <w:ilvl w:val="0"/>
                <w:numId w:val="3"/>
              </w:numPr>
              <w:kinsoku/>
              <w:wordWrap/>
              <w:overflowPunct/>
              <w:topLinePunct w:val="0"/>
              <w:bidi w:val="0"/>
              <w:adjustRightInd w:val="0"/>
              <w:snapToGrid/>
              <w:spacing w:line="240" w:lineRule="auto"/>
              <w:ind w:left="425" w:hanging="425"/>
              <w:textAlignment w:val="auto"/>
              <w:rPr>
                <w:rFonts w:ascii="宋体" w:hAnsi="宋体" w:eastAsia="宋体" w:cs="Times New Roman"/>
                <w:sz w:val="21"/>
                <w:szCs w:val="21"/>
              </w:rPr>
            </w:pPr>
            <w:r>
              <w:rPr>
                <w:rFonts w:hint="eastAsia" w:ascii="宋体" w:hAnsi="宋体" w:eastAsia="宋体" w:cs="Times New Roman"/>
                <w:sz w:val="21"/>
                <w:szCs w:val="21"/>
              </w:rPr>
              <w:t>针对本次项目提出的具体组织实施方案，包括详细组织实施方案</w:t>
            </w:r>
            <w:r>
              <w:rPr>
                <w:rFonts w:hint="eastAsia" w:ascii="宋体" w:hAnsi="宋体" w:cs="Times New Roman"/>
                <w:sz w:val="21"/>
                <w:szCs w:val="21"/>
                <w:lang w:eastAsia="zh-CN"/>
              </w:rPr>
              <w:t>（</w:t>
            </w:r>
            <w:r>
              <w:rPr>
                <w:rFonts w:hint="eastAsia" w:ascii="宋体" w:hAnsi="宋体" w:cs="Times New Roman"/>
                <w:sz w:val="21"/>
                <w:szCs w:val="21"/>
                <w:lang w:val="en-US" w:eastAsia="zh-CN"/>
              </w:rPr>
              <w:t>0-2分</w:t>
            </w:r>
            <w:r>
              <w:rPr>
                <w:rFonts w:hint="eastAsia" w:ascii="宋体" w:hAnsi="宋体" w:cs="Times New Roman"/>
                <w:sz w:val="21"/>
                <w:szCs w:val="21"/>
                <w:lang w:eastAsia="zh-CN"/>
              </w:rPr>
              <w:t>）</w:t>
            </w:r>
            <w:r>
              <w:rPr>
                <w:rFonts w:hint="eastAsia" w:ascii="宋体" w:hAnsi="宋体" w:eastAsia="宋体" w:cs="Times New Roman"/>
                <w:sz w:val="21"/>
                <w:szCs w:val="21"/>
              </w:rPr>
              <w:t>、文明施工措施</w:t>
            </w:r>
            <w:r>
              <w:rPr>
                <w:rFonts w:hint="eastAsia" w:ascii="宋体" w:hAnsi="宋体" w:cs="Times New Roman"/>
                <w:sz w:val="21"/>
                <w:szCs w:val="21"/>
                <w:lang w:eastAsia="zh-CN"/>
              </w:rPr>
              <w:t>（</w:t>
            </w:r>
            <w:r>
              <w:rPr>
                <w:rFonts w:hint="eastAsia" w:ascii="宋体" w:hAnsi="宋体" w:cs="Times New Roman"/>
                <w:sz w:val="21"/>
                <w:szCs w:val="21"/>
                <w:lang w:val="en-US" w:eastAsia="zh-CN"/>
              </w:rPr>
              <w:t>0-2分</w:t>
            </w:r>
            <w:r>
              <w:rPr>
                <w:rFonts w:hint="eastAsia" w:ascii="宋体" w:hAnsi="宋体" w:cs="Times New Roman"/>
                <w:sz w:val="21"/>
                <w:szCs w:val="21"/>
                <w:lang w:eastAsia="zh-CN"/>
              </w:rPr>
              <w:t>）</w:t>
            </w:r>
            <w:r>
              <w:rPr>
                <w:rFonts w:hint="eastAsia" w:ascii="宋体" w:hAnsi="宋体" w:eastAsia="宋体" w:cs="Times New Roman"/>
                <w:sz w:val="21"/>
                <w:szCs w:val="21"/>
              </w:rPr>
              <w:t>、应急预案</w:t>
            </w:r>
            <w:r>
              <w:rPr>
                <w:rFonts w:hint="eastAsia" w:ascii="宋体" w:hAnsi="宋体" w:cs="Times New Roman"/>
                <w:sz w:val="21"/>
                <w:szCs w:val="21"/>
                <w:lang w:eastAsia="zh-CN"/>
              </w:rPr>
              <w:t>（</w:t>
            </w:r>
            <w:r>
              <w:rPr>
                <w:rFonts w:hint="eastAsia" w:ascii="宋体" w:hAnsi="宋体" w:cs="Times New Roman"/>
                <w:sz w:val="21"/>
                <w:szCs w:val="21"/>
                <w:lang w:val="en-US" w:eastAsia="zh-CN"/>
              </w:rPr>
              <w:t>0-2分</w:t>
            </w:r>
            <w:r>
              <w:rPr>
                <w:rFonts w:hint="eastAsia" w:ascii="宋体" w:hAnsi="宋体" w:cs="Times New Roman"/>
                <w:sz w:val="21"/>
                <w:szCs w:val="21"/>
                <w:lang w:eastAsia="zh-CN"/>
              </w:rPr>
              <w:t>）</w:t>
            </w:r>
            <w:r>
              <w:rPr>
                <w:rFonts w:hint="eastAsia" w:ascii="宋体" w:hAnsi="宋体" w:eastAsia="宋体" w:cs="Times New Roman"/>
                <w:sz w:val="21"/>
                <w:szCs w:val="21"/>
              </w:rPr>
              <w:t>等的完整性、合理性、科学性，安装阶段沟通机制以及为保障项目顺利实施的各项措施</w:t>
            </w:r>
            <w:r>
              <w:rPr>
                <w:rFonts w:hint="eastAsia" w:ascii="宋体" w:hAnsi="宋体" w:cs="Times New Roman"/>
                <w:sz w:val="21"/>
                <w:szCs w:val="21"/>
                <w:lang w:eastAsia="zh-CN"/>
              </w:rPr>
              <w:t>，</w:t>
            </w:r>
            <w:r>
              <w:rPr>
                <w:rFonts w:hint="eastAsia" w:ascii="宋体" w:hAnsi="宋体" w:eastAsia="宋体" w:cs="Times New Roman"/>
                <w:sz w:val="21"/>
                <w:szCs w:val="21"/>
              </w:rPr>
              <w:t>由专家综合打分；</w:t>
            </w:r>
          </w:p>
          <w:p>
            <w:pPr>
              <w:keepNext w:val="0"/>
              <w:keepLines w:val="0"/>
              <w:pageBreakBefore w:val="0"/>
              <w:widowControl w:val="0"/>
              <w:numPr>
                <w:ilvl w:val="0"/>
                <w:numId w:val="0"/>
              </w:numPr>
              <w:kinsoku/>
              <w:wordWrap/>
              <w:overflowPunct/>
              <w:topLinePunct w:val="0"/>
              <w:bidi w:val="0"/>
              <w:adjustRightInd w:val="0"/>
              <w:snapToGrid/>
              <w:spacing w:line="240" w:lineRule="auto"/>
              <w:ind w:leftChars="0"/>
              <w:textAlignment w:val="auto"/>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49" w:type="dxa"/>
            <w:vMerge w:val="continue"/>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p>
        </w:tc>
        <w:tc>
          <w:tcPr>
            <w:tcW w:w="797" w:type="dxa"/>
            <w:vMerge w:val="continue"/>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p>
        </w:tc>
        <w:tc>
          <w:tcPr>
            <w:tcW w:w="910"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cs="Times New Roman"/>
                <w:sz w:val="21"/>
                <w:szCs w:val="21"/>
                <w:lang w:val="en-US" w:eastAsia="zh-CN"/>
              </w:rPr>
              <w:t>2</w:t>
            </w:r>
            <w:r>
              <w:rPr>
                <w:rFonts w:hint="eastAsia" w:ascii="宋体" w:hAnsi="宋体" w:eastAsia="宋体" w:cs="Times New Roman"/>
                <w:sz w:val="21"/>
                <w:szCs w:val="21"/>
              </w:rPr>
              <w:t>分</w:t>
            </w:r>
            <w:r>
              <w:rPr>
                <w:rFonts w:hint="eastAsia" w:ascii="宋体" w:hAnsi="宋体"/>
                <w:lang w:val="en-US" w:eastAsia="zh-CN"/>
              </w:rPr>
              <w:t>（客观分）</w:t>
            </w:r>
          </w:p>
        </w:tc>
        <w:tc>
          <w:tcPr>
            <w:tcW w:w="7243" w:type="dxa"/>
            <w:vAlign w:val="center"/>
          </w:tcPr>
          <w:p>
            <w:pPr>
              <w:keepNext w:val="0"/>
              <w:keepLines w:val="0"/>
              <w:pageBreakBefore w:val="0"/>
              <w:widowControl w:val="0"/>
              <w:numPr>
                <w:ilvl w:val="0"/>
                <w:numId w:val="3"/>
              </w:numPr>
              <w:kinsoku/>
              <w:wordWrap/>
              <w:overflowPunct/>
              <w:topLinePunct w:val="0"/>
              <w:bidi w:val="0"/>
              <w:adjustRightInd w:val="0"/>
              <w:snapToGrid/>
              <w:spacing w:line="240" w:lineRule="auto"/>
              <w:ind w:left="425" w:hanging="425"/>
              <w:textAlignment w:val="auto"/>
              <w:rPr>
                <w:rFonts w:ascii="宋体" w:hAnsi="宋体" w:eastAsia="宋体" w:cs="Times New Roman"/>
                <w:sz w:val="21"/>
                <w:szCs w:val="21"/>
              </w:rPr>
            </w:pPr>
            <w:r>
              <w:rPr>
                <w:rFonts w:hint="eastAsia" w:ascii="宋体" w:hAnsi="宋体" w:eastAsia="宋体" w:cs="Times New Roman"/>
                <w:sz w:val="21"/>
                <w:szCs w:val="21"/>
              </w:rPr>
              <w:t>施工人员具有至少一份低压电工作业证（</w:t>
            </w:r>
            <w:r>
              <w:rPr>
                <w:rFonts w:ascii="宋体" w:hAnsi="宋体" w:eastAsia="宋体" w:cs="Times New Roman"/>
                <w:sz w:val="21"/>
                <w:szCs w:val="21"/>
              </w:rPr>
              <w:t>2</w:t>
            </w:r>
            <w:r>
              <w:rPr>
                <w:rFonts w:hint="eastAsia" w:ascii="宋体" w:hAnsi="宋体" w:eastAsia="宋体" w:cs="Times New Roman"/>
                <w:sz w:val="21"/>
                <w:szCs w:val="21"/>
              </w:rPr>
              <w:t>分），</w:t>
            </w:r>
            <w:r>
              <w:rPr>
                <w:rFonts w:hint="eastAsia" w:ascii="宋体" w:hAnsi="宋体"/>
                <w:lang w:eastAsia="zh-CN"/>
              </w:rPr>
              <w:t>提供证书扫描件。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49"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bookmarkStart w:id="188" w:name="_GoBack" w:colFirst="3" w:colLast="3"/>
            <w:r>
              <w:rPr>
                <w:rFonts w:ascii="宋体" w:hAnsi="宋体" w:eastAsia="宋体" w:cs="Times New Roman"/>
                <w:sz w:val="21"/>
                <w:szCs w:val="21"/>
              </w:rPr>
              <w:t>5</w:t>
            </w:r>
          </w:p>
        </w:tc>
        <w:tc>
          <w:tcPr>
            <w:tcW w:w="797"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eastAsia="宋体" w:cs="Times New Roman"/>
                <w:sz w:val="21"/>
                <w:szCs w:val="21"/>
              </w:rPr>
              <w:t>质保期及售后服务</w:t>
            </w:r>
          </w:p>
        </w:tc>
        <w:tc>
          <w:tcPr>
            <w:tcW w:w="910"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hint="eastAsia" w:ascii="宋体" w:hAnsi="宋体" w:eastAsia="宋体" w:cs="Times New Roman"/>
                <w:sz w:val="21"/>
                <w:szCs w:val="21"/>
                <w:lang w:val="en-US" w:eastAsia="zh-CN"/>
              </w:rPr>
            </w:pPr>
            <w:r>
              <w:rPr>
                <w:rFonts w:hint="eastAsia" w:ascii="宋体" w:hAnsi="宋体" w:cs="Times New Roman"/>
                <w:sz w:val="21"/>
                <w:szCs w:val="21"/>
                <w:lang w:val="en-US" w:eastAsia="zh-CN"/>
              </w:rPr>
              <w:t>5分</w:t>
            </w:r>
            <w:r>
              <w:rPr>
                <w:rFonts w:hint="eastAsia" w:ascii="宋体" w:hAnsi="宋体"/>
                <w:lang w:val="en-US" w:eastAsia="zh-CN"/>
              </w:rPr>
              <w:t>（主观分）</w:t>
            </w:r>
          </w:p>
        </w:tc>
        <w:tc>
          <w:tcPr>
            <w:tcW w:w="7243" w:type="dxa"/>
            <w:tcBorders/>
            <w:vAlign w:val="center"/>
          </w:tcPr>
          <w:p>
            <w:pPr>
              <w:keepNext w:val="0"/>
              <w:keepLines w:val="0"/>
              <w:pageBreakBefore w:val="0"/>
              <w:widowControl w:val="0"/>
              <w:numPr>
                <w:ilvl w:val="0"/>
                <w:numId w:val="4"/>
              </w:numPr>
              <w:kinsoku/>
              <w:wordWrap/>
              <w:overflowPunct/>
              <w:topLinePunct w:val="0"/>
              <w:bidi w:val="0"/>
              <w:adjustRightInd w:val="0"/>
              <w:snapToGrid/>
              <w:spacing w:line="240" w:lineRule="auto"/>
              <w:ind w:left="420" w:hanging="420"/>
              <w:textAlignment w:val="auto"/>
              <w:rPr>
                <w:rFonts w:hint="eastAsia" w:ascii="宋体" w:hAnsi="宋体" w:eastAsia="宋体" w:cs="Times New Roman"/>
                <w:sz w:val="21"/>
                <w:szCs w:val="21"/>
              </w:rPr>
            </w:pPr>
            <w:r>
              <w:rPr>
                <w:rFonts w:hint="eastAsia" w:ascii="宋体" w:hAnsi="宋体" w:eastAsia="宋体" w:cs="Times New Roman"/>
                <w:sz w:val="21"/>
                <w:szCs w:val="21"/>
              </w:rPr>
              <w:t>售后服务年限、售后服务响应时间、售后服务人员配备、日常巡检方案、应急抢修措施等方面由专家综合打分（0-</w:t>
            </w:r>
            <w:r>
              <w:rPr>
                <w:rFonts w:hint="eastAsia" w:ascii="宋体" w:hAnsi="宋体" w:cs="Times New Roman"/>
                <w:sz w:val="21"/>
                <w:szCs w:val="21"/>
                <w:lang w:val="en-US" w:eastAsia="zh-CN"/>
              </w:rPr>
              <w:t>5</w:t>
            </w:r>
            <w:r>
              <w:rPr>
                <w:rFonts w:hint="eastAsia" w:ascii="宋体" w:hAnsi="宋体" w:eastAsia="宋体" w:cs="Times New Roman"/>
                <w:sz w:val="21"/>
                <w:szCs w:val="21"/>
              </w:rPr>
              <w:t>分）</w:t>
            </w:r>
          </w:p>
          <w:p>
            <w:pPr>
              <w:keepNext w:val="0"/>
              <w:keepLines w:val="0"/>
              <w:pageBreakBefore w:val="0"/>
              <w:widowControl w:val="0"/>
              <w:numPr>
                <w:ilvl w:val="0"/>
                <w:numId w:val="0"/>
              </w:numPr>
              <w:kinsoku/>
              <w:wordWrap/>
              <w:overflowPunct/>
              <w:topLinePunct w:val="0"/>
              <w:bidi w:val="0"/>
              <w:adjustRightInd w:val="0"/>
              <w:snapToGrid/>
              <w:spacing w:line="240" w:lineRule="auto"/>
              <w:ind w:leftChars="0"/>
              <w:textAlignment w:val="auto"/>
              <w:rPr>
                <w:rFonts w:ascii="宋体" w:hAnsi="宋体" w:eastAsia="宋体" w:cs="Times New Roman"/>
                <w:sz w:val="21"/>
                <w:szCs w:val="21"/>
              </w:rPr>
            </w:pPr>
          </w:p>
          <w:p>
            <w:pPr>
              <w:keepNext w:val="0"/>
              <w:keepLines w:val="0"/>
              <w:pageBreakBefore w:val="0"/>
              <w:widowControl w:val="0"/>
              <w:numPr>
                <w:ilvl w:val="0"/>
                <w:numId w:val="0"/>
              </w:numPr>
              <w:kinsoku/>
              <w:wordWrap/>
              <w:overflowPunct/>
              <w:topLinePunct w:val="0"/>
              <w:bidi w:val="0"/>
              <w:adjustRightInd w:val="0"/>
              <w:snapToGrid/>
              <w:spacing w:line="240" w:lineRule="auto"/>
              <w:ind w:leftChars="0"/>
              <w:textAlignment w:val="auto"/>
              <w:rPr>
                <w:rFonts w:ascii="宋体" w:hAnsi="宋体" w:eastAsia="宋体" w:cs="Times New Roman"/>
                <w:sz w:val="21"/>
                <w:szCs w:val="21"/>
              </w:rPr>
            </w:pPr>
          </w:p>
        </w:tc>
      </w:tr>
      <w:bookmarkEnd w:id="1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49"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ascii="宋体" w:hAnsi="宋体" w:eastAsia="宋体" w:cs="Times New Roman"/>
                <w:sz w:val="21"/>
                <w:szCs w:val="21"/>
              </w:rPr>
              <w:t>6</w:t>
            </w:r>
          </w:p>
        </w:tc>
        <w:tc>
          <w:tcPr>
            <w:tcW w:w="797"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eastAsia="宋体" w:cs="Times New Roman"/>
                <w:sz w:val="21"/>
                <w:szCs w:val="21"/>
              </w:rPr>
              <w:t>培训方案</w:t>
            </w:r>
          </w:p>
        </w:tc>
        <w:tc>
          <w:tcPr>
            <w:tcW w:w="910"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ascii="宋体" w:hAnsi="宋体" w:eastAsia="宋体" w:cs="Times New Roman"/>
                <w:sz w:val="21"/>
                <w:szCs w:val="21"/>
              </w:rPr>
              <w:t>3</w:t>
            </w:r>
            <w:r>
              <w:rPr>
                <w:rFonts w:hint="eastAsia" w:ascii="宋体" w:hAnsi="宋体" w:eastAsia="宋体" w:cs="Times New Roman"/>
                <w:sz w:val="21"/>
                <w:szCs w:val="21"/>
              </w:rPr>
              <w:t>分</w:t>
            </w:r>
            <w:r>
              <w:rPr>
                <w:rFonts w:hint="eastAsia" w:ascii="宋体" w:hAnsi="宋体"/>
                <w:lang w:val="en-US" w:eastAsia="zh-CN"/>
              </w:rPr>
              <w:t>（主观分）</w:t>
            </w:r>
          </w:p>
        </w:tc>
        <w:tc>
          <w:tcPr>
            <w:tcW w:w="724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ascii="宋体" w:hAnsi="宋体" w:eastAsia="宋体" w:cs="Arial"/>
                <w:snapToGrid w:val="0"/>
                <w:kern w:val="2"/>
                <w:sz w:val="21"/>
                <w:szCs w:val="21"/>
                <w:lang w:val="zh-CN" w:eastAsia="zh-CN" w:bidi="ar-SA"/>
              </w:rPr>
            </w:pPr>
            <w:r>
              <w:rPr>
                <w:rFonts w:hint="eastAsia" w:ascii="宋体" w:hAnsi="宋体" w:eastAsia="宋体" w:cs="Arial"/>
                <w:snapToGrid w:val="0"/>
                <w:kern w:val="2"/>
                <w:sz w:val="21"/>
                <w:szCs w:val="21"/>
                <w:lang w:val="zh-CN" w:eastAsia="zh-CN" w:bidi="ar-SA"/>
              </w:rPr>
              <w:t>对本次项目提出的培训方案（包括功能操作、故障检查和处理等内容），根据方案的完整性、可行性，由专家综合打分（0-</w:t>
            </w:r>
            <w:r>
              <w:rPr>
                <w:rFonts w:ascii="宋体" w:hAnsi="宋体" w:eastAsia="宋体" w:cs="Arial"/>
                <w:snapToGrid w:val="0"/>
                <w:kern w:val="2"/>
                <w:sz w:val="21"/>
                <w:szCs w:val="21"/>
                <w:lang w:val="zh-CN" w:eastAsia="zh-CN" w:bidi="ar-SA"/>
              </w:rPr>
              <w:t>3</w:t>
            </w:r>
            <w:r>
              <w:rPr>
                <w:rFonts w:hint="eastAsia" w:ascii="宋体" w:hAnsi="宋体" w:eastAsia="宋体" w:cs="Arial"/>
                <w:snapToGrid w:val="0"/>
                <w:kern w:val="2"/>
                <w:sz w:val="21"/>
                <w:szCs w:val="21"/>
                <w:lang w:val="zh-CN"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649"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ascii="宋体" w:hAnsi="宋体" w:eastAsia="宋体" w:cs="Times New Roman"/>
                <w:sz w:val="21"/>
                <w:szCs w:val="21"/>
              </w:rPr>
              <w:t>7</w:t>
            </w:r>
          </w:p>
        </w:tc>
        <w:tc>
          <w:tcPr>
            <w:tcW w:w="797"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hint="eastAsia" w:ascii="宋体" w:hAnsi="宋体" w:eastAsia="宋体" w:cs="Times New Roman"/>
                <w:sz w:val="21"/>
                <w:szCs w:val="21"/>
              </w:rPr>
              <w:t>投标方案总体设计</w:t>
            </w:r>
          </w:p>
        </w:tc>
        <w:tc>
          <w:tcPr>
            <w:tcW w:w="910"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ascii="宋体" w:hAnsi="宋体" w:eastAsia="宋体" w:cs="Times New Roman"/>
                <w:sz w:val="21"/>
                <w:szCs w:val="21"/>
              </w:rPr>
            </w:pPr>
            <w:r>
              <w:rPr>
                <w:rFonts w:ascii="宋体" w:hAnsi="宋体" w:eastAsia="宋体" w:cs="Times New Roman"/>
                <w:sz w:val="21"/>
                <w:szCs w:val="21"/>
              </w:rPr>
              <w:t>6</w:t>
            </w:r>
            <w:r>
              <w:rPr>
                <w:rFonts w:hint="eastAsia" w:ascii="宋体" w:hAnsi="宋体" w:eastAsia="宋体" w:cs="Times New Roman"/>
                <w:sz w:val="21"/>
                <w:szCs w:val="21"/>
              </w:rPr>
              <w:t>分</w:t>
            </w:r>
            <w:r>
              <w:rPr>
                <w:rFonts w:hint="eastAsia" w:ascii="宋体" w:hAnsi="宋体"/>
                <w:lang w:val="en-US" w:eastAsia="zh-CN"/>
              </w:rPr>
              <w:t>（主观分）</w:t>
            </w:r>
          </w:p>
        </w:tc>
        <w:tc>
          <w:tcPr>
            <w:tcW w:w="7243" w:type="dxa"/>
            <w:vAlign w:val="center"/>
          </w:tcPr>
          <w:p>
            <w:pPr>
              <w:keepNext w:val="0"/>
              <w:keepLines w:val="0"/>
              <w:pageBreakBefore w:val="0"/>
              <w:widowControl w:val="0"/>
              <w:kinsoku/>
              <w:wordWrap/>
              <w:overflowPunct/>
              <w:topLinePunct w:val="0"/>
              <w:bidi w:val="0"/>
              <w:adjustRightInd w:val="0"/>
              <w:snapToGrid/>
              <w:spacing w:line="240" w:lineRule="auto"/>
              <w:textAlignment w:val="auto"/>
              <w:rPr>
                <w:rFonts w:ascii="宋体" w:hAnsi="宋体" w:eastAsia="宋体" w:cs="Times New Roman"/>
                <w:sz w:val="21"/>
                <w:szCs w:val="21"/>
              </w:rPr>
            </w:pPr>
            <w:r>
              <w:rPr>
                <w:rFonts w:hint="eastAsia" w:ascii="宋体" w:hAnsi="宋体" w:eastAsia="宋体" w:cs="Times New Roman"/>
                <w:sz w:val="21"/>
                <w:szCs w:val="21"/>
              </w:rPr>
              <w:t>投标人根据各室设备要求，提供整体效果图</w:t>
            </w:r>
            <w:r>
              <w:rPr>
                <w:rFonts w:hint="eastAsia" w:ascii="宋体" w:hAnsi="宋体" w:cs="Times New Roman"/>
                <w:sz w:val="21"/>
                <w:szCs w:val="21"/>
                <w:lang w:eastAsia="zh-CN"/>
              </w:rPr>
              <w:t>（</w:t>
            </w:r>
            <w:r>
              <w:rPr>
                <w:rFonts w:hint="eastAsia" w:ascii="宋体" w:hAnsi="宋体" w:cs="Times New Roman"/>
                <w:sz w:val="21"/>
                <w:szCs w:val="21"/>
                <w:lang w:val="en-US" w:eastAsia="zh-CN"/>
              </w:rPr>
              <w:t>0-2分</w:t>
            </w:r>
            <w:r>
              <w:rPr>
                <w:rFonts w:hint="eastAsia" w:ascii="宋体" w:hAnsi="宋体" w:cs="Times New Roman"/>
                <w:sz w:val="21"/>
                <w:szCs w:val="21"/>
                <w:lang w:eastAsia="zh-CN"/>
              </w:rPr>
              <w:t>）</w:t>
            </w:r>
            <w:r>
              <w:rPr>
                <w:rFonts w:hint="eastAsia" w:ascii="宋体" w:hAnsi="宋体" w:eastAsia="宋体" w:cs="Times New Roman"/>
                <w:sz w:val="21"/>
                <w:szCs w:val="21"/>
              </w:rPr>
              <w:t>、平面图</w:t>
            </w:r>
            <w:r>
              <w:rPr>
                <w:rFonts w:hint="eastAsia" w:ascii="宋体" w:hAnsi="宋体" w:cs="Times New Roman"/>
                <w:sz w:val="21"/>
                <w:szCs w:val="21"/>
                <w:lang w:eastAsia="zh-CN"/>
              </w:rPr>
              <w:t>（</w:t>
            </w:r>
            <w:r>
              <w:rPr>
                <w:rFonts w:hint="eastAsia" w:ascii="宋体" w:hAnsi="宋体" w:cs="Times New Roman"/>
                <w:sz w:val="21"/>
                <w:szCs w:val="21"/>
                <w:lang w:val="en-US" w:eastAsia="zh-CN"/>
              </w:rPr>
              <w:t>0-2分</w:t>
            </w:r>
            <w:r>
              <w:rPr>
                <w:rFonts w:hint="eastAsia" w:ascii="宋体" w:hAnsi="宋体" w:cs="Times New Roman"/>
                <w:sz w:val="21"/>
                <w:szCs w:val="21"/>
                <w:lang w:eastAsia="zh-CN"/>
              </w:rPr>
              <w:t>）</w:t>
            </w:r>
            <w:r>
              <w:rPr>
                <w:rFonts w:hint="eastAsia" w:ascii="宋体" w:hAnsi="宋体" w:eastAsia="宋体" w:cs="Times New Roman"/>
                <w:sz w:val="21"/>
                <w:szCs w:val="21"/>
              </w:rPr>
              <w:t>、水电布置图</w:t>
            </w:r>
            <w:r>
              <w:rPr>
                <w:rFonts w:hint="eastAsia" w:ascii="宋体" w:hAnsi="宋体" w:cs="Times New Roman"/>
                <w:sz w:val="21"/>
                <w:szCs w:val="21"/>
                <w:lang w:eastAsia="zh-CN"/>
              </w:rPr>
              <w:t>（</w:t>
            </w:r>
            <w:r>
              <w:rPr>
                <w:rFonts w:hint="eastAsia" w:ascii="宋体" w:hAnsi="宋体" w:cs="Times New Roman"/>
                <w:sz w:val="21"/>
                <w:szCs w:val="21"/>
                <w:lang w:val="en-US" w:eastAsia="zh-CN"/>
              </w:rPr>
              <w:t>0-2分</w:t>
            </w:r>
            <w:r>
              <w:rPr>
                <w:rFonts w:hint="eastAsia" w:ascii="宋体" w:hAnsi="宋体" w:cs="Times New Roman"/>
                <w:sz w:val="21"/>
                <w:szCs w:val="21"/>
                <w:lang w:eastAsia="zh-CN"/>
              </w:rPr>
              <w:t>）</w:t>
            </w:r>
            <w:r>
              <w:rPr>
                <w:rFonts w:hint="eastAsia" w:ascii="宋体" w:hAnsi="宋体" w:eastAsia="宋体" w:cs="Times New Roman"/>
                <w:sz w:val="21"/>
                <w:szCs w:val="21"/>
              </w:rPr>
              <w:t>。根据环境布局设计是否全面、合理、科学等方面由</w:t>
            </w:r>
            <w:r>
              <w:rPr>
                <w:rFonts w:hint="eastAsia" w:ascii="宋体" w:hAnsi="宋体" w:cs="Times New Roman"/>
                <w:sz w:val="21"/>
                <w:szCs w:val="21"/>
                <w:lang w:eastAsia="zh-CN"/>
              </w:rPr>
              <w:t>专家</w:t>
            </w:r>
            <w:r>
              <w:rPr>
                <w:rFonts w:hint="eastAsia" w:ascii="宋体" w:hAnsi="宋体" w:eastAsia="宋体" w:cs="Times New Roman"/>
                <w:sz w:val="21"/>
                <w:szCs w:val="21"/>
              </w:rPr>
              <w:t>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649"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hint="eastAsia" w:ascii="宋体" w:hAnsi="宋体" w:eastAsia="宋体" w:cs="Times New Roman"/>
                <w:sz w:val="21"/>
                <w:szCs w:val="21"/>
                <w:lang w:val="en-US" w:eastAsia="zh-CN"/>
              </w:rPr>
            </w:pPr>
            <w:r>
              <w:rPr>
                <w:rFonts w:hint="eastAsia" w:ascii="宋体" w:hAnsi="宋体" w:cs="Times New Roman"/>
                <w:sz w:val="21"/>
                <w:szCs w:val="21"/>
                <w:lang w:val="en-US" w:eastAsia="zh-CN"/>
              </w:rPr>
              <w:t>8</w:t>
            </w:r>
          </w:p>
        </w:tc>
        <w:tc>
          <w:tcPr>
            <w:tcW w:w="797"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hint="eastAsia" w:ascii="宋体" w:hAnsi="宋体" w:eastAsia="宋体" w:cs="Times New Roman"/>
                <w:sz w:val="21"/>
                <w:szCs w:val="21"/>
              </w:rPr>
            </w:pPr>
            <w:r>
              <w:rPr>
                <w:rFonts w:hint="eastAsia" w:ascii="宋体" w:hAnsi="宋体" w:eastAsia="宋体" w:cs="Times New Roman"/>
                <w:sz w:val="21"/>
                <w:szCs w:val="21"/>
              </w:rPr>
              <w:t>投标报价</w:t>
            </w:r>
          </w:p>
        </w:tc>
        <w:tc>
          <w:tcPr>
            <w:tcW w:w="910" w:type="dxa"/>
            <w:vAlign w:val="center"/>
          </w:tcPr>
          <w:p>
            <w:pPr>
              <w:keepNext w:val="0"/>
              <w:keepLines w:val="0"/>
              <w:pageBreakBefore w:val="0"/>
              <w:widowControl w:val="0"/>
              <w:kinsoku/>
              <w:wordWrap/>
              <w:overflowPunct/>
              <w:topLinePunct w:val="0"/>
              <w:bidi w:val="0"/>
              <w:adjustRightInd w:val="0"/>
              <w:snapToGrid/>
              <w:spacing w:line="240" w:lineRule="auto"/>
              <w:jc w:val="center"/>
              <w:textAlignment w:val="auto"/>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30分</w:t>
            </w:r>
          </w:p>
        </w:tc>
        <w:tc>
          <w:tcPr>
            <w:tcW w:w="7243" w:type="dxa"/>
            <w:vAlign w:val="center"/>
          </w:tcPr>
          <w:p>
            <w:pPr>
              <w:spacing w:line="360" w:lineRule="auto"/>
              <w:rPr>
                <w:rFonts w:hint="eastAsia" w:ascii="宋体" w:hAnsi="宋体" w:eastAsia="宋体"/>
              </w:rPr>
            </w:pPr>
            <w:r>
              <w:rPr>
                <w:rFonts w:hint="eastAsia" w:ascii="宋体" w:hAnsi="宋体" w:eastAsia="宋体"/>
              </w:rPr>
              <w:t>有效投标报价的最低价作为评标基准价，其最低报价为满分；按［投标报价得分=（评标基准价/投标报价）*权重］的计算公式计算。</w:t>
            </w:r>
          </w:p>
          <w:p>
            <w:pPr>
              <w:spacing w:line="360" w:lineRule="auto"/>
              <w:rPr>
                <w:rFonts w:hint="eastAsia" w:ascii="宋体" w:hAnsi="宋体" w:eastAsia="宋体"/>
              </w:rPr>
            </w:pPr>
            <w:r>
              <w:rPr>
                <w:rFonts w:hint="eastAsia" w:ascii="宋体" w:hAnsi="宋体" w:eastAsia="宋体"/>
              </w:rPr>
              <w:t>评标过程中，不得去掉报价中的最高报价和最低报价。</w:t>
            </w:r>
          </w:p>
          <w:p>
            <w:pPr>
              <w:keepNext w:val="0"/>
              <w:keepLines w:val="0"/>
              <w:pageBreakBefore w:val="0"/>
              <w:widowControl w:val="0"/>
              <w:kinsoku/>
              <w:wordWrap/>
              <w:overflowPunct/>
              <w:topLinePunct w:val="0"/>
              <w:bidi w:val="0"/>
              <w:adjustRightInd w:val="0"/>
              <w:snapToGrid/>
              <w:spacing w:line="240" w:lineRule="auto"/>
              <w:textAlignment w:val="auto"/>
              <w:rPr>
                <w:rFonts w:hint="eastAsia" w:ascii="宋体" w:hAnsi="宋体" w:eastAsia="宋体" w:cs="Times New Roman"/>
                <w:sz w:val="21"/>
                <w:szCs w:val="21"/>
              </w:rPr>
            </w:pPr>
          </w:p>
        </w:tc>
      </w:tr>
    </w:tbl>
    <w:p/>
    <w:p>
      <w:pPr>
        <w:snapToGrid w:val="0"/>
        <w:rPr>
          <w:rFonts w:ascii="宋体" w:hAnsi="宋体" w:cs="宋体"/>
          <w:b/>
          <w:sz w:val="24"/>
        </w:rPr>
      </w:pPr>
      <w:r>
        <w:rPr>
          <w:rFonts w:hint="eastAsia" w:ascii="宋体" w:hAnsi="宋体" w:cs="宋体"/>
          <w:sz w:val="24"/>
          <w:shd w:val="clear" w:color="auto" w:fill="FFFFFF"/>
        </w:rPr>
        <w:t>*</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rPr>
          <w:rFonts w:ascii="宋体" w:hAnsi="宋体" w:cs="宋体"/>
          <w:b/>
          <w:sz w:val="24"/>
        </w:rPr>
      </w:pPr>
      <w:r>
        <w:rPr>
          <w:rFonts w:hint="eastAsia" w:ascii="宋体" w:hAnsi="宋体" w:cs="宋体"/>
          <w:b/>
          <w:sz w:val="24"/>
        </w:rPr>
        <w:t>一、评标方法</w:t>
      </w:r>
    </w:p>
    <w:p>
      <w:pPr>
        <w:adjustRightInd/>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rPr>
          <w:rFonts w:ascii="宋体" w:hAnsi="宋体" w:cs="宋体"/>
          <w:kern w:val="0"/>
          <w:sz w:val="24"/>
        </w:rPr>
      </w:pPr>
      <w:r>
        <w:rPr>
          <w:rFonts w:hint="eastAsia" w:ascii="宋体" w:hAnsi="宋体" w:cs="宋体"/>
          <w:b/>
          <w:sz w:val="24"/>
        </w:rPr>
        <w:t>二、评标标准</w:t>
      </w:r>
    </w:p>
    <w:p>
      <w:pPr>
        <w:ind w:firstLine="472" w:firstLineChars="196"/>
        <w:rPr>
          <w:rFonts w:ascii="宋体" w:hAnsi="宋体" w:cs="宋体"/>
          <w:b/>
          <w:sz w:val="24"/>
        </w:rPr>
      </w:pPr>
      <w:r>
        <w:rPr>
          <w:rFonts w:hint="eastAsia" w:ascii="宋体" w:hAnsi="宋体" w:cs="宋体"/>
          <w:b/>
          <w:sz w:val="24"/>
        </w:rPr>
        <w:t>2.</w:t>
      </w:r>
      <w:r>
        <w:rPr>
          <w:rFonts w:hint="eastAsia" w:ascii="宋体" w:hAnsi="宋体" w:cs="宋体"/>
          <w:sz w:val="24"/>
        </w:rPr>
        <w:t xml:space="preserve"> </w:t>
      </w:r>
      <w:r>
        <w:rPr>
          <w:rFonts w:hint="eastAsia" w:ascii="宋体" w:hAnsi="宋体" w:cs="宋体"/>
          <w:b/>
          <w:sz w:val="24"/>
        </w:rPr>
        <w:t>评标标准：</w:t>
      </w:r>
      <w:r>
        <w:rPr>
          <w:rFonts w:hint="eastAsia" w:ascii="宋体" w:hAnsi="宋体" w:cs="宋体"/>
          <w:kern w:val="0"/>
          <w:sz w:val="24"/>
        </w:rPr>
        <w:t>见评标办法前附表。</w:t>
      </w:r>
    </w:p>
    <w:p>
      <w:pPr>
        <w:outlineLvl w:val="0"/>
        <w:rPr>
          <w:rFonts w:ascii="宋体" w:hAnsi="宋体" w:cs="宋体"/>
          <w:b/>
          <w:sz w:val="24"/>
        </w:rPr>
      </w:pPr>
      <w:r>
        <w:rPr>
          <w:rFonts w:hint="eastAsia" w:ascii="宋体" w:hAnsi="宋体" w:cs="宋体"/>
          <w:b/>
          <w:sz w:val="24"/>
        </w:rPr>
        <w:t>三、评标程序</w:t>
      </w:r>
    </w:p>
    <w:p>
      <w:pPr>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ind w:firstLine="472" w:firstLineChars="196"/>
        <w:rPr>
          <w:rFonts w:ascii="宋体" w:hAnsi="宋体" w:cs="宋体"/>
          <w:b/>
          <w:kern w:val="0"/>
          <w:sz w:val="24"/>
        </w:rPr>
      </w:pPr>
      <w:r>
        <w:rPr>
          <w:rFonts w:hint="eastAsia" w:ascii="宋体" w:hAnsi="宋体" w:cs="宋体"/>
          <w:b/>
          <w:kern w:val="0"/>
          <w:sz w:val="24"/>
        </w:rPr>
        <w:t>3.4报价评审。</w:t>
      </w:r>
    </w:p>
    <w:p>
      <w:pPr>
        <w:pStyle w:val="129"/>
        <w:spacing w:before="0" w:line="240" w:lineRule="auto"/>
        <w:ind w:firstLine="508" w:firstLineChars="212"/>
        <w:rPr>
          <w:rFonts w:ascii="宋体" w:hAnsi="宋体" w:cs="宋体"/>
          <w:kern w:val="0"/>
          <w:szCs w:val="24"/>
        </w:rPr>
      </w:pPr>
      <w:r>
        <w:rPr>
          <w:rFonts w:hint="eastAsia" w:ascii="宋体" w:hAnsi="宋体" w:cs="宋体"/>
          <w:kern w:val="0"/>
          <w:szCs w:val="24"/>
        </w:rPr>
        <w:t>3.4.1投标文件报价出现前后不一致的，按照下列规定修正：</w:t>
      </w:r>
    </w:p>
    <w:p>
      <w:pPr>
        <w:pStyle w:val="129"/>
        <w:spacing w:before="0" w:line="240" w:lineRule="auto"/>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9"/>
        <w:spacing w:before="0" w:line="240" w:lineRule="auto"/>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9"/>
        <w:spacing w:before="0" w:line="240" w:lineRule="auto"/>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9"/>
        <w:spacing w:before="0" w:line="240" w:lineRule="auto"/>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9"/>
        <w:spacing w:before="0" w:line="240" w:lineRule="auto"/>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9"/>
        <w:spacing w:before="0" w:line="240" w:lineRule="auto"/>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line="240" w:lineRule="auto"/>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w:t>
      </w:r>
      <w:r>
        <w:rPr>
          <w:rFonts w:hint="eastAsia" w:ascii="宋体" w:hAnsi="宋体" w:cs="宋体"/>
          <w:color w:val="FF0000"/>
          <w:kern w:val="0"/>
          <w:szCs w:val="24"/>
        </w:rPr>
        <w:t>20%</w:t>
      </w:r>
      <w:r>
        <w:rPr>
          <w:rFonts w:hint="eastAsia" w:ascii="宋体" w:hAnsi="宋体" w:cs="宋体"/>
          <w:kern w:val="0"/>
          <w:szCs w:val="24"/>
        </w:rPr>
        <w:t>的扣除，用扣除后的价格参与评审。</w:t>
      </w:r>
    </w:p>
    <w:p>
      <w:pPr>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numPr>
          <w:ilvl w:val="0"/>
          <w:numId w:val="5"/>
        </w:numPr>
        <w:shd w:val="clear" w:color="auto" w:fill="FFFFFF"/>
        <w:adjustRightInd/>
        <w:jc w:val="left"/>
        <w:rPr>
          <w:rFonts w:ascii="宋体" w:hAnsi="宋体" w:cs="宋体"/>
          <w:b/>
          <w:sz w:val="24"/>
        </w:rPr>
      </w:pPr>
      <w:r>
        <w:rPr>
          <w:rFonts w:hint="eastAsia" w:ascii="宋体" w:hAnsi="宋体" w:cs="宋体"/>
          <w:b/>
          <w:sz w:val="24"/>
        </w:rPr>
        <w:t>评标中的其他事项</w:t>
      </w:r>
    </w:p>
    <w:p>
      <w:pPr>
        <w:widowControl/>
        <w:shd w:val="clear" w:color="auto" w:fill="FFFFFF"/>
        <w:adjustRightInd/>
        <w:ind w:firstLine="482" w:firstLineChars="200"/>
        <w:jc w:val="left"/>
        <w:rPr>
          <w:rFonts w:ascii="宋体" w:hAnsi="宋体" w:cs="宋体"/>
          <w:kern w:val="0"/>
          <w:sz w:val="24"/>
        </w:rPr>
      </w:pPr>
      <w:r>
        <w:rPr>
          <w:rFonts w:hint="eastAsia" w:ascii="宋体" w:hAnsi="宋体" w:cs="宋体"/>
          <w:b/>
          <w:kern w:val="0"/>
          <w:sz w:val="24"/>
        </w:rPr>
        <w:t>4.1投标人澄清、说明或者补正。</w:t>
      </w:r>
      <w:r>
        <w:rPr>
          <w:rFonts w:hint="eastAsia" w:ascii="宋体" w:hAnsi="宋体" w:cs="宋体"/>
          <w:kern w:val="0"/>
          <w:sz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240" w:lineRule="auto"/>
        <w:ind w:left="954" w:leftChars="226" w:hanging="479" w:firstLineChars="0"/>
        <w:rPr>
          <w:rFonts w:cs="宋体"/>
        </w:rPr>
      </w:pPr>
      <w:r>
        <w:rPr>
          <w:rFonts w:hint="eastAsia" w:cs="宋体"/>
          <w:b/>
          <w:kern w:val="0"/>
        </w:rPr>
        <w:t>4.2投标无效。</w:t>
      </w:r>
      <w:r>
        <w:rPr>
          <w:rFonts w:hint="eastAsia" w:cs="宋体"/>
        </w:rPr>
        <w:t>有下列情形之一的，投标无效：</w:t>
      </w:r>
    </w:p>
    <w:p>
      <w:pPr>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ind w:firstLine="480" w:firstLineChars="200"/>
        <w:rPr>
          <w:rFonts w:ascii="宋体" w:hAnsi="宋体" w:cs="宋体"/>
          <w:kern w:val="0"/>
          <w:sz w:val="24"/>
        </w:rPr>
      </w:pPr>
      <w:r>
        <w:rPr>
          <w:rFonts w:hint="eastAsia" w:ascii="宋体" w:hAnsi="宋体" w:cs="宋体"/>
          <w:kern w:val="0"/>
          <w:sz w:val="24"/>
        </w:rPr>
        <w:t>4.2.10投标人提供虚假材料投标的；</w:t>
      </w:r>
    </w:p>
    <w:p>
      <w:pPr>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pStyle w:val="5"/>
        <w:spacing w:line="240" w:lineRule="auto"/>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4.2.12 投标文件不满足招标文件的其它实质性要求的；</w:t>
      </w:r>
    </w:p>
    <w:p>
      <w:pPr>
        <w:ind w:firstLine="480" w:firstLineChars="200"/>
        <w:rPr>
          <w:rFonts w:ascii="宋体" w:hAnsi="宋体" w:cs="宋体"/>
          <w:kern w:val="0"/>
          <w:sz w:val="24"/>
        </w:rPr>
      </w:pPr>
      <w:r>
        <w:rPr>
          <w:rFonts w:hint="eastAsia" w:ascii="宋体" w:hAnsi="宋体" w:cs="宋体"/>
          <w:kern w:val="0"/>
          <w:sz w:val="24"/>
        </w:rPr>
        <w:t>4.2.13法律、法规、规章（适用本市的）及省级以上规范性文件（适用本市的）规定的其他无效情形。</w:t>
      </w:r>
    </w:p>
    <w:p>
      <w:pPr>
        <w:pStyle w:val="25"/>
        <w:snapToGrid w:val="0"/>
        <w:spacing w:line="24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240" w:lineRule="auto"/>
        <w:rPr>
          <w:rFonts w:cs="宋体"/>
        </w:rPr>
      </w:pPr>
      <w:r>
        <w:rPr>
          <w:rFonts w:hint="eastAsia" w:cs="宋体"/>
        </w:rPr>
        <w:t>5.1符合专业条件的供应商或者对招标文件作实质响应的供应商不足3家的；</w:t>
      </w:r>
    </w:p>
    <w:p>
      <w:pPr>
        <w:pStyle w:val="25"/>
        <w:snapToGrid w:val="0"/>
        <w:spacing w:line="240" w:lineRule="auto"/>
        <w:rPr>
          <w:rFonts w:cs="宋体"/>
        </w:rPr>
      </w:pPr>
      <w:r>
        <w:rPr>
          <w:rFonts w:hint="eastAsia" w:cs="宋体"/>
        </w:rPr>
        <w:t>5.2出现影响采购公正的违法、违规行为的；</w:t>
      </w:r>
    </w:p>
    <w:p>
      <w:pPr>
        <w:pStyle w:val="25"/>
        <w:snapToGrid w:val="0"/>
        <w:spacing w:line="240" w:lineRule="auto"/>
        <w:rPr>
          <w:rFonts w:cs="宋体"/>
        </w:rPr>
      </w:pPr>
      <w:r>
        <w:rPr>
          <w:rFonts w:hint="eastAsia" w:cs="宋体"/>
        </w:rPr>
        <w:t>5.3投标人的报价均超过了采购预算，采购人不能支付的；</w:t>
      </w:r>
    </w:p>
    <w:p>
      <w:pPr>
        <w:pStyle w:val="25"/>
        <w:snapToGrid w:val="0"/>
        <w:spacing w:line="240" w:lineRule="auto"/>
        <w:rPr>
          <w:rFonts w:cs="宋体"/>
        </w:rPr>
      </w:pPr>
      <w:r>
        <w:rPr>
          <w:rFonts w:hint="eastAsia" w:cs="宋体"/>
        </w:rPr>
        <w:t>5.4因重大变故，采购任务取消的。</w:t>
      </w:r>
    </w:p>
    <w:p>
      <w:pPr>
        <w:pStyle w:val="25"/>
        <w:snapToGrid w:val="0"/>
        <w:spacing w:line="240" w:lineRule="auto"/>
        <w:rPr>
          <w:rFonts w:cs="宋体"/>
        </w:rPr>
      </w:pPr>
      <w:r>
        <w:rPr>
          <w:rFonts w:hint="eastAsia" w:cs="宋体"/>
        </w:rPr>
        <w:t>废标后，采购代理机构应当将废标理由通知所有投标人。</w:t>
      </w:r>
    </w:p>
    <w:p>
      <w:pPr>
        <w:pStyle w:val="25"/>
        <w:snapToGrid w:val="0"/>
        <w:spacing w:line="24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24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240" w:lineRule="auto"/>
        <w:rPr>
          <w:rFonts w:cs="宋体"/>
          <w:color w:val="auto"/>
        </w:rPr>
      </w:pPr>
      <w:r>
        <w:rPr>
          <w:rFonts w:hint="eastAsia" w:cs="宋体"/>
        </w:rPr>
        <w:t>7.1未确定中标供应商的</w:t>
      </w:r>
      <w:r>
        <w:rPr>
          <w:rFonts w:hint="eastAsia" w:cs="宋体"/>
          <w:color w:val="auto"/>
        </w:rPr>
        <w:t>，终止本次政府采购活动，重新开展政府采购活动。</w:t>
      </w:r>
    </w:p>
    <w:p>
      <w:pPr>
        <w:pStyle w:val="25"/>
        <w:snapToGrid w:val="0"/>
        <w:spacing w:line="240" w:lineRule="auto"/>
        <w:rPr>
          <w:rFonts w:cs="宋体"/>
          <w:color w:val="auto"/>
        </w:rPr>
      </w:pPr>
      <w:r>
        <w:rPr>
          <w:rFonts w:hint="eastAsia" w:cs="宋体"/>
          <w:color w:val="auto"/>
        </w:rPr>
        <w:t>7.2已确定中标供应商但尚未签订政府采购合同的，中标结果无效，不再确定下一候选人为中标人，重新开展政府采购活动。</w:t>
      </w:r>
    </w:p>
    <w:p>
      <w:pPr>
        <w:pStyle w:val="25"/>
        <w:snapToGrid w:val="0"/>
        <w:spacing w:line="240" w:lineRule="auto"/>
        <w:rPr>
          <w:rFonts w:cs="宋体"/>
          <w:color w:val="auto"/>
        </w:rPr>
      </w:pPr>
      <w:r>
        <w:rPr>
          <w:rFonts w:hint="eastAsia" w:cs="宋体"/>
          <w:color w:val="auto"/>
        </w:rPr>
        <w:t>7.3政府采购合同已签订但尚未履行的，撤销合同，不再确定下一候选人为中标人，重新开展政府采购活动。</w:t>
      </w:r>
    </w:p>
    <w:p>
      <w:pPr>
        <w:pStyle w:val="25"/>
        <w:snapToGrid w:val="0"/>
        <w:spacing w:line="240" w:lineRule="auto"/>
        <w:rPr>
          <w:rFonts w:cs="宋体"/>
          <w:color w:val="auto"/>
        </w:rPr>
      </w:pPr>
      <w:r>
        <w:rPr>
          <w:rFonts w:hint="eastAsia" w:cs="宋体"/>
          <w:color w:val="auto"/>
        </w:rPr>
        <w:t>7.4政府采购合同已经履行，给采购人、供应商造成损失的，由责任人承担赔偿责任。</w:t>
      </w:r>
    </w:p>
    <w:p>
      <w:pPr>
        <w:jc w:val="left"/>
        <w:outlineLvl w:val="0"/>
        <w:rPr>
          <w:rFonts w:ascii="宋体" w:hAnsi="宋体" w:cs="宋体"/>
          <w:color w:val="auto"/>
          <w:sz w:val="24"/>
        </w:rPr>
        <w:sectPr>
          <w:pgSz w:w="11907" w:h="16840"/>
          <w:pgMar w:top="1440" w:right="1080" w:bottom="1440" w:left="1080" w:header="851" w:footer="851" w:gutter="0"/>
          <w:cols w:space="720" w:num="1"/>
        </w:sectPr>
      </w:pPr>
      <w:r>
        <w:rPr>
          <w:rFonts w:hint="eastAsia" w:ascii="宋体" w:hAnsi="宋体" w:cs="宋体"/>
          <w:color w:val="auto"/>
          <w:sz w:val="24"/>
        </w:rPr>
        <w:t>7.5政府采购当事人有其他违反政府采购法或者政府采购法实施条例等法律法规规定的行为，经改正后仍然影响或者可能影响中标结果或者依法被认定为中标无效的，依照7.1-7.4规定处理。</w:t>
      </w:r>
    </w:p>
    <w:bookmarkEnd w:id="16"/>
    <w:p>
      <w:pPr>
        <w:jc w:val="center"/>
        <w:outlineLvl w:val="0"/>
        <w:rPr>
          <w:rFonts w:ascii="宋体" w:hAnsi="宋体" w:cs="宋体"/>
          <w:b/>
          <w:sz w:val="36"/>
          <w:szCs w:val="36"/>
        </w:rPr>
      </w:pPr>
      <w:bookmarkStart w:id="29" w:name="第五部分"/>
      <w:bookmarkStart w:id="30" w:name="_Toc86217003"/>
      <w:r>
        <w:rPr>
          <w:rFonts w:hint="eastAsia" w:ascii="宋体" w:hAnsi="宋体" w:cs="宋体"/>
          <w:b/>
          <w:sz w:val="36"/>
          <w:szCs w:val="36"/>
        </w:rPr>
        <w:t>第五部分 拟签订的合同文本</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360" w:lineRule="auto"/>
        <w:jc w:val="center"/>
        <w:rPr>
          <w:rFonts w:ascii="宋体" w:hAnsi="宋体" w:cs="宋体"/>
          <w:b/>
          <w:sz w:val="28"/>
          <w:szCs w:val="28"/>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36"/>
          <w:szCs w:val="36"/>
        </w:rPr>
      </w:pPr>
      <w:r>
        <w:rPr>
          <w:rFonts w:hint="eastAsia" w:ascii="宋体" w:hAnsi="宋体" w:cs="宋体"/>
          <w:b/>
          <w:sz w:val="36"/>
          <w:szCs w:val="36"/>
        </w:rPr>
        <w:t>政府采购合同参考范本</w:t>
      </w:r>
    </w:p>
    <w:p>
      <w:pPr>
        <w:spacing w:line="360" w:lineRule="auto"/>
        <w:jc w:val="center"/>
        <w:rPr>
          <w:rFonts w:ascii="宋体" w:hAnsi="宋体" w:cs="宋体"/>
        </w:rPr>
      </w:pPr>
      <w:r>
        <w:rPr>
          <w:rFonts w:hint="eastAsia" w:ascii="宋体" w:hAnsi="宋体" w:cs="宋体"/>
          <w:b/>
          <w:sz w:val="36"/>
          <w:szCs w:val="36"/>
        </w:rPr>
        <w:t>（货物类）</w:t>
      </w:r>
    </w:p>
    <w:p>
      <w:pPr>
        <w:pStyle w:val="699"/>
        <w:jc w:val="center"/>
        <w:rPr>
          <w:rFonts w:ascii="宋体" w:hAnsi="宋体" w:cs="宋体"/>
          <w:szCs w:val="24"/>
        </w:rPr>
      </w:pPr>
    </w:p>
    <w:p>
      <w:pPr>
        <w:pStyle w:val="699"/>
        <w:rPr>
          <w:rFonts w:ascii="宋体" w:hAnsi="宋体" w:cs="宋体"/>
          <w:szCs w:val="24"/>
        </w:rPr>
      </w:pPr>
    </w:p>
    <w:p>
      <w:pPr>
        <w:spacing w:before="120" w:line="360" w:lineRule="auto"/>
        <w:rPr>
          <w:rFonts w:ascii="宋体" w:hAnsi="宋体" w:cs="宋体"/>
          <w:sz w:val="24"/>
        </w:rPr>
      </w:pPr>
    </w:p>
    <w:p>
      <w:pPr>
        <w:spacing w:before="120" w:line="360" w:lineRule="auto"/>
        <w:ind w:left="960" w:firstLine="960" w:firstLineChars="40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rPr>
          <w:rFonts w:ascii="宋体" w:hAnsi="宋体" w:eastAsia="宋体" w:cs="宋体"/>
          <w:szCs w:val="24"/>
        </w:rPr>
      </w:pPr>
    </w:p>
    <w:p>
      <w:pPr>
        <w:pStyle w:val="596"/>
        <w:spacing w:before="120"/>
        <w:rPr>
          <w:rFonts w:ascii="宋体" w:hAnsi="宋体" w:eastAsia="宋体" w:cs="宋体"/>
          <w:szCs w:val="24"/>
        </w:rPr>
      </w:pPr>
    </w:p>
    <w:p>
      <w:pPr>
        <w:spacing w:line="360" w:lineRule="auto"/>
        <w:rPr>
          <w:rFonts w:ascii="宋体" w:hAnsi="宋体" w:cs="宋体"/>
          <w:sz w:val="24"/>
        </w:rPr>
      </w:pPr>
    </w:p>
    <w:p>
      <w:pPr>
        <w:spacing w:before="120" w:line="360" w:lineRule="auto"/>
        <w:ind w:left="960" w:firstLine="960" w:firstLineChars="40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360" w:lineRule="auto"/>
        <w:rPr>
          <w:rFonts w:ascii="宋体" w:hAnsi="宋体" w:cs="宋体"/>
          <w:sz w:val="24"/>
        </w:rPr>
      </w:pPr>
    </w:p>
    <w:p>
      <w:pPr>
        <w:spacing w:before="120" w:line="360" w:lineRule="auto"/>
        <w:ind w:left="960" w:firstLine="960" w:firstLineChars="40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360" w:lineRule="auto"/>
        <w:rPr>
          <w:rFonts w:ascii="宋体" w:hAnsi="宋体" w:cs="宋体"/>
          <w:sz w:val="24"/>
        </w:rPr>
      </w:pPr>
    </w:p>
    <w:p>
      <w:pPr>
        <w:spacing w:before="120" w:line="360" w:lineRule="auto"/>
        <w:ind w:firstLine="1920" w:firstLineChars="8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360" w:lineRule="auto"/>
        <w:rPr>
          <w:rFonts w:ascii="宋体" w:hAnsi="宋体" w:cs="宋体"/>
          <w:sz w:val="24"/>
        </w:rPr>
      </w:pPr>
    </w:p>
    <w:p>
      <w:pPr>
        <w:spacing w:before="120" w:line="360" w:lineRule="auto"/>
        <w:ind w:firstLine="1920" w:firstLineChars="800"/>
        <w:rPr>
          <w:rFonts w:ascii="宋体" w:hAnsi="宋体" w:cs="宋体"/>
          <w:kern w:val="0"/>
          <w:sz w:val="24"/>
        </w:rPr>
        <w:sectPr>
          <w:pgSz w:w="11907" w:h="16840"/>
          <w:pgMar w:top="1440" w:right="1080" w:bottom="1440" w:left="1080" w:header="851" w:footer="851" w:gutter="0"/>
          <w:cols w:space="720" w:num="1"/>
        </w:sect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99"/>
        <w:spacing w:after="0" w:line="240" w:lineRule="auto"/>
        <w:ind w:left="0" w:leftChars="0" w:firstLine="0" w:firstLineChars="0"/>
        <w:jc w:val="center"/>
        <w:rPr>
          <w:rFonts w:ascii="宋体" w:hAnsi="宋体" w:cs="宋体"/>
          <w:color w:val="auto"/>
          <w:szCs w:val="24"/>
          <w:lang w:val="zh-CN"/>
        </w:rPr>
      </w:pPr>
      <w:r>
        <w:rPr>
          <w:rFonts w:hint="eastAsia" w:ascii="宋体" w:hAnsi="宋体" w:cs="宋体"/>
          <w:b/>
          <w:color w:val="auto"/>
          <w:szCs w:val="24"/>
        </w:rPr>
        <w:t>第一部分 合同书</w:t>
      </w:r>
    </w:p>
    <w:p>
      <w:pPr>
        <w:ind w:firstLine="480" w:firstLineChars="200"/>
        <w:rPr>
          <w:rFonts w:ascii="宋体" w:hAnsi="宋体" w:cs="宋体"/>
          <w:color w:val="auto"/>
          <w:sz w:val="24"/>
        </w:rPr>
      </w:pP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r>
        <w:rPr>
          <w:rFonts w:hint="eastAsia" w:ascii="宋体" w:hAnsi="宋体" w:cs="宋体"/>
          <w:color w:val="auto"/>
          <w:sz w:val="24"/>
        </w:rPr>
        <w:t>，</w:t>
      </w:r>
      <w:r>
        <w:rPr>
          <w:rFonts w:hint="eastAsia" w:ascii="宋体" w:hAnsi="宋体" w:cs="宋体"/>
          <w:color w:val="auto"/>
          <w:sz w:val="24"/>
          <w:u w:val="single"/>
        </w:rPr>
        <w:t xml:space="preserve">   （采购人）   </w:t>
      </w:r>
      <w:r>
        <w:rPr>
          <w:rFonts w:hint="eastAsia" w:ascii="宋体" w:hAnsi="宋体" w:cs="宋体"/>
          <w:color w:val="auto"/>
          <w:sz w:val="24"/>
        </w:rPr>
        <w:t>以</w:t>
      </w:r>
      <w:r>
        <w:rPr>
          <w:rFonts w:hint="eastAsia" w:ascii="宋体" w:hAnsi="宋体" w:cs="宋体"/>
          <w:color w:val="auto"/>
          <w:sz w:val="24"/>
          <w:u w:val="single"/>
        </w:rPr>
        <w:t xml:space="preserve">   （政府采购方式）  </w:t>
      </w:r>
      <w:r>
        <w:rPr>
          <w:rFonts w:hint="eastAsia" w:ascii="宋体" w:hAnsi="宋体" w:cs="宋体"/>
          <w:color w:val="auto"/>
          <w:sz w:val="24"/>
        </w:rPr>
        <w:t>对</w:t>
      </w:r>
      <w:r>
        <w:rPr>
          <w:rFonts w:hint="eastAsia" w:ascii="宋体" w:hAnsi="宋体" w:cs="宋体"/>
          <w:color w:val="auto"/>
          <w:sz w:val="24"/>
          <w:u w:val="single"/>
        </w:rPr>
        <w:t xml:space="preserve">   （项目名称、编号）   </w:t>
      </w:r>
      <w:r>
        <w:rPr>
          <w:rFonts w:hint="eastAsia" w:ascii="宋体" w:hAnsi="宋体" w:cs="宋体"/>
          <w:color w:val="auto"/>
          <w:sz w:val="24"/>
        </w:rPr>
        <w:t>项目进行了采购。经</w:t>
      </w:r>
      <w:r>
        <w:rPr>
          <w:rFonts w:hint="eastAsia" w:ascii="宋体" w:hAnsi="宋体" w:cs="宋体"/>
          <w:color w:val="auto"/>
          <w:sz w:val="24"/>
          <w:u w:val="single"/>
        </w:rPr>
        <w:t xml:space="preserve">   （相关评定主体名称）   </w:t>
      </w:r>
      <w:r>
        <w:rPr>
          <w:rFonts w:hint="eastAsia" w:ascii="宋体" w:hAnsi="宋体" w:cs="宋体"/>
          <w:color w:val="auto"/>
          <w:sz w:val="24"/>
        </w:rPr>
        <w:t>评定，</w:t>
      </w:r>
      <w:r>
        <w:rPr>
          <w:rFonts w:hint="eastAsia" w:ascii="宋体" w:hAnsi="宋体" w:cs="宋体"/>
          <w:color w:val="auto"/>
          <w:sz w:val="24"/>
          <w:u w:val="single"/>
        </w:rPr>
        <w:t xml:space="preserve">   （中标或者成交供应商名称）</w:t>
      </w:r>
      <w:r>
        <w:rPr>
          <w:rFonts w:hint="eastAsia" w:ascii="宋体" w:hAnsi="宋体" w:cs="宋体"/>
          <w:color w:val="auto"/>
          <w:sz w:val="24"/>
        </w:rPr>
        <w:t>为该项目中标或者成交供应商。现于中标或者成交通知书发出之日起10个工作日内，按照采购文件等确定的事项签订本合同。</w:t>
      </w:r>
    </w:p>
    <w:p>
      <w:pPr>
        <w:ind w:firstLine="480" w:firstLineChars="200"/>
        <w:rPr>
          <w:rFonts w:ascii="宋体" w:hAnsi="宋体" w:cs="宋体"/>
          <w:color w:val="auto"/>
          <w:sz w:val="24"/>
        </w:rPr>
      </w:pPr>
      <w:r>
        <w:rPr>
          <w:rFonts w:hint="eastAsia" w:ascii="宋体" w:hAnsi="宋体" w:cs="宋体"/>
          <w:color w:val="auto"/>
          <w:sz w:val="24"/>
          <w:lang w:val="zh-CN"/>
        </w:rPr>
        <w:t>根据《中华人民共和国民法典》《中华人民共和国政府采购法》等相关法律法规之规定，按照平等、自愿、公平、诚实信用和绿色的原则，经</w:t>
      </w:r>
      <w:r>
        <w:rPr>
          <w:rFonts w:hint="eastAsia" w:ascii="宋体" w:hAnsi="宋体" w:cs="宋体"/>
          <w:color w:val="auto"/>
          <w:sz w:val="24"/>
          <w:u w:val="single"/>
        </w:rPr>
        <w:t xml:space="preserve">   （采购人）   </w:t>
      </w:r>
      <w:r>
        <w:rPr>
          <w:rFonts w:hint="eastAsia" w:ascii="宋体" w:hAnsi="宋体" w:cs="宋体"/>
          <w:color w:val="auto"/>
          <w:sz w:val="24"/>
          <w:lang w:val="zh-CN"/>
        </w:rPr>
        <w:t>(以下简称：甲方)和</w:t>
      </w:r>
      <w:r>
        <w:rPr>
          <w:rFonts w:hint="eastAsia" w:ascii="宋体" w:hAnsi="宋体" w:cs="宋体"/>
          <w:color w:val="auto"/>
          <w:sz w:val="24"/>
          <w:u w:val="single"/>
        </w:rPr>
        <w:t xml:space="preserve">   （中标或者成交供应商名称）   </w:t>
      </w:r>
      <w:r>
        <w:rPr>
          <w:rFonts w:hint="eastAsia" w:ascii="宋体" w:hAnsi="宋体" w:cs="宋体"/>
          <w:color w:val="auto"/>
          <w:sz w:val="24"/>
          <w:lang w:val="zh-CN"/>
        </w:rPr>
        <w:t>(以下简称：乙方)协商一致，约定以下合同</w:t>
      </w:r>
      <w:r>
        <w:rPr>
          <w:rFonts w:hint="eastAsia" w:ascii="宋体" w:hAnsi="宋体" w:cs="宋体"/>
          <w:color w:val="auto"/>
          <w:sz w:val="24"/>
        </w:rPr>
        <w:t>条款，以兹共同遵守、全面履行。</w:t>
      </w:r>
    </w:p>
    <w:p>
      <w:pPr>
        <w:ind w:firstLine="482" w:firstLineChars="200"/>
        <w:outlineLvl w:val="0"/>
        <w:rPr>
          <w:rFonts w:ascii="宋体" w:hAnsi="宋体" w:cs="宋体"/>
          <w:b/>
          <w:color w:val="auto"/>
          <w:sz w:val="24"/>
        </w:rPr>
      </w:pPr>
      <w:bookmarkStart w:id="31" w:name="_Toc3029"/>
      <w:bookmarkStart w:id="32" w:name="_Toc2232"/>
      <w:bookmarkStart w:id="33" w:name="_Toc24059"/>
      <w:r>
        <w:rPr>
          <w:rFonts w:hint="eastAsia" w:ascii="宋体" w:hAnsi="宋体" w:cs="宋体"/>
          <w:b/>
          <w:color w:val="auto"/>
          <w:sz w:val="24"/>
        </w:rPr>
        <w:t>1.1 合同组成部分</w:t>
      </w:r>
      <w:bookmarkEnd w:id="31"/>
      <w:bookmarkEnd w:id="32"/>
      <w:bookmarkEnd w:id="33"/>
    </w:p>
    <w:p>
      <w:pPr>
        <w:ind w:firstLine="480" w:firstLineChars="200"/>
        <w:rPr>
          <w:rFonts w:ascii="宋体" w:hAnsi="宋体" w:cs="宋体"/>
          <w:color w:val="auto"/>
          <w:sz w:val="24"/>
        </w:rPr>
      </w:pPr>
      <w:r>
        <w:rPr>
          <w:rFonts w:hint="eastAsia" w:ascii="宋体" w:hAnsi="宋体" w:cs="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ind w:firstLine="480" w:firstLineChars="200"/>
        <w:rPr>
          <w:rFonts w:ascii="宋体" w:hAnsi="宋体" w:cs="宋体"/>
          <w:color w:val="auto"/>
          <w:sz w:val="24"/>
        </w:rPr>
      </w:pPr>
      <w:r>
        <w:rPr>
          <w:rFonts w:hint="eastAsia" w:ascii="宋体" w:hAnsi="宋体" w:cs="宋体"/>
          <w:color w:val="auto"/>
          <w:sz w:val="24"/>
        </w:rPr>
        <w:t>1.1.1 本合同及其补充合同、变更协议；</w:t>
      </w:r>
    </w:p>
    <w:p>
      <w:pPr>
        <w:ind w:firstLine="480" w:firstLineChars="200"/>
        <w:rPr>
          <w:rFonts w:ascii="宋体" w:hAnsi="宋体" w:cs="宋体"/>
          <w:color w:val="auto"/>
          <w:sz w:val="24"/>
        </w:rPr>
      </w:pPr>
      <w:r>
        <w:rPr>
          <w:rFonts w:hint="eastAsia" w:ascii="宋体" w:hAnsi="宋体" w:cs="宋体"/>
          <w:color w:val="auto"/>
          <w:sz w:val="24"/>
        </w:rPr>
        <w:t>1.1.2 中标或者成交通知书；</w:t>
      </w:r>
    </w:p>
    <w:p>
      <w:pPr>
        <w:ind w:firstLine="480" w:firstLineChars="200"/>
        <w:rPr>
          <w:rFonts w:ascii="宋体" w:hAnsi="宋体" w:cs="宋体"/>
          <w:color w:val="auto"/>
          <w:sz w:val="24"/>
        </w:rPr>
      </w:pPr>
      <w:r>
        <w:rPr>
          <w:rFonts w:hint="eastAsia" w:ascii="宋体" w:hAnsi="宋体" w:cs="宋体"/>
          <w:color w:val="auto"/>
          <w:sz w:val="24"/>
        </w:rPr>
        <w:t>1.1.3 投标或者响应文件（含澄清或者说明文件）；</w:t>
      </w:r>
    </w:p>
    <w:p>
      <w:pPr>
        <w:ind w:firstLine="480" w:firstLineChars="200"/>
        <w:rPr>
          <w:rFonts w:ascii="宋体" w:hAnsi="宋体" w:cs="宋体"/>
          <w:sz w:val="24"/>
        </w:rPr>
      </w:pPr>
      <w:r>
        <w:rPr>
          <w:rFonts w:hint="eastAsia" w:ascii="宋体" w:hAnsi="宋体" w:cs="宋体"/>
          <w:sz w:val="24"/>
        </w:rPr>
        <w:t>1.1.4 采购文件（含澄清或者修改文件）；</w:t>
      </w:r>
    </w:p>
    <w:p>
      <w:pPr>
        <w:ind w:firstLine="480" w:firstLineChars="200"/>
        <w:rPr>
          <w:rFonts w:ascii="宋体" w:hAnsi="宋体" w:cs="宋体"/>
          <w:sz w:val="24"/>
        </w:rPr>
      </w:pPr>
      <w:r>
        <w:rPr>
          <w:rFonts w:hint="eastAsia" w:ascii="宋体" w:hAnsi="宋体" w:cs="宋体"/>
          <w:sz w:val="24"/>
        </w:rPr>
        <w:t>1.1.5 其他相关采购文件。</w:t>
      </w:r>
    </w:p>
    <w:p>
      <w:pPr>
        <w:ind w:firstLine="482" w:firstLineChars="200"/>
        <w:outlineLvl w:val="0"/>
        <w:rPr>
          <w:rFonts w:ascii="宋体" w:hAnsi="宋体" w:cs="宋体"/>
          <w:b/>
          <w:sz w:val="24"/>
        </w:rPr>
      </w:pPr>
      <w:bookmarkStart w:id="34" w:name="_Toc24300"/>
      <w:bookmarkStart w:id="35" w:name="_Toc27126"/>
      <w:bookmarkStart w:id="36" w:name="_Toc21295"/>
      <w:r>
        <w:rPr>
          <w:rFonts w:hint="eastAsia" w:ascii="宋体" w:hAnsi="宋体" w:cs="宋体"/>
          <w:b/>
          <w:sz w:val="24"/>
        </w:rPr>
        <w:t>1.2 货物</w:t>
      </w:r>
      <w:bookmarkEnd w:id="34"/>
      <w:bookmarkEnd w:id="35"/>
      <w:bookmarkEnd w:id="36"/>
    </w:p>
    <w:p>
      <w:pPr>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ind w:firstLine="482" w:firstLineChars="200"/>
        <w:outlineLvl w:val="0"/>
        <w:rPr>
          <w:rFonts w:ascii="宋体" w:hAnsi="宋体" w:cs="宋体"/>
          <w:b/>
          <w:sz w:val="24"/>
        </w:rPr>
      </w:pPr>
      <w:bookmarkStart w:id="37" w:name="_Toc23292"/>
      <w:bookmarkStart w:id="38" w:name="_Toc21551"/>
      <w:bookmarkStart w:id="39" w:name="_Toc21631"/>
      <w:r>
        <w:rPr>
          <w:rFonts w:hint="eastAsia" w:ascii="宋体" w:hAnsi="宋体" w:cs="宋体"/>
          <w:b/>
          <w:sz w:val="24"/>
        </w:rPr>
        <w:t>1.3 价款</w:t>
      </w:r>
      <w:bookmarkEnd w:id="37"/>
      <w:bookmarkEnd w:id="38"/>
      <w:bookmarkEnd w:id="39"/>
    </w:p>
    <w:p>
      <w:pPr>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ind w:firstLine="480" w:firstLineChars="200"/>
        <w:rPr>
          <w:rFonts w:ascii="宋体" w:hAnsi="宋体" w:cs="宋体"/>
          <w:sz w:val="24"/>
          <w:u w:val="single"/>
        </w:rPr>
      </w:pPr>
      <w:r>
        <w:rPr>
          <w:rFonts w:hint="eastAsia" w:ascii="宋体" w:hAnsi="宋体" w:cs="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ind w:firstLine="200"/>
              <w:jc w:val="center"/>
              <w:rPr>
                <w:rFonts w:hAnsi="宋体" w:cs="宋体"/>
                <w:sz w:val="24"/>
                <w:szCs w:val="24"/>
              </w:rPr>
            </w:pPr>
          </w:p>
        </w:tc>
      </w:tr>
    </w:tbl>
    <w:p>
      <w:pPr>
        <w:pStyle w:val="957"/>
        <w:spacing w:before="0" w:beforeAutospacing="0" w:after="0" w:afterAutospacing="0"/>
        <w:ind w:firstLine="480"/>
        <w:rPr>
          <w:b/>
        </w:rPr>
      </w:pPr>
      <w:bookmarkStart w:id="40" w:name="_Toc10340"/>
      <w:bookmarkStart w:id="41" w:name="_Toc1814"/>
      <w:bookmarkStart w:id="42" w:name="_Toc22618"/>
      <w:r>
        <w:rPr>
          <w:rFonts w:hint="eastAsia"/>
          <w:b/>
        </w:rPr>
        <w:t>1.4履约保证金</w:t>
      </w:r>
    </w:p>
    <w:p>
      <w:pPr>
        <w:pStyle w:val="957"/>
        <w:spacing w:before="0" w:beforeAutospacing="0" w:after="0" w:afterAutospacing="0"/>
        <w:ind w:firstLine="480"/>
      </w:pPr>
      <w:r>
        <w:rPr>
          <w:rFonts w:hint="eastAsia"/>
        </w:rPr>
        <w:t>乙方</w:t>
      </w:r>
      <w:r>
        <w:rPr>
          <w:rFonts w:hint="eastAsia"/>
          <w:u w:val="single"/>
        </w:rPr>
        <w:t xml:space="preserve">     </w:t>
      </w:r>
      <w:r>
        <w:rPr>
          <w:rFonts w:hint="eastAsia"/>
        </w:rPr>
        <w:t>（是/否）需要支付履约保证金。若需要支付履约保证金的，则：</w:t>
      </w:r>
    </w:p>
    <w:p>
      <w:pPr>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5"/>
        <w:tabs>
          <w:tab w:val="left" w:pos="0"/>
          <w:tab w:val="clear" w:pos="432"/>
        </w:tabs>
        <w:spacing w:line="240" w:lineRule="auto"/>
        <w:ind w:left="0" w:firstLine="480" w:firstLineChars="200"/>
        <w:rPr>
          <w:rFonts w:ascii="宋体" w:hAnsi="宋体" w:eastAsia="宋体" w:cs="宋体"/>
          <w:sz w:val="24"/>
          <w:szCs w:val="24"/>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ind w:firstLine="480" w:firstLineChars="200"/>
        <w:outlineLvl w:val="0"/>
        <w:rPr>
          <w:rFonts w:ascii="宋体" w:hAnsi="宋体" w:cs="宋体"/>
          <w:sz w:val="24"/>
        </w:rPr>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ind w:firstLine="482" w:firstLineChars="200"/>
        <w:outlineLvl w:val="0"/>
        <w:rPr>
          <w:rFonts w:ascii="宋体" w:hAnsi="宋体" w:cs="宋体"/>
          <w:b/>
          <w:sz w:val="24"/>
        </w:rPr>
      </w:pPr>
      <w:r>
        <w:rPr>
          <w:rFonts w:hint="eastAsia" w:ascii="宋体" w:hAnsi="宋体" w:cs="宋体"/>
          <w:b/>
          <w:sz w:val="24"/>
        </w:rPr>
        <w:t>1.5</w:t>
      </w:r>
      <w:bookmarkEnd w:id="40"/>
      <w:bookmarkEnd w:id="41"/>
      <w:bookmarkEnd w:id="42"/>
      <w:r>
        <w:rPr>
          <w:rFonts w:hint="eastAsia" w:ascii="宋体" w:hAnsi="宋体" w:cs="宋体"/>
          <w:b/>
          <w:sz w:val="24"/>
        </w:rPr>
        <w:t>预付款</w:t>
      </w:r>
    </w:p>
    <w:p>
      <w:pPr>
        <w:pStyle w:val="957"/>
        <w:spacing w:before="0" w:beforeAutospacing="0" w:after="0" w:afterAutospacing="0"/>
        <w:ind w:firstLine="480"/>
      </w:pPr>
      <w:r>
        <w:rPr>
          <w:rFonts w:hint="eastAsia"/>
        </w:rPr>
        <w:t>甲方</w:t>
      </w:r>
      <w:r>
        <w:rPr>
          <w:rFonts w:hint="eastAsia"/>
          <w:u w:val="single"/>
        </w:rPr>
        <w:t xml:space="preserve">     </w:t>
      </w:r>
      <w:r>
        <w:rPr>
          <w:rFonts w:hint="eastAsia"/>
        </w:rPr>
        <w:t>（是/否）需要支付预付款。若需要支付预付款的，则：</w:t>
      </w:r>
    </w:p>
    <w:p>
      <w:pPr>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ind w:firstLine="480"/>
        <w:rPr>
          <w:b/>
          <w:bCs/>
        </w:rPr>
      </w:pPr>
      <w:r>
        <w:rPr>
          <w:rFonts w:hint="eastAsia"/>
          <w:b/>
          <w:bCs/>
        </w:rPr>
        <w:t>1.6资金支付</w:t>
      </w:r>
    </w:p>
    <w:p>
      <w:pPr>
        <w:pStyle w:val="957"/>
        <w:spacing w:before="0" w:beforeAutospacing="0" w:after="0" w:afterAutospacing="0"/>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ind w:firstLine="482" w:firstLineChars="200"/>
        <w:outlineLvl w:val="0"/>
        <w:rPr>
          <w:rFonts w:ascii="宋体" w:hAnsi="宋体" w:cs="宋体"/>
          <w:b/>
          <w:sz w:val="24"/>
        </w:rPr>
      </w:pPr>
      <w:bookmarkStart w:id="43" w:name="_Toc2846"/>
      <w:bookmarkStart w:id="44" w:name="_Toc19304"/>
      <w:bookmarkStart w:id="45" w:name="_Toc32071"/>
      <w:r>
        <w:rPr>
          <w:rFonts w:hint="eastAsia" w:ascii="宋体" w:hAnsi="宋体" w:cs="宋体"/>
          <w:b/>
          <w:sz w:val="24"/>
        </w:rPr>
        <w:t>1.7货物交付期限、地点和方式</w:t>
      </w:r>
      <w:bookmarkEnd w:id="43"/>
      <w:bookmarkEnd w:id="44"/>
      <w:bookmarkEnd w:id="45"/>
    </w:p>
    <w:p>
      <w:pPr>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ind w:firstLine="482" w:firstLineChars="200"/>
        <w:outlineLvl w:val="0"/>
        <w:rPr>
          <w:rFonts w:ascii="宋体" w:hAnsi="宋体" w:cs="宋体"/>
          <w:b/>
          <w:sz w:val="24"/>
        </w:rPr>
      </w:pPr>
      <w:bookmarkStart w:id="46" w:name="_Toc19554"/>
      <w:bookmarkStart w:id="47" w:name="_Toc21423"/>
      <w:bookmarkStart w:id="48" w:name="_Toc27250"/>
      <w:r>
        <w:rPr>
          <w:rFonts w:hint="eastAsia" w:ascii="宋体" w:hAnsi="宋体" w:cs="宋体"/>
          <w:b/>
          <w:sz w:val="24"/>
        </w:rPr>
        <w:t>1.8违约责任</w:t>
      </w:r>
      <w:bookmarkEnd w:id="46"/>
      <w:bookmarkEnd w:id="47"/>
      <w:bookmarkEnd w:id="48"/>
    </w:p>
    <w:p>
      <w:pPr>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ind w:left="-420" w:leftChars="-200" w:right="-420" w:rightChars="-200" w:firstLine="960" w:firstLineChars="400"/>
        <w:rPr>
          <w:rFonts w:ascii="宋体" w:hAnsi="宋体" w:cs="宋体"/>
          <w:sz w:val="24"/>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ind w:firstLine="482" w:firstLineChars="200"/>
        <w:outlineLvl w:val="0"/>
        <w:rPr>
          <w:rFonts w:ascii="宋体" w:hAnsi="宋体" w:cs="宋体"/>
          <w:b/>
          <w:sz w:val="24"/>
        </w:rPr>
      </w:pPr>
      <w:bookmarkStart w:id="49" w:name="_Toc28375"/>
      <w:bookmarkStart w:id="50" w:name="_Toc15583"/>
      <w:bookmarkStart w:id="51" w:name="_Toc16021"/>
      <w:r>
        <w:rPr>
          <w:rFonts w:hint="eastAsia" w:ascii="宋体" w:hAnsi="宋体" w:cs="宋体"/>
          <w:b/>
          <w:sz w:val="24"/>
        </w:rPr>
        <w:t>1.9合同争议的解决</w:t>
      </w:r>
      <w:bookmarkEnd w:id="49"/>
      <w:bookmarkEnd w:id="50"/>
      <w:bookmarkEnd w:id="51"/>
    </w:p>
    <w:p>
      <w:pPr>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ind w:firstLine="482" w:firstLineChars="200"/>
        <w:outlineLvl w:val="0"/>
        <w:rPr>
          <w:rFonts w:ascii="宋体" w:hAnsi="宋体" w:cs="宋体"/>
          <w:b/>
          <w:sz w:val="24"/>
        </w:rPr>
      </w:pPr>
      <w:bookmarkStart w:id="52" w:name="_Toc15322"/>
      <w:bookmarkStart w:id="53" w:name="_Toc11173"/>
      <w:bookmarkStart w:id="54" w:name="_Toc7245"/>
      <w:r>
        <w:rPr>
          <w:rFonts w:hint="eastAsia" w:ascii="宋体" w:hAnsi="宋体" w:cs="宋体"/>
          <w:b/>
          <w:sz w:val="24"/>
        </w:rPr>
        <w:t>2.0 合同生效</w:t>
      </w:r>
      <w:bookmarkEnd w:id="52"/>
      <w:bookmarkEnd w:id="53"/>
      <w:bookmarkEnd w:id="54"/>
    </w:p>
    <w:p>
      <w:pPr>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rPr>
          <w:rFonts w:ascii="宋体" w:hAnsi="宋体" w:cs="宋体"/>
          <w:sz w:val="24"/>
          <w:lang w:val="zh-CN"/>
        </w:rPr>
      </w:pPr>
    </w:p>
    <w:p>
      <w:pPr>
        <w:autoSpaceDE w:val="0"/>
        <w:autoSpaceDN w:val="0"/>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rPr>
          <w:rFonts w:ascii="宋体" w:hAnsi="宋体" w:cs="宋体"/>
          <w:sz w:val="24"/>
          <w:lang w:val="zh-CN"/>
        </w:rPr>
      </w:pPr>
    </w:p>
    <w:p>
      <w:pPr>
        <w:autoSpaceDE w:val="0"/>
        <w:autoSpaceDN w:val="0"/>
        <w:rPr>
          <w:rFonts w:ascii="宋体" w:hAnsi="宋体" w:cs="宋体"/>
          <w:sz w:val="24"/>
          <w:lang w:val="zh-CN"/>
        </w:rPr>
      </w:pPr>
      <w:r>
        <w:rPr>
          <w:rFonts w:hint="eastAsia" w:ascii="宋体" w:hAnsi="宋体" w:cs="宋体"/>
          <w:sz w:val="24"/>
          <w:lang w:val="zh-CN"/>
        </w:rPr>
        <w:t>住所：                                   住所：</w:t>
      </w:r>
    </w:p>
    <w:p>
      <w:pPr>
        <w:autoSpaceDE w:val="0"/>
        <w:autoSpaceDN w:val="0"/>
        <w:rPr>
          <w:rFonts w:ascii="宋体" w:hAnsi="宋体" w:cs="宋体"/>
          <w:sz w:val="24"/>
          <w:lang w:val="zh-CN"/>
        </w:rPr>
      </w:pPr>
      <w:r>
        <w:rPr>
          <w:rFonts w:hint="eastAsia" w:ascii="宋体" w:hAnsi="宋体" w:cs="宋体"/>
          <w:sz w:val="24"/>
          <w:lang w:val="zh-CN"/>
        </w:rPr>
        <w:t>法定代表人或                             法定代表人</w:t>
      </w:r>
    </w:p>
    <w:p>
      <w:pPr>
        <w:autoSpaceDE w:val="0"/>
        <w:autoSpaceDN w:val="0"/>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rPr>
          <w:rFonts w:ascii="宋体" w:hAnsi="宋体" w:cs="宋体"/>
          <w:sz w:val="24"/>
          <w:lang w:val="zh-CN"/>
        </w:rPr>
      </w:pPr>
      <w:r>
        <w:rPr>
          <w:rFonts w:hint="eastAsia" w:ascii="宋体" w:hAnsi="宋体" w:cs="宋体"/>
          <w:sz w:val="24"/>
          <w:lang w:val="zh-CN"/>
        </w:rPr>
        <w:t>联系人：                                 联系人：</w:t>
      </w:r>
    </w:p>
    <w:p>
      <w:pPr>
        <w:autoSpaceDE w:val="0"/>
        <w:autoSpaceDN w:val="0"/>
        <w:rPr>
          <w:rFonts w:ascii="宋体" w:hAnsi="宋体" w:cs="宋体"/>
          <w:sz w:val="24"/>
          <w:lang w:val="zh-CN"/>
        </w:rPr>
      </w:pPr>
      <w:r>
        <w:rPr>
          <w:rFonts w:hint="eastAsia" w:ascii="宋体" w:hAnsi="宋体" w:cs="宋体"/>
          <w:sz w:val="24"/>
          <w:lang w:val="zh-CN"/>
        </w:rPr>
        <w:t>约定送达地址：                           约定送达地址：</w:t>
      </w:r>
    </w:p>
    <w:p>
      <w:pPr>
        <w:autoSpaceDE w:val="0"/>
        <w:autoSpaceDN w:val="0"/>
        <w:rPr>
          <w:rFonts w:ascii="宋体" w:hAnsi="宋体" w:cs="宋体"/>
          <w:sz w:val="24"/>
          <w:lang w:val="zh-CN"/>
        </w:rPr>
      </w:pPr>
      <w:r>
        <w:rPr>
          <w:rFonts w:hint="eastAsia" w:ascii="宋体" w:hAnsi="宋体" w:cs="宋体"/>
          <w:sz w:val="24"/>
          <w:lang w:val="zh-CN"/>
        </w:rPr>
        <w:t>邮政编码：                               邮政编码：</w:t>
      </w:r>
    </w:p>
    <w:p>
      <w:pPr>
        <w:autoSpaceDE w:val="0"/>
        <w:autoSpaceDN w:val="0"/>
        <w:rPr>
          <w:rFonts w:ascii="宋体" w:hAnsi="宋体" w:cs="宋体"/>
          <w:sz w:val="24"/>
          <w:lang w:val="zh-CN"/>
        </w:rPr>
      </w:pPr>
      <w:r>
        <w:rPr>
          <w:rFonts w:hint="eastAsia" w:ascii="宋体" w:hAnsi="宋体" w:cs="宋体"/>
          <w:sz w:val="24"/>
          <w:lang w:val="zh-CN"/>
        </w:rPr>
        <w:t xml:space="preserve">电话:                                    电话: </w:t>
      </w:r>
    </w:p>
    <w:p>
      <w:pPr>
        <w:autoSpaceDE w:val="0"/>
        <w:autoSpaceDN w:val="0"/>
        <w:rPr>
          <w:rFonts w:ascii="宋体" w:hAnsi="宋体" w:cs="宋体"/>
          <w:sz w:val="24"/>
          <w:lang w:val="zh-CN"/>
        </w:rPr>
      </w:pPr>
      <w:r>
        <w:rPr>
          <w:rFonts w:hint="eastAsia" w:ascii="宋体" w:hAnsi="宋体" w:cs="宋体"/>
          <w:sz w:val="24"/>
          <w:lang w:val="zh-CN"/>
        </w:rPr>
        <w:t>传真:                                    传真:</w:t>
      </w:r>
    </w:p>
    <w:p>
      <w:pPr>
        <w:autoSpaceDE w:val="0"/>
        <w:autoSpaceDN w:val="0"/>
        <w:rPr>
          <w:rFonts w:ascii="宋体" w:hAnsi="宋体" w:cs="宋体"/>
          <w:sz w:val="24"/>
        </w:rPr>
      </w:pPr>
      <w:r>
        <w:rPr>
          <w:rFonts w:hint="eastAsia" w:ascii="宋体" w:hAnsi="宋体" w:cs="宋体"/>
          <w:sz w:val="24"/>
          <w:lang w:val="zh-CN"/>
        </w:rPr>
        <w:t>电子邮箱：                               电子邮箱：</w:t>
      </w:r>
    </w:p>
    <w:p>
      <w:pPr>
        <w:autoSpaceDE w:val="0"/>
        <w:autoSpaceDN w:val="0"/>
        <w:rPr>
          <w:rFonts w:ascii="宋体" w:hAnsi="宋体" w:cs="宋体"/>
          <w:sz w:val="24"/>
        </w:rPr>
      </w:pPr>
      <w:r>
        <w:rPr>
          <w:rFonts w:hint="eastAsia" w:ascii="宋体" w:hAnsi="宋体" w:cs="宋体"/>
          <w:sz w:val="24"/>
        </w:rPr>
        <w:t xml:space="preserve">开户银行：                               开户银行： </w:t>
      </w:r>
    </w:p>
    <w:p>
      <w:pPr>
        <w:autoSpaceDE w:val="0"/>
        <w:autoSpaceDN w:val="0"/>
        <w:rPr>
          <w:rFonts w:ascii="宋体" w:hAnsi="宋体" w:cs="宋体"/>
          <w:sz w:val="24"/>
        </w:rPr>
      </w:pPr>
      <w:r>
        <w:rPr>
          <w:rFonts w:hint="eastAsia" w:ascii="宋体" w:hAnsi="宋体" w:cs="宋体"/>
          <w:sz w:val="24"/>
        </w:rPr>
        <w:t xml:space="preserve">开户名称：                               开户名称： </w:t>
      </w:r>
    </w:p>
    <w:p>
      <w:pPr>
        <w:autoSpaceDE w:val="0"/>
        <w:autoSpaceDN w:val="0"/>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79"/>
        <w:rPr>
          <w:rFonts w:ascii="宋体" w:hAnsi="宋体" w:eastAsia="宋体" w:cs="宋体"/>
        </w:rPr>
      </w:pPr>
    </w:p>
    <w:p>
      <w:pPr>
        <w:tabs>
          <w:tab w:val="left" w:pos="760"/>
        </w:tabs>
        <w:autoSpaceDE w:val="0"/>
        <w:autoSpaceDN w:val="0"/>
        <w:jc w:val="left"/>
        <w:rPr>
          <w:rFonts w:ascii="宋体" w:hAnsi="宋体" w:cs="宋体"/>
          <w:color w:val="000000"/>
          <w:sz w:val="24"/>
        </w:rPr>
      </w:pPr>
      <w:r>
        <w:rPr>
          <w:rFonts w:hint="eastAsia" w:ascii="宋体" w:hAnsi="宋体" w:cs="宋体"/>
          <w:color w:val="000000"/>
          <w:sz w:val="24"/>
        </w:rPr>
        <w:t>见证方（盖章）：</w:t>
      </w:r>
    </w:p>
    <w:p>
      <w:pPr>
        <w:tabs>
          <w:tab w:val="left" w:pos="760"/>
        </w:tabs>
        <w:autoSpaceDE w:val="0"/>
        <w:autoSpaceDN w:val="0"/>
        <w:jc w:val="left"/>
        <w:rPr>
          <w:rFonts w:ascii="宋体" w:hAnsi="宋体" w:cs="宋体"/>
          <w:color w:val="000000"/>
          <w:sz w:val="24"/>
        </w:rPr>
      </w:pPr>
      <w:r>
        <w:rPr>
          <w:rFonts w:hint="eastAsia" w:ascii="宋体" w:hAnsi="宋体" w:cs="宋体"/>
          <w:color w:val="000000"/>
          <w:sz w:val="24"/>
        </w:rPr>
        <w:t>经办人：</w:t>
      </w:r>
    </w:p>
    <w:p>
      <w:pPr>
        <w:rPr>
          <w:rFonts w:ascii="宋体" w:hAnsi="宋体" w:cs="宋体"/>
          <w:sz w:val="24"/>
        </w:rPr>
      </w:pPr>
      <w:r>
        <w:rPr>
          <w:rFonts w:hint="eastAsia" w:ascii="宋体" w:hAnsi="宋体" w:cs="宋体"/>
          <w:color w:val="000000"/>
          <w:sz w:val="24"/>
        </w:rPr>
        <w:t>时  间：      年     月     日</w:t>
      </w:r>
    </w:p>
    <w:p>
      <w:pPr>
        <w:rPr>
          <w:rFonts w:ascii="宋体" w:hAnsi="宋体" w:cs="宋体"/>
          <w:sz w:val="24"/>
        </w:rPr>
      </w:pPr>
    </w:p>
    <w:p>
      <w:pPr>
        <w:pStyle w:val="699"/>
        <w:spacing w:after="0" w:line="240" w:lineRule="auto"/>
        <w:ind w:left="0" w:leftChars="0" w:firstLine="0" w:firstLineChars="0"/>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jc w:val="center"/>
        <w:rPr>
          <w:rFonts w:ascii="宋体" w:hAnsi="宋体" w:cs="宋体"/>
          <w:b/>
          <w:szCs w:val="24"/>
        </w:rPr>
      </w:pPr>
    </w:p>
    <w:p>
      <w:pPr>
        <w:pStyle w:val="699"/>
        <w:spacing w:after="0" w:line="240" w:lineRule="auto"/>
        <w:ind w:left="0" w:leftChars="0" w:firstLine="0" w:firstLineChars="0"/>
        <w:rPr>
          <w:rFonts w:ascii="宋体" w:hAnsi="宋体" w:cs="宋体"/>
          <w:b/>
          <w:szCs w:val="24"/>
        </w:rPr>
      </w:pPr>
      <w:r>
        <w:rPr>
          <w:rFonts w:hint="eastAsia" w:ascii="宋体" w:hAnsi="宋体" w:cs="宋体"/>
          <w:b/>
          <w:szCs w:val="24"/>
        </w:rPr>
        <w:t xml:space="preserve"> </w:t>
      </w:r>
    </w:p>
    <w:p>
      <w:pPr>
        <w:pStyle w:val="699"/>
        <w:spacing w:after="0" w:line="240" w:lineRule="auto"/>
        <w:ind w:left="0" w:leftChars="0" w:firstLine="0" w:firstLineChars="0"/>
        <w:jc w:val="center"/>
        <w:rPr>
          <w:rFonts w:ascii="宋体" w:hAnsi="宋体" w:cs="宋体"/>
          <w:b/>
          <w:szCs w:val="24"/>
        </w:rPr>
      </w:pPr>
      <w:r>
        <w:rPr>
          <w:rFonts w:hint="eastAsia" w:ascii="宋体" w:hAnsi="宋体" w:cs="宋体"/>
          <w:b/>
          <w:szCs w:val="24"/>
        </w:rPr>
        <w:t>第二部分 合同一般条款</w:t>
      </w:r>
    </w:p>
    <w:p>
      <w:pPr>
        <w:ind w:firstLine="482" w:firstLineChars="200"/>
        <w:outlineLvl w:val="0"/>
        <w:rPr>
          <w:rFonts w:ascii="宋体" w:hAnsi="宋体" w:cs="宋体"/>
          <w:b/>
          <w:sz w:val="24"/>
        </w:rPr>
      </w:pPr>
      <w:bookmarkStart w:id="55" w:name="_Ref467378404"/>
      <w:bookmarkStart w:id="56" w:name="_Ref467379225"/>
      <w:bookmarkStart w:id="57" w:name="_Toc28763"/>
      <w:bookmarkStart w:id="58" w:name="_Toc19614"/>
      <w:bookmarkStart w:id="59" w:name="_Ref467379101"/>
      <w:bookmarkStart w:id="60" w:name="_Toc487900349"/>
      <w:bookmarkStart w:id="61" w:name="_Ref467379109"/>
      <w:bookmarkStart w:id="62" w:name="_Ref467378463"/>
      <w:bookmarkStart w:id="63" w:name="_Ref467379205"/>
      <w:bookmarkStart w:id="64" w:name="_Toc279701240"/>
      <w:bookmarkStart w:id="65" w:name="_Ref467379195"/>
      <w:bookmarkStart w:id="66" w:name="_Toc16917"/>
      <w:bookmarkStart w:id="67" w:name="_Ref467378499"/>
      <w:bookmarkStart w:id="68" w:name="_Ref467379094"/>
      <w:bookmarkStart w:id="69" w:name="_Ref467379214"/>
      <w:bookmarkStart w:id="70" w:name="_Toc259093669"/>
      <w:r>
        <w:rPr>
          <w:rFonts w:hint="eastAsia" w:ascii="宋体" w:hAnsi="宋体" w:cs="宋体"/>
          <w:b/>
          <w:sz w:val="24"/>
        </w:rPr>
        <w:t>2.1 定义</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ind w:firstLine="480" w:firstLineChars="200"/>
        <w:rPr>
          <w:rFonts w:ascii="宋体" w:hAnsi="宋体" w:cs="宋体"/>
          <w:sz w:val="24"/>
        </w:rPr>
      </w:pPr>
      <w:r>
        <w:rPr>
          <w:rFonts w:hint="eastAsia" w:ascii="宋体" w:hAnsi="宋体" w:cs="宋体"/>
          <w:sz w:val="24"/>
        </w:rPr>
        <w:t>本合同中的下列词语应按以下内容进行解释：</w:t>
      </w:r>
    </w:p>
    <w:p>
      <w:pPr>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ind w:firstLine="480" w:firstLineChars="200"/>
        <w:rPr>
          <w:rFonts w:ascii="宋体" w:hAnsi="宋体" w:cs="宋体"/>
          <w:sz w:val="24"/>
        </w:rPr>
      </w:pPr>
      <w:bookmarkStart w:id="71" w:name="_Ref467378840"/>
      <w:r>
        <w:rPr>
          <w:rFonts w:hint="eastAsia" w:ascii="宋体" w:hAnsi="宋体" w:cs="宋体"/>
          <w:sz w:val="24"/>
        </w:rPr>
        <w:t>2.1.4 “甲方”系指与中标或成交供应商签署合同的采购人</w:t>
      </w:r>
      <w:bookmarkEnd w:id="71"/>
      <w:r>
        <w:rPr>
          <w:rFonts w:hint="eastAsia" w:ascii="宋体" w:hAnsi="宋体" w:cs="宋体"/>
          <w:sz w:val="24"/>
        </w:rPr>
        <w:t>；采购人委托采购代理机构代表其与乙方签订合同的，采购人的授权委托书作为合同附件。</w:t>
      </w:r>
    </w:p>
    <w:p>
      <w:pPr>
        <w:ind w:firstLine="480" w:firstLineChars="200"/>
        <w:rPr>
          <w:rFonts w:ascii="宋体" w:hAnsi="宋体" w:cs="宋体"/>
          <w:sz w:val="24"/>
        </w:rPr>
      </w:pPr>
      <w:bookmarkStart w:id="72" w:name="_Ref467379400"/>
      <w:r>
        <w:rPr>
          <w:rFonts w:hint="eastAsia" w:ascii="宋体" w:hAnsi="宋体" w:cs="宋体"/>
          <w:sz w:val="24"/>
        </w:rPr>
        <w:t>2.1.5 “乙方”系指根据合同约定交付货物的中标或成交供应商</w:t>
      </w:r>
      <w:bookmarkEnd w:id="72"/>
      <w:r>
        <w:rPr>
          <w:rFonts w:hint="eastAsia" w:ascii="宋体" w:hAnsi="宋体" w:cs="宋体"/>
          <w:sz w:val="24"/>
        </w:rPr>
        <w:t>。</w:t>
      </w:r>
    </w:p>
    <w:p>
      <w:pPr>
        <w:ind w:firstLine="480" w:firstLineChars="200"/>
        <w:rPr>
          <w:rFonts w:ascii="宋体" w:hAnsi="宋体" w:cs="宋体"/>
          <w:sz w:val="24"/>
        </w:rPr>
      </w:pPr>
      <w:bookmarkStart w:id="73" w:name="_Ref467379436"/>
      <w:r>
        <w:rPr>
          <w:rFonts w:hint="eastAsia" w:ascii="宋体" w:hAnsi="宋体" w:cs="宋体"/>
          <w:sz w:val="24"/>
        </w:rPr>
        <w:t>2.1.6 “现场”系指合同约定货物将要运至或者安装的地点。</w:t>
      </w:r>
      <w:bookmarkEnd w:id="73"/>
    </w:p>
    <w:p>
      <w:pPr>
        <w:ind w:firstLine="482" w:firstLineChars="200"/>
        <w:outlineLvl w:val="0"/>
        <w:rPr>
          <w:rFonts w:ascii="宋体" w:hAnsi="宋体" w:cs="宋体"/>
          <w:b/>
          <w:sz w:val="24"/>
        </w:rPr>
      </w:pPr>
      <w:bookmarkStart w:id="74" w:name="_Toc13336"/>
      <w:bookmarkStart w:id="75" w:name="_Toc279701241"/>
      <w:bookmarkStart w:id="76" w:name="_Toc259093670"/>
      <w:bookmarkStart w:id="77" w:name="_Toc27635"/>
      <w:bookmarkStart w:id="78" w:name="_Toc32504"/>
      <w:bookmarkStart w:id="79" w:name="_Toc487900350"/>
      <w:r>
        <w:rPr>
          <w:rFonts w:hint="eastAsia" w:ascii="宋体" w:hAnsi="宋体" w:cs="宋体"/>
          <w:b/>
          <w:sz w:val="24"/>
        </w:rPr>
        <w:t>2.2 技术规范</w:t>
      </w:r>
      <w:bookmarkEnd w:id="74"/>
      <w:bookmarkEnd w:id="75"/>
      <w:bookmarkEnd w:id="76"/>
      <w:bookmarkEnd w:id="77"/>
      <w:bookmarkEnd w:id="78"/>
      <w:bookmarkEnd w:id="79"/>
    </w:p>
    <w:p>
      <w:pPr>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ind w:firstLine="482" w:firstLineChars="200"/>
        <w:outlineLvl w:val="0"/>
        <w:rPr>
          <w:rFonts w:ascii="宋体" w:hAnsi="宋体" w:cs="宋体"/>
          <w:b/>
          <w:sz w:val="24"/>
        </w:rPr>
      </w:pPr>
      <w:bookmarkStart w:id="80" w:name="_Toc259093671"/>
      <w:bookmarkStart w:id="81" w:name="_Toc9829"/>
      <w:bookmarkStart w:id="82" w:name="_Toc27853"/>
      <w:bookmarkStart w:id="83" w:name="_Toc31634"/>
      <w:bookmarkStart w:id="84" w:name="_Toc487900351"/>
      <w:bookmarkStart w:id="85" w:name="_Toc279701242"/>
      <w:r>
        <w:rPr>
          <w:rFonts w:hint="eastAsia" w:ascii="宋体" w:hAnsi="宋体" w:cs="宋体"/>
          <w:b/>
          <w:sz w:val="24"/>
        </w:rPr>
        <w:t>2.3 知识产权</w:t>
      </w:r>
      <w:bookmarkEnd w:id="80"/>
      <w:bookmarkEnd w:id="81"/>
      <w:bookmarkEnd w:id="82"/>
      <w:bookmarkEnd w:id="83"/>
      <w:bookmarkEnd w:id="84"/>
      <w:bookmarkEnd w:id="85"/>
    </w:p>
    <w:p>
      <w:pPr>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ind w:firstLine="482" w:firstLineChars="200"/>
        <w:outlineLvl w:val="0"/>
        <w:rPr>
          <w:rFonts w:ascii="宋体" w:hAnsi="宋体" w:cs="宋体"/>
          <w:b/>
          <w:sz w:val="24"/>
        </w:rPr>
      </w:pPr>
      <w:bookmarkStart w:id="86" w:name="_Toc11932"/>
      <w:bookmarkStart w:id="87" w:name="_Toc4194"/>
      <w:bookmarkStart w:id="88" w:name="_Toc29149"/>
      <w:r>
        <w:rPr>
          <w:rFonts w:hint="eastAsia" w:ascii="宋体" w:hAnsi="宋体" w:cs="宋体"/>
          <w:b/>
          <w:sz w:val="24"/>
        </w:rPr>
        <w:t>2.4 包装和装运</w:t>
      </w:r>
      <w:bookmarkEnd w:id="86"/>
      <w:bookmarkEnd w:id="87"/>
      <w:bookmarkEnd w:id="88"/>
    </w:p>
    <w:p>
      <w:pPr>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ind w:firstLine="482" w:firstLineChars="200"/>
        <w:outlineLvl w:val="0"/>
        <w:rPr>
          <w:rFonts w:ascii="宋体" w:hAnsi="宋体" w:cs="宋体"/>
          <w:b/>
          <w:sz w:val="24"/>
        </w:rPr>
      </w:pPr>
      <w:bookmarkStart w:id="89" w:name="_Ref467379542"/>
      <w:bookmarkStart w:id="90" w:name="_Toc279701245"/>
      <w:bookmarkStart w:id="91" w:name="_Ref467378541"/>
      <w:bookmarkStart w:id="92" w:name="_Toc259093674"/>
      <w:bookmarkStart w:id="93" w:name="_Toc487900354"/>
      <w:bookmarkStart w:id="94" w:name="_Ref467379536"/>
      <w:bookmarkStart w:id="95" w:name="_Ref467378591"/>
      <w:bookmarkStart w:id="96" w:name="_Ref467379527"/>
      <w:bookmarkStart w:id="97" w:name="_Toc26182"/>
      <w:bookmarkStart w:id="98" w:name="_Toc19074"/>
      <w:bookmarkStart w:id="99" w:name="_Toc30272"/>
      <w:r>
        <w:rPr>
          <w:rFonts w:hint="eastAsia" w:ascii="宋体" w:hAnsi="宋体" w:cs="宋体"/>
          <w:b/>
          <w:sz w:val="24"/>
        </w:rPr>
        <w:t>2.</w:t>
      </w:r>
      <w:bookmarkEnd w:id="89"/>
      <w:bookmarkEnd w:id="90"/>
      <w:bookmarkEnd w:id="91"/>
      <w:bookmarkEnd w:id="92"/>
      <w:bookmarkEnd w:id="93"/>
      <w:bookmarkEnd w:id="94"/>
      <w:bookmarkEnd w:id="95"/>
      <w:bookmarkEnd w:id="96"/>
      <w:r>
        <w:rPr>
          <w:rFonts w:hint="eastAsia" w:ascii="宋体" w:hAnsi="宋体" w:cs="宋体"/>
          <w:b/>
          <w:sz w:val="24"/>
        </w:rPr>
        <w:t>5 履约检查和问题反馈</w:t>
      </w:r>
      <w:bookmarkEnd w:id="97"/>
      <w:bookmarkEnd w:id="98"/>
      <w:bookmarkEnd w:id="99"/>
    </w:p>
    <w:p>
      <w:pPr>
        <w:ind w:firstLine="480" w:firstLineChars="200"/>
        <w:rPr>
          <w:rFonts w:ascii="宋体" w:hAnsi="宋体" w:cs="宋体"/>
          <w:sz w:val="24"/>
        </w:rPr>
      </w:pPr>
      <w:bookmarkStart w:id="100" w:name="_Ref467379657"/>
      <w:r>
        <w:rPr>
          <w:rFonts w:hint="eastAsia" w:ascii="宋体" w:hAnsi="宋体" w:cs="宋体"/>
          <w:sz w:val="24"/>
        </w:rPr>
        <w:t>2.5.1</w:t>
      </w:r>
      <w:bookmarkEnd w:id="100"/>
      <w:bookmarkStart w:id="101" w:name="_Toc186431854"/>
      <w:bookmarkStart w:id="102" w:name="_Ref467379807"/>
      <w:bookmarkStart w:id="103" w:name="_Toc487900357"/>
      <w:bookmarkStart w:id="104" w:name="_Toc279701247"/>
      <w:bookmarkStart w:id="105" w:name="_Ref467379793"/>
      <w:bookmarkStart w:id="106" w:name="_Toc259093676"/>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101"/>
      <w:bookmarkStart w:id="107" w:name="_Toc186431855"/>
      <w:r>
        <w:rPr>
          <w:rFonts w:hint="eastAsia" w:ascii="宋体" w:hAnsi="宋体" w:cs="宋体"/>
          <w:sz w:val="24"/>
        </w:rPr>
        <w:t>。</w:t>
      </w:r>
    </w:p>
    <w:bookmarkEnd w:id="102"/>
    <w:bookmarkEnd w:id="103"/>
    <w:bookmarkEnd w:id="104"/>
    <w:bookmarkEnd w:id="105"/>
    <w:bookmarkEnd w:id="106"/>
    <w:bookmarkEnd w:id="107"/>
    <w:p>
      <w:pPr>
        <w:ind w:firstLine="482" w:firstLineChars="200"/>
        <w:outlineLvl w:val="0"/>
        <w:rPr>
          <w:rFonts w:ascii="宋体" w:hAnsi="宋体" w:cs="宋体"/>
          <w:b/>
          <w:sz w:val="24"/>
        </w:rPr>
      </w:pPr>
      <w:bookmarkStart w:id="108" w:name="_Ref467379852"/>
      <w:bookmarkStart w:id="109" w:name="_Toc259093677"/>
      <w:bookmarkStart w:id="110" w:name="_Ref467379863"/>
      <w:bookmarkStart w:id="111" w:name="_Toc487900358"/>
      <w:bookmarkStart w:id="112" w:name="_Toc279701248"/>
      <w:bookmarkStart w:id="113" w:name="_Ref467379923"/>
      <w:bookmarkStart w:id="114" w:name="_Toc774"/>
      <w:bookmarkStart w:id="115" w:name="_Toc16110"/>
      <w:bookmarkStart w:id="116" w:name="_Toc3225"/>
      <w:r>
        <w:rPr>
          <w:rFonts w:hint="eastAsia" w:ascii="宋体" w:hAnsi="宋体" w:cs="宋体"/>
          <w:b/>
          <w:sz w:val="24"/>
        </w:rPr>
        <w:t>2.6 技术资料</w:t>
      </w:r>
      <w:bookmarkEnd w:id="108"/>
      <w:bookmarkEnd w:id="109"/>
      <w:bookmarkEnd w:id="110"/>
      <w:bookmarkEnd w:id="111"/>
      <w:bookmarkEnd w:id="112"/>
      <w:bookmarkEnd w:id="113"/>
      <w:r>
        <w:rPr>
          <w:rFonts w:hint="eastAsia" w:ascii="宋体" w:hAnsi="宋体" w:cs="宋体"/>
          <w:b/>
          <w:sz w:val="24"/>
        </w:rPr>
        <w:t>和保密义务</w:t>
      </w:r>
      <w:bookmarkEnd w:id="114"/>
      <w:bookmarkEnd w:id="115"/>
      <w:bookmarkEnd w:id="116"/>
    </w:p>
    <w:p>
      <w:pPr>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ind w:firstLine="482" w:firstLineChars="200"/>
        <w:outlineLvl w:val="0"/>
        <w:rPr>
          <w:rFonts w:ascii="宋体" w:hAnsi="宋体" w:cs="宋体"/>
          <w:b/>
          <w:sz w:val="24"/>
        </w:rPr>
      </w:pPr>
      <w:bookmarkStart w:id="117" w:name="_Toc7860"/>
      <w:r>
        <w:rPr>
          <w:rFonts w:hint="eastAsia" w:ascii="宋体" w:hAnsi="宋体" w:cs="宋体"/>
          <w:b/>
          <w:sz w:val="24"/>
        </w:rPr>
        <w:t>2.7 质量保证</w:t>
      </w:r>
      <w:bookmarkEnd w:id="117"/>
    </w:p>
    <w:p>
      <w:pPr>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ind w:firstLine="482" w:firstLineChars="200"/>
        <w:outlineLvl w:val="0"/>
        <w:rPr>
          <w:rFonts w:ascii="宋体" w:hAnsi="宋体" w:cs="宋体"/>
          <w:b/>
          <w:sz w:val="24"/>
        </w:rPr>
      </w:pPr>
      <w:bookmarkStart w:id="118" w:name="_Toc17244"/>
      <w:bookmarkStart w:id="119" w:name="_Toc259093681"/>
      <w:bookmarkStart w:id="120" w:name="_Toc487900362"/>
      <w:bookmarkStart w:id="121" w:name="_Toc279701252"/>
      <w:r>
        <w:rPr>
          <w:rFonts w:hint="eastAsia" w:ascii="宋体" w:hAnsi="宋体" w:cs="宋体"/>
          <w:b/>
          <w:sz w:val="24"/>
        </w:rPr>
        <w:t>2.8 货物的风险负担</w:t>
      </w:r>
      <w:bookmarkEnd w:id="118"/>
    </w:p>
    <w:p>
      <w:pPr>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ind w:firstLine="482" w:firstLineChars="200"/>
        <w:outlineLvl w:val="0"/>
        <w:rPr>
          <w:rFonts w:ascii="宋体" w:hAnsi="宋体" w:cs="宋体"/>
          <w:b/>
          <w:sz w:val="24"/>
        </w:rPr>
      </w:pPr>
      <w:bookmarkStart w:id="122" w:name="_Toc14055"/>
      <w:r>
        <w:rPr>
          <w:rFonts w:hint="eastAsia" w:ascii="宋体" w:hAnsi="宋体" w:cs="宋体"/>
          <w:b/>
          <w:sz w:val="24"/>
        </w:rPr>
        <w:t>2.9 延迟交货</w:t>
      </w:r>
      <w:bookmarkEnd w:id="119"/>
      <w:bookmarkEnd w:id="120"/>
      <w:bookmarkEnd w:id="121"/>
      <w:bookmarkEnd w:id="122"/>
    </w:p>
    <w:p>
      <w:pPr>
        <w:ind w:firstLine="480" w:firstLineChars="200"/>
        <w:rPr>
          <w:rFonts w:ascii="宋体" w:hAnsi="宋体" w:cs="宋体"/>
          <w:sz w:val="24"/>
        </w:rPr>
      </w:pPr>
      <w:r>
        <w:rPr>
          <w:rFonts w:hint="eastAsia" w:ascii="宋体" w:hAnsi="宋体" w:cs="宋体"/>
          <w:sz w:val="24"/>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ind w:firstLine="482" w:firstLineChars="200"/>
        <w:outlineLvl w:val="0"/>
        <w:rPr>
          <w:rFonts w:ascii="宋体" w:hAnsi="宋体" w:cs="宋体"/>
          <w:b/>
          <w:sz w:val="24"/>
        </w:rPr>
      </w:pPr>
      <w:bookmarkStart w:id="123" w:name="_Toc7502"/>
      <w:bookmarkStart w:id="124" w:name="_Toc279701254"/>
      <w:bookmarkStart w:id="125" w:name="_Toc487900364"/>
      <w:bookmarkStart w:id="126" w:name="_Toc259093683"/>
      <w:bookmarkStart w:id="127" w:name="_Ref467378121"/>
      <w:r>
        <w:rPr>
          <w:rFonts w:hint="eastAsia" w:ascii="宋体" w:hAnsi="宋体" w:cs="宋体"/>
          <w:b/>
          <w:sz w:val="24"/>
        </w:rPr>
        <w:t>2.10 合同变更</w:t>
      </w:r>
      <w:bookmarkEnd w:id="123"/>
    </w:p>
    <w:p>
      <w:pPr>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128" w:name="_Toc259093688"/>
      <w:bookmarkStart w:id="129" w:name="_Toc487900369"/>
      <w:bookmarkStart w:id="130" w:name="_Toc279701259"/>
    </w:p>
    <w:p>
      <w:pPr>
        <w:ind w:firstLine="482" w:firstLineChars="200"/>
        <w:outlineLvl w:val="0"/>
        <w:rPr>
          <w:rFonts w:ascii="宋体" w:hAnsi="宋体" w:cs="宋体"/>
          <w:b/>
          <w:sz w:val="24"/>
        </w:rPr>
      </w:pPr>
      <w:bookmarkStart w:id="131" w:name="_Toc15237"/>
      <w:bookmarkStart w:id="132" w:name="_Toc22955"/>
      <w:bookmarkStart w:id="133" w:name="_Toc10366"/>
      <w:r>
        <w:rPr>
          <w:rFonts w:hint="eastAsia" w:ascii="宋体" w:hAnsi="宋体" w:cs="宋体"/>
          <w:b/>
          <w:sz w:val="24"/>
        </w:rPr>
        <w:t>2.11 合同转让</w:t>
      </w:r>
      <w:bookmarkEnd w:id="128"/>
      <w:bookmarkEnd w:id="129"/>
      <w:bookmarkEnd w:id="130"/>
      <w:bookmarkEnd w:id="131"/>
      <w:bookmarkEnd w:id="132"/>
      <w:bookmarkEnd w:id="133"/>
    </w:p>
    <w:p>
      <w:pPr>
        <w:ind w:firstLine="480" w:firstLineChars="200"/>
        <w:rPr>
          <w:rFonts w:ascii="宋体" w:hAnsi="宋体" w:cs="宋体"/>
          <w:sz w:val="24"/>
        </w:rPr>
      </w:pPr>
      <w:bookmarkStart w:id="134" w:name="_Toc16508"/>
      <w:bookmarkStart w:id="135" w:name="_Toc13566"/>
      <w:bookmarkStart w:id="136" w:name="_Toc14066"/>
      <w:r>
        <w:rPr>
          <w:rFonts w:hint="eastAsia" w:ascii="宋体" w:hAnsi="宋体" w:cs="宋体"/>
          <w:sz w:val="24"/>
        </w:rPr>
        <w:t>合同的权利义务依法不得转让。</w:t>
      </w:r>
    </w:p>
    <w:p>
      <w:pPr>
        <w:ind w:firstLine="482" w:firstLineChars="200"/>
        <w:outlineLvl w:val="0"/>
        <w:rPr>
          <w:rFonts w:ascii="宋体" w:hAnsi="宋体" w:cs="宋体"/>
          <w:b/>
          <w:sz w:val="24"/>
        </w:rPr>
      </w:pPr>
      <w:r>
        <w:rPr>
          <w:rFonts w:hint="eastAsia" w:ascii="宋体" w:hAnsi="宋体" w:cs="宋体"/>
          <w:b/>
          <w:sz w:val="24"/>
        </w:rPr>
        <w:t>2.12 不可抗力</w:t>
      </w:r>
      <w:bookmarkEnd w:id="134"/>
      <w:bookmarkEnd w:id="135"/>
      <w:bookmarkEnd w:id="136"/>
    </w:p>
    <w:p>
      <w:pPr>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ind w:firstLine="482" w:firstLineChars="200"/>
        <w:outlineLvl w:val="0"/>
        <w:rPr>
          <w:rFonts w:ascii="宋体" w:hAnsi="宋体" w:cs="宋体"/>
          <w:b/>
          <w:sz w:val="24"/>
        </w:rPr>
      </w:pPr>
      <w:bookmarkStart w:id="137" w:name="_Toc6969"/>
      <w:bookmarkStart w:id="138" w:name="_Toc30676"/>
      <w:bookmarkStart w:id="139" w:name="_Toc259093684"/>
      <w:bookmarkStart w:id="140" w:name="_Toc279701255"/>
      <w:bookmarkStart w:id="141" w:name="_Toc689"/>
      <w:bookmarkStart w:id="142" w:name="_Toc487900365"/>
      <w:r>
        <w:rPr>
          <w:rFonts w:hint="eastAsia" w:ascii="宋体" w:hAnsi="宋体" w:cs="宋体"/>
          <w:b/>
          <w:sz w:val="24"/>
        </w:rPr>
        <w:t>2.13 税费</w:t>
      </w:r>
      <w:bookmarkEnd w:id="137"/>
      <w:bookmarkEnd w:id="138"/>
      <w:bookmarkEnd w:id="139"/>
      <w:bookmarkEnd w:id="140"/>
      <w:bookmarkEnd w:id="141"/>
      <w:bookmarkEnd w:id="142"/>
    </w:p>
    <w:p>
      <w:pPr>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ind w:firstLine="482" w:firstLineChars="200"/>
        <w:outlineLvl w:val="0"/>
        <w:rPr>
          <w:rFonts w:ascii="宋体" w:hAnsi="宋体" w:cs="宋体"/>
          <w:b/>
          <w:sz w:val="24"/>
        </w:rPr>
      </w:pPr>
      <w:bookmarkStart w:id="143" w:name="_Toc487900368"/>
      <w:bookmarkStart w:id="144" w:name="_Toc16959"/>
      <w:bookmarkStart w:id="145" w:name="_Toc8298"/>
      <w:bookmarkStart w:id="146" w:name="_Toc259093687"/>
      <w:bookmarkStart w:id="147" w:name="_Toc7102"/>
      <w:bookmarkStart w:id="148" w:name="_Toc279701258"/>
      <w:r>
        <w:rPr>
          <w:rFonts w:hint="eastAsia" w:ascii="宋体" w:hAnsi="宋体" w:cs="宋体"/>
          <w:b/>
          <w:sz w:val="24"/>
        </w:rPr>
        <w:t>2.14乙方破产</w:t>
      </w:r>
      <w:bookmarkEnd w:id="143"/>
      <w:bookmarkEnd w:id="144"/>
      <w:bookmarkEnd w:id="145"/>
      <w:bookmarkEnd w:id="146"/>
      <w:bookmarkEnd w:id="147"/>
      <w:bookmarkEnd w:id="148"/>
    </w:p>
    <w:p>
      <w:pPr>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ind w:firstLine="482" w:firstLineChars="200"/>
        <w:outlineLvl w:val="0"/>
        <w:rPr>
          <w:rFonts w:ascii="宋体" w:hAnsi="宋体" w:cs="宋体"/>
          <w:b/>
          <w:sz w:val="24"/>
        </w:rPr>
      </w:pPr>
      <w:bookmarkStart w:id="149" w:name="_Toc29333"/>
      <w:bookmarkStart w:id="150" w:name="_Toc6134"/>
      <w:bookmarkStart w:id="151" w:name="_Toc15387"/>
      <w:r>
        <w:rPr>
          <w:rFonts w:hint="eastAsia" w:ascii="宋体" w:hAnsi="宋体" w:cs="宋体"/>
          <w:b/>
          <w:sz w:val="24"/>
        </w:rPr>
        <w:t>2.15 合同中止、终止</w:t>
      </w:r>
      <w:bookmarkEnd w:id="149"/>
      <w:bookmarkEnd w:id="150"/>
      <w:bookmarkEnd w:id="151"/>
    </w:p>
    <w:p>
      <w:pPr>
        <w:ind w:firstLine="480" w:firstLineChars="200"/>
        <w:rPr>
          <w:rFonts w:ascii="宋体" w:hAnsi="宋体" w:cs="宋体"/>
          <w:sz w:val="24"/>
        </w:rPr>
      </w:pPr>
      <w:r>
        <w:rPr>
          <w:rFonts w:hint="eastAsia" w:ascii="宋体" w:hAnsi="宋体" w:cs="宋体"/>
          <w:sz w:val="24"/>
        </w:rPr>
        <w:t>2.15.1 双方当事人不得擅自中止或者终止合同；</w:t>
      </w:r>
    </w:p>
    <w:p>
      <w:pPr>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ind w:firstLine="482" w:firstLineChars="200"/>
        <w:outlineLvl w:val="0"/>
        <w:rPr>
          <w:rFonts w:ascii="宋体" w:hAnsi="宋体" w:cs="宋体"/>
          <w:b/>
          <w:sz w:val="24"/>
        </w:rPr>
      </w:pPr>
      <w:bookmarkStart w:id="152" w:name="_Toc1125"/>
      <w:bookmarkStart w:id="153" w:name="_Toc14563"/>
      <w:bookmarkStart w:id="154" w:name="_Toc6596"/>
      <w:r>
        <w:rPr>
          <w:rFonts w:hint="eastAsia" w:ascii="宋体" w:hAnsi="宋体" w:cs="宋体"/>
          <w:b/>
          <w:sz w:val="24"/>
        </w:rPr>
        <w:t>2.16检验和验收</w:t>
      </w:r>
      <w:bookmarkEnd w:id="152"/>
      <w:bookmarkEnd w:id="153"/>
      <w:bookmarkEnd w:id="154"/>
    </w:p>
    <w:p>
      <w:pPr>
        <w:tabs>
          <w:tab w:val="left" w:pos="360"/>
          <w:tab w:val="left" w:pos="540"/>
          <w:tab w:val="left" w:pos="1080"/>
        </w:tabs>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124"/>
    <w:bookmarkEnd w:id="125"/>
    <w:bookmarkEnd w:id="126"/>
    <w:bookmarkEnd w:id="127"/>
    <w:p>
      <w:pPr>
        <w:ind w:firstLine="482" w:firstLineChars="200"/>
        <w:outlineLvl w:val="0"/>
        <w:rPr>
          <w:rFonts w:ascii="宋体" w:hAnsi="宋体" w:cs="宋体"/>
          <w:b/>
          <w:sz w:val="24"/>
        </w:rPr>
      </w:pPr>
      <w:bookmarkStart w:id="155" w:name="_Toc487900371"/>
      <w:bookmarkStart w:id="156" w:name="_Toc279701261"/>
      <w:bookmarkStart w:id="157" w:name="_Toc259093690"/>
      <w:bookmarkStart w:id="158" w:name="_Toc11284"/>
      <w:bookmarkStart w:id="159" w:name="_Toc25182"/>
      <w:bookmarkStart w:id="160" w:name="_Toc19604"/>
      <w:r>
        <w:rPr>
          <w:rFonts w:hint="eastAsia" w:ascii="宋体" w:hAnsi="宋体" w:cs="宋体"/>
          <w:b/>
          <w:sz w:val="24"/>
        </w:rPr>
        <w:t>2.17 通知</w:t>
      </w:r>
      <w:bookmarkEnd w:id="155"/>
      <w:bookmarkEnd w:id="156"/>
      <w:bookmarkEnd w:id="157"/>
      <w:r>
        <w:rPr>
          <w:rFonts w:hint="eastAsia" w:ascii="宋体" w:hAnsi="宋体" w:cs="宋体"/>
          <w:b/>
          <w:sz w:val="24"/>
        </w:rPr>
        <w:t>和送达</w:t>
      </w:r>
      <w:bookmarkEnd w:id="158"/>
      <w:bookmarkEnd w:id="159"/>
      <w:bookmarkEnd w:id="160"/>
    </w:p>
    <w:p>
      <w:pPr>
        <w:ind w:firstLine="480" w:firstLineChars="200"/>
        <w:rPr>
          <w:rFonts w:ascii="宋体" w:hAnsi="宋体" w:cs="宋体"/>
          <w:sz w:val="24"/>
        </w:rPr>
      </w:pPr>
      <w:bookmarkStart w:id="161" w:name="_Toc6698"/>
      <w:bookmarkStart w:id="162" w:name="_Toc3135"/>
      <w:bookmarkStart w:id="163" w:name="_Toc487900372"/>
      <w:bookmarkStart w:id="164" w:name="_Toc259093691"/>
      <w:bookmarkStart w:id="165" w:name="_Toc27970126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161"/>
      <w:bookmarkEnd w:id="162"/>
    </w:p>
    <w:p>
      <w:pPr>
        <w:ind w:firstLine="480" w:firstLineChars="200"/>
        <w:rPr>
          <w:rFonts w:ascii="宋体" w:hAnsi="宋体" w:cs="宋体"/>
          <w:sz w:val="24"/>
        </w:rPr>
      </w:pPr>
      <w:bookmarkStart w:id="166" w:name="_Toc23128"/>
      <w:bookmarkStart w:id="167"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166"/>
      <w:bookmarkEnd w:id="167"/>
    </w:p>
    <w:p>
      <w:pPr>
        <w:ind w:firstLine="482" w:firstLineChars="200"/>
        <w:outlineLvl w:val="0"/>
        <w:rPr>
          <w:rFonts w:ascii="宋体" w:hAnsi="宋体" w:cs="宋体"/>
          <w:b/>
          <w:sz w:val="24"/>
        </w:rPr>
      </w:pPr>
      <w:bookmarkStart w:id="168" w:name="_Toc18540"/>
      <w:bookmarkStart w:id="169" w:name="_Toc4355"/>
      <w:bookmarkStart w:id="170" w:name="_Toc30599"/>
      <w:r>
        <w:rPr>
          <w:rFonts w:hint="eastAsia" w:ascii="宋体" w:hAnsi="宋体" w:cs="宋体"/>
          <w:b/>
          <w:sz w:val="24"/>
        </w:rPr>
        <w:t>2.18 计量单位</w:t>
      </w:r>
      <w:bookmarkEnd w:id="163"/>
      <w:bookmarkEnd w:id="164"/>
      <w:bookmarkEnd w:id="165"/>
      <w:bookmarkEnd w:id="168"/>
      <w:bookmarkEnd w:id="169"/>
      <w:bookmarkEnd w:id="170"/>
    </w:p>
    <w:p>
      <w:pPr>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ind w:firstLine="482" w:firstLineChars="200"/>
        <w:outlineLvl w:val="0"/>
        <w:rPr>
          <w:rFonts w:ascii="宋体" w:hAnsi="宋体" w:cs="宋体"/>
          <w:b/>
          <w:sz w:val="24"/>
        </w:rPr>
      </w:pPr>
      <w:bookmarkStart w:id="171" w:name="_Toc279701263"/>
      <w:bookmarkStart w:id="172" w:name="_Toc487900373"/>
      <w:bookmarkStart w:id="173" w:name="_Toc10330"/>
      <w:bookmarkStart w:id="174" w:name="_Toc259093692"/>
      <w:bookmarkStart w:id="175" w:name="_Toc18567"/>
      <w:bookmarkStart w:id="176" w:name="_Toc12773"/>
      <w:r>
        <w:rPr>
          <w:rFonts w:hint="eastAsia" w:ascii="宋体" w:hAnsi="宋体" w:cs="宋体"/>
          <w:b/>
          <w:sz w:val="24"/>
        </w:rPr>
        <w:t>2.19 合同使用的文字和适用的法律</w:t>
      </w:r>
      <w:bookmarkEnd w:id="171"/>
      <w:bookmarkEnd w:id="172"/>
      <w:bookmarkEnd w:id="173"/>
      <w:bookmarkEnd w:id="174"/>
      <w:bookmarkEnd w:id="175"/>
      <w:bookmarkEnd w:id="176"/>
    </w:p>
    <w:p>
      <w:pPr>
        <w:ind w:firstLine="480" w:firstLineChars="200"/>
        <w:rPr>
          <w:rFonts w:ascii="宋体" w:hAnsi="宋体" w:cs="宋体"/>
          <w:sz w:val="24"/>
        </w:rPr>
      </w:pPr>
      <w:r>
        <w:rPr>
          <w:rFonts w:hint="eastAsia" w:ascii="宋体" w:hAnsi="宋体" w:cs="宋体"/>
          <w:sz w:val="24"/>
        </w:rPr>
        <w:t>2.19.1 合同使用汉语书就、变更和解释；</w:t>
      </w:r>
    </w:p>
    <w:p>
      <w:pPr>
        <w:ind w:firstLine="480" w:firstLineChars="200"/>
        <w:rPr>
          <w:rFonts w:ascii="宋体" w:hAnsi="宋体" w:cs="宋体"/>
          <w:sz w:val="24"/>
        </w:rPr>
      </w:pPr>
      <w:r>
        <w:rPr>
          <w:rFonts w:hint="eastAsia" w:ascii="宋体" w:hAnsi="宋体" w:cs="宋体"/>
          <w:sz w:val="24"/>
        </w:rPr>
        <w:t>2.19.2 合同适用中华人民共和国法律。</w:t>
      </w:r>
    </w:p>
    <w:p>
      <w:pPr>
        <w:ind w:firstLine="482" w:firstLineChars="200"/>
        <w:outlineLvl w:val="0"/>
        <w:rPr>
          <w:rFonts w:ascii="宋体" w:hAnsi="宋体" w:cs="宋体"/>
          <w:b/>
          <w:sz w:val="24"/>
        </w:rPr>
      </w:pPr>
      <w:bookmarkStart w:id="177" w:name="_Toc6885"/>
      <w:bookmarkStart w:id="178" w:name="_Toc19890"/>
      <w:bookmarkStart w:id="179" w:name="_Toc14001"/>
      <w:r>
        <w:rPr>
          <w:rFonts w:hint="eastAsia" w:ascii="宋体" w:hAnsi="宋体" w:cs="宋体"/>
          <w:b/>
          <w:sz w:val="24"/>
        </w:rPr>
        <w:t>2.20 合同份数</w:t>
      </w:r>
      <w:bookmarkEnd w:id="177"/>
      <w:bookmarkEnd w:id="178"/>
      <w:bookmarkEnd w:id="179"/>
    </w:p>
    <w:p>
      <w:pPr>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p>
    <w:p>
      <w:pPr>
        <w:adjustRightInd/>
        <w:jc w:val="center"/>
        <w:outlineLvl w:val="0"/>
        <w:rPr>
          <w:rFonts w:ascii="宋体" w:hAnsi="宋体" w:cs="宋体"/>
          <w:b/>
          <w:sz w:val="24"/>
        </w:rPr>
      </w:pPr>
      <w:r>
        <w:rPr>
          <w:rFonts w:hint="eastAsia" w:ascii="宋体" w:hAnsi="宋体" w:cs="宋体"/>
          <w:b/>
          <w:sz w:val="24"/>
        </w:rPr>
        <w:t>第三部分  合同专用条款</w:t>
      </w:r>
    </w:p>
    <w:p>
      <w:pPr>
        <w:ind w:left="-420" w:leftChars="-200" w:right="-420" w:rightChars="-200" w:firstLine="480" w:firstLineChars="200"/>
        <w:rPr>
          <w:rFonts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jc w:val="center"/>
              <w:rPr>
                <w:rFonts w:ascii="宋体" w:hAnsi="宋体" w:cs="宋体"/>
                <w:b/>
                <w:sz w:val="24"/>
              </w:rPr>
            </w:pPr>
            <w:r>
              <w:rPr>
                <w:rFonts w:hint="eastAsia" w:ascii="宋体" w:hAnsi="宋体" w:cs="宋体"/>
                <w:b/>
                <w:sz w:val="24"/>
              </w:rPr>
              <w:t>条款号</w:t>
            </w:r>
          </w:p>
        </w:tc>
        <w:tc>
          <w:tcPr>
            <w:tcW w:w="4534" w:type="pct"/>
            <w:vAlign w:val="center"/>
          </w:tcPr>
          <w:p>
            <w:pPr>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1.4.2</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1.5.1</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 xml:space="preserve">1.5.2 </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1.5.3</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1.6.2</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1.7.1</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1.7.2</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1.7.3</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1.8.6</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1.9</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2.3.2</w:t>
            </w:r>
          </w:p>
        </w:tc>
        <w:tc>
          <w:tcPr>
            <w:tcW w:w="4534" w:type="pct"/>
            <w:vAlign w:val="center"/>
          </w:tcPr>
          <w:p>
            <w:pPr>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2.4.1</w:t>
            </w:r>
          </w:p>
        </w:tc>
        <w:tc>
          <w:tcPr>
            <w:tcW w:w="4534" w:type="pct"/>
            <w:vAlign w:val="center"/>
          </w:tcPr>
          <w:p>
            <w:pPr>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2.4.3</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rPr>
                <w:rFonts w:ascii="宋体" w:hAnsi="宋体" w:cs="宋体"/>
                <w:sz w:val="24"/>
              </w:rPr>
            </w:pPr>
            <w:r>
              <w:rPr>
                <w:rFonts w:hint="eastAsia" w:ascii="宋体" w:hAnsi="宋体" w:cs="宋体"/>
                <w:sz w:val="24"/>
              </w:rPr>
              <w:t xml:space="preserve">2.8 </w:t>
            </w:r>
          </w:p>
        </w:tc>
        <w:tc>
          <w:tcPr>
            <w:tcW w:w="4534" w:type="pct"/>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2.12.3</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2.12.4</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2.16.1</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rPr>
                <w:rFonts w:ascii="宋体" w:hAnsi="宋体" w:cs="宋体"/>
                <w:sz w:val="24"/>
              </w:rPr>
            </w:pPr>
            <w:r>
              <w:rPr>
                <w:rFonts w:hint="eastAsia" w:ascii="宋体" w:hAnsi="宋体" w:cs="宋体"/>
                <w:sz w:val="24"/>
              </w:rPr>
              <w:t>2.16.3</w:t>
            </w:r>
          </w:p>
        </w:tc>
        <w:tc>
          <w:tcPr>
            <w:tcW w:w="4534" w:type="pct"/>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4534" w:type="pct"/>
            <w:vAlign w:val="center"/>
          </w:tcPr>
          <w:p>
            <w:pPr>
              <w:rPr>
                <w:rFonts w:ascii="宋体" w:hAnsi="宋体" w:cs="宋体"/>
                <w:sz w:val="24"/>
              </w:rPr>
            </w:pPr>
          </w:p>
        </w:tc>
      </w:tr>
    </w:tbl>
    <w:p>
      <w:pPr>
        <w:pStyle w:val="79"/>
        <w:rPr>
          <w:rFonts w:ascii="宋体" w:hAnsi="宋体" w:eastAsia="宋体" w:cs="宋体"/>
          <w:b/>
          <w:sz w:val="36"/>
          <w:szCs w:val="20"/>
        </w:rPr>
      </w:pPr>
    </w:p>
    <w:p>
      <w:pPr>
        <w:rPr>
          <w:rFonts w:ascii="宋体" w:hAnsi="宋体" w:cs="宋体"/>
          <w:b/>
          <w:sz w:val="36"/>
          <w:szCs w:val="20"/>
        </w:rPr>
      </w:pPr>
    </w:p>
    <w:p>
      <w:pPr>
        <w:pStyle w:val="5"/>
        <w:rPr>
          <w:rFonts w:ascii="宋体" w:hAnsi="宋体" w:eastAsia="宋体" w:cs="宋体"/>
          <w:sz w:val="36"/>
          <w:szCs w:val="20"/>
        </w:rPr>
      </w:pPr>
    </w:p>
    <w:p>
      <w:pPr>
        <w:rPr>
          <w:rFonts w:ascii="宋体" w:hAnsi="宋体" w:cs="宋体"/>
          <w:b/>
          <w:sz w:val="36"/>
          <w:szCs w:val="20"/>
        </w:rPr>
      </w:pPr>
    </w:p>
    <w:p>
      <w:pPr>
        <w:pStyle w:val="5"/>
        <w:rPr>
          <w:rFonts w:ascii="宋体" w:hAnsi="宋体" w:eastAsia="宋体" w:cs="宋体"/>
          <w:sz w:val="36"/>
          <w:szCs w:val="20"/>
        </w:rPr>
      </w:pPr>
    </w:p>
    <w:p>
      <w:pPr>
        <w:rPr>
          <w:rFonts w:ascii="宋体" w:hAnsi="宋体" w:cs="宋体"/>
          <w:b/>
          <w:sz w:val="36"/>
          <w:szCs w:val="20"/>
        </w:rPr>
      </w:pPr>
    </w:p>
    <w:p>
      <w:pPr>
        <w:pStyle w:val="5"/>
        <w:rPr>
          <w:rFonts w:ascii="宋体" w:hAnsi="宋体" w:eastAsia="宋体" w:cs="宋体"/>
          <w:sz w:val="36"/>
          <w:szCs w:val="20"/>
        </w:rPr>
      </w:pPr>
    </w:p>
    <w:p>
      <w:pPr>
        <w:rPr>
          <w:rFonts w:ascii="宋体" w:hAnsi="宋体" w:cs="宋体"/>
          <w:b/>
          <w:sz w:val="36"/>
          <w:szCs w:val="20"/>
        </w:rPr>
      </w:pPr>
    </w:p>
    <w:p>
      <w:pPr>
        <w:pStyle w:val="5"/>
        <w:rPr>
          <w:rFonts w:ascii="宋体" w:hAnsi="宋体" w:eastAsia="宋体" w:cs="宋体"/>
          <w:sz w:val="36"/>
          <w:szCs w:val="20"/>
        </w:rPr>
      </w:pPr>
    </w:p>
    <w:p>
      <w:pPr>
        <w:rPr>
          <w:rFonts w:ascii="宋体" w:hAnsi="宋体" w:cs="宋体"/>
          <w:b/>
          <w:sz w:val="36"/>
          <w:szCs w:val="20"/>
        </w:rPr>
      </w:pPr>
    </w:p>
    <w:p>
      <w:pPr>
        <w:spacing w:line="360" w:lineRule="auto"/>
        <w:outlineLvl w:val="0"/>
        <w:rPr>
          <w:rFonts w:ascii="宋体" w:hAnsi="宋体" w:cs="宋体"/>
          <w:b/>
          <w:sz w:val="36"/>
          <w:szCs w:val="20"/>
        </w:rPr>
      </w:pPr>
    </w:p>
    <w:p>
      <w:pPr>
        <w:spacing w:line="360" w:lineRule="auto"/>
        <w:jc w:val="center"/>
        <w:outlineLvl w:val="0"/>
        <w:rPr>
          <w:rFonts w:hint="eastAsia" w:ascii="宋体" w:hAnsi="宋体" w:cs="宋体"/>
          <w:b/>
          <w:sz w:val="32"/>
          <w:szCs w:val="32"/>
        </w:rPr>
      </w:pPr>
    </w:p>
    <w:p>
      <w:pPr>
        <w:spacing w:line="360" w:lineRule="auto"/>
        <w:jc w:val="center"/>
        <w:outlineLvl w:val="0"/>
        <w:rPr>
          <w:rFonts w:hint="eastAsia" w:ascii="宋体" w:hAnsi="宋体" w:cs="宋体"/>
          <w:b/>
          <w:sz w:val="32"/>
          <w:szCs w:val="32"/>
        </w:rPr>
      </w:pPr>
    </w:p>
    <w:p>
      <w:pPr>
        <w:spacing w:line="360" w:lineRule="auto"/>
        <w:jc w:val="center"/>
        <w:outlineLvl w:val="0"/>
        <w:rPr>
          <w:rFonts w:hint="eastAsia" w:ascii="宋体" w:hAnsi="宋体" w:cs="宋体"/>
          <w:b/>
          <w:sz w:val="32"/>
          <w:szCs w:val="32"/>
        </w:rPr>
      </w:pPr>
    </w:p>
    <w:p>
      <w:pPr>
        <w:spacing w:line="360" w:lineRule="auto"/>
        <w:jc w:val="center"/>
        <w:outlineLvl w:val="0"/>
        <w:rPr>
          <w:rFonts w:ascii="宋体" w:hAnsi="宋体" w:cs="宋体"/>
          <w:b/>
          <w:sz w:val="32"/>
          <w:szCs w:val="32"/>
        </w:rPr>
      </w:pPr>
      <w:r>
        <w:rPr>
          <w:rFonts w:hint="eastAsia" w:ascii="宋体" w:hAnsi="宋体" w:cs="宋体"/>
          <w:b/>
          <w:sz w:val="32"/>
          <w:szCs w:val="32"/>
        </w:rPr>
        <w:t>第六部分</w:t>
      </w:r>
      <w:bookmarkEnd w:id="29"/>
      <w:r>
        <w:rPr>
          <w:rFonts w:hint="eastAsia" w:ascii="宋体" w:hAnsi="宋体" w:cs="宋体"/>
          <w:b/>
          <w:sz w:val="32"/>
          <w:szCs w:val="32"/>
        </w:rPr>
        <w:t xml:space="preserve"> </w:t>
      </w:r>
      <w:bookmarkEnd w:id="30"/>
      <w:r>
        <w:rPr>
          <w:rFonts w:hint="eastAsia" w:ascii="宋体" w:hAnsi="宋体" w:cs="宋体"/>
          <w:b/>
          <w:sz w:val="32"/>
          <w:szCs w:val="32"/>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b/>
          <w:bCs/>
          <w:sz w:val="24"/>
        </w:rPr>
      </w:pPr>
      <w:r>
        <w:rPr>
          <w:rFonts w:hint="eastAsia" w:ascii="宋体" w:hAnsi="宋体" w:cs="宋体"/>
          <w:b/>
          <w:bCs/>
          <w:sz w:val="24"/>
        </w:rPr>
        <w:t>（1）资格文件部分……………………………………………………………………（页码）</w:t>
      </w:r>
    </w:p>
    <w:p>
      <w:pPr>
        <w:snapToGrid w:val="0"/>
        <w:spacing w:line="360" w:lineRule="auto"/>
        <w:rPr>
          <w:rFonts w:ascii="宋体" w:hAnsi="宋体" w:cs="宋体"/>
          <w:b/>
          <w:bCs/>
          <w:sz w:val="24"/>
        </w:rPr>
      </w:pPr>
      <w:r>
        <w:rPr>
          <w:rFonts w:hint="eastAsia" w:ascii="宋体" w:hAnsi="宋体" w:cs="宋体"/>
          <w:b/>
          <w:bCs/>
          <w:snapToGrid w:val="0"/>
          <w:kern w:val="28"/>
          <w:sz w:val="24"/>
          <w:szCs w:val="20"/>
        </w:rPr>
        <w:t>（2）商务技术文件部分</w:t>
      </w:r>
      <w:r>
        <w:rPr>
          <w:rFonts w:hint="eastAsia" w:ascii="宋体" w:hAnsi="宋体" w:cs="宋体"/>
          <w:b/>
          <w:bCs/>
          <w:sz w:val="24"/>
        </w:rPr>
        <w:t>………………………………………………………………（页码）</w:t>
      </w:r>
    </w:p>
    <w:p>
      <w:pPr>
        <w:snapToGrid w:val="0"/>
        <w:spacing w:line="360" w:lineRule="auto"/>
        <w:rPr>
          <w:rFonts w:ascii="宋体" w:hAnsi="宋体" w:cs="宋体"/>
          <w:b/>
          <w:bCs/>
          <w:sz w:val="24"/>
        </w:rPr>
      </w:pPr>
      <w:r>
        <w:rPr>
          <w:rFonts w:hint="eastAsia" w:ascii="宋体" w:hAnsi="宋体" w:cs="宋体"/>
          <w:b/>
          <w:bCs/>
          <w:sz w:val="24"/>
        </w:rPr>
        <w:t>（</w:t>
      </w:r>
      <w:r>
        <w:rPr>
          <w:rFonts w:ascii="宋体" w:hAnsi="宋体" w:cs="宋体"/>
          <w:b/>
          <w:bCs/>
          <w:sz w:val="24"/>
        </w:rPr>
        <w:t>3</w:t>
      </w:r>
      <w:r>
        <w:rPr>
          <w:rFonts w:hint="eastAsia" w:ascii="宋体" w:hAnsi="宋体" w:cs="宋体"/>
          <w:b/>
          <w:bCs/>
          <w:sz w:val="24"/>
        </w:rPr>
        <w:t>）报价文件部分……………………………………………………………………（页码）</w:t>
      </w:r>
    </w:p>
    <w:p>
      <w:pPr>
        <w:spacing w:line="360" w:lineRule="auto"/>
        <w:rPr>
          <w:rFonts w:ascii="宋体" w:hAnsi="宋体" w:cs="宋体"/>
          <w:sz w:val="24"/>
        </w:rPr>
      </w:pPr>
    </w:p>
    <w:p>
      <w:pPr>
        <w:spacing w:line="360" w:lineRule="auto"/>
        <w:jc w:val="center"/>
        <w:outlineLvl w:val="0"/>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6"/>
          <w:szCs w:val="36"/>
        </w:rPr>
        <w:t>资格文件部分</w:t>
      </w:r>
      <w:r>
        <w:rPr>
          <w:rFonts w:hint="eastAsia" w:ascii="宋体" w:hAnsi="宋体" w:cs="宋体"/>
          <w:b/>
          <w:kern w:val="0"/>
          <w:sz w:val="32"/>
          <w:szCs w:val="32"/>
        </w:rPr>
        <w:t xml:space="preserve"> </w:t>
      </w:r>
    </w:p>
    <w:p>
      <w:pPr>
        <w:snapToGrid w:val="0"/>
        <w:spacing w:line="360" w:lineRule="auto"/>
        <w:ind w:right="480"/>
        <w:rPr>
          <w:rFonts w:ascii="宋体" w:hAnsi="宋体" w:cs="宋体"/>
          <w:b/>
          <w:color w:val="auto"/>
          <w:kern w:val="0"/>
          <w:sz w:val="32"/>
          <w:szCs w:val="32"/>
        </w:rPr>
      </w:pPr>
      <w:r>
        <w:rPr>
          <w:rFonts w:hint="eastAsia" w:ascii="宋体" w:hAnsi="宋体" w:cs="宋体"/>
          <w:b/>
          <w:color w:val="auto"/>
          <w:kern w:val="0"/>
          <w:sz w:val="32"/>
          <w:szCs w:val="32"/>
        </w:rPr>
        <w:t>一、符合参加政府采购活动应当具备的一般条件的承诺函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360" w:firstLineChars="15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360" w:firstLineChars="15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rPr>
          <w:rFonts w:ascii="宋体" w:hAnsi="宋体" w:cs="宋体"/>
          <w:b/>
          <w:kern w:val="0"/>
          <w:sz w:val="32"/>
          <w:szCs w:val="32"/>
        </w:rPr>
      </w:pPr>
    </w:p>
    <w:p>
      <w:pPr>
        <w:pStyle w:val="5"/>
        <w:numPr>
          <w:ilvl w:val="0"/>
          <w:numId w:val="6"/>
        </w:numPr>
        <w:rPr>
          <w:rFonts w:ascii="宋体" w:hAnsi="宋体" w:eastAsia="宋体" w:cs="宋体"/>
          <w:kern w:val="0"/>
        </w:rPr>
      </w:pPr>
      <w:r>
        <w:rPr>
          <w:rFonts w:hint="eastAsia" w:ascii="宋体" w:hAnsi="宋体" w:eastAsia="宋体" w:cs="宋体"/>
          <w:kern w:val="0"/>
        </w:rPr>
        <w:t>营业执照副本(或事业法人登记证或其他工商等登记证明材料)复印件或扫描件</w:t>
      </w:r>
    </w:p>
    <w:p>
      <w:pPr>
        <w:rPr>
          <w:b/>
          <w:bCs/>
          <w:sz w:val="32"/>
          <w:szCs w:val="32"/>
        </w:rPr>
      </w:pPr>
      <w:r>
        <w:rPr>
          <w:rFonts w:hint="eastAsia"/>
          <w:b/>
          <w:bCs/>
          <w:sz w:val="32"/>
          <w:szCs w:val="32"/>
        </w:rPr>
        <w:t>三、中小企业申明函（面向中小企业的项目在资格文件中提供，不面向中小企业的项目如符合中小企业政策请在报价标中提供）</w:t>
      </w:r>
    </w:p>
    <w:p>
      <w:pPr>
        <w:snapToGrid w:val="0"/>
        <w:spacing w:line="360" w:lineRule="auto"/>
        <w:ind w:right="480"/>
        <w:jc w:val="center"/>
        <w:rPr>
          <w:rFonts w:ascii="宋体" w:hAnsi="宋体" w:cs="宋体"/>
          <w:b/>
          <w:kern w:val="0"/>
          <w:sz w:val="32"/>
          <w:szCs w:val="32"/>
        </w:rPr>
      </w:pPr>
    </w:p>
    <w:p>
      <w:pPr>
        <w:spacing w:line="360" w:lineRule="auto"/>
        <w:rPr>
          <w:rFonts w:ascii="宋体" w:hAnsi="宋体" w:cs="宋体"/>
        </w:rPr>
      </w:pPr>
    </w:p>
    <w:p>
      <w:pPr>
        <w:widowControl/>
        <w:adjustRightInd/>
        <w:spacing w:line="360" w:lineRule="auto"/>
        <w:jc w:val="center"/>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（3）符合性审查资料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（4）评标标准相应的商务技术资料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（5）投标标的清单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（6）商务技术偏离表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pacing w:line="360" w:lineRule="auto"/>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5"/>
        <w:rPr>
          <w:rFonts w:ascii="宋体" w:hAnsi="宋体" w:eastAsia="宋体" w:cs="宋体"/>
          <w:lang w:val="en-US"/>
        </w:rPr>
      </w:pPr>
    </w:p>
    <w:p>
      <w:pPr>
        <w:spacing w:line="360" w:lineRule="auto"/>
        <w:rPr>
          <w:rFonts w:ascii="宋体" w:hAnsi="宋体" w:cs="宋体"/>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spacing w:line="360" w:lineRule="auto"/>
        <w:jc w:val="left"/>
        <w:rPr>
          <w:rFonts w:ascii="宋体" w:hAnsi="宋体" w:cs="宋体"/>
          <w:b/>
          <w:kern w:val="0"/>
          <w:sz w:val="32"/>
          <w:szCs w:val="32"/>
        </w:rPr>
      </w:pPr>
      <w:r>
        <w:rPr>
          <w:rFonts w:hint="eastAsia" w:ascii="宋体" w:hAnsi="宋体" w:cs="宋体"/>
          <w:b/>
          <w:kern w:val="0"/>
          <w:sz w:val="32"/>
          <w:szCs w:val="32"/>
        </w:rPr>
        <w:br w:type="page"/>
      </w:r>
    </w:p>
    <w:p>
      <w:pPr>
        <w:snapToGrid w:val="0"/>
        <w:spacing w:line="360" w:lineRule="auto"/>
        <w:ind w:firstLine="3855" w:firstLineChars="1200"/>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Cs w:val="21"/>
        </w:rPr>
      </w:pPr>
      <w:r>
        <w:rPr>
          <w:rFonts w:hint="eastAsia" w:ascii="宋体" w:hAnsi="宋体" w:cs="宋体"/>
          <w:color w:val="auto"/>
          <w:szCs w:val="21"/>
        </w:rPr>
        <w:t>（采购人）、（采购代理机构）：</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我方参加你方组织的（项目名称）【招标编号：（采购编号）】招标的有关活动，并对此项目进行投标。为此：</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1、我方承诺投标有效期从提交投标文件的截止之日起</w:t>
      </w:r>
      <w:r>
        <w:rPr>
          <w:rFonts w:hint="eastAsia" w:ascii="宋体" w:hAnsi="宋体" w:cs="宋体"/>
          <w:color w:val="auto"/>
          <w:szCs w:val="21"/>
          <w:u w:val="single"/>
        </w:rPr>
        <w:t xml:space="preserve">     </w:t>
      </w:r>
      <w:r>
        <w:rPr>
          <w:rFonts w:hint="eastAsia" w:ascii="宋体" w:hAnsi="宋体" w:cs="宋体"/>
          <w:color w:val="auto"/>
          <w:szCs w:val="21"/>
        </w:rPr>
        <w:t>天（不少于90天），本投标文件在投标有效期满之前均具有约束力。</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2、我方的投标文件包括以下内容：</w:t>
      </w:r>
    </w:p>
    <w:p>
      <w:pPr>
        <w:snapToGrid w:val="0"/>
        <w:spacing w:line="360" w:lineRule="auto"/>
        <w:ind w:left="210" w:leftChars="100" w:firstLine="420" w:firstLineChars="200"/>
        <w:rPr>
          <w:rFonts w:ascii="宋体" w:hAnsi="宋体" w:cs="宋体"/>
          <w:color w:val="auto"/>
          <w:szCs w:val="21"/>
        </w:rPr>
      </w:pPr>
      <w:r>
        <w:rPr>
          <w:rFonts w:hint="eastAsia" w:ascii="宋体" w:hAnsi="宋体" w:cs="宋体"/>
          <w:color w:val="auto"/>
          <w:szCs w:val="21"/>
        </w:rPr>
        <w:t>2.1资格文件：</w:t>
      </w:r>
    </w:p>
    <w:p>
      <w:pPr>
        <w:snapToGrid w:val="0"/>
        <w:spacing w:line="360" w:lineRule="auto"/>
        <w:ind w:left="420" w:leftChars="200" w:firstLine="420" w:firstLineChars="200"/>
        <w:rPr>
          <w:rFonts w:ascii="宋体" w:hAnsi="宋体" w:cs="宋体"/>
          <w:color w:val="auto"/>
          <w:szCs w:val="21"/>
        </w:rPr>
      </w:pPr>
      <w:r>
        <w:rPr>
          <w:rFonts w:hint="eastAsia" w:ascii="宋体" w:hAnsi="宋体" w:cs="宋体"/>
          <w:color w:val="auto"/>
          <w:szCs w:val="21"/>
        </w:rPr>
        <w:t>2.1.1符合参加政府采购活动应当具备的一般条件的承诺函；</w:t>
      </w:r>
    </w:p>
    <w:p>
      <w:pPr>
        <w:pStyle w:val="5"/>
        <w:rPr>
          <w:rFonts w:ascii="宋体" w:hAnsi="宋体" w:eastAsia="宋体" w:cs="宋体"/>
          <w:b w:val="0"/>
          <w:bCs w:val="0"/>
          <w:color w:val="auto"/>
          <w:sz w:val="21"/>
          <w:szCs w:val="21"/>
          <w:lang w:val="en-US"/>
        </w:rPr>
      </w:pPr>
      <w:r>
        <w:rPr>
          <w:rFonts w:hint="eastAsia" w:ascii="宋体" w:hAnsi="宋体" w:eastAsia="宋体" w:cs="宋体"/>
          <w:color w:val="auto"/>
          <w:sz w:val="21"/>
          <w:szCs w:val="21"/>
          <w:lang w:val="en-US"/>
        </w:rPr>
        <w:t xml:space="preserve">       </w:t>
      </w:r>
      <w:r>
        <w:rPr>
          <w:rFonts w:hint="eastAsia" w:ascii="宋体" w:hAnsi="宋体" w:eastAsia="宋体" w:cs="宋体"/>
          <w:b w:val="0"/>
          <w:bCs w:val="0"/>
          <w:color w:val="auto"/>
          <w:sz w:val="21"/>
          <w:szCs w:val="21"/>
          <w:lang w:val="en-US"/>
        </w:rPr>
        <w:t>2.2.2营业执照副本(或事业法人登记证或其他工商等登记证明材料)复印件或扫描件；</w:t>
      </w:r>
    </w:p>
    <w:p>
      <w:pPr>
        <w:rPr>
          <w:color w:val="auto"/>
        </w:rPr>
      </w:pPr>
      <w:r>
        <w:rPr>
          <w:rFonts w:hint="eastAsia" w:ascii="宋体" w:hAnsi="宋体" w:cs="宋体"/>
          <w:color w:val="auto"/>
          <w:szCs w:val="21"/>
        </w:rPr>
        <w:t xml:space="preserve">       </w:t>
      </w:r>
      <w:r>
        <w:rPr>
          <w:rFonts w:hint="eastAsia" w:ascii="宋体" w:hAnsi="宋体" w:cs="宋体"/>
          <w:color w:val="auto"/>
          <w:sz w:val="24"/>
        </w:rPr>
        <w:t>2.2.3中小企业声明函（如果有）。</w:t>
      </w:r>
    </w:p>
    <w:p>
      <w:pPr>
        <w:snapToGrid w:val="0"/>
        <w:spacing w:line="360" w:lineRule="auto"/>
        <w:ind w:left="210" w:leftChars="100" w:firstLine="420" w:firstLineChars="200"/>
        <w:rPr>
          <w:rFonts w:ascii="宋体" w:hAnsi="宋体" w:cs="宋体"/>
          <w:color w:val="auto"/>
          <w:szCs w:val="21"/>
          <w:lang w:val="zh-CN"/>
        </w:rPr>
      </w:pPr>
      <w:r>
        <w:rPr>
          <w:rFonts w:hint="eastAsia" w:ascii="宋体" w:hAnsi="宋体" w:cs="宋体"/>
          <w:color w:val="auto"/>
          <w:szCs w:val="21"/>
        </w:rPr>
        <w:t>2</w:t>
      </w:r>
      <w:r>
        <w:rPr>
          <w:rFonts w:hint="eastAsia" w:ascii="宋体" w:hAnsi="宋体" w:cs="宋体"/>
          <w:color w:val="auto"/>
          <w:szCs w:val="21"/>
          <w:lang w:val="zh-CN"/>
        </w:rPr>
        <w:t>.</w:t>
      </w:r>
      <w:r>
        <w:rPr>
          <w:rFonts w:hint="eastAsia" w:ascii="宋体" w:hAnsi="宋体" w:cs="宋体"/>
          <w:color w:val="auto"/>
          <w:szCs w:val="21"/>
        </w:rPr>
        <w:t>2</w:t>
      </w:r>
      <w:r>
        <w:rPr>
          <w:rFonts w:hint="eastAsia" w:ascii="宋体" w:hAnsi="宋体" w:cs="宋体"/>
          <w:color w:val="auto"/>
          <w:szCs w:val="21"/>
          <w:lang w:val="zh-CN"/>
        </w:rPr>
        <w:t xml:space="preserve"> </w:t>
      </w:r>
      <w:r>
        <w:rPr>
          <w:rFonts w:hint="eastAsia" w:ascii="宋体" w:hAnsi="宋体" w:cs="宋体"/>
          <w:color w:val="auto"/>
          <w:szCs w:val="21"/>
        </w:rPr>
        <w:t>商务技术</w:t>
      </w:r>
      <w:r>
        <w:rPr>
          <w:rFonts w:hint="eastAsia" w:ascii="宋体" w:hAnsi="宋体" w:cs="宋体"/>
          <w:color w:val="auto"/>
          <w:szCs w:val="21"/>
          <w:lang w:val="zh-CN"/>
        </w:rPr>
        <w:t>文件：</w:t>
      </w:r>
    </w:p>
    <w:p>
      <w:pPr>
        <w:snapToGrid w:val="0"/>
        <w:spacing w:line="360" w:lineRule="auto"/>
        <w:ind w:left="420" w:leftChars="200" w:firstLine="420" w:firstLineChars="200"/>
        <w:rPr>
          <w:rFonts w:ascii="宋体" w:hAnsi="宋体" w:cs="宋体"/>
          <w:color w:val="auto"/>
          <w:szCs w:val="21"/>
        </w:rPr>
      </w:pPr>
      <w:r>
        <w:rPr>
          <w:rFonts w:hint="eastAsia" w:ascii="宋体" w:hAnsi="宋体" w:cs="宋体"/>
          <w:color w:val="auto"/>
          <w:szCs w:val="21"/>
        </w:rPr>
        <w:t>2.2.1投标函；</w:t>
      </w:r>
      <w:r>
        <w:rPr>
          <w:rFonts w:hint="eastAsia" w:ascii="宋体" w:hAnsi="宋体" w:cs="宋体"/>
          <w:color w:val="auto"/>
          <w:szCs w:val="21"/>
          <w:lang w:val="zh-CN"/>
        </w:rPr>
        <w:t xml:space="preserve"> </w:t>
      </w:r>
    </w:p>
    <w:p>
      <w:pPr>
        <w:snapToGrid w:val="0"/>
        <w:spacing w:line="360" w:lineRule="auto"/>
        <w:ind w:left="420" w:leftChars="200" w:firstLine="420" w:firstLineChars="200"/>
        <w:rPr>
          <w:rFonts w:ascii="宋体" w:hAnsi="宋体" w:cs="宋体"/>
          <w:color w:val="auto"/>
          <w:szCs w:val="21"/>
        </w:rPr>
      </w:pPr>
      <w:r>
        <w:rPr>
          <w:rFonts w:hint="eastAsia" w:ascii="宋体" w:hAnsi="宋体" w:cs="宋体"/>
          <w:color w:val="auto"/>
          <w:szCs w:val="21"/>
        </w:rPr>
        <w:t>2.2.2授权委托书或法定代表人（单位负责人）身份证明；</w:t>
      </w:r>
    </w:p>
    <w:p>
      <w:pPr>
        <w:snapToGrid w:val="0"/>
        <w:spacing w:line="360" w:lineRule="auto"/>
        <w:ind w:left="420" w:leftChars="200" w:firstLine="420" w:firstLineChars="200"/>
        <w:rPr>
          <w:rFonts w:ascii="宋体" w:hAnsi="宋体" w:cs="宋体"/>
          <w:color w:val="auto"/>
          <w:szCs w:val="21"/>
        </w:rPr>
      </w:pPr>
      <w:r>
        <w:rPr>
          <w:rFonts w:hint="eastAsia" w:ascii="宋体" w:hAnsi="宋体" w:cs="宋体"/>
          <w:color w:val="auto"/>
          <w:szCs w:val="21"/>
        </w:rPr>
        <w:t>2.2.3符合性审查资料；</w:t>
      </w:r>
    </w:p>
    <w:p>
      <w:pPr>
        <w:snapToGrid w:val="0"/>
        <w:spacing w:line="360" w:lineRule="auto"/>
        <w:ind w:left="420" w:leftChars="200" w:firstLine="420" w:firstLineChars="200"/>
        <w:rPr>
          <w:rFonts w:ascii="宋体" w:hAnsi="宋体" w:cs="宋体"/>
          <w:color w:val="auto"/>
          <w:szCs w:val="21"/>
        </w:rPr>
      </w:pPr>
      <w:r>
        <w:rPr>
          <w:rFonts w:hint="eastAsia" w:ascii="宋体" w:hAnsi="宋体" w:cs="宋体"/>
          <w:color w:val="auto"/>
          <w:szCs w:val="21"/>
        </w:rPr>
        <w:t>2.2.4评标标准相应的商务技术资料；</w:t>
      </w:r>
    </w:p>
    <w:p>
      <w:pPr>
        <w:snapToGrid w:val="0"/>
        <w:spacing w:line="360" w:lineRule="auto"/>
        <w:ind w:left="420" w:leftChars="200" w:firstLine="420" w:firstLineChars="200"/>
        <w:rPr>
          <w:rFonts w:ascii="宋体" w:hAnsi="宋体" w:cs="宋体"/>
          <w:color w:val="auto"/>
          <w:szCs w:val="21"/>
        </w:rPr>
      </w:pPr>
      <w:r>
        <w:rPr>
          <w:rFonts w:hint="eastAsia" w:ascii="宋体" w:hAnsi="宋体" w:cs="宋体"/>
          <w:color w:val="auto"/>
          <w:szCs w:val="21"/>
        </w:rPr>
        <w:t>2.2.5投标标的清单；</w:t>
      </w:r>
    </w:p>
    <w:p>
      <w:pPr>
        <w:snapToGrid w:val="0"/>
        <w:spacing w:line="360" w:lineRule="auto"/>
        <w:ind w:left="420" w:leftChars="200" w:firstLine="420" w:firstLineChars="200"/>
        <w:rPr>
          <w:rFonts w:ascii="宋体" w:hAnsi="宋体" w:cs="宋体"/>
          <w:color w:val="auto"/>
          <w:szCs w:val="21"/>
        </w:rPr>
      </w:pPr>
      <w:r>
        <w:rPr>
          <w:rFonts w:hint="eastAsia" w:ascii="宋体" w:hAnsi="宋体" w:cs="宋体"/>
          <w:color w:val="auto"/>
          <w:szCs w:val="21"/>
        </w:rPr>
        <w:t>2.2.6商务技术偏离表；</w:t>
      </w:r>
    </w:p>
    <w:p>
      <w:pPr>
        <w:snapToGrid w:val="0"/>
        <w:spacing w:line="360" w:lineRule="auto"/>
        <w:ind w:left="420" w:leftChars="200" w:firstLine="420" w:firstLineChars="200"/>
        <w:rPr>
          <w:rFonts w:ascii="宋体" w:hAnsi="宋体" w:cs="宋体"/>
          <w:color w:val="auto"/>
          <w:szCs w:val="21"/>
          <w:lang w:val="zh-CN"/>
        </w:rPr>
      </w:pPr>
      <w:r>
        <w:rPr>
          <w:rFonts w:hint="eastAsia" w:ascii="宋体" w:hAnsi="宋体" w:cs="宋体"/>
          <w:color w:val="auto"/>
          <w:szCs w:val="21"/>
        </w:rPr>
        <w:t>2</w:t>
      </w:r>
      <w:r>
        <w:rPr>
          <w:rFonts w:hint="eastAsia" w:ascii="宋体" w:hAnsi="宋体" w:cs="宋体"/>
          <w:color w:val="auto"/>
          <w:szCs w:val="21"/>
          <w:lang w:val="zh-CN"/>
        </w:rPr>
        <w:t>.</w:t>
      </w:r>
      <w:r>
        <w:rPr>
          <w:rFonts w:hint="eastAsia" w:ascii="宋体" w:hAnsi="宋体" w:cs="宋体"/>
          <w:color w:val="auto"/>
          <w:szCs w:val="21"/>
        </w:rPr>
        <w:t>2</w:t>
      </w:r>
      <w:r>
        <w:rPr>
          <w:rFonts w:hint="eastAsia" w:ascii="宋体" w:hAnsi="宋体" w:cs="宋体"/>
          <w:color w:val="auto"/>
          <w:szCs w:val="21"/>
          <w:lang w:val="zh-CN"/>
        </w:rPr>
        <w:t>.</w:t>
      </w:r>
      <w:r>
        <w:rPr>
          <w:rFonts w:hint="eastAsia" w:ascii="宋体" w:hAnsi="宋体" w:cs="宋体"/>
          <w:color w:val="auto"/>
          <w:szCs w:val="21"/>
        </w:rPr>
        <w:t>7</w:t>
      </w:r>
      <w:r>
        <w:rPr>
          <w:rFonts w:hint="eastAsia" w:ascii="宋体" w:hAnsi="宋体" w:cs="宋体"/>
          <w:color w:val="auto"/>
          <w:szCs w:val="21"/>
          <w:lang w:val="zh-CN"/>
        </w:rPr>
        <w:t>政府采购供应商廉洁自律承诺书；</w:t>
      </w:r>
    </w:p>
    <w:p>
      <w:pPr>
        <w:snapToGrid w:val="0"/>
        <w:spacing w:line="360" w:lineRule="auto"/>
        <w:ind w:left="210" w:leftChars="100"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zh-CN"/>
        </w:rPr>
        <w:t>.</w:t>
      </w:r>
      <w:r>
        <w:rPr>
          <w:rFonts w:hint="eastAsia" w:ascii="宋体" w:hAnsi="宋体" w:cs="宋体"/>
          <w:color w:val="auto"/>
          <w:szCs w:val="21"/>
        </w:rPr>
        <w:t>3报价文件</w:t>
      </w:r>
    </w:p>
    <w:p>
      <w:pPr>
        <w:snapToGrid w:val="0"/>
        <w:spacing w:line="360" w:lineRule="auto"/>
        <w:ind w:left="420" w:leftChars="200" w:firstLine="420" w:firstLineChars="200"/>
        <w:rPr>
          <w:rFonts w:ascii="宋体" w:hAnsi="宋体" w:cs="宋体"/>
          <w:color w:val="auto"/>
          <w:szCs w:val="21"/>
        </w:rPr>
      </w:pPr>
      <w:r>
        <w:rPr>
          <w:rFonts w:hint="eastAsia" w:ascii="宋体" w:hAnsi="宋体" w:cs="宋体"/>
          <w:color w:val="auto"/>
          <w:szCs w:val="21"/>
        </w:rPr>
        <w:t>2.3.1开标一览表（报价表）；</w:t>
      </w:r>
    </w:p>
    <w:p>
      <w:pPr>
        <w:snapToGrid w:val="0"/>
        <w:spacing w:line="360" w:lineRule="auto"/>
        <w:ind w:left="420" w:leftChars="200" w:firstLine="420" w:firstLineChars="200"/>
        <w:rPr>
          <w:rFonts w:ascii="宋体" w:hAnsi="宋体" w:cs="宋体"/>
          <w:color w:val="auto"/>
          <w:szCs w:val="21"/>
        </w:rPr>
      </w:pPr>
      <w:r>
        <w:rPr>
          <w:rFonts w:hint="eastAsia" w:ascii="宋体" w:hAnsi="宋体" w:cs="宋体"/>
          <w:color w:val="auto"/>
          <w:szCs w:val="21"/>
        </w:rPr>
        <w:t>2.3.2中小企业声明函（如果有）。</w:t>
      </w:r>
    </w:p>
    <w:p>
      <w:pPr>
        <w:snapToGrid w:val="0"/>
        <w:spacing w:line="360" w:lineRule="auto"/>
        <w:ind w:firstLine="420" w:firstLineChars="200"/>
        <w:rPr>
          <w:rFonts w:ascii="宋体" w:hAnsi="宋体" w:cs="宋体"/>
          <w:szCs w:val="21"/>
        </w:rPr>
      </w:pPr>
      <w:r>
        <w:rPr>
          <w:rFonts w:hint="eastAsia" w:ascii="宋体" w:hAnsi="宋体" w:cs="宋体"/>
          <w:szCs w:val="21"/>
        </w:rPr>
        <w:t>3、我方承诺除商务技术偏离表列出的偏离外，我方响应招标文件的全部要求。</w:t>
      </w:r>
    </w:p>
    <w:p>
      <w:pPr>
        <w:snapToGrid w:val="0"/>
        <w:spacing w:line="360" w:lineRule="auto"/>
        <w:ind w:firstLine="420" w:firstLineChars="200"/>
        <w:rPr>
          <w:rFonts w:ascii="宋体" w:hAnsi="宋体" w:cs="宋体"/>
          <w:szCs w:val="21"/>
        </w:rPr>
      </w:pPr>
      <w:r>
        <w:rPr>
          <w:rFonts w:hint="eastAsia" w:ascii="宋体" w:hAnsi="宋体" w:cs="宋体"/>
          <w:szCs w:val="21"/>
        </w:rPr>
        <w:t>4、如我方中标，我方承诺：</w:t>
      </w:r>
    </w:p>
    <w:p>
      <w:pPr>
        <w:snapToGrid w:val="0"/>
        <w:spacing w:line="360" w:lineRule="auto"/>
        <w:ind w:left="210" w:leftChars="100" w:firstLine="420" w:firstLineChars="200"/>
        <w:rPr>
          <w:rFonts w:ascii="宋体" w:hAnsi="宋体" w:cs="宋体"/>
          <w:szCs w:val="21"/>
        </w:rPr>
      </w:pPr>
      <w:r>
        <w:rPr>
          <w:rFonts w:hint="eastAsia" w:ascii="宋体" w:hAnsi="宋体" w:cs="宋体"/>
          <w:szCs w:val="21"/>
        </w:rPr>
        <w:t xml:space="preserve">4.1在收到中标通知书后，在中标通知书规定的期限内与你方签订合同； </w:t>
      </w:r>
    </w:p>
    <w:p>
      <w:pPr>
        <w:snapToGrid w:val="0"/>
        <w:spacing w:line="360" w:lineRule="auto"/>
        <w:ind w:left="210" w:leftChars="100" w:firstLine="420" w:firstLineChars="200"/>
        <w:rPr>
          <w:rFonts w:ascii="宋体" w:hAnsi="宋体" w:cs="宋体"/>
          <w:szCs w:val="21"/>
        </w:rPr>
      </w:pPr>
      <w:r>
        <w:rPr>
          <w:rFonts w:hint="eastAsia" w:ascii="宋体" w:hAnsi="宋体" w:cs="宋体"/>
          <w:szCs w:val="21"/>
        </w:rPr>
        <w:t xml:space="preserve">4.2在签订合同时不向你方提出附加条件； </w:t>
      </w:r>
    </w:p>
    <w:p>
      <w:pPr>
        <w:snapToGrid w:val="0"/>
        <w:spacing w:line="360" w:lineRule="auto"/>
        <w:ind w:left="210" w:leftChars="100" w:firstLine="420" w:firstLineChars="200"/>
        <w:rPr>
          <w:rFonts w:ascii="宋体" w:hAnsi="宋体" w:cs="宋体"/>
          <w:szCs w:val="21"/>
        </w:rPr>
      </w:pPr>
      <w:r>
        <w:rPr>
          <w:rFonts w:hint="eastAsia" w:ascii="宋体" w:hAnsi="宋体" w:cs="宋体"/>
          <w:szCs w:val="21"/>
        </w:rPr>
        <w:t xml:space="preserve">4.3按照招标文件要求提交履约保证金； </w:t>
      </w:r>
    </w:p>
    <w:p>
      <w:pPr>
        <w:snapToGrid w:val="0"/>
        <w:spacing w:line="360" w:lineRule="auto"/>
        <w:ind w:left="210" w:leftChars="100" w:firstLine="420" w:firstLineChars="200"/>
        <w:rPr>
          <w:rFonts w:ascii="宋体" w:hAnsi="宋体" w:cs="宋体"/>
          <w:szCs w:val="21"/>
        </w:rPr>
      </w:pPr>
      <w:r>
        <w:rPr>
          <w:rFonts w:hint="eastAsia" w:ascii="宋体" w:hAnsi="宋体" w:cs="宋体"/>
          <w:szCs w:val="21"/>
        </w:rPr>
        <w:t xml:space="preserve">4.4在合同约定的期限内完成合同规定的全部义务。 </w:t>
      </w:r>
    </w:p>
    <w:p>
      <w:pPr>
        <w:snapToGrid w:val="0"/>
        <w:spacing w:line="360" w:lineRule="auto"/>
        <w:ind w:left="210" w:leftChars="100" w:firstLine="420" w:firstLineChars="200"/>
        <w:rPr>
          <w:rFonts w:ascii="宋体" w:hAnsi="宋体" w:cs="宋体"/>
          <w:szCs w:val="21"/>
        </w:rPr>
      </w:pPr>
      <w:r>
        <w:rPr>
          <w:rFonts w:hint="eastAsia" w:ascii="宋体" w:hAnsi="宋体" w:cs="宋体"/>
          <w:szCs w:val="21"/>
        </w:rPr>
        <w:t>5、其他补充说明:</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3150" w:firstLineChars="1500"/>
        <w:rPr>
          <w:rFonts w:ascii="宋体" w:hAnsi="宋体" w:cs="宋体"/>
          <w:szCs w:val="21"/>
        </w:rPr>
      </w:pPr>
      <w:r>
        <w:rPr>
          <w:rFonts w:hint="eastAsia" w:ascii="宋体" w:hAnsi="宋体" w:cs="宋体"/>
          <w:szCs w:val="21"/>
        </w:rPr>
        <w:t xml:space="preserve">投标人名称（电子签名）：                          </w:t>
      </w:r>
    </w:p>
    <w:p>
      <w:pPr>
        <w:spacing w:line="360" w:lineRule="auto"/>
        <w:jc w:val="center"/>
        <w:rPr>
          <w:rFonts w:ascii="宋体" w:hAnsi="宋体" w:cs="宋体"/>
          <w:szCs w:val="21"/>
        </w:rPr>
      </w:pPr>
      <w:r>
        <w:rPr>
          <w:rFonts w:hint="eastAsia" w:ascii="宋体" w:hAnsi="宋体" w:cs="宋体"/>
          <w:szCs w:val="21"/>
        </w:rPr>
        <w:t xml:space="preserve">     日期：  年   月   日</w:t>
      </w:r>
    </w:p>
    <w:p>
      <w:pPr>
        <w:spacing w:line="360" w:lineRule="auto"/>
        <w:ind w:right="420"/>
        <w:rPr>
          <w:rFonts w:ascii="宋体" w:hAnsi="宋体" w:cs="宋体"/>
          <w:b/>
          <w:kern w:val="0"/>
          <w:szCs w:val="21"/>
        </w:rPr>
      </w:pPr>
      <w:r>
        <w:rPr>
          <w:rFonts w:hint="eastAsia" w:ascii="宋体" w:hAnsi="宋体" w:cs="宋体"/>
          <w:szCs w:val="21"/>
        </w:rPr>
        <w:t>注：按本格式和要求提供。</w:t>
      </w:r>
    </w:p>
    <w:p>
      <w:pPr>
        <w:widowControl/>
        <w:adjustRightInd/>
        <w:spacing w:line="360" w:lineRule="auto"/>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jc w:val="center"/>
        <w:rPr>
          <w:rFonts w:ascii="宋体" w:hAnsi="宋体" w:cs="宋体"/>
          <w:color w:val="auto"/>
        </w:rPr>
      </w:pPr>
      <w:r>
        <w:rPr>
          <w:rFonts w:hint="eastAsia" w:ascii="宋体" w:hAnsi="宋体" w:cs="宋体"/>
          <w:b/>
          <w:color w:val="auto"/>
          <w:kern w:val="0"/>
          <w:sz w:val="32"/>
          <w:szCs w:val="32"/>
          <w:lang w:val="zh-CN"/>
        </w:rPr>
        <w:t>授权委托书</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7"/>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131" w:type="dxa"/>
          </w:tcPr>
          <w:p>
            <w:pPr>
              <w:pStyle w:val="147"/>
              <w:adjustRightInd w:val="0"/>
              <w:spacing w:line="360" w:lineRule="auto"/>
              <w:rPr>
                <w:rFonts w:hAnsi="宋体" w:cs="宋体"/>
                <w:bCs/>
                <w:sz w:val="24"/>
              </w:rPr>
            </w:pPr>
            <w:r>
              <w:rPr>
                <w:rFonts w:hint="eastAsia" w:hAnsi="宋体" w:cs="宋体"/>
                <w:bCs/>
                <w:sz w:val="24"/>
              </w:rPr>
              <w:t>正面：                                 反面：</w:t>
            </w:r>
          </w:p>
          <w:p>
            <w:pPr>
              <w:pStyle w:val="14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b/>
          <w:kern w:val="0"/>
          <w:sz w:val="32"/>
          <w:szCs w:val="32"/>
        </w:rPr>
      </w:pPr>
      <w:r>
        <w:rPr>
          <w:rFonts w:hint="eastAsia" w:ascii="宋体" w:hAnsi="宋体" w:cs="宋体"/>
          <w:kern w:val="0"/>
          <w:sz w:val="24"/>
          <w:lang w:val="zh-CN"/>
        </w:rPr>
        <w:t xml:space="preserve">                   日期：  年  月  日</w:t>
      </w:r>
    </w:p>
    <w:p>
      <w:pPr>
        <w:spacing w:line="360" w:lineRule="auto"/>
        <w:jc w:val="center"/>
        <w:rPr>
          <w:rFonts w:ascii="宋体" w:hAnsi="宋体" w:cs="宋体"/>
          <w:b/>
          <w:kern w:val="0"/>
          <w:sz w:val="32"/>
          <w:szCs w:val="32"/>
        </w:rPr>
      </w:pPr>
      <w:r>
        <w:rPr>
          <w:rFonts w:hint="eastAsia" w:ascii="宋体" w:hAnsi="宋体" w:cs="宋体"/>
          <w:b/>
          <w:kern w:val="0"/>
          <w:sz w:val="32"/>
          <w:szCs w:val="32"/>
        </w:rPr>
        <w:t>三、符合性审查资料</w:t>
      </w:r>
    </w:p>
    <w:p>
      <w:pPr>
        <w:spacing w:line="360" w:lineRule="auto"/>
        <w:jc w:val="center"/>
        <w:rPr>
          <w:rFonts w:ascii="宋体" w:hAnsi="宋体" w:cs="宋体"/>
          <w:b/>
          <w:kern w:val="0"/>
          <w:sz w:val="32"/>
          <w:szCs w:val="32"/>
        </w:rPr>
      </w:pPr>
    </w:p>
    <w:tbl>
      <w:tblPr>
        <w:tblStyle w:val="62"/>
        <w:tblW w:w="9090"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4020"/>
        <w:gridCol w:w="307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15" w:type="dxa"/>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4020" w:type="dxa"/>
            <w:vAlign w:val="center"/>
          </w:tcPr>
          <w:p>
            <w:pPr>
              <w:snapToGrid w:val="0"/>
              <w:spacing w:line="360" w:lineRule="auto"/>
              <w:jc w:val="center"/>
              <w:rPr>
                <w:rFonts w:ascii="宋体" w:hAnsi="宋体" w:cs="宋体"/>
                <w:b/>
                <w:sz w:val="24"/>
              </w:rPr>
            </w:pPr>
            <w:r>
              <w:rPr>
                <w:rFonts w:hint="eastAsia" w:ascii="宋体" w:hAnsi="宋体" w:cs="宋体"/>
                <w:b/>
                <w:sz w:val="24"/>
              </w:rPr>
              <w:t>实质性要求</w:t>
            </w:r>
          </w:p>
        </w:tc>
        <w:tc>
          <w:tcPr>
            <w:tcW w:w="3075" w:type="dxa"/>
            <w:vAlign w:val="center"/>
          </w:tcPr>
          <w:p>
            <w:pPr>
              <w:snapToGrid w:val="0"/>
              <w:spacing w:line="360" w:lineRule="auto"/>
              <w:jc w:val="center"/>
              <w:rPr>
                <w:rFonts w:ascii="宋体" w:hAnsi="宋体" w:cs="宋体"/>
                <w:b/>
                <w:sz w:val="24"/>
              </w:rPr>
            </w:pPr>
            <w:r>
              <w:rPr>
                <w:rFonts w:hint="eastAsia" w:ascii="宋体" w:hAnsi="宋体" w:cs="宋体"/>
                <w:b/>
                <w:sz w:val="24"/>
              </w:rPr>
              <w:t>需要提供的符合性审查资料</w:t>
            </w:r>
          </w:p>
        </w:tc>
        <w:tc>
          <w:tcPr>
            <w:tcW w:w="1380" w:type="dxa"/>
            <w:vAlign w:val="center"/>
          </w:tcPr>
          <w:p>
            <w:pPr>
              <w:snapToGrid w:val="0"/>
              <w:spacing w:line="360" w:lineRule="auto"/>
              <w:jc w:val="center"/>
              <w:rPr>
                <w:rFonts w:ascii="宋体" w:hAnsi="宋体" w:cs="宋体"/>
                <w:b/>
                <w:sz w:val="24"/>
              </w:rPr>
            </w:pPr>
            <w:r>
              <w:rPr>
                <w:rFonts w:hint="eastAsia" w:ascii="宋体" w:hAnsi="宋体" w:cs="宋体"/>
                <w:b/>
                <w:sz w:val="24"/>
              </w:rPr>
              <w:t>投标文件中的</w:t>
            </w:r>
          </w:p>
          <w:p>
            <w:pPr>
              <w:snapToGrid w:val="0"/>
              <w:spacing w:line="360" w:lineRule="auto"/>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15" w:type="dxa"/>
            <w:vAlign w:val="center"/>
          </w:tcPr>
          <w:p>
            <w:pPr>
              <w:spacing w:line="360" w:lineRule="auto"/>
              <w:jc w:val="center"/>
              <w:rPr>
                <w:rFonts w:ascii="宋体" w:hAnsi="宋体" w:cs="宋体"/>
                <w:sz w:val="24"/>
              </w:rPr>
            </w:pPr>
            <w:r>
              <w:rPr>
                <w:rFonts w:hint="eastAsia" w:ascii="宋体" w:hAnsi="宋体" w:cs="宋体"/>
                <w:sz w:val="24"/>
              </w:rPr>
              <w:t>1</w:t>
            </w:r>
          </w:p>
        </w:tc>
        <w:tc>
          <w:tcPr>
            <w:tcW w:w="4020"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3075" w:type="dxa"/>
            <w:vAlign w:val="center"/>
          </w:tcPr>
          <w:p>
            <w:pPr>
              <w:spacing w:line="360" w:lineRule="auto"/>
              <w:rPr>
                <w:rFonts w:ascii="宋体" w:hAnsi="宋体" w:cs="宋体"/>
                <w:sz w:val="24"/>
              </w:rPr>
            </w:pPr>
            <w:r>
              <w:rPr>
                <w:rFonts w:hint="eastAsia" w:ascii="宋体" w:hAnsi="宋体" w:cs="宋体"/>
                <w:sz w:val="24"/>
              </w:rPr>
              <w:t>需要使用电子签名或者签字盖章的投标文件的组成部分</w:t>
            </w:r>
          </w:p>
        </w:tc>
        <w:tc>
          <w:tcPr>
            <w:tcW w:w="1380" w:type="dxa"/>
          </w:tcPr>
          <w:p>
            <w:pPr>
              <w:spacing w:line="360" w:lineRule="auto"/>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15" w:type="dxa"/>
            <w:vAlign w:val="center"/>
          </w:tcPr>
          <w:p>
            <w:pPr>
              <w:spacing w:line="360" w:lineRule="auto"/>
              <w:jc w:val="center"/>
              <w:rPr>
                <w:rFonts w:ascii="宋体" w:hAnsi="宋体" w:cs="宋体"/>
                <w:sz w:val="24"/>
              </w:rPr>
            </w:pPr>
            <w:r>
              <w:rPr>
                <w:rFonts w:hint="eastAsia" w:ascii="宋体" w:hAnsi="宋体" w:cs="宋体"/>
                <w:sz w:val="24"/>
              </w:rPr>
              <w:t>2</w:t>
            </w:r>
          </w:p>
        </w:tc>
        <w:tc>
          <w:tcPr>
            <w:tcW w:w="4020"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3075" w:type="dxa"/>
            <w:vAlign w:val="center"/>
          </w:tcPr>
          <w:p>
            <w:pPr>
              <w:spacing w:line="360" w:lineRule="auto"/>
              <w:rPr>
                <w:rFonts w:ascii="宋体" w:hAnsi="宋体" w:cs="宋体"/>
                <w:sz w:val="24"/>
              </w:rPr>
            </w:pPr>
            <w:r>
              <w:rPr>
                <w:rFonts w:hint="eastAsia" w:ascii="宋体" w:hAnsi="宋体" w:cs="宋体"/>
                <w:sz w:val="24"/>
              </w:rPr>
              <w:t>投标函</w:t>
            </w:r>
          </w:p>
        </w:tc>
        <w:tc>
          <w:tcPr>
            <w:tcW w:w="1380" w:type="dxa"/>
          </w:tcPr>
          <w:p>
            <w:pPr>
              <w:spacing w:line="360" w:lineRule="auto"/>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15" w:type="dxa"/>
            <w:vAlign w:val="center"/>
          </w:tcPr>
          <w:p>
            <w:pPr>
              <w:spacing w:line="360" w:lineRule="auto"/>
              <w:jc w:val="center"/>
              <w:rPr>
                <w:rFonts w:ascii="宋体" w:hAnsi="宋体" w:cs="宋体"/>
                <w:sz w:val="24"/>
              </w:rPr>
            </w:pPr>
            <w:r>
              <w:rPr>
                <w:rFonts w:hint="eastAsia" w:ascii="宋体" w:hAnsi="宋体" w:cs="宋体"/>
                <w:sz w:val="24"/>
              </w:rPr>
              <w:t>3</w:t>
            </w:r>
          </w:p>
        </w:tc>
        <w:tc>
          <w:tcPr>
            <w:tcW w:w="4020"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3075" w:type="dxa"/>
            <w:vAlign w:val="center"/>
          </w:tcPr>
          <w:p>
            <w:pPr>
              <w:spacing w:line="360" w:lineRule="auto"/>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380" w:type="dxa"/>
          </w:tcPr>
          <w:p>
            <w:pPr>
              <w:spacing w:line="360" w:lineRule="auto"/>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r>
        <w:rPr>
          <w:rFonts w:hint="eastAsia" w:ascii="宋体" w:hAnsi="宋体" w:cs="宋体"/>
          <w:b/>
          <w:kern w:val="0"/>
          <w:sz w:val="32"/>
          <w:szCs w:val="32"/>
        </w:rPr>
        <w:t xml:space="preserve">            </w:t>
      </w: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widowControl/>
        <w:adjustRightInd/>
        <w:spacing w:line="360" w:lineRule="auto"/>
        <w:jc w:val="left"/>
        <w:rPr>
          <w:rFonts w:ascii="宋体" w:hAnsi="宋体" w:cs="宋体"/>
          <w:b/>
          <w:kern w:val="0"/>
          <w:sz w:val="32"/>
          <w:szCs w:val="32"/>
        </w:rPr>
      </w:pPr>
      <w:r>
        <w:rPr>
          <w:rFonts w:hint="eastAsia" w:ascii="宋体" w:hAnsi="宋体" w:cs="宋体"/>
          <w:b/>
          <w:kern w:val="0"/>
          <w:sz w:val="32"/>
          <w:szCs w:val="32"/>
        </w:rPr>
        <w:br w:type="page"/>
      </w:r>
    </w:p>
    <w:p>
      <w:pPr>
        <w:spacing w:line="360" w:lineRule="auto"/>
        <w:jc w:val="center"/>
        <w:rPr>
          <w:rFonts w:ascii="宋体" w:hAnsi="宋体" w:cs="宋体"/>
        </w:rPr>
      </w:pPr>
      <w:r>
        <w:rPr>
          <w:rFonts w:hint="eastAsia" w:ascii="宋体" w:hAnsi="宋体" w:cs="宋体"/>
          <w:b/>
          <w:kern w:val="0"/>
          <w:sz w:val="32"/>
          <w:szCs w:val="32"/>
        </w:rPr>
        <w:t>四、评标标准相应的商务技术资料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ind w:firstLine="2891" w:firstLineChars="900"/>
        <w:rPr>
          <w:rFonts w:ascii="宋体" w:hAnsi="宋体" w:cs="宋体"/>
          <w:b/>
          <w:kern w:val="0"/>
          <w:sz w:val="32"/>
          <w:szCs w:val="32"/>
        </w:rPr>
      </w:pPr>
      <w:r>
        <w:rPr>
          <w:rFonts w:hint="eastAsia" w:ascii="宋体" w:hAnsi="宋体" w:cs="宋体"/>
          <w:b/>
          <w:kern w:val="0"/>
          <w:sz w:val="32"/>
          <w:szCs w:val="32"/>
        </w:rPr>
        <w:t>五、投标标的清单</w:t>
      </w:r>
    </w:p>
    <w:tbl>
      <w:tblPr>
        <w:tblStyle w:val="62"/>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369"/>
        <w:gridCol w:w="1114"/>
        <w:gridCol w:w="1260"/>
        <w:gridCol w:w="2775"/>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r>
        <w:rPr>
          <w:rFonts w:hint="eastAsia" w:ascii="宋体" w:hAnsi="宋体" w:cs="宋体"/>
          <w:b/>
          <w:kern w:val="0"/>
          <w:sz w:val="32"/>
          <w:szCs w:val="32"/>
        </w:rPr>
        <w:t>六、商务技术偏离表</w:t>
      </w:r>
    </w:p>
    <w:tbl>
      <w:tblPr>
        <w:tblStyle w:val="63"/>
        <w:tblW w:w="901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3528"/>
        <w:gridCol w:w="334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Pr>
          <w:p>
            <w:pPr>
              <w:spacing w:line="360" w:lineRule="auto"/>
              <w:jc w:val="center"/>
              <w:rPr>
                <w:rFonts w:ascii="宋体" w:hAnsi="宋体" w:cs="宋体"/>
                <w:b/>
                <w:bCs/>
                <w:sz w:val="24"/>
              </w:rPr>
            </w:pPr>
            <w:r>
              <w:rPr>
                <w:rFonts w:hint="eastAsia" w:ascii="宋体" w:hAnsi="宋体" w:cs="宋体"/>
                <w:b/>
                <w:bCs/>
                <w:sz w:val="24"/>
              </w:rPr>
              <w:t>序号</w:t>
            </w:r>
          </w:p>
        </w:tc>
        <w:tc>
          <w:tcPr>
            <w:tcW w:w="3528" w:type="dxa"/>
          </w:tcPr>
          <w:p>
            <w:pPr>
              <w:spacing w:line="360" w:lineRule="auto"/>
              <w:jc w:val="center"/>
              <w:rPr>
                <w:rFonts w:ascii="宋体" w:hAnsi="宋体" w:cs="宋体"/>
                <w:b/>
                <w:bCs/>
                <w:sz w:val="24"/>
              </w:rPr>
            </w:pPr>
            <w:r>
              <w:rPr>
                <w:rFonts w:hint="eastAsia" w:ascii="宋体" w:hAnsi="宋体" w:cs="宋体"/>
                <w:b/>
                <w:bCs/>
                <w:sz w:val="24"/>
              </w:rPr>
              <w:t>招标文件章节及具体内容</w:t>
            </w:r>
          </w:p>
        </w:tc>
        <w:tc>
          <w:tcPr>
            <w:tcW w:w="3345" w:type="dxa"/>
          </w:tcPr>
          <w:p>
            <w:pPr>
              <w:spacing w:line="360" w:lineRule="auto"/>
              <w:jc w:val="center"/>
              <w:rPr>
                <w:rFonts w:ascii="宋体" w:hAnsi="宋体" w:cs="宋体"/>
                <w:b/>
                <w:bCs/>
                <w:sz w:val="24"/>
              </w:rPr>
            </w:pPr>
            <w:r>
              <w:rPr>
                <w:rFonts w:hint="eastAsia" w:ascii="宋体" w:hAnsi="宋体" w:cs="宋体"/>
                <w:b/>
                <w:bCs/>
                <w:sz w:val="24"/>
              </w:rPr>
              <w:t>投标文件章节及具体内容</w:t>
            </w:r>
          </w:p>
        </w:tc>
        <w:tc>
          <w:tcPr>
            <w:tcW w:w="1320" w:type="dxa"/>
          </w:tcPr>
          <w:p>
            <w:pPr>
              <w:spacing w:line="360" w:lineRule="auto"/>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Pr>
          <w:p>
            <w:pPr>
              <w:spacing w:line="360" w:lineRule="auto"/>
              <w:jc w:val="center"/>
              <w:rPr>
                <w:rFonts w:ascii="宋体" w:hAnsi="宋体" w:cs="宋体"/>
                <w:kern w:val="0"/>
                <w:sz w:val="24"/>
              </w:rPr>
            </w:pPr>
            <w:r>
              <w:rPr>
                <w:rFonts w:hint="eastAsia" w:ascii="宋体" w:hAnsi="宋体" w:cs="宋体"/>
                <w:kern w:val="0"/>
                <w:sz w:val="24"/>
              </w:rPr>
              <w:t>1</w:t>
            </w:r>
          </w:p>
        </w:tc>
        <w:tc>
          <w:tcPr>
            <w:tcW w:w="3528" w:type="dxa"/>
          </w:tcPr>
          <w:p>
            <w:pPr>
              <w:spacing w:line="360" w:lineRule="auto"/>
              <w:jc w:val="center"/>
              <w:rPr>
                <w:rFonts w:ascii="宋体" w:hAnsi="宋体" w:cs="宋体"/>
                <w:b/>
                <w:kern w:val="0"/>
                <w:sz w:val="32"/>
                <w:szCs w:val="32"/>
              </w:rPr>
            </w:pPr>
          </w:p>
        </w:tc>
        <w:tc>
          <w:tcPr>
            <w:tcW w:w="3345" w:type="dxa"/>
          </w:tcPr>
          <w:p>
            <w:pPr>
              <w:spacing w:line="360" w:lineRule="auto"/>
              <w:jc w:val="center"/>
              <w:rPr>
                <w:rFonts w:ascii="宋体" w:hAnsi="宋体" w:cs="宋体"/>
                <w:b/>
                <w:kern w:val="0"/>
                <w:sz w:val="32"/>
                <w:szCs w:val="32"/>
              </w:rPr>
            </w:pPr>
          </w:p>
        </w:tc>
        <w:tc>
          <w:tcPr>
            <w:tcW w:w="1320" w:type="dxa"/>
          </w:tcPr>
          <w:p>
            <w:pPr>
              <w:spacing w:line="360" w:lineRule="auto"/>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Pr>
          <w:p>
            <w:pPr>
              <w:spacing w:line="360" w:lineRule="auto"/>
              <w:jc w:val="center"/>
              <w:rPr>
                <w:rFonts w:ascii="宋体" w:hAnsi="宋体" w:cs="宋体"/>
                <w:kern w:val="0"/>
                <w:sz w:val="24"/>
              </w:rPr>
            </w:pPr>
            <w:r>
              <w:rPr>
                <w:rFonts w:hint="eastAsia" w:ascii="宋体" w:hAnsi="宋体" w:cs="宋体"/>
                <w:kern w:val="0"/>
                <w:sz w:val="24"/>
              </w:rPr>
              <w:t>2</w:t>
            </w:r>
          </w:p>
        </w:tc>
        <w:tc>
          <w:tcPr>
            <w:tcW w:w="3528" w:type="dxa"/>
          </w:tcPr>
          <w:p>
            <w:pPr>
              <w:spacing w:line="360" w:lineRule="auto"/>
              <w:jc w:val="center"/>
              <w:rPr>
                <w:rFonts w:ascii="宋体" w:hAnsi="宋体" w:cs="宋体"/>
                <w:b/>
                <w:kern w:val="0"/>
                <w:sz w:val="32"/>
                <w:szCs w:val="32"/>
              </w:rPr>
            </w:pPr>
          </w:p>
        </w:tc>
        <w:tc>
          <w:tcPr>
            <w:tcW w:w="3345" w:type="dxa"/>
          </w:tcPr>
          <w:p>
            <w:pPr>
              <w:spacing w:line="360" w:lineRule="auto"/>
              <w:jc w:val="center"/>
              <w:rPr>
                <w:rFonts w:ascii="宋体" w:hAnsi="宋体" w:cs="宋体"/>
                <w:b/>
                <w:kern w:val="0"/>
                <w:sz w:val="32"/>
                <w:szCs w:val="32"/>
              </w:rPr>
            </w:pPr>
          </w:p>
        </w:tc>
        <w:tc>
          <w:tcPr>
            <w:tcW w:w="1320" w:type="dxa"/>
          </w:tcPr>
          <w:p>
            <w:pPr>
              <w:spacing w:line="360" w:lineRule="auto"/>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Pr>
          <w:p>
            <w:pPr>
              <w:spacing w:line="360" w:lineRule="auto"/>
              <w:jc w:val="center"/>
              <w:rPr>
                <w:rFonts w:ascii="宋体" w:hAnsi="宋体" w:cs="宋体"/>
                <w:kern w:val="0"/>
                <w:sz w:val="24"/>
              </w:rPr>
            </w:pPr>
            <w:r>
              <w:rPr>
                <w:rFonts w:hint="eastAsia" w:ascii="宋体" w:hAnsi="宋体" w:cs="宋体"/>
                <w:kern w:val="0"/>
                <w:sz w:val="24"/>
              </w:rPr>
              <w:t>……</w:t>
            </w:r>
          </w:p>
        </w:tc>
        <w:tc>
          <w:tcPr>
            <w:tcW w:w="3528" w:type="dxa"/>
          </w:tcPr>
          <w:p>
            <w:pPr>
              <w:spacing w:line="360" w:lineRule="auto"/>
              <w:jc w:val="center"/>
              <w:rPr>
                <w:rFonts w:ascii="宋体" w:hAnsi="宋体" w:cs="宋体"/>
                <w:b/>
                <w:kern w:val="0"/>
                <w:sz w:val="32"/>
                <w:szCs w:val="32"/>
              </w:rPr>
            </w:pPr>
          </w:p>
        </w:tc>
        <w:tc>
          <w:tcPr>
            <w:tcW w:w="3345" w:type="dxa"/>
          </w:tcPr>
          <w:p>
            <w:pPr>
              <w:spacing w:line="360" w:lineRule="auto"/>
              <w:jc w:val="center"/>
              <w:rPr>
                <w:rFonts w:ascii="宋体" w:hAnsi="宋体" w:cs="宋体"/>
                <w:b/>
                <w:kern w:val="0"/>
                <w:sz w:val="32"/>
                <w:szCs w:val="32"/>
              </w:rPr>
            </w:pPr>
          </w:p>
        </w:tc>
        <w:tc>
          <w:tcPr>
            <w:tcW w:w="1320" w:type="dxa"/>
          </w:tcPr>
          <w:p>
            <w:pPr>
              <w:spacing w:line="360" w:lineRule="auto"/>
              <w:jc w:val="center"/>
              <w:rPr>
                <w:rFonts w:ascii="宋体" w:hAnsi="宋体" w:cs="宋体"/>
                <w:b/>
                <w:kern w:val="0"/>
                <w:sz w:val="32"/>
                <w:szCs w:val="32"/>
              </w:rPr>
            </w:pPr>
          </w:p>
        </w:tc>
      </w:tr>
    </w:tbl>
    <w:p>
      <w:pPr>
        <w:spacing w:line="360" w:lineRule="auto"/>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spacing w:line="360" w:lineRule="auto"/>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ind w:firstLine="1911" w:firstLineChars="595"/>
        <w:rPr>
          <w:rFonts w:ascii="宋体" w:hAnsi="宋体" w:cs="宋体"/>
          <w:b/>
          <w:bCs/>
          <w:sz w:val="32"/>
          <w:szCs w:val="32"/>
        </w:rPr>
      </w:pPr>
    </w:p>
    <w:p>
      <w:pPr>
        <w:widowControl/>
        <w:adjustRightInd/>
        <w:spacing w:line="360" w:lineRule="auto"/>
        <w:jc w:val="center"/>
        <w:rPr>
          <w:rFonts w:ascii="宋体" w:hAnsi="宋体" w:cs="宋体"/>
          <w:b/>
          <w:kern w:val="0"/>
          <w:sz w:val="32"/>
          <w:szCs w:val="32"/>
        </w:rPr>
      </w:pPr>
      <w:r>
        <w:rPr>
          <w:rFonts w:hint="eastAsia" w:ascii="宋体" w:hAnsi="宋体" w:cs="宋体"/>
          <w:b/>
          <w:bCs/>
          <w:sz w:val="32"/>
          <w:szCs w:val="32"/>
        </w:rPr>
        <w:t>七</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7" w:bottom="1247" w:left="1417" w:header="851" w:footer="992" w:gutter="0"/>
          <w:cols w:space="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2"/>
          <w:szCs w:val="32"/>
        </w:rPr>
      </w:pPr>
      <w:r>
        <w:rPr>
          <w:rFonts w:hint="eastAsia" w:ascii="宋体" w:hAnsi="宋体" w:cs="宋体"/>
          <w:b/>
          <w:kern w:val="0"/>
          <w:sz w:val="32"/>
          <w:szCs w:val="32"/>
        </w:rPr>
        <w:t>目录</w:t>
      </w:r>
    </w:p>
    <w:p>
      <w:pPr>
        <w:spacing w:line="360" w:lineRule="auto"/>
        <w:jc w:val="center"/>
        <w:outlineLvl w:val="0"/>
        <w:rPr>
          <w:rFonts w:ascii="宋体" w:hAnsi="宋体" w:cs="宋体"/>
          <w:b/>
          <w:kern w:val="0"/>
          <w:sz w:val="36"/>
          <w:szCs w:val="36"/>
        </w:rPr>
      </w:pPr>
    </w:p>
    <w:p>
      <w:pPr>
        <w:numPr>
          <w:ilvl w:val="0"/>
          <w:numId w:val="7"/>
        </w:numPr>
        <w:snapToGrid w:val="0"/>
        <w:spacing w:line="360" w:lineRule="auto"/>
        <w:rPr>
          <w:rFonts w:ascii="宋体" w:hAnsi="宋体" w:cs="宋体"/>
          <w:sz w:val="24"/>
        </w:rPr>
      </w:pPr>
      <w:r>
        <w:rPr>
          <w:rFonts w:hint="eastAsia" w:ascii="宋体" w:hAnsi="宋体" w:cs="宋体"/>
          <w:sz w:val="24"/>
        </w:rPr>
        <w:t>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7" w:bottom="1247" w:left="1417" w:header="851" w:footer="992" w:gutter="0"/>
          <w:cols w:space="0" w:num="1"/>
          <w:titlePg/>
          <w:docGrid w:linePitch="312" w:charSpace="0"/>
        </w:sectPr>
      </w:pPr>
    </w:p>
    <w:p>
      <w:pPr>
        <w:pStyle w:val="690"/>
        <w:keepNext w:val="0"/>
        <w:pageBreakBefore w:val="0"/>
        <w:tabs>
          <w:tab w:val="clear" w:pos="720"/>
        </w:tabs>
        <w:snapToGrid w:val="0"/>
        <w:spacing w:before="120" w:after="120"/>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398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208"/>
        <w:gridCol w:w="1843"/>
        <w:gridCol w:w="3118"/>
        <w:gridCol w:w="993"/>
        <w:gridCol w:w="1559"/>
        <w:gridCol w:w="1984"/>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15"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208"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2660"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15"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1208"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2660"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15"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1208"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2660"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15"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1208" w:type="dxa"/>
            <w:vAlign w:val="center"/>
          </w:tcPr>
          <w:p>
            <w:pPr>
              <w:snapToGrid w:val="0"/>
              <w:spacing w:line="360" w:lineRule="auto"/>
              <w:jc w:val="center"/>
              <w:rPr>
                <w:rFonts w:ascii="宋体" w:hAnsi="宋体" w:cs="宋体"/>
                <w:color w:val="0000FF"/>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2660"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15" w:type="dxa"/>
            <w:vAlign w:val="center"/>
          </w:tcPr>
          <w:p>
            <w:pPr>
              <w:spacing w:line="360" w:lineRule="auto"/>
              <w:jc w:val="center"/>
              <w:rPr>
                <w:rFonts w:ascii="宋体" w:hAnsi="宋体" w:cs="宋体"/>
                <w:sz w:val="24"/>
              </w:rPr>
            </w:pPr>
          </w:p>
        </w:tc>
        <w:tc>
          <w:tcPr>
            <w:tcW w:w="1208"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2660"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15" w:type="dxa"/>
            <w:vAlign w:val="center"/>
          </w:tcPr>
          <w:p>
            <w:pPr>
              <w:spacing w:line="360" w:lineRule="auto"/>
              <w:jc w:val="center"/>
              <w:rPr>
                <w:rFonts w:ascii="宋体" w:hAnsi="宋体" w:cs="宋体"/>
                <w:sz w:val="24"/>
              </w:rPr>
            </w:pPr>
          </w:p>
        </w:tc>
        <w:tc>
          <w:tcPr>
            <w:tcW w:w="1208"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2660"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784"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196"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784"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196"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szCs w:val="22"/>
          <w:lang w:val="zh-CN"/>
        </w:rPr>
        <w:t>4、</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276" w:right="1417" w:bottom="1247" w:left="1417" w:header="851" w:footer="992" w:gutter="0"/>
          <w:cols w:space="0" w:num="1"/>
          <w:titlePg/>
          <w:docGrid w:linePitch="312" w:charSpace="0"/>
        </w:sectPr>
      </w:pPr>
    </w:p>
    <w:p>
      <w:pPr>
        <w:pStyle w:val="690"/>
        <w:keepNext w:val="0"/>
        <w:pageBreakBefore w:val="0"/>
        <w:tabs>
          <w:tab w:val="clear" w:pos="720"/>
        </w:tabs>
        <w:snapToGrid w:val="0"/>
        <w:spacing w:before="120" w:after="120"/>
        <w:outlineLvl w:val="9"/>
        <w:rPr>
          <w:rFonts w:ascii="宋体" w:hAnsi="宋体" w:eastAsia="宋体" w:cs="宋体"/>
          <w:b w:val="0"/>
          <w:bCs/>
          <w:color w:val="auto"/>
          <w:sz w:val="32"/>
          <w:szCs w:val="32"/>
        </w:rPr>
      </w:pPr>
      <w:r>
        <w:rPr>
          <w:rFonts w:hint="eastAsia" w:ascii="宋体" w:hAnsi="宋体" w:eastAsia="宋体" w:cs="宋体"/>
          <w:b w:val="0"/>
          <w:bCs/>
          <w:color w:val="auto"/>
          <w:kern w:val="2"/>
          <w:sz w:val="32"/>
          <w:szCs w:val="32"/>
        </w:rPr>
        <w:t>二、</w:t>
      </w:r>
      <w:r>
        <w:rPr>
          <w:rFonts w:hint="eastAsia" w:ascii="宋体" w:hAnsi="宋体" w:eastAsia="宋体" w:cs="宋体"/>
          <w:b w:val="0"/>
          <w:bCs/>
          <w:color w:val="auto"/>
          <w:sz w:val="32"/>
          <w:szCs w:val="32"/>
        </w:rPr>
        <w:t>中小企业声明函</w:t>
      </w:r>
      <w:bookmarkStart w:id="180" w:name="_Hlk101259491"/>
      <w:r>
        <w:rPr>
          <w:rFonts w:hint="eastAsia" w:ascii="宋体" w:hAnsi="宋体" w:eastAsia="宋体" w:cs="宋体"/>
          <w:b w:val="0"/>
          <w:bCs/>
          <w:color w:val="auto"/>
          <w:sz w:val="32"/>
          <w:szCs w:val="32"/>
        </w:rPr>
        <w:t>（</w:t>
      </w:r>
      <w:bookmarkEnd w:id="180"/>
      <w:r>
        <w:rPr>
          <w:rFonts w:hint="eastAsia" w:ascii="宋体" w:hAnsi="宋体" w:eastAsia="宋体" w:cs="宋体"/>
          <w:b w:val="0"/>
          <w:bCs/>
          <w:color w:val="auto"/>
          <w:sz w:val="32"/>
          <w:szCs w:val="32"/>
        </w:rPr>
        <w:t>如果有）</w:t>
      </w:r>
    </w:p>
    <w:p>
      <w:pPr>
        <w:widowControl/>
        <w:spacing w:line="360" w:lineRule="auto"/>
        <w:ind w:firstLine="120" w:firstLineChars="50"/>
        <w:jc w:val="left"/>
        <w:rPr>
          <w:rFonts w:ascii="宋体" w:hAnsi="宋体" w:cs="宋体"/>
          <w:b w:val="0"/>
          <w:bCs/>
          <w:color w:val="auto"/>
          <w:sz w:val="24"/>
        </w:rPr>
      </w:pPr>
      <w:r>
        <w:rPr>
          <w:rFonts w:hint="eastAsia" w:ascii="宋体" w:hAnsi="宋体" w:cs="宋体"/>
          <w:b w:val="0"/>
          <w:bCs/>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2）。]</w:t>
      </w:r>
    </w:p>
    <w:p>
      <w:pPr>
        <w:pStyle w:val="690"/>
        <w:keepNext w:val="0"/>
        <w:pageBreakBefore w:val="0"/>
        <w:tabs>
          <w:tab w:val="clear" w:pos="720"/>
        </w:tabs>
        <w:snapToGrid w:val="0"/>
        <w:spacing w:before="120" w:after="120"/>
        <w:ind w:firstLine="643"/>
        <w:outlineLvl w:val="9"/>
        <w:rPr>
          <w:rFonts w:ascii="宋体" w:hAnsi="宋体" w:eastAsia="宋体" w:cs="宋体"/>
          <w:b w:val="0"/>
          <w:color w:val="FF000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4"/>
        <w:keepNext w:val="0"/>
        <w:keepLines w:val="0"/>
        <w:pageBreakBefore/>
        <w:widowControl/>
        <w:spacing w:before="100" w:beforeAutospacing="1" w:after="100" w:afterAutospacing="1" w:line="360" w:lineRule="auto"/>
        <w:ind w:left="0" w:firstLine="0"/>
        <w:jc w:val="center"/>
        <w:rPr>
          <w:rFonts w:ascii="宋体" w:hAnsi="宋体" w:cs="宋体"/>
        </w:rPr>
      </w:pPr>
      <w:bookmarkStart w:id="181" w:name="_Toc465665161"/>
      <w:r>
        <w:rPr>
          <w:rFonts w:hint="eastAsia" w:ascii="宋体" w:hAnsi="宋体" w:cs="宋体"/>
        </w:rPr>
        <w:t>附件</w:t>
      </w:r>
      <w:bookmarkEnd w:id="181"/>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182" w:name="OLE_LINK13"/>
      <w:bookmarkStart w:id="183" w:name="OLE_LINK14"/>
      <w:r>
        <w:rPr>
          <w:rFonts w:hint="eastAsia" w:ascii="宋体" w:hAnsi="宋体" w:cs="宋体"/>
          <w:b/>
          <w:spacing w:val="6"/>
          <w:sz w:val="32"/>
          <w:szCs w:val="32"/>
        </w:rPr>
        <w:t>残疾人福利性单位声明函</w:t>
      </w:r>
    </w:p>
    <w:bookmarkEnd w:id="182"/>
    <w:bookmarkEnd w:id="183"/>
    <w:p>
      <w:pPr>
        <w:spacing w:line="360" w:lineRule="auto"/>
        <w:rPr>
          <w:rFonts w:ascii="宋体" w:hAnsi="宋体" w:cs="宋体"/>
          <w:b/>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sz w:val="24"/>
        </w:rPr>
        <w:t>本单位郑重声明，根据《财政部 民政部 中国残疾人联合会关于促进残疾人就业政府采购政策的通知》（</w:t>
      </w:r>
      <w:r>
        <w:rPr>
          <w:rFonts w:hint="eastAsia" w:ascii="宋体" w:hAnsi="宋体" w:cs="宋体"/>
          <w:color w:val="auto"/>
          <w:sz w:val="24"/>
        </w:rPr>
        <w:t>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autoSpaceDE w:val="0"/>
        <w:autoSpaceDN w:val="0"/>
        <w:spacing w:line="360" w:lineRule="auto"/>
        <w:rPr>
          <w:rFonts w:ascii="宋体" w:hAnsi="宋体" w:cs="宋体"/>
          <w:b/>
          <w:spacing w:val="6"/>
          <w:sz w:val="32"/>
          <w:szCs w:val="32"/>
        </w:rPr>
      </w:pPr>
    </w:p>
    <w:p>
      <w:pPr>
        <w:widowControl/>
        <w:adjustRightInd/>
        <w:spacing w:line="360" w:lineRule="auto"/>
        <w:jc w:val="left"/>
        <w:rPr>
          <w:rFonts w:ascii="宋体" w:hAnsi="宋体" w:cs="宋体"/>
          <w:b/>
          <w:kern w:val="0"/>
          <w:sz w:val="32"/>
          <w:szCs w:val="32"/>
        </w:rPr>
      </w:pPr>
    </w:p>
    <w:p>
      <w:pPr>
        <w:widowControl/>
        <w:adjustRightInd/>
        <w:spacing w:line="360" w:lineRule="auto"/>
        <w:jc w:val="left"/>
        <w:rPr>
          <w:rFonts w:ascii="宋体" w:hAnsi="宋体" w:cs="宋体"/>
          <w:b/>
          <w:kern w:val="0"/>
          <w:sz w:val="32"/>
          <w:szCs w:val="32"/>
        </w:rPr>
      </w:pPr>
    </w:p>
    <w:p>
      <w:pPr>
        <w:widowControl/>
        <w:adjustRightInd/>
        <w:spacing w:line="360" w:lineRule="auto"/>
        <w:jc w:val="left"/>
        <w:rPr>
          <w:rFonts w:ascii="宋体" w:hAnsi="宋体" w:cs="宋体"/>
          <w:b/>
          <w:kern w:val="0"/>
          <w:sz w:val="32"/>
          <w:szCs w:val="32"/>
        </w:rPr>
      </w:pPr>
      <w:r>
        <w:rPr>
          <w:rFonts w:hint="eastAsia" w:ascii="宋体" w:hAnsi="宋体" w:cs="宋体"/>
          <w:b/>
          <w:kern w:val="0"/>
          <w:sz w:val="32"/>
          <w:szCs w:val="32"/>
        </w:rPr>
        <w:t>附件2：中小企业声明函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color w:val="auto"/>
          <w:sz w:val="24"/>
        </w:rPr>
      </w:pPr>
      <w:r>
        <w:rPr>
          <w:rFonts w:hint="eastAsia" w:ascii="宋体" w:hAnsi="宋体" w:cs="宋体"/>
          <w:sz w:val="24"/>
        </w:rPr>
        <w:t xml:space="preserve">本公司郑重声明，根据《政府采购促进中小企业发展管理办法》（财库﹝2020﹞46 号）的规定，本公司参加 </w:t>
      </w:r>
      <w:r>
        <w:rPr>
          <w:rFonts w:hint="eastAsia" w:ascii="宋体" w:hAnsi="宋体" w:cs="宋体"/>
          <w:color w:val="0000FF"/>
          <w:sz w:val="24"/>
          <w:u w:val="single"/>
        </w:rPr>
        <w:t>（</w:t>
      </w:r>
      <w:r>
        <w:rPr>
          <w:rFonts w:hint="eastAsia" w:ascii="宋体" w:hAnsi="宋体" w:cs="宋体"/>
          <w:color w:val="auto"/>
          <w:sz w:val="24"/>
          <w:u w:val="single"/>
        </w:rPr>
        <w:t xml:space="preserve">采购人） </w:t>
      </w:r>
      <w:r>
        <w:rPr>
          <w:rFonts w:hint="eastAsia" w:ascii="宋体" w:hAnsi="宋体" w:cs="宋体"/>
          <w:color w:val="auto"/>
          <w:sz w:val="24"/>
        </w:rPr>
        <w:t xml:space="preserve">的 </w:t>
      </w:r>
      <w:r>
        <w:rPr>
          <w:rFonts w:hint="eastAsia" w:ascii="宋体" w:hAnsi="宋体" w:cs="宋体"/>
          <w:color w:val="auto"/>
          <w:sz w:val="24"/>
          <w:u w:val="single"/>
        </w:rPr>
        <w:t>（项目名称）</w:t>
      </w:r>
      <w:r>
        <w:rPr>
          <w:rFonts w:hint="eastAsia" w:ascii="宋体" w:hAnsi="宋体" w:cs="宋体"/>
          <w:color w:val="auto"/>
          <w:sz w:val="24"/>
        </w:rPr>
        <w:t xml:space="preserve"> 采购活动，提供的货物全部由符合政策要求的中小企业制造。相关企业的具体情况如下：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 xml:space="preserve"> ，属于 </w:t>
      </w:r>
      <w:r>
        <w:rPr>
          <w:rFonts w:hint="eastAsia" w:ascii="宋体" w:hAnsi="宋体" w:cs="宋体"/>
          <w:color w:val="auto"/>
          <w:sz w:val="24"/>
          <w:u w:val="single"/>
        </w:rPr>
        <w:t>工业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 xml:space="preserve"> ，属于 </w:t>
      </w:r>
      <w:r>
        <w:rPr>
          <w:rFonts w:hint="eastAsia" w:ascii="宋体" w:hAnsi="宋体" w:cs="宋体"/>
          <w:color w:val="auto"/>
          <w:sz w:val="24"/>
          <w:u w:val="single"/>
        </w:rPr>
        <w:t>工业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b w:val="0"/>
          <w:bCs w:val="0"/>
          <w:color w:val="auto"/>
          <w:sz w:val="24"/>
          <w:szCs w:val="24"/>
          <w:lang w:val="en-US"/>
        </w:rPr>
      </w:pPr>
      <w:r>
        <w:rPr>
          <w:rFonts w:hint="eastAsia" w:ascii="宋体" w:hAnsi="宋体" w:eastAsia="宋体" w:cs="宋体"/>
          <w:sz w:val="24"/>
          <w:szCs w:val="24"/>
          <w:lang w:val="en-US"/>
        </w:rPr>
        <w:t xml:space="preserve"> </w:t>
      </w:r>
      <w:r>
        <w:rPr>
          <w:rFonts w:hint="eastAsia" w:ascii="宋体" w:hAnsi="宋体" w:eastAsia="宋体" w:cs="宋体"/>
          <w:color w:val="auto"/>
          <w:sz w:val="24"/>
          <w:szCs w:val="24"/>
          <w:lang w:val="en-US"/>
        </w:rPr>
        <w:t xml:space="preserve">  </w:t>
      </w:r>
      <w:r>
        <w:rPr>
          <w:rFonts w:hint="eastAsia" w:ascii="宋体" w:hAnsi="宋体" w:eastAsia="宋体" w:cs="宋体"/>
          <w:b w:val="0"/>
          <w:bCs w:val="0"/>
          <w:color w:val="auto"/>
          <w:sz w:val="24"/>
          <w:szCs w:val="24"/>
          <w:lang w:val="en-US"/>
        </w:rPr>
        <w:t xml:space="preserve"> 3.依据《中小企业划型标准规定》（工信部联企业〔2011〕300号）确定：工业</w:t>
      </w:r>
    </w:p>
    <w:p>
      <w:pPr>
        <w:pStyle w:val="5"/>
        <w:ind w:left="0" w:firstLine="0"/>
        <w:rPr>
          <w:rFonts w:ascii="宋体" w:hAnsi="宋体" w:eastAsia="宋体" w:cs="宋体"/>
          <w:color w:val="auto"/>
          <w:sz w:val="24"/>
          <w:szCs w:val="24"/>
          <w:lang w:val="en-US"/>
        </w:rPr>
      </w:pPr>
      <w:r>
        <w:rPr>
          <w:rFonts w:hint="eastAsia" w:ascii="宋体" w:hAnsi="宋体" w:eastAsia="宋体" w:cs="宋体"/>
          <w:b w:val="0"/>
          <w:bCs w:val="0"/>
          <w:color w:val="auto"/>
          <w:sz w:val="24"/>
          <w:szCs w:val="24"/>
          <w:lang w:val="en-US"/>
        </w:rPr>
        <w:t>行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pStyle w:val="79"/>
        <w:rPr>
          <w:rFonts w:ascii="宋体" w:hAnsi="宋体" w:eastAsia="宋体" w:cs="宋体"/>
          <w:bCs/>
        </w:rPr>
      </w:pPr>
    </w:p>
    <w:p>
      <w:pPr>
        <w:rPr>
          <w:rFonts w:ascii="宋体" w:hAnsi="宋体" w:cs="宋体"/>
          <w:bCs/>
          <w:sz w:val="24"/>
        </w:rPr>
      </w:pPr>
    </w:p>
    <w:p>
      <w:pPr>
        <w:rPr>
          <w:rFonts w:ascii="宋体" w:hAnsi="宋体" w:cs="宋体"/>
          <w:bCs/>
          <w:sz w:val="24"/>
        </w:rPr>
      </w:pPr>
    </w:p>
    <w:p>
      <w:pPr>
        <w:rPr>
          <w:rFonts w:ascii="宋体" w:hAnsi="宋体" w:cs="宋体"/>
          <w:bCs/>
          <w:sz w:val="24"/>
        </w:rPr>
      </w:pPr>
    </w:p>
    <w:p/>
    <w:sectPr>
      <w:headerReference r:id="rId21" w:type="first"/>
      <w:footerReference r:id="rId24" w:type="first"/>
      <w:headerReference r:id="rId20" w:type="default"/>
      <w:footerReference r:id="rId22" w:type="default"/>
      <w:footerReference r:id="rId23" w:type="even"/>
      <w:pgSz w:w="11906" w:h="16838"/>
      <w:pgMar w:top="1276" w:right="1417" w:bottom="1247" w:left="141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bookmarkStart w:id="184" w:name="_Toc131845147"/>
    <w:bookmarkStart w:id="185" w:name="_Toc36110187"/>
    <w:bookmarkStart w:id="186" w:name="_Toc91899912"/>
    <w:bookmarkStart w:id="187" w:name="_Toc164085800"/>
    <w:r>
      <w:rPr>
        <w:rFonts w:hint="eastAsia" w:ascii="仿宋_GB2312" w:eastAsia="仿宋_GB2312"/>
        <w:kern w:val="0"/>
        <w:szCs w:val="21"/>
      </w:rPr>
      <w:t xml:space="preserve"> 页</w:t>
    </w:r>
    <w:bookmarkEnd w:id="184"/>
    <w:bookmarkEnd w:id="185"/>
    <w:bookmarkEnd w:id="186"/>
    <w:bookmarkEnd w:id="18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jc w:val="center"/>
      <w:rPr>
        <w:rFonts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0"/>
        <w:sz w:val="18"/>
        <w:szCs w:val="18"/>
        <w:lang w:val="en-US" w:eastAsia="zh-CN" w:bidi="ar-SA"/>
      </w:rPr>
      <w:t xml:space="preserve">第 </w:t>
    </w:r>
    <w:r>
      <w:rPr>
        <w:rFonts w:hint="eastAsia" w:ascii="仿宋_GB2312" w:hAnsi="Times New Roman" w:eastAsia="仿宋_GB2312" w:cs="Times New Roman"/>
        <w:kern w:val="0"/>
        <w:sz w:val="18"/>
        <w:szCs w:val="18"/>
        <w:lang w:val="en-US" w:eastAsia="zh-CN" w:bidi="ar-SA"/>
      </w:rPr>
      <w:fldChar w:fldCharType="begin"/>
    </w:r>
    <w:r>
      <w:rPr>
        <w:rFonts w:hint="eastAsia" w:ascii="仿宋_GB2312" w:hAnsi="Times New Roman" w:eastAsia="仿宋_GB2312" w:cs="Times New Roman"/>
        <w:kern w:val="0"/>
        <w:sz w:val="18"/>
        <w:szCs w:val="18"/>
        <w:lang w:val="en-US" w:eastAsia="zh-CN" w:bidi="ar-SA"/>
      </w:rPr>
      <w:instrText xml:space="preserve"> PAGE </w:instrText>
    </w:r>
    <w:r>
      <w:rPr>
        <w:rFonts w:hint="eastAsia" w:ascii="仿宋_GB2312" w:hAnsi="Times New Roman" w:eastAsia="仿宋_GB2312" w:cs="Times New Roman"/>
        <w:kern w:val="0"/>
        <w:sz w:val="18"/>
        <w:szCs w:val="18"/>
        <w:lang w:val="en-US" w:eastAsia="zh-CN" w:bidi="ar-SA"/>
      </w:rPr>
      <w:fldChar w:fldCharType="separate"/>
    </w:r>
    <w:r>
      <w:rPr>
        <w:rFonts w:ascii="仿宋_GB2312" w:hAnsi="Times New Roman" w:eastAsia="仿宋_GB2312" w:cs="Times New Roman"/>
        <w:kern w:val="0"/>
        <w:sz w:val="18"/>
        <w:szCs w:val="18"/>
        <w:lang w:val="en-US" w:eastAsia="zh-CN" w:bidi="ar-SA"/>
      </w:rPr>
      <w:t>30</w:t>
    </w:r>
    <w:r>
      <w:rPr>
        <w:rFonts w:hint="eastAsia" w:ascii="仿宋_GB2312" w:hAnsi="Times New Roman" w:eastAsia="仿宋_GB2312" w:cs="Times New Roman"/>
        <w:kern w:val="0"/>
        <w:sz w:val="18"/>
        <w:szCs w:val="18"/>
        <w:lang w:val="en-US" w:eastAsia="zh-CN" w:bidi="ar-SA"/>
      </w:rPr>
      <w:fldChar w:fldCharType="end"/>
    </w:r>
    <w:r>
      <w:rPr>
        <w:rFonts w:hint="eastAsia" w:ascii="仿宋_GB2312" w:hAnsi="Times New Roman" w:eastAsia="仿宋_GB2312" w:cs="Times New Roman"/>
        <w:kern w:val="0"/>
        <w:sz w:val="18"/>
        <w:szCs w:val="18"/>
        <w:lang w:val="en-US" w:eastAsia="zh-CN" w:bidi="ar-SA"/>
      </w:rPr>
      <w:t xml:space="preserve"> 页 共 </w:t>
    </w:r>
    <w:r>
      <w:rPr>
        <w:rFonts w:hint="eastAsia" w:ascii="仿宋_GB2312" w:hAnsi="Times New Roman" w:eastAsia="仿宋_GB2312" w:cs="Times New Roman"/>
        <w:kern w:val="0"/>
        <w:sz w:val="18"/>
        <w:szCs w:val="18"/>
        <w:lang w:val="en-US" w:eastAsia="zh-CN" w:bidi="ar-SA"/>
      </w:rPr>
      <w:fldChar w:fldCharType="begin"/>
    </w:r>
    <w:r>
      <w:rPr>
        <w:rFonts w:hint="eastAsia" w:ascii="仿宋_GB2312" w:hAnsi="Times New Roman" w:eastAsia="仿宋_GB2312" w:cs="Times New Roman"/>
        <w:kern w:val="0"/>
        <w:sz w:val="18"/>
        <w:szCs w:val="18"/>
        <w:lang w:val="en-US" w:eastAsia="zh-CN" w:bidi="ar-SA"/>
      </w:rPr>
      <w:instrText xml:space="preserve"> NUMPAGES </w:instrText>
    </w:r>
    <w:r>
      <w:rPr>
        <w:rFonts w:hint="eastAsia" w:ascii="仿宋_GB2312" w:hAnsi="Times New Roman" w:eastAsia="仿宋_GB2312" w:cs="Times New Roman"/>
        <w:kern w:val="0"/>
        <w:sz w:val="18"/>
        <w:szCs w:val="18"/>
        <w:lang w:val="en-US" w:eastAsia="zh-CN" w:bidi="ar-SA"/>
      </w:rPr>
      <w:fldChar w:fldCharType="separate"/>
    </w:r>
    <w:r>
      <w:rPr>
        <w:rFonts w:ascii="仿宋_GB2312" w:hAnsi="Times New Roman" w:eastAsia="仿宋_GB2312" w:cs="Times New Roman"/>
        <w:kern w:val="0"/>
        <w:sz w:val="18"/>
        <w:szCs w:val="18"/>
        <w:lang w:val="en-US" w:eastAsia="zh-CN" w:bidi="ar-SA"/>
      </w:rPr>
      <w:t>64</w:t>
    </w:r>
    <w:r>
      <w:rPr>
        <w:rFonts w:hint="eastAsia" w:ascii="仿宋_GB2312" w:hAnsi="Times New Roman" w:eastAsia="仿宋_GB2312" w:cs="Times New Roman"/>
        <w:kern w:val="0"/>
        <w:sz w:val="18"/>
        <w:szCs w:val="18"/>
        <w:lang w:val="en-US" w:eastAsia="zh-CN" w:bidi="ar-SA"/>
      </w:rPr>
      <w:fldChar w:fldCharType="end"/>
    </w:r>
    <w:r>
      <w:rPr>
        <w:rFonts w:hint="eastAsia" w:ascii="仿宋_GB2312" w:hAnsi="Times New Roman" w:eastAsia="仿宋_GB2312" w:cs="Times New Roman"/>
        <w:kern w:val="0"/>
        <w:sz w:val="18"/>
        <w:szCs w:val="18"/>
        <w:lang w:val="en-US" w:eastAsia="zh-CN" w:bidi="ar-SA"/>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hint="eastAsia" w:eastAsia="宋体"/>
        <w:lang w:eastAsia="zh-CN"/>
      </w:rPr>
    </w:pPr>
    <w:r>
      <w:t></w:t>
    </w:r>
    <w:r>
      <w:rPr>
        <w:rFonts w:hint="eastAsia"/>
        <w:lang w:eastAsia="zh-CN"/>
      </w:rPr>
      <w:t>武义县桃溪中学实验室建设项目</w:t>
    </w:r>
  </w:p>
  <w:p>
    <w:pPr>
      <w:pStyle w:val="60"/>
      <w:tabs>
        <w:tab w:val="center" w:pos="4535"/>
        <w:tab w:val="right" w:pos="9070"/>
      </w:tabs>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eastAsia="宋体"/>
        <w:lang w:eastAsia="zh-CN"/>
      </w:rPr>
    </w:pPr>
    <w:r>
      <w:t></w:t>
    </w:r>
    <w:r>
      <w:rPr>
        <w:rFonts w:hint="eastAsia"/>
      </w:rPr>
      <w:t xml:space="preserve">                                    </w:t>
    </w:r>
    <w:r>
      <w:rPr>
        <w:rFonts w:hint="eastAsia"/>
        <w:lang w:eastAsia="zh-CN"/>
      </w:rPr>
      <w:t>武义县桃溪中学实验室建设项目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武义县桃溪中学实验室建设项目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4"/>
      </w:pBdr>
      <w:adjustRightInd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w:t>
    </w:r>
    <w:r>
      <w:rPr>
        <w:rFonts w:hint="eastAsia" w:ascii="Times New Roman" w:hAnsi="Times New Roman" w:eastAsia="宋体" w:cs="Times New Roman"/>
        <w:kern w:val="2"/>
        <w:sz w:val="18"/>
        <w:szCs w:val="18"/>
        <w:lang w:val="en-US" w:eastAsia="zh-CN" w:bidi="ar-SA"/>
      </w:rPr>
      <w:t>武义县桃溪中学实验室设备采购及安装项目</w:t>
    </w:r>
  </w:p>
  <w:p>
    <w:pPr>
      <w:widowControl/>
      <w:tabs>
        <w:tab w:val="center" w:pos="4535"/>
        <w:tab w:val="right" w:pos="9070"/>
      </w:tabs>
      <w:overflowPunct w:val="0"/>
      <w:autoSpaceDE w:val="0"/>
      <w:autoSpaceDN w:val="0"/>
      <w:adjustRightInd w:val="0"/>
      <w:ind w:firstLine="180" w:firstLineChars="100"/>
      <w:jc w:val="both"/>
      <w:textAlignment w:val="baseline"/>
      <w:rPr>
        <w:rFonts w:ascii="仿宋_GB2312" w:hAnsi="Times New Roman" w:eastAsia="仿宋_GB2312" w:cs="Times New Roman"/>
        <w:b w:val="0"/>
        <w:i/>
        <w:kern w:val="0"/>
        <w:sz w:val="18"/>
        <w:szCs w:val="20"/>
        <w:u w:val="single"/>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hint="eastAsia" w:eastAsia="宋体"/>
        <w:lang w:eastAsia="zh-CN"/>
      </w:rPr>
    </w:pPr>
    <w:r>
      <w:t></w:t>
    </w:r>
    <w:r>
      <w:rPr>
        <w:rFonts w:hint="eastAsia"/>
        <w:lang w:eastAsia="zh-CN"/>
      </w:rPr>
      <w:t>武义县桃溪中学实验室建设项目</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ascii="仿宋_GB2312" w:eastAsia="宋体"/>
        <w:b/>
        <w:i/>
        <w:u w:val="single"/>
        <w:lang w:eastAsia="zh-CN"/>
      </w:rPr>
    </w:pPr>
    <w:r>
      <w:t></w:t>
    </w:r>
    <w:r>
      <w:rPr>
        <w:rFonts w:hint="eastAsia"/>
      </w:rPr>
      <w:t xml:space="preserve">                                                </w:t>
    </w:r>
    <w:r>
      <w:rPr>
        <w:rFonts w:hint="eastAsia"/>
        <w:lang w:eastAsia="zh-CN"/>
      </w:rPr>
      <w:t>武义县桃溪中学实验室建设项目</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t></w:t>
    </w:r>
    <w:r>
      <w:rPr>
        <w:rFonts w:hint="eastAsia"/>
      </w:rPr>
      <w:t xml:space="preserve">                                                                   </w:t>
    </w:r>
    <w:r>
      <w:rPr>
        <w:rFonts w:hint="eastAsia"/>
        <w:lang w:eastAsia="zh-CN"/>
      </w:rPr>
      <w:t>武义县桃溪中学实验室建设项目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u w:val="single"/>
        <w:lang w:eastAsia="zh-CN"/>
      </w:rPr>
    </w:pPr>
    <w:r>
      <w:rPr>
        <w:rFonts w:hint="eastAsia"/>
      </w:rPr>
      <w:t xml:space="preserve">                                 </w:t>
    </w:r>
    <w:r>
      <w:rPr>
        <w:rFonts w:hint="eastAsia"/>
        <w:lang w:eastAsia="zh-CN"/>
      </w:rPr>
      <w:t>武义县桃溪中学实验室建设项目</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rPr>
        <w:rFonts w:hint="eastAsia"/>
      </w:rPr>
      <w:t xml:space="preserve">                                                                                                       </w:t>
    </w:r>
    <w:r>
      <w:rPr>
        <w:rFonts w:hint="eastAsia"/>
        <w:lang w:eastAsia="zh-CN"/>
      </w:rPr>
      <w:t>武义县桃溪中学实验室建设项目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iCs/>
        <w:u w:val="single"/>
        <w:lang w:eastAsia="zh-CN"/>
      </w:rPr>
    </w:pPr>
    <w:r>
      <w:t></w:t>
    </w:r>
    <w:r>
      <w:rPr>
        <w:rFonts w:hint="eastAsia"/>
        <w:lang w:eastAsia="zh-CN"/>
      </w:rPr>
      <w:t>武义县桃溪中学实验室建设项目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A6DC1F"/>
    <w:multiLevelType w:val="singleLevel"/>
    <w:tmpl w:val="AFA6DC1F"/>
    <w:lvl w:ilvl="0" w:tentative="0">
      <w:start w:val="2"/>
      <w:numFmt w:val="chineseCounting"/>
      <w:suff w:val="nothing"/>
      <w:lvlText w:val="%1、"/>
      <w:lvlJc w:val="left"/>
      <w:rPr>
        <w:rFonts w:hint="eastAsia"/>
      </w:rPr>
    </w:lvl>
  </w:abstractNum>
  <w:abstractNum w:abstractNumId="1">
    <w:nsid w:val="CBF815A3"/>
    <w:multiLevelType w:val="singleLevel"/>
    <w:tmpl w:val="CBF815A3"/>
    <w:lvl w:ilvl="0" w:tentative="0">
      <w:start w:val="1"/>
      <w:numFmt w:val="decimal"/>
      <w:lvlText w:val="%1."/>
      <w:lvlJc w:val="left"/>
      <w:pPr>
        <w:ind w:left="425" w:hanging="425"/>
      </w:pPr>
      <w:rPr>
        <w:rFonts w:hint="default"/>
      </w:rPr>
    </w:lvl>
  </w:abstractNum>
  <w:abstractNum w:abstractNumId="2">
    <w:nsid w:val="E0DCE8E2"/>
    <w:multiLevelType w:val="singleLevel"/>
    <w:tmpl w:val="E0DCE8E2"/>
    <w:lvl w:ilvl="0" w:tentative="0">
      <w:start w:val="4"/>
      <w:numFmt w:val="chineseCounting"/>
      <w:suff w:val="nothing"/>
      <w:lvlText w:val="%1、"/>
      <w:lvlJc w:val="left"/>
      <w:rPr>
        <w:rFonts w:hint="eastAsia"/>
      </w:rPr>
    </w:lvl>
  </w:abstractNum>
  <w:abstractNum w:abstractNumId="3">
    <w:nsid w:val="04A0BA18"/>
    <w:multiLevelType w:val="singleLevel"/>
    <w:tmpl w:val="04A0BA18"/>
    <w:lvl w:ilvl="0" w:tentative="0">
      <w:start w:val="1"/>
      <w:numFmt w:val="decimal"/>
      <w:lvlText w:val="%1."/>
      <w:lvlJc w:val="left"/>
      <w:pPr>
        <w:tabs>
          <w:tab w:val="left" w:pos="210"/>
        </w:tabs>
        <w:ind w:left="420" w:hanging="420"/>
      </w:pPr>
      <w:rPr>
        <w:rFonts w:hint="default"/>
      </w:rPr>
    </w:lvl>
  </w:abstractNum>
  <w:abstractNum w:abstractNumId="4">
    <w:nsid w:val="118E6D4F"/>
    <w:multiLevelType w:val="singleLevel"/>
    <w:tmpl w:val="118E6D4F"/>
    <w:lvl w:ilvl="0" w:tentative="0">
      <w:start w:val="2"/>
      <w:numFmt w:val="decimal"/>
      <w:lvlText w:val="%1."/>
      <w:lvlJc w:val="left"/>
      <w:pPr>
        <w:tabs>
          <w:tab w:val="left" w:pos="312"/>
        </w:tabs>
      </w:pPr>
    </w:lvl>
  </w:abstractNum>
  <w:abstractNum w:abstractNumId="5">
    <w:nsid w:val="4A7DB154"/>
    <w:multiLevelType w:val="singleLevel"/>
    <w:tmpl w:val="4A7DB154"/>
    <w:lvl w:ilvl="0" w:tentative="0">
      <w:start w:val="1"/>
      <w:numFmt w:val="decimal"/>
      <w:suff w:val="nothing"/>
      <w:lvlText w:val="（%1）"/>
      <w:lvlJc w:val="left"/>
    </w:lvl>
  </w:abstractNum>
  <w:abstractNum w:abstractNumId="6">
    <w:nsid w:val="543C1538"/>
    <w:multiLevelType w:val="singleLevel"/>
    <w:tmpl w:val="543C1538"/>
    <w:lvl w:ilvl="0" w:tentative="0">
      <w:start w:val="1"/>
      <w:numFmt w:val="decimal"/>
      <w:lvlText w:val="%1."/>
      <w:lvlJc w:val="left"/>
      <w:pPr>
        <w:ind w:left="425" w:hanging="425"/>
      </w:pPr>
      <w:rPr>
        <w:rFonts w:hint="default"/>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0NzQ0NGVmODAxYzJhN2MzNWNkYWU2YWU2ZTA5NG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D7ECA"/>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6536"/>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35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98F"/>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B7A2D"/>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0E8E"/>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030"/>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6F0F"/>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10A"/>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150"/>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1CA"/>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649"/>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4CEC"/>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03D0"/>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818"/>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4C"/>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800"/>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2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24"/>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33592E"/>
    <w:rsid w:val="017E2971"/>
    <w:rsid w:val="019F7441"/>
    <w:rsid w:val="01B37585"/>
    <w:rsid w:val="01C42490"/>
    <w:rsid w:val="01D55165"/>
    <w:rsid w:val="01DF6BF8"/>
    <w:rsid w:val="01EC2C57"/>
    <w:rsid w:val="022950E4"/>
    <w:rsid w:val="0256755B"/>
    <w:rsid w:val="025F0711"/>
    <w:rsid w:val="026B2E25"/>
    <w:rsid w:val="02824D4D"/>
    <w:rsid w:val="02DC4B10"/>
    <w:rsid w:val="02DD76CE"/>
    <w:rsid w:val="02EB05EB"/>
    <w:rsid w:val="02F05C02"/>
    <w:rsid w:val="02F36323"/>
    <w:rsid w:val="02F5619C"/>
    <w:rsid w:val="0326446A"/>
    <w:rsid w:val="032D5555"/>
    <w:rsid w:val="036634D2"/>
    <w:rsid w:val="03B24A21"/>
    <w:rsid w:val="03D06E6A"/>
    <w:rsid w:val="03DD35E4"/>
    <w:rsid w:val="04076900"/>
    <w:rsid w:val="041A5A3B"/>
    <w:rsid w:val="042311BA"/>
    <w:rsid w:val="042B157A"/>
    <w:rsid w:val="046B5540"/>
    <w:rsid w:val="048F763B"/>
    <w:rsid w:val="049F330E"/>
    <w:rsid w:val="04AA775C"/>
    <w:rsid w:val="04AF1889"/>
    <w:rsid w:val="04AF5F4E"/>
    <w:rsid w:val="04BC5D9C"/>
    <w:rsid w:val="04CA4F95"/>
    <w:rsid w:val="04D86D3A"/>
    <w:rsid w:val="04F66F48"/>
    <w:rsid w:val="05251E14"/>
    <w:rsid w:val="053A54FB"/>
    <w:rsid w:val="056B431B"/>
    <w:rsid w:val="057574B0"/>
    <w:rsid w:val="05816FE5"/>
    <w:rsid w:val="058A057E"/>
    <w:rsid w:val="058E2281"/>
    <w:rsid w:val="05A16594"/>
    <w:rsid w:val="05A7762D"/>
    <w:rsid w:val="05D62E8D"/>
    <w:rsid w:val="05DC6E04"/>
    <w:rsid w:val="060E5941"/>
    <w:rsid w:val="06110FAF"/>
    <w:rsid w:val="06493CA7"/>
    <w:rsid w:val="065A6178"/>
    <w:rsid w:val="066F1CF3"/>
    <w:rsid w:val="06930BB8"/>
    <w:rsid w:val="06EE4206"/>
    <w:rsid w:val="07245D42"/>
    <w:rsid w:val="07254DB3"/>
    <w:rsid w:val="07264C62"/>
    <w:rsid w:val="0779354C"/>
    <w:rsid w:val="07911761"/>
    <w:rsid w:val="07BE007D"/>
    <w:rsid w:val="07D93108"/>
    <w:rsid w:val="07E74F88"/>
    <w:rsid w:val="08061376"/>
    <w:rsid w:val="08452D77"/>
    <w:rsid w:val="086401F8"/>
    <w:rsid w:val="08751CAA"/>
    <w:rsid w:val="087E4C40"/>
    <w:rsid w:val="08A871D0"/>
    <w:rsid w:val="08C05EAD"/>
    <w:rsid w:val="08D66AD6"/>
    <w:rsid w:val="08DA33A3"/>
    <w:rsid w:val="08E80F13"/>
    <w:rsid w:val="09335624"/>
    <w:rsid w:val="0944690F"/>
    <w:rsid w:val="09526CCE"/>
    <w:rsid w:val="09535675"/>
    <w:rsid w:val="095F057D"/>
    <w:rsid w:val="09642282"/>
    <w:rsid w:val="09733572"/>
    <w:rsid w:val="09772C16"/>
    <w:rsid w:val="098353B5"/>
    <w:rsid w:val="09A92330"/>
    <w:rsid w:val="09AF4121"/>
    <w:rsid w:val="09B06B87"/>
    <w:rsid w:val="09C13146"/>
    <w:rsid w:val="09E04166"/>
    <w:rsid w:val="09E35B78"/>
    <w:rsid w:val="0A0501E5"/>
    <w:rsid w:val="0A1C0718"/>
    <w:rsid w:val="0A3B59B5"/>
    <w:rsid w:val="0A3E7710"/>
    <w:rsid w:val="0A5B7E63"/>
    <w:rsid w:val="0A96708F"/>
    <w:rsid w:val="0A9F23E7"/>
    <w:rsid w:val="0AA374A5"/>
    <w:rsid w:val="0AAB7649"/>
    <w:rsid w:val="0AB36582"/>
    <w:rsid w:val="0ABC5606"/>
    <w:rsid w:val="0B30404E"/>
    <w:rsid w:val="0B4C6C14"/>
    <w:rsid w:val="0B547599"/>
    <w:rsid w:val="0B631A88"/>
    <w:rsid w:val="0B683D45"/>
    <w:rsid w:val="0B7F3F11"/>
    <w:rsid w:val="0B884417"/>
    <w:rsid w:val="0BF6188C"/>
    <w:rsid w:val="0BF73C91"/>
    <w:rsid w:val="0C170175"/>
    <w:rsid w:val="0C3F3FAA"/>
    <w:rsid w:val="0C571A41"/>
    <w:rsid w:val="0C5C1171"/>
    <w:rsid w:val="0C5E1CBC"/>
    <w:rsid w:val="0C615B50"/>
    <w:rsid w:val="0C765ED2"/>
    <w:rsid w:val="0C8445DA"/>
    <w:rsid w:val="0C87121B"/>
    <w:rsid w:val="0CA041F5"/>
    <w:rsid w:val="0CC007F7"/>
    <w:rsid w:val="0CC617AC"/>
    <w:rsid w:val="0CE618DF"/>
    <w:rsid w:val="0CF90255"/>
    <w:rsid w:val="0CFC6C2E"/>
    <w:rsid w:val="0CFE707A"/>
    <w:rsid w:val="0D063BDA"/>
    <w:rsid w:val="0D08375F"/>
    <w:rsid w:val="0D083A90"/>
    <w:rsid w:val="0D162C03"/>
    <w:rsid w:val="0D184CFB"/>
    <w:rsid w:val="0D4A7419"/>
    <w:rsid w:val="0D827401"/>
    <w:rsid w:val="0D84094E"/>
    <w:rsid w:val="0D8A00E9"/>
    <w:rsid w:val="0D8D589E"/>
    <w:rsid w:val="0D9C49BC"/>
    <w:rsid w:val="0DA01C73"/>
    <w:rsid w:val="0DD63300"/>
    <w:rsid w:val="0DF07849"/>
    <w:rsid w:val="0DF50604"/>
    <w:rsid w:val="0DF702FE"/>
    <w:rsid w:val="0E060E51"/>
    <w:rsid w:val="0E4B1F3E"/>
    <w:rsid w:val="0E5604B2"/>
    <w:rsid w:val="0E6D39F6"/>
    <w:rsid w:val="0E6D5D79"/>
    <w:rsid w:val="0E9D0089"/>
    <w:rsid w:val="0EB803EE"/>
    <w:rsid w:val="0ED0372F"/>
    <w:rsid w:val="0EF94D4B"/>
    <w:rsid w:val="0F242EDB"/>
    <w:rsid w:val="0F485235"/>
    <w:rsid w:val="0F4958DC"/>
    <w:rsid w:val="0F515DF7"/>
    <w:rsid w:val="0F596BA8"/>
    <w:rsid w:val="0F6248D2"/>
    <w:rsid w:val="0F693536"/>
    <w:rsid w:val="0F7B0511"/>
    <w:rsid w:val="0F7B76D9"/>
    <w:rsid w:val="0F816ACD"/>
    <w:rsid w:val="0F960F67"/>
    <w:rsid w:val="0F9832DB"/>
    <w:rsid w:val="0FAE4E7B"/>
    <w:rsid w:val="0FB029A1"/>
    <w:rsid w:val="0FB4726F"/>
    <w:rsid w:val="0FB87AA7"/>
    <w:rsid w:val="0FBF3FD2"/>
    <w:rsid w:val="0FBF7FF3"/>
    <w:rsid w:val="0FC72972"/>
    <w:rsid w:val="0FEE5553"/>
    <w:rsid w:val="10041FA8"/>
    <w:rsid w:val="106035D4"/>
    <w:rsid w:val="10646583"/>
    <w:rsid w:val="107D4B15"/>
    <w:rsid w:val="108A3C80"/>
    <w:rsid w:val="10BD35C7"/>
    <w:rsid w:val="10C16D46"/>
    <w:rsid w:val="10C26171"/>
    <w:rsid w:val="10F33360"/>
    <w:rsid w:val="10FC16EA"/>
    <w:rsid w:val="110F1D40"/>
    <w:rsid w:val="11266F33"/>
    <w:rsid w:val="113D6C89"/>
    <w:rsid w:val="117B6FDE"/>
    <w:rsid w:val="118963A1"/>
    <w:rsid w:val="11C6522A"/>
    <w:rsid w:val="11E104CC"/>
    <w:rsid w:val="11E20309"/>
    <w:rsid w:val="11EE0D20"/>
    <w:rsid w:val="12255233"/>
    <w:rsid w:val="12294F91"/>
    <w:rsid w:val="12371157"/>
    <w:rsid w:val="12530213"/>
    <w:rsid w:val="127723A9"/>
    <w:rsid w:val="12862074"/>
    <w:rsid w:val="12883966"/>
    <w:rsid w:val="128D521B"/>
    <w:rsid w:val="129A3494"/>
    <w:rsid w:val="129C57C0"/>
    <w:rsid w:val="129E45B4"/>
    <w:rsid w:val="12B746B5"/>
    <w:rsid w:val="12D81596"/>
    <w:rsid w:val="13072A44"/>
    <w:rsid w:val="13174AE5"/>
    <w:rsid w:val="134D4674"/>
    <w:rsid w:val="135F4BE2"/>
    <w:rsid w:val="138A301D"/>
    <w:rsid w:val="138F16CD"/>
    <w:rsid w:val="139B1A0A"/>
    <w:rsid w:val="139D25C7"/>
    <w:rsid w:val="13AF4AF6"/>
    <w:rsid w:val="13BF3CE4"/>
    <w:rsid w:val="13D64E7A"/>
    <w:rsid w:val="141008D8"/>
    <w:rsid w:val="14125FE6"/>
    <w:rsid w:val="14317F8B"/>
    <w:rsid w:val="143D67CD"/>
    <w:rsid w:val="146D271E"/>
    <w:rsid w:val="14982588"/>
    <w:rsid w:val="149A5AD9"/>
    <w:rsid w:val="14A7619D"/>
    <w:rsid w:val="14B20F69"/>
    <w:rsid w:val="14B44CE1"/>
    <w:rsid w:val="14F24607"/>
    <w:rsid w:val="14F670A8"/>
    <w:rsid w:val="150536C3"/>
    <w:rsid w:val="150C1963"/>
    <w:rsid w:val="150F3346"/>
    <w:rsid w:val="15134AF6"/>
    <w:rsid w:val="151447A0"/>
    <w:rsid w:val="154A6454"/>
    <w:rsid w:val="1573694A"/>
    <w:rsid w:val="15762120"/>
    <w:rsid w:val="15C72A4F"/>
    <w:rsid w:val="15CA279E"/>
    <w:rsid w:val="15E0481E"/>
    <w:rsid w:val="15E213DA"/>
    <w:rsid w:val="15E909BB"/>
    <w:rsid w:val="16236CE7"/>
    <w:rsid w:val="165247B2"/>
    <w:rsid w:val="167F30CD"/>
    <w:rsid w:val="168F0C39"/>
    <w:rsid w:val="16A8729C"/>
    <w:rsid w:val="16B33777"/>
    <w:rsid w:val="16BC70A7"/>
    <w:rsid w:val="16C6339E"/>
    <w:rsid w:val="170662DD"/>
    <w:rsid w:val="172F2D79"/>
    <w:rsid w:val="17557BEF"/>
    <w:rsid w:val="17604CAC"/>
    <w:rsid w:val="17D05A90"/>
    <w:rsid w:val="17D349C1"/>
    <w:rsid w:val="17F673BF"/>
    <w:rsid w:val="18016E51"/>
    <w:rsid w:val="180361D3"/>
    <w:rsid w:val="18244F26"/>
    <w:rsid w:val="1830729E"/>
    <w:rsid w:val="1870062C"/>
    <w:rsid w:val="18817102"/>
    <w:rsid w:val="18830A15"/>
    <w:rsid w:val="18852B28"/>
    <w:rsid w:val="188741EE"/>
    <w:rsid w:val="188B5321"/>
    <w:rsid w:val="190F0738"/>
    <w:rsid w:val="19284C9E"/>
    <w:rsid w:val="19446F97"/>
    <w:rsid w:val="19836AD3"/>
    <w:rsid w:val="19932372"/>
    <w:rsid w:val="19A20DD5"/>
    <w:rsid w:val="19AE03F1"/>
    <w:rsid w:val="19AE61A3"/>
    <w:rsid w:val="19D4458C"/>
    <w:rsid w:val="1A071A03"/>
    <w:rsid w:val="1A0A0EFF"/>
    <w:rsid w:val="1A0B006D"/>
    <w:rsid w:val="1A1F16AE"/>
    <w:rsid w:val="1A3B5C77"/>
    <w:rsid w:val="1A563640"/>
    <w:rsid w:val="1A984BAD"/>
    <w:rsid w:val="1AB8220E"/>
    <w:rsid w:val="1ADF238C"/>
    <w:rsid w:val="1AE4166C"/>
    <w:rsid w:val="1AE856E5"/>
    <w:rsid w:val="1AF06CFB"/>
    <w:rsid w:val="1AF11B8D"/>
    <w:rsid w:val="1AFB240B"/>
    <w:rsid w:val="1B11359C"/>
    <w:rsid w:val="1B222AAA"/>
    <w:rsid w:val="1B2A271F"/>
    <w:rsid w:val="1B530544"/>
    <w:rsid w:val="1B6F1962"/>
    <w:rsid w:val="1B713184"/>
    <w:rsid w:val="1BA209CF"/>
    <w:rsid w:val="1BAF6202"/>
    <w:rsid w:val="1BB4777D"/>
    <w:rsid w:val="1BBE6856"/>
    <w:rsid w:val="1BD75AB8"/>
    <w:rsid w:val="1BF025C8"/>
    <w:rsid w:val="1BFB17D6"/>
    <w:rsid w:val="1C0459C2"/>
    <w:rsid w:val="1C0C301E"/>
    <w:rsid w:val="1C1B3B4A"/>
    <w:rsid w:val="1C362480"/>
    <w:rsid w:val="1C88086E"/>
    <w:rsid w:val="1CA13D9D"/>
    <w:rsid w:val="1CC41839"/>
    <w:rsid w:val="1CE73720"/>
    <w:rsid w:val="1CFA021C"/>
    <w:rsid w:val="1D047A26"/>
    <w:rsid w:val="1D266CE1"/>
    <w:rsid w:val="1D3963AF"/>
    <w:rsid w:val="1D6A673C"/>
    <w:rsid w:val="1D9247AE"/>
    <w:rsid w:val="1DAD6772"/>
    <w:rsid w:val="1DB567EC"/>
    <w:rsid w:val="1DF51A98"/>
    <w:rsid w:val="1DFB572F"/>
    <w:rsid w:val="1DFE46A3"/>
    <w:rsid w:val="1DFF7BBC"/>
    <w:rsid w:val="1E051CD9"/>
    <w:rsid w:val="1E27444D"/>
    <w:rsid w:val="1E3D060F"/>
    <w:rsid w:val="1E3F7D2E"/>
    <w:rsid w:val="1E4134E4"/>
    <w:rsid w:val="1E5062B3"/>
    <w:rsid w:val="1E523514"/>
    <w:rsid w:val="1E714A66"/>
    <w:rsid w:val="1E802593"/>
    <w:rsid w:val="1E8B6156"/>
    <w:rsid w:val="1EA703CC"/>
    <w:rsid w:val="1EB7330C"/>
    <w:rsid w:val="1EC75611"/>
    <w:rsid w:val="1ECD58BF"/>
    <w:rsid w:val="1EE937D9"/>
    <w:rsid w:val="1F047D00"/>
    <w:rsid w:val="1F0A0FF3"/>
    <w:rsid w:val="1F3B5220"/>
    <w:rsid w:val="1F4357EF"/>
    <w:rsid w:val="1F444276"/>
    <w:rsid w:val="1F5771FF"/>
    <w:rsid w:val="1F705CA9"/>
    <w:rsid w:val="1FA6791C"/>
    <w:rsid w:val="1FA70EB0"/>
    <w:rsid w:val="1FD52574"/>
    <w:rsid w:val="1FE868A9"/>
    <w:rsid w:val="1FF861EE"/>
    <w:rsid w:val="20034907"/>
    <w:rsid w:val="20173E4B"/>
    <w:rsid w:val="204E48BC"/>
    <w:rsid w:val="208921B3"/>
    <w:rsid w:val="20973DEB"/>
    <w:rsid w:val="20B26522"/>
    <w:rsid w:val="20B44310"/>
    <w:rsid w:val="211116EB"/>
    <w:rsid w:val="2144119B"/>
    <w:rsid w:val="216133FC"/>
    <w:rsid w:val="216435EB"/>
    <w:rsid w:val="218F543A"/>
    <w:rsid w:val="21D21888"/>
    <w:rsid w:val="21D56769"/>
    <w:rsid w:val="21E52EF3"/>
    <w:rsid w:val="21FB5D7B"/>
    <w:rsid w:val="22004956"/>
    <w:rsid w:val="22015E94"/>
    <w:rsid w:val="220B1C3D"/>
    <w:rsid w:val="221D1D20"/>
    <w:rsid w:val="222A07C5"/>
    <w:rsid w:val="22334A87"/>
    <w:rsid w:val="22BE6801"/>
    <w:rsid w:val="22C41D8D"/>
    <w:rsid w:val="22CF718A"/>
    <w:rsid w:val="22D86838"/>
    <w:rsid w:val="23046782"/>
    <w:rsid w:val="2312327F"/>
    <w:rsid w:val="233500BF"/>
    <w:rsid w:val="23377FF7"/>
    <w:rsid w:val="233B1741"/>
    <w:rsid w:val="233B65CE"/>
    <w:rsid w:val="236B425F"/>
    <w:rsid w:val="236D646B"/>
    <w:rsid w:val="23836192"/>
    <w:rsid w:val="23901F29"/>
    <w:rsid w:val="239C0061"/>
    <w:rsid w:val="23B908A4"/>
    <w:rsid w:val="23C10881"/>
    <w:rsid w:val="23E66539"/>
    <w:rsid w:val="23E95BEF"/>
    <w:rsid w:val="23FD0064"/>
    <w:rsid w:val="24456840"/>
    <w:rsid w:val="245375B0"/>
    <w:rsid w:val="245F1B71"/>
    <w:rsid w:val="24642C0A"/>
    <w:rsid w:val="24661428"/>
    <w:rsid w:val="246B6A3F"/>
    <w:rsid w:val="24790BBC"/>
    <w:rsid w:val="24826C75"/>
    <w:rsid w:val="24A60DD2"/>
    <w:rsid w:val="24B22173"/>
    <w:rsid w:val="24B95AD9"/>
    <w:rsid w:val="24BE24DA"/>
    <w:rsid w:val="24CF5825"/>
    <w:rsid w:val="24D40A88"/>
    <w:rsid w:val="24D663E6"/>
    <w:rsid w:val="24D77F2B"/>
    <w:rsid w:val="252B71B4"/>
    <w:rsid w:val="255109B8"/>
    <w:rsid w:val="2561408B"/>
    <w:rsid w:val="258B00E2"/>
    <w:rsid w:val="25A917A6"/>
    <w:rsid w:val="25BE27CC"/>
    <w:rsid w:val="25C516ED"/>
    <w:rsid w:val="25F74A5C"/>
    <w:rsid w:val="26165653"/>
    <w:rsid w:val="26274DE7"/>
    <w:rsid w:val="2628662C"/>
    <w:rsid w:val="262D45DE"/>
    <w:rsid w:val="26365FAB"/>
    <w:rsid w:val="26610446"/>
    <w:rsid w:val="26871DC8"/>
    <w:rsid w:val="26880E9B"/>
    <w:rsid w:val="26A53EF9"/>
    <w:rsid w:val="26A94201"/>
    <w:rsid w:val="26AC274F"/>
    <w:rsid w:val="26B32F58"/>
    <w:rsid w:val="26C863CA"/>
    <w:rsid w:val="27044A29"/>
    <w:rsid w:val="271D34C8"/>
    <w:rsid w:val="273929A1"/>
    <w:rsid w:val="276142BF"/>
    <w:rsid w:val="27783712"/>
    <w:rsid w:val="27802801"/>
    <w:rsid w:val="27907362"/>
    <w:rsid w:val="27C04E47"/>
    <w:rsid w:val="28081174"/>
    <w:rsid w:val="282249EF"/>
    <w:rsid w:val="28333E1D"/>
    <w:rsid w:val="28454BD6"/>
    <w:rsid w:val="28455253"/>
    <w:rsid w:val="284B2E0F"/>
    <w:rsid w:val="28551971"/>
    <w:rsid w:val="285B1C53"/>
    <w:rsid w:val="287637EC"/>
    <w:rsid w:val="287F6B8D"/>
    <w:rsid w:val="289F7086"/>
    <w:rsid w:val="28C32028"/>
    <w:rsid w:val="28CC490F"/>
    <w:rsid w:val="28DE40AA"/>
    <w:rsid w:val="290076D0"/>
    <w:rsid w:val="29051210"/>
    <w:rsid w:val="29073641"/>
    <w:rsid w:val="29345E77"/>
    <w:rsid w:val="294C65AD"/>
    <w:rsid w:val="296072FA"/>
    <w:rsid w:val="29806583"/>
    <w:rsid w:val="298B3C4C"/>
    <w:rsid w:val="29F15C38"/>
    <w:rsid w:val="29F26D24"/>
    <w:rsid w:val="29FE7B47"/>
    <w:rsid w:val="2A15033F"/>
    <w:rsid w:val="2A1662C1"/>
    <w:rsid w:val="2A1B4A63"/>
    <w:rsid w:val="2A1C7367"/>
    <w:rsid w:val="2A24600D"/>
    <w:rsid w:val="2A257E6E"/>
    <w:rsid w:val="2A2815FA"/>
    <w:rsid w:val="2A281FC1"/>
    <w:rsid w:val="2A2B114A"/>
    <w:rsid w:val="2A6D6092"/>
    <w:rsid w:val="2A7D76B4"/>
    <w:rsid w:val="2AB54EB7"/>
    <w:rsid w:val="2B057BED"/>
    <w:rsid w:val="2B437463"/>
    <w:rsid w:val="2B7807EE"/>
    <w:rsid w:val="2B942D1F"/>
    <w:rsid w:val="2BA50BF7"/>
    <w:rsid w:val="2BBF00EC"/>
    <w:rsid w:val="2BC37CFD"/>
    <w:rsid w:val="2BD5237F"/>
    <w:rsid w:val="2BE536CE"/>
    <w:rsid w:val="2BE758D9"/>
    <w:rsid w:val="2BF346BB"/>
    <w:rsid w:val="2C09049E"/>
    <w:rsid w:val="2C0A653C"/>
    <w:rsid w:val="2C191F85"/>
    <w:rsid w:val="2C304D41"/>
    <w:rsid w:val="2C506D9C"/>
    <w:rsid w:val="2C540E78"/>
    <w:rsid w:val="2CA43435"/>
    <w:rsid w:val="2CE82D6F"/>
    <w:rsid w:val="2CEB4544"/>
    <w:rsid w:val="2CF0667B"/>
    <w:rsid w:val="2D343236"/>
    <w:rsid w:val="2D575011"/>
    <w:rsid w:val="2D686211"/>
    <w:rsid w:val="2DA610CE"/>
    <w:rsid w:val="2DB269A2"/>
    <w:rsid w:val="2DC55411"/>
    <w:rsid w:val="2DCA6ECC"/>
    <w:rsid w:val="2DD15014"/>
    <w:rsid w:val="2DF72DE4"/>
    <w:rsid w:val="2E0220AF"/>
    <w:rsid w:val="2E4B082A"/>
    <w:rsid w:val="2E5D4E86"/>
    <w:rsid w:val="2E5D790B"/>
    <w:rsid w:val="2E8809A7"/>
    <w:rsid w:val="2E9848D4"/>
    <w:rsid w:val="2E9A3C18"/>
    <w:rsid w:val="2EA92B07"/>
    <w:rsid w:val="2EAE5EA6"/>
    <w:rsid w:val="2EBB0FEE"/>
    <w:rsid w:val="2EC63002"/>
    <w:rsid w:val="2F034443"/>
    <w:rsid w:val="2F0A6B38"/>
    <w:rsid w:val="2F4221ED"/>
    <w:rsid w:val="2F946CCB"/>
    <w:rsid w:val="2FD25781"/>
    <w:rsid w:val="2FDC4DA9"/>
    <w:rsid w:val="2FDC745C"/>
    <w:rsid w:val="2FFD7934"/>
    <w:rsid w:val="300656E8"/>
    <w:rsid w:val="30466CDD"/>
    <w:rsid w:val="304E099E"/>
    <w:rsid w:val="30733ACD"/>
    <w:rsid w:val="308C3862"/>
    <w:rsid w:val="309379D8"/>
    <w:rsid w:val="30A270F7"/>
    <w:rsid w:val="30C25BF4"/>
    <w:rsid w:val="30DF1478"/>
    <w:rsid w:val="30EC586F"/>
    <w:rsid w:val="3140197F"/>
    <w:rsid w:val="31774C75"/>
    <w:rsid w:val="318B1028"/>
    <w:rsid w:val="319C6071"/>
    <w:rsid w:val="31AC537E"/>
    <w:rsid w:val="31CD0D39"/>
    <w:rsid w:val="31E3679B"/>
    <w:rsid w:val="31E732FD"/>
    <w:rsid w:val="32517576"/>
    <w:rsid w:val="32BC3287"/>
    <w:rsid w:val="32BE1E5F"/>
    <w:rsid w:val="32BE5C2C"/>
    <w:rsid w:val="32FB6478"/>
    <w:rsid w:val="33263B3F"/>
    <w:rsid w:val="33294694"/>
    <w:rsid w:val="336963EB"/>
    <w:rsid w:val="336D27D3"/>
    <w:rsid w:val="33816EEB"/>
    <w:rsid w:val="33884F17"/>
    <w:rsid w:val="33C74824"/>
    <w:rsid w:val="33EB55CD"/>
    <w:rsid w:val="33EC4C02"/>
    <w:rsid w:val="340D2360"/>
    <w:rsid w:val="3410665D"/>
    <w:rsid w:val="341C3FDE"/>
    <w:rsid w:val="34211214"/>
    <w:rsid w:val="342E63AB"/>
    <w:rsid w:val="342F5CDB"/>
    <w:rsid w:val="3454129D"/>
    <w:rsid w:val="3465780F"/>
    <w:rsid w:val="34950E68"/>
    <w:rsid w:val="34986E94"/>
    <w:rsid w:val="34AF62C9"/>
    <w:rsid w:val="34CB4388"/>
    <w:rsid w:val="34FA6E12"/>
    <w:rsid w:val="35047A53"/>
    <w:rsid w:val="352D221A"/>
    <w:rsid w:val="35470E02"/>
    <w:rsid w:val="354D7158"/>
    <w:rsid w:val="357C6CFE"/>
    <w:rsid w:val="358D5588"/>
    <w:rsid w:val="35B50293"/>
    <w:rsid w:val="35F618FD"/>
    <w:rsid w:val="36015455"/>
    <w:rsid w:val="36054F45"/>
    <w:rsid w:val="3605661F"/>
    <w:rsid w:val="36260A17"/>
    <w:rsid w:val="363A3B40"/>
    <w:rsid w:val="363F37E0"/>
    <w:rsid w:val="364A6DFC"/>
    <w:rsid w:val="365302AE"/>
    <w:rsid w:val="36607A0A"/>
    <w:rsid w:val="366E227C"/>
    <w:rsid w:val="366F2E0D"/>
    <w:rsid w:val="367B6A5C"/>
    <w:rsid w:val="368B3C8B"/>
    <w:rsid w:val="36A74ADA"/>
    <w:rsid w:val="36AD60D5"/>
    <w:rsid w:val="36B224F9"/>
    <w:rsid w:val="36B424C7"/>
    <w:rsid w:val="36EC0CC9"/>
    <w:rsid w:val="36F249C1"/>
    <w:rsid w:val="373F410B"/>
    <w:rsid w:val="375D66BB"/>
    <w:rsid w:val="37ED7A3F"/>
    <w:rsid w:val="37EE7094"/>
    <w:rsid w:val="37FE7E9E"/>
    <w:rsid w:val="38080D1C"/>
    <w:rsid w:val="38296C89"/>
    <w:rsid w:val="383002EB"/>
    <w:rsid w:val="38327B47"/>
    <w:rsid w:val="38586797"/>
    <w:rsid w:val="385D15DF"/>
    <w:rsid w:val="38756E62"/>
    <w:rsid w:val="38BC0149"/>
    <w:rsid w:val="38D87D1C"/>
    <w:rsid w:val="3905700A"/>
    <w:rsid w:val="39355B41"/>
    <w:rsid w:val="393578EF"/>
    <w:rsid w:val="39394F59"/>
    <w:rsid w:val="39513FFD"/>
    <w:rsid w:val="39636459"/>
    <w:rsid w:val="396B7F6C"/>
    <w:rsid w:val="397F6DBC"/>
    <w:rsid w:val="39B417A9"/>
    <w:rsid w:val="39B555DC"/>
    <w:rsid w:val="39FC5695"/>
    <w:rsid w:val="3A006D8E"/>
    <w:rsid w:val="3A1E073A"/>
    <w:rsid w:val="3A1E6D70"/>
    <w:rsid w:val="3A3651E5"/>
    <w:rsid w:val="3A744481"/>
    <w:rsid w:val="3A8873ED"/>
    <w:rsid w:val="3A8C7BEF"/>
    <w:rsid w:val="3A8E52DD"/>
    <w:rsid w:val="3A906246"/>
    <w:rsid w:val="3ACE65CF"/>
    <w:rsid w:val="3AD023C8"/>
    <w:rsid w:val="3AEA2BEF"/>
    <w:rsid w:val="3B2349B7"/>
    <w:rsid w:val="3B616CFF"/>
    <w:rsid w:val="3B6259F6"/>
    <w:rsid w:val="3B6444BC"/>
    <w:rsid w:val="3B976654"/>
    <w:rsid w:val="3BB82073"/>
    <w:rsid w:val="3BC01EFC"/>
    <w:rsid w:val="3BCA786A"/>
    <w:rsid w:val="3BD31E2F"/>
    <w:rsid w:val="3BF15831"/>
    <w:rsid w:val="3C105946"/>
    <w:rsid w:val="3C14704F"/>
    <w:rsid w:val="3C402C41"/>
    <w:rsid w:val="3C471448"/>
    <w:rsid w:val="3C5F759A"/>
    <w:rsid w:val="3C6C525A"/>
    <w:rsid w:val="3C720E5A"/>
    <w:rsid w:val="3C996C48"/>
    <w:rsid w:val="3CBF1D31"/>
    <w:rsid w:val="3CCE23CB"/>
    <w:rsid w:val="3CD17D17"/>
    <w:rsid w:val="3CD63BC9"/>
    <w:rsid w:val="3D3C7F39"/>
    <w:rsid w:val="3D440F09"/>
    <w:rsid w:val="3D4504A0"/>
    <w:rsid w:val="3D8734BB"/>
    <w:rsid w:val="3D9A11D4"/>
    <w:rsid w:val="3DA16D89"/>
    <w:rsid w:val="3DA364BE"/>
    <w:rsid w:val="3DB159B2"/>
    <w:rsid w:val="3DE041CB"/>
    <w:rsid w:val="3DE22A87"/>
    <w:rsid w:val="3DEE2762"/>
    <w:rsid w:val="3DEE57E5"/>
    <w:rsid w:val="3E0D48F6"/>
    <w:rsid w:val="3E1868B4"/>
    <w:rsid w:val="3E190929"/>
    <w:rsid w:val="3E377251"/>
    <w:rsid w:val="3E42664B"/>
    <w:rsid w:val="3E5A7334"/>
    <w:rsid w:val="3E7B5D6B"/>
    <w:rsid w:val="3E843E66"/>
    <w:rsid w:val="3E847404"/>
    <w:rsid w:val="3E8F51FE"/>
    <w:rsid w:val="3E926F87"/>
    <w:rsid w:val="3E9A59DE"/>
    <w:rsid w:val="3EAF4836"/>
    <w:rsid w:val="3EC33DFA"/>
    <w:rsid w:val="3EE04C07"/>
    <w:rsid w:val="3EF66EA0"/>
    <w:rsid w:val="3F060E16"/>
    <w:rsid w:val="3F1C6E5B"/>
    <w:rsid w:val="3F1D1096"/>
    <w:rsid w:val="3F2F0234"/>
    <w:rsid w:val="3F400BAB"/>
    <w:rsid w:val="3F595FFD"/>
    <w:rsid w:val="3F632CDC"/>
    <w:rsid w:val="3F6363FE"/>
    <w:rsid w:val="3F756B8F"/>
    <w:rsid w:val="3F95482B"/>
    <w:rsid w:val="3FC87D57"/>
    <w:rsid w:val="4019356B"/>
    <w:rsid w:val="40592157"/>
    <w:rsid w:val="40683437"/>
    <w:rsid w:val="406E1CAE"/>
    <w:rsid w:val="4070745F"/>
    <w:rsid w:val="408605C6"/>
    <w:rsid w:val="408A0A4D"/>
    <w:rsid w:val="408A49C4"/>
    <w:rsid w:val="40A0133A"/>
    <w:rsid w:val="40C31A53"/>
    <w:rsid w:val="40CA29DC"/>
    <w:rsid w:val="40CB1356"/>
    <w:rsid w:val="40FF545D"/>
    <w:rsid w:val="410067C8"/>
    <w:rsid w:val="4105229D"/>
    <w:rsid w:val="410858E9"/>
    <w:rsid w:val="412D70DB"/>
    <w:rsid w:val="418F0D2A"/>
    <w:rsid w:val="41D01505"/>
    <w:rsid w:val="42474939"/>
    <w:rsid w:val="424C3C57"/>
    <w:rsid w:val="425158A3"/>
    <w:rsid w:val="42613FF3"/>
    <w:rsid w:val="42660D96"/>
    <w:rsid w:val="428667D2"/>
    <w:rsid w:val="42895CBA"/>
    <w:rsid w:val="428A5DB5"/>
    <w:rsid w:val="42C75907"/>
    <w:rsid w:val="42CD1CE0"/>
    <w:rsid w:val="42E1381E"/>
    <w:rsid w:val="42ED6459"/>
    <w:rsid w:val="42FE58DD"/>
    <w:rsid w:val="430B5AB0"/>
    <w:rsid w:val="43174B3D"/>
    <w:rsid w:val="431C567C"/>
    <w:rsid w:val="431E5979"/>
    <w:rsid w:val="43346E69"/>
    <w:rsid w:val="434B790E"/>
    <w:rsid w:val="4360274F"/>
    <w:rsid w:val="43652320"/>
    <w:rsid w:val="43657023"/>
    <w:rsid w:val="437233A6"/>
    <w:rsid w:val="43811983"/>
    <w:rsid w:val="43977AB6"/>
    <w:rsid w:val="43A3342B"/>
    <w:rsid w:val="43C474D3"/>
    <w:rsid w:val="43C77C27"/>
    <w:rsid w:val="43CC70A2"/>
    <w:rsid w:val="43DE09EE"/>
    <w:rsid w:val="43EE3919"/>
    <w:rsid w:val="44002FAD"/>
    <w:rsid w:val="44484076"/>
    <w:rsid w:val="446B68BB"/>
    <w:rsid w:val="446F72EB"/>
    <w:rsid w:val="449101DD"/>
    <w:rsid w:val="44986F84"/>
    <w:rsid w:val="44B57B36"/>
    <w:rsid w:val="44C61D43"/>
    <w:rsid w:val="44DE1391"/>
    <w:rsid w:val="450723C2"/>
    <w:rsid w:val="451B225C"/>
    <w:rsid w:val="452410C9"/>
    <w:rsid w:val="45317DFB"/>
    <w:rsid w:val="453C0257"/>
    <w:rsid w:val="456D3CE4"/>
    <w:rsid w:val="4579042C"/>
    <w:rsid w:val="457F0571"/>
    <w:rsid w:val="4583068E"/>
    <w:rsid w:val="45851176"/>
    <w:rsid w:val="45980D97"/>
    <w:rsid w:val="45B3473E"/>
    <w:rsid w:val="45C63B94"/>
    <w:rsid w:val="460E7DA5"/>
    <w:rsid w:val="462A026D"/>
    <w:rsid w:val="46422483"/>
    <w:rsid w:val="46455ED8"/>
    <w:rsid w:val="46493DF3"/>
    <w:rsid w:val="4659254A"/>
    <w:rsid w:val="465B0637"/>
    <w:rsid w:val="465E3F0D"/>
    <w:rsid w:val="466730B2"/>
    <w:rsid w:val="466A16E6"/>
    <w:rsid w:val="46893F2B"/>
    <w:rsid w:val="46936EA4"/>
    <w:rsid w:val="46C4686E"/>
    <w:rsid w:val="46C92DAC"/>
    <w:rsid w:val="46EE65B3"/>
    <w:rsid w:val="470B7EE1"/>
    <w:rsid w:val="471F3747"/>
    <w:rsid w:val="47230ABB"/>
    <w:rsid w:val="47264693"/>
    <w:rsid w:val="473016F6"/>
    <w:rsid w:val="473B751F"/>
    <w:rsid w:val="477B778F"/>
    <w:rsid w:val="478203EC"/>
    <w:rsid w:val="47855EE6"/>
    <w:rsid w:val="47922300"/>
    <w:rsid w:val="47941A9E"/>
    <w:rsid w:val="47A26DE5"/>
    <w:rsid w:val="47B025FA"/>
    <w:rsid w:val="47C307BC"/>
    <w:rsid w:val="4809698F"/>
    <w:rsid w:val="4811697D"/>
    <w:rsid w:val="48315726"/>
    <w:rsid w:val="487A3E25"/>
    <w:rsid w:val="488B5503"/>
    <w:rsid w:val="48937E21"/>
    <w:rsid w:val="489A0361"/>
    <w:rsid w:val="48B94FF3"/>
    <w:rsid w:val="48C2235F"/>
    <w:rsid w:val="48D97B1B"/>
    <w:rsid w:val="48E37AAB"/>
    <w:rsid w:val="48F03833"/>
    <w:rsid w:val="48FD4B4C"/>
    <w:rsid w:val="4907108A"/>
    <w:rsid w:val="490A68E0"/>
    <w:rsid w:val="491055FE"/>
    <w:rsid w:val="491A7D6C"/>
    <w:rsid w:val="49351180"/>
    <w:rsid w:val="494C3066"/>
    <w:rsid w:val="495F5B3E"/>
    <w:rsid w:val="496F77D7"/>
    <w:rsid w:val="497654FD"/>
    <w:rsid w:val="497E2BEC"/>
    <w:rsid w:val="498B70B7"/>
    <w:rsid w:val="499A36A3"/>
    <w:rsid w:val="49B1498B"/>
    <w:rsid w:val="49B64211"/>
    <w:rsid w:val="49C01FA0"/>
    <w:rsid w:val="49D56585"/>
    <w:rsid w:val="49EA0282"/>
    <w:rsid w:val="49ED1BFE"/>
    <w:rsid w:val="49F6167F"/>
    <w:rsid w:val="4A064FA0"/>
    <w:rsid w:val="4A120F9F"/>
    <w:rsid w:val="4A16615C"/>
    <w:rsid w:val="4A29038C"/>
    <w:rsid w:val="4A4424D7"/>
    <w:rsid w:val="4A572F57"/>
    <w:rsid w:val="4AA5064D"/>
    <w:rsid w:val="4AB82D0F"/>
    <w:rsid w:val="4AEB7664"/>
    <w:rsid w:val="4AFD7C19"/>
    <w:rsid w:val="4B0567D1"/>
    <w:rsid w:val="4B0B04B0"/>
    <w:rsid w:val="4B236AAE"/>
    <w:rsid w:val="4B6847A9"/>
    <w:rsid w:val="4B707271"/>
    <w:rsid w:val="4B7C315C"/>
    <w:rsid w:val="4B9739F7"/>
    <w:rsid w:val="4B99772C"/>
    <w:rsid w:val="4BCD451B"/>
    <w:rsid w:val="4BEE2503"/>
    <w:rsid w:val="4BF962CA"/>
    <w:rsid w:val="4C245A30"/>
    <w:rsid w:val="4C51283A"/>
    <w:rsid w:val="4CB6685F"/>
    <w:rsid w:val="4CC367FE"/>
    <w:rsid w:val="4D057181"/>
    <w:rsid w:val="4D077F3C"/>
    <w:rsid w:val="4D123355"/>
    <w:rsid w:val="4D237560"/>
    <w:rsid w:val="4D2A3B31"/>
    <w:rsid w:val="4D312C52"/>
    <w:rsid w:val="4D905305"/>
    <w:rsid w:val="4D964A72"/>
    <w:rsid w:val="4D9C1254"/>
    <w:rsid w:val="4DB45069"/>
    <w:rsid w:val="4DBC2D53"/>
    <w:rsid w:val="4DFE10C7"/>
    <w:rsid w:val="4E0062C6"/>
    <w:rsid w:val="4E2D7CD0"/>
    <w:rsid w:val="4E4D216E"/>
    <w:rsid w:val="4E4D5283"/>
    <w:rsid w:val="4E551B68"/>
    <w:rsid w:val="4E5E123E"/>
    <w:rsid w:val="4E65437B"/>
    <w:rsid w:val="4E793892"/>
    <w:rsid w:val="4E800872"/>
    <w:rsid w:val="4EC569ED"/>
    <w:rsid w:val="4ED50EA1"/>
    <w:rsid w:val="4EEC050C"/>
    <w:rsid w:val="4EEC5046"/>
    <w:rsid w:val="4F066818"/>
    <w:rsid w:val="4F104EC3"/>
    <w:rsid w:val="4F47354A"/>
    <w:rsid w:val="4F4F2935"/>
    <w:rsid w:val="4F585C8E"/>
    <w:rsid w:val="4F911C54"/>
    <w:rsid w:val="4FE625E0"/>
    <w:rsid w:val="50020B50"/>
    <w:rsid w:val="5021480F"/>
    <w:rsid w:val="508C4C23"/>
    <w:rsid w:val="50962ECB"/>
    <w:rsid w:val="50A42E38"/>
    <w:rsid w:val="50A4577F"/>
    <w:rsid w:val="50AB003F"/>
    <w:rsid w:val="50B73D1F"/>
    <w:rsid w:val="50BD5BC9"/>
    <w:rsid w:val="50C11EEE"/>
    <w:rsid w:val="50CD4459"/>
    <w:rsid w:val="50E97CFC"/>
    <w:rsid w:val="50FA4028"/>
    <w:rsid w:val="51001CCD"/>
    <w:rsid w:val="510D65B7"/>
    <w:rsid w:val="511157AB"/>
    <w:rsid w:val="5142540C"/>
    <w:rsid w:val="51612CF6"/>
    <w:rsid w:val="518832C8"/>
    <w:rsid w:val="51972060"/>
    <w:rsid w:val="519D35B3"/>
    <w:rsid w:val="519D3C50"/>
    <w:rsid w:val="51A0432A"/>
    <w:rsid w:val="51A86090"/>
    <w:rsid w:val="51B7396D"/>
    <w:rsid w:val="51CB6BEB"/>
    <w:rsid w:val="51CF26B1"/>
    <w:rsid w:val="521F697C"/>
    <w:rsid w:val="522E4CC3"/>
    <w:rsid w:val="5244713B"/>
    <w:rsid w:val="52615633"/>
    <w:rsid w:val="526F4DE4"/>
    <w:rsid w:val="52977FD4"/>
    <w:rsid w:val="52A25790"/>
    <w:rsid w:val="52A96B6F"/>
    <w:rsid w:val="52B45975"/>
    <w:rsid w:val="52D23FA9"/>
    <w:rsid w:val="52D94AA4"/>
    <w:rsid w:val="52EA3A62"/>
    <w:rsid w:val="52F263F9"/>
    <w:rsid w:val="52F50BB8"/>
    <w:rsid w:val="53097272"/>
    <w:rsid w:val="53544462"/>
    <w:rsid w:val="537D4BBD"/>
    <w:rsid w:val="5397158E"/>
    <w:rsid w:val="53AA2830"/>
    <w:rsid w:val="53D53D51"/>
    <w:rsid w:val="53EC6373"/>
    <w:rsid w:val="54013861"/>
    <w:rsid w:val="541B5777"/>
    <w:rsid w:val="54487265"/>
    <w:rsid w:val="544D6070"/>
    <w:rsid w:val="54605E1E"/>
    <w:rsid w:val="546450D5"/>
    <w:rsid w:val="54AE38E6"/>
    <w:rsid w:val="54B25E40"/>
    <w:rsid w:val="54B3506A"/>
    <w:rsid w:val="54CA0D16"/>
    <w:rsid w:val="54DD4057"/>
    <w:rsid w:val="54E7490F"/>
    <w:rsid w:val="54ED4DA5"/>
    <w:rsid w:val="550764A4"/>
    <w:rsid w:val="550B2BF6"/>
    <w:rsid w:val="55214EB5"/>
    <w:rsid w:val="55364EFD"/>
    <w:rsid w:val="555D4828"/>
    <w:rsid w:val="557445D5"/>
    <w:rsid w:val="557A4C8B"/>
    <w:rsid w:val="558931E1"/>
    <w:rsid w:val="55923347"/>
    <w:rsid w:val="55925180"/>
    <w:rsid w:val="55983B1B"/>
    <w:rsid w:val="55A8376B"/>
    <w:rsid w:val="55BA31FE"/>
    <w:rsid w:val="55D11403"/>
    <w:rsid w:val="55D41DE6"/>
    <w:rsid w:val="55DC29B6"/>
    <w:rsid w:val="55DD4241"/>
    <w:rsid w:val="55E55DA1"/>
    <w:rsid w:val="55EB0D1D"/>
    <w:rsid w:val="560E70A6"/>
    <w:rsid w:val="56312D95"/>
    <w:rsid w:val="563239AF"/>
    <w:rsid w:val="566B6D1E"/>
    <w:rsid w:val="568C3F8D"/>
    <w:rsid w:val="56B60CE6"/>
    <w:rsid w:val="57032A2C"/>
    <w:rsid w:val="570F5219"/>
    <w:rsid w:val="5737262D"/>
    <w:rsid w:val="57430FD1"/>
    <w:rsid w:val="575D12B5"/>
    <w:rsid w:val="57610A87"/>
    <w:rsid w:val="577B1140"/>
    <w:rsid w:val="577B7F21"/>
    <w:rsid w:val="577F181B"/>
    <w:rsid w:val="57921984"/>
    <w:rsid w:val="579737F0"/>
    <w:rsid w:val="579E565A"/>
    <w:rsid w:val="57AB7B30"/>
    <w:rsid w:val="57AF5251"/>
    <w:rsid w:val="57B13C22"/>
    <w:rsid w:val="57B26373"/>
    <w:rsid w:val="57B53BF3"/>
    <w:rsid w:val="57B63F04"/>
    <w:rsid w:val="57C241E1"/>
    <w:rsid w:val="57CD20C2"/>
    <w:rsid w:val="57D675AB"/>
    <w:rsid w:val="57D73717"/>
    <w:rsid w:val="57D95FDD"/>
    <w:rsid w:val="580161E1"/>
    <w:rsid w:val="587027D8"/>
    <w:rsid w:val="58917D2F"/>
    <w:rsid w:val="5894085C"/>
    <w:rsid w:val="58AE4F0C"/>
    <w:rsid w:val="58B85899"/>
    <w:rsid w:val="58E363A9"/>
    <w:rsid w:val="59166304"/>
    <w:rsid w:val="59396B30"/>
    <w:rsid w:val="595E1678"/>
    <w:rsid w:val="596D5BD4"/>
    <w:rsid w:val="597E3DD8"/>
    <w:rsid w:val="5988716F"/>
    <w:rsid w:val="59937726"/>
    <w:rsid w:val="59D15F12"/>
    <w:rsid w:val="59E30CB0"/>
    <w:rsid w:val="59F42A57"/>
    <w:rsid w:val="59F77941"/>
    <w:rsid w:val="59F80043"/>
    <w:rsid w:val="5A09252F"/>
    <w:rsid w:val="5A0B2778"/>
    <w:rsid w:val="5A1143EE"/>
    <w:rsid w:val="5A201A9E"/>
    <w:rsid w:val="5A2A7C7B"/>
    <w:rsid w:val="5A3E2560"/>
    <w:rsid w:val="5A5D3B6E"/>
    <w:rsid w:val="5A637A76"/>
    <w:rsid w:val="5A6D33BA"/>
    <w:rsid w:val="5A792B1F"/>
    <w:rsid w:val="5A874767"/>
    <w:rsid w:val="5A99132F"/>
    <w:rsid w:val="5AA85BE2"/>
    <w:rsid w:val="5AAD6F28"/>
    <w:rsid w:val="5AC643F3"/>
    <w:rsid w:val="5ACD39D4"/>
    <w:rsid w:val="5AD63A24"/>
    <w:rsid w:val="5B12588A"/>
    <w:rsid w:val="5B267E39"/>
    <w:rsid w:val="5B2E1A1D"/>
    <w:rsid w:val="5B3939F1"/>
    <w:rsid w:val="5B492B73"/>
    <w:rsid w:val="5B7E73E8"/>
    <w:rsid w:val="5B843A1C"/>
    <w:rsid w:val="5B873E3F"/>
    <w:rsid w:val="5BAD7361"/>
    <w:rsid w:val="5BBA4800"/>
    <w:rsid w:val="5C02690E"/>
    <w:rsid w:val="5C196DA7"/>
    <w:rsid w:val="5C24407F"/>
    <w:rsid w:val="5C24612B"/>
    <w:rsid w:val="5C285F49"/>
    <w:rsid w:val="5C2A048C"/>
    <w:rsid w:val="5C3253F0"/>
    <w:rsid w:val="5C7B2FBB"/>
    <w:rsid w:val="5C80234E"/>
    <w:rsid w:val="5C8A680C"/>
    <w:rsid w:val="5C93062A"/>
    <w:rsid w:val="5C9347A9"/>
    <w:rsid w:val="5C9F2D5B"/>
    <w:rsid w:val="5CB87D6C"/>
    <w:rsid w:val="5CF76AE6"/>
    <w:rsid w:val="5D064F7B"/>
    <w:rsid w:val="5D0C4701"/>
    <w:rsid w:val="5D0F0395"/>
    <w:rsid w:val="5D1968BC"/>
    <w:rsid w:val="5D1D22C5"/>
    <w:rsid w:val="5D221076"/>
    <w:rsid w:val="5D397964"/>
    <w:rsid w:val="5D5A391C"/>
    <w:rsid w:val="5D5F10C0"/>
    <w:rsid w:val="5D60607F"/>
    <w:rsid w:val="5D891B7B"/>
    <w:rsid w:val="5DAD38EE"/>
    <w:rsid w:val="5DE84681"/>
    <w:rsid w:val="5E006862"/>
    <w:rsid w:val="5E0207B9"/>
    <w:rsid w:val="5E1834A1"/>
    <w:rsid w:val="5E1E62F4"/>
    <w:rsid w:val="5E234708"/>
    <w:rsid w:val="5E261785"/>
    <w:rsid w:val="5E3224FC"/>
    <w:rsid w:val="5E4915C3"/>
    <w:rsid w:val="5E4A7017"/>
    <w:rsid w:val="5E552BBA"/>
    <w:rsid w:val="5E5A6867"/>
    <w:rsid w:val="5E611C10"/>
    <w:rsid w:val="5E7A0F3F"/>
    <w:rsid w:val="5E7E4670"/>
    <w:rsid w:val="5ED370DF"/>
    <w:rsid w:val="5EFC7377"/>
    <w:rsid w:val="5F06174D"/>
    <w:rsid w:val="5F0C36BB"/>
    <w:rsid w:val="5F3202A9"/>
    <w:rsid w:val="5F3A3602"/>
    <w:rsid w:val="5F45733B"/>
    <w:rsid w:val="5F564A29"/>
    <w:rsid w:val="5F6277C6"/>
    <w:rsid w:val="5F6D0B1D"/>
    <w:rsid w:val="5F8D0B82"/>
    <w:rsid w:val="5FCC5339"/>
    <w:rsid w:val="5FE34A5B"/>
    <w:rsid w:val="5FFE1E36"/>
    <w:rsid w:val="60123C37"/>
    <w:rsid w:val="60232584"/>
    <w:rsid w:val="604751DF"/>
    <w:rsid w:val="60700B70"/>
    <w:rsid w:val="607330CE"/>
    <w:rsid w:val="60825176"/>
    <w:rsid w:val="609F2AC4"/>
    <w:rsid w:val="60A10678"/>
    <w:rsid w:val="60A30D33"/>
    <w:rsid w:val="60D31CC9"/>
    <w:rsid w:val="60D467DC"/>
    <w:rsid w:val="60DD09F9"/>
    <w:rsid w:val="60EF4DCF"/>
    <w:rsid w:val="60FA2EE8"/>
    <w:rsid w:val="60FD0443"/>
    <w:rsid w:val="61054A27"/>
    <w:rsid w:val="610A52BC"/>
    <w:rsid w:val="611D2366"/>
    <w:rsid w:val="61421856"/>
    <w:rsid w:val="615227C4"/>
    <w:rsid w:val="61654E3F"/>
    <w:rsid w:val="6182292A"/>
    <w:rsid w:val="619F7F92"/>
    <w:rsid w:val="61C77A59"/>
    <w:rsid w:val="61C94B1D"/>
    <w:rsid w:val="61CF0031"/>
    <w:rsid w:val="61F94C26"/>
    <w:rsid w:val="62000E56"/>
    <w:rsid w:val="620E6704"/>
    <w:rsid w:val="624C78D4"/>
    <w:rsid w:val="624F3E49"/>
    <w:rsid w:val="62500DC5"/>
    <w:rsid w:val="62632286"/>
    <w:rsid w:val="626A5FAC"/>
    <w:rsid w:val="62885958"/>
    <w:rsid w:val="62F40B65"/>
    <w:rsid w:val="62FC2CFE"/>
    <w:rsid w:val="63024505"/>
    <w:rsid w:val="632E6FDA"/>
    <w:rsid w:val="635307EE"/>
    <w:rsid w:val="635600A5"/>
    <w:rsid w:val="635B1DB5"/>
    <w:rsid w:val="63711FED"/>
    <w:rsid w:val="63880DDC"/>
    <w:rsid w:val="638D750D"/>
    <w:rsid w:val="63A23524"/>
    <w:rsid w:val="63A830AF"/>
    <w:rsid w:val="63AB3AFB"/>
    <w:rsid w:val="63AC6CC0"/>
    <w:rsid w:val="63DF02D4"/>
    <w:rsid w:val="64055776"/>
    <w:rsid w:val="64093EF4"/>
    <w:rsid w:val="641A0055"/>
    <w:rsid w:val="64240056"/>
    <w:rsid w:val="64283A29"/>
    <w:rsid w:val="643E143A"/>
    <w:rsid w:val="64491666"/>
    <w:rsid w:val="645143C2"/>
    <w:rsid w:val="648B6EEF"/>
    <w:rsid w:val="64C158BF"/>
    <w:rsid w:val="64CE2EAA"/>
    <w:rsid w:val="64F33A36"/>
    <w:rsid w:val="65051FBC"/>
    <w:rsid w:val="650D74DA"/>
    <w:rsid w:val="65180933"/>
    <w:rsid w:val="65272F38"/>
    <w:rsid w:val="653C3090"/>
    <w:rsid w:val="655C6080"/>
    <w:rsid w:val="65752381"/>
    <w:rsid w:val="657A4758"/>
    <w:rsid w:val="65854376"/>
    <w:rsid w:val="658767BE"/>
    <w:rsid w:val="65892531"/>
    <w:rsid w:val="65BA4B55"/>
    <w:rsid w:val="65BA6903"/>
    <w:rsid w:val="66195831"/>
    <w:rsid w:val="662B7800"/>
    <w:rsid w:val="662E75B1"/>
    <w:rsid w:val="66342C2E"/>
    <w:rsid w:val="663E784C"/>
    <w:rsid w:val="665E3732"/>
    <w:rsid w:val="66827026"/>
    <w:rsid w:val="668B6A45"/>
    <w:rsid w:val="671D1A82"/>
    <w:rsid w:val="6727621A"/>
    <w:rsid w:val="672F3F24"/>
    <w:rsid w:val="673E055F"/>
    <w:rsid w:val="673E5311"/>
    <w:rsid w:val="67495785"/>
    <w:rsid w:val="67551CE3"/>
    <w:rsid w:val="67872D56"/>
    <w:rsid w:val="67A22552"/>
    <w:rsid w:val="67B22DCC"/>
    <w:rsid w:val="67BE71AA"/>
    <w:rsid w:val="67D90273"/>
    <w:rsid w:val="67DE5875"/>
    <w:rsid w:val="67E55852"/>
    <w:rsid w:val="67EB1AB4"/>
    <w:rsid w:val="67FA1285"/>
    <w:rsid w:val="68176EBD"/>
    <w:rsid w:val="68221803"/>
    <w:rsid w:val="68444BA9"/>
    <w:rsid w:val="68551F4F"/>
    <w:rsid w:val="687C10C9"/>
    <w:rsid w:val="68840C16"/>
    <w:rsid w:val="68876EFB"/>
    <w:rsid w:val="68884654"/>
    <w:rsid w:val="689F444F"/>
    <w:rsid w:val="68B54E3F"/>
    <w:rsid w:val="68B96DBB"/>
    <w:rsid w:val="68CA2805"/>
    <w:rsid w:val="68CD1043"/>
    <w:rsid w:val="68E937A3"/>
    <w:rsid w:val="68FB5BB0"/>
    <w:rsid w:val="69180510"/>
    <w:rsid w:val="69252C2D"/>
    <w:rsid w:val="693E15D3"/>
    <w:rsid w:val="69627681"/>
    <w:rsid w:val="6977531D"/>
    <w:rsid w:val="6997345A"/>
    <w:rsid w:val="69B55D5F"/>
    <w:rsid w:val="69CC2BFF"/>
    <w:rsid w:val="69E14DA6"/>
    <w:rsid w:val="69FD55B8"/>
    <w:rsid w:val="6A0B1C62"/>
    <w:rsid w:val="6A100433"/>
    <w:rsid w:val="6A154A4F"/>
    <w:rsid w:val="6A2406C8"/>
    <w:rsid w:val="6A535578"/>
    <w:rsid w:val="6A8E035E"/>
    <w:rsid w:val="6AA91A68"/>
    <w:rsid w:val="6AB340C8"/>
    <w:rsid w:val="6ADE0BD1"/>
    <w:rsid w:val="6AE96859"/>
    <w:rsid w:val="6B07113D"/>
    <w:rsid w:val="6B147746"/>
    <w:rsid w:val="6B24787C"/>
    <w:rsid w:val="6B573233"/>
    <w:rsid w:val="6B5B6274"/>
    <w:rsid w:val="6B5C220A"/>
    <w:rsid w:val="6B777044"/>
    <w:rsid w:val="6B935D53"/>
    <w:rsid w:val="6BAB4210"/>
    <w:rsid w:val="6BE0543C"/>
    <w:rsid w:val="6C0B19A4"/>
    <w:rsid w:val="6C196F71"/>
    <w:rsid w:val="6C226FCB"/>
    <w:rsid w:val="6C31226F"/>
    <w:rsid w:val="6C327B3B"/>
    <w:rsid w:val="6C552F0B"/>
    <w:rsid w:val="6C8C67B7"/>
    <w:rsid w:val="6C9D744C"/>
    <w:rsid w:val="6CA70F0B"/>
    <w:rsid w:val="6D167928"/>
    <w:rsid w:val="6D26299B"/>
    <w:rsid w:val="6D4772EC"/>
    <w:rsid w:val="6D9078AF"/>
    <w:rsid w:val="6DA8604A"/>
    <w:rsid w:val="6DAA3FEF"/>
    <w:rsid w:val="6DBE3D87"/>
    <w:rsid w:val="6DC0172B"/>
    <w:rsid w:val="6DCB690C"/>
    <w:rsid w:val="6DD41A5B"/>
    <w:rsid w:val="6DD662C6"/>
    <w:rsid w:val="6DEF3809"/>
    <w:rsid w:val="6DF43C2E"/>
    <w:rsid w:val="6DF51CA3"/>
    <w:rsid w:val="6E1E439A"/>
    <w:rsid w:val="6E8335BD"/>
    <w:rsid w:val="6E8E12EF"/>
    <w:rsid w:val="6E972936"/>
    <w:rsid w:val="6ECA7E74"/>
    <w:rsid w:val="6ECE1671"/>
    <w:rsid w:val="6ED446C5"/>
    <w:rsid w:val="6EF167CF"/>
    <w:rsid w:val="6F1E425E"/>
    <w:rsid w:val="6F280D81"/>
    <w:rsid w:val="6F2A7D94"/>
    <w:rsid w:val="6F6D0E8A"/>
    <w:rsid w:val="6F8331F1"/>
    <w:rsid w:val="6FAE1A09"/>
    <w:rsid w:val="6FB22D40"/>
    <w:rsid w:val="6FD75BF8"/>
    <w:rsid w:val="6FDF6EFE"/>
    <w:rsid w:val="6FE3114C"/>
    <w:rsid w:val="70502CEE"/>
    <w:rsid w:val="707723D0"/>
    <w:rsid w:val="70902F31"/>
    <w:rsid w:val="70961257"/>
    <w:rsid w:val="70F5661B"/>
    <w:rsid w:val="71360107"/>
    <w:rsid w:val="713B688E"/>
    <w:rsid w:val="71755DD4"/>
    <w:rsid w:val="7197702A"/>
    <w:rsid w:val="71B96608"/>
    <w:rsid w:val="71C048E0"/>
    <w:rsid w:val="71D43752"/>
    <w:rsid w:val="71D451F0"/>
    <w:rsid w:val="71D60F68"/>
    <w:rsid w:val="71D945A7"/>
    <w:rsid w:val="71E8286E"/>
    <w:rsid w:val="71F1796A"/>
    <w:rsid w:val="71F413EE"/>
    <w:rsid w:val="72154626"/>
    <w:rsid w:val="721970A7"/>
    <w:rsid w:val="72262B5D"/>
    <w:rsid w:val="72283FF7"/>
    <w:rsid w:val="722E7212"/>
    <w:rsid w:val="72307D3F"/>
    <w:rsid w:val="723A0474"/>
    <w:rsid w:val="725923E4"/>
    <w:rsid w:val="72850EF0"/>
    <w:rsid w:val="72864BF7"/>
    <w:rsid w:val="729023FC"/>
    <w:rsid w:val="72D642AC"/>
    <w:rsid w:val="72E43211"/>
    <w:rsid w:val="7343262D"/>
    <w:rsid w:val="734737A0"/>
    <w:rsid w:val="737109E5"/>
    <w:rsid w:val="73C0646E"/>
    <w:rsid w:val="740229DE"/>
    <w:rsid w:val="742222F5"/>
    <w:rsid w:val="742A10F7"/>
    <w:rsid w:val="74476126"/>
    <w:rsid w:val="745C6091"/>
    <w:rsid w:val="74614190"/>
    <w:rsid w:val="74706664"/>
    <w:rsid w:val="747F3682"/>
    <w:rsid w:val="749C4185"/>
    <w:rsid w:val="75067759"/>
    <w:rsid w:val="751C3136"/>
    <w:rsid w:val="752E6DCD"/>
    <w:rsid w:val="752E752D"/>
    <w:rsid w:val="753C37D8"/>
    <w:rsid w:val="7551380D"/>
    <w:rsid w:val="75600BE5"/>
    <w:rsid w:val="7564475C"/>
    <w:rsid w:val="7583797F"/>
    <w:rsid w:val="75BB69C6"/>
    <w:rsid w:val="75CF01A8"/>
    <w:rsid w:val="75D20F1D"/>
    <w:rsid w:val="75DA2C18"/>
    <w:rsid w:val="75F54412"/>
    <w:rsid w:val="761D08E0"/>
    <w:rsid w:val="7620613A"/>
    <w:rsid w:val="765D347C"/>
    <w:rsid w:val="76631C0D"/>
    <w:rsid w:val="767D5E56"/>
    <w:rsid w:val="76826699"/>
    <w:rsid w:val="76C40B40"/>
    <w:rsid w:val="76C87133"/>
    <w:rsid w:val="76CD08D5"/>
    <w:rsid w:val="76DB4B92"/>
    <w:rsid w:val="76E934EC"/>
    <w:rsid w:val="77052AA4"/>
    <w:rsid w:val="77091498"/>
    <w:rsid w:val="77136511"/>
    <w:rsid w:val="771A5453"/>
    <w:rsid w:val="77340A39"/>
    <w:rsid w:val="77351FD0"/>
    <w:rsid w:val="774626EC"/>
    <w:rsid w:val="77472422"/>
    <w:rsid w:val="777F31F2"/>
    <w:rsid w:val="779E1EC9"/>
    <w:rsid w:val="77D1700D"/>
    <w:rsid w:val="77EC04CC"/>
    <w:rsid w:val="782A7918"/>
    <w:rsid w:val="78686282"/>
    <w:rsid w:val="78775729"/>
    <w:rsid w:val="78A42DB0"/>
    <w:rsid w:val="78A656AB"/>
    <w:rsid w:val="78AF70A8"/>
    <w:rsid w:val="78B2245C"/>
    <w:rsid w:val="78D12489"/>
    <w:rsid w:val="78E172CC"/>
    <w:rsid w:val="78EA1D1F"/>
    <w:rsid w:val="7904172F"/>
    <w:rsid w:val="790F7E27"/>
    <w:rsid w:val="792A231A"/>
    <w:rsid w:val="79316829"/>
    <w:rsid w:val="797E66A9"/>
    <w:rsid w:val="798518A4"/>
    <w:rsid w:val="79A97383"/>
    <w:rsid w:val="79BF320E"/>
    <w:rsid w:val="79E104AA"/>
    <w:rsid w:val="79E27E8B"/>
    <w:rsid w:val="79F850CE"/>
    <w:rsid w:val="79FD443C"/>
    <w:rsid w:val="7A0917AF"/>
    <w:rsid w:val="7A1D1975"/>
    <w:rsid w:val="7A3E5150"/>
    <w:rsid w:val="7A4670D6"/>
    <w:rsid w:val="7A534B63"/>
    <w:rsid w:val="7A615382"/>
    <w:rsid w:val="7A67303B"/>
    <w:rsid w:val="7AAB1D04"/>
    <w:rsid w:val="7ABA4368"/>
    <w:rsid w:val="7AC027B5"/>
    <w:rsid w:val="7AD05746"/>
    <w:rsid w:val="7B0855B3"/>
    <w:rsid w:val="7B152B33"/>
    <w:rsid w:val="7B257FFD"/>
    <w:rsid w:val="7B343476"/>
    <w:rsid w:val="7B58479C"/>
    <w:rsid w:val="7B5A2978"/>
    <w:rsid w:val="7B5A7E4C"/>
    <w:rsid w:val="7B667AF9"/>
    <w:rsid w:val="7B7468F8"/>
    <w:rsid w:val="7BBA60F3"/>
    <w:rsid w:val="7BEE0103"/>
    <w:rsid w:val="7C0A0FE4"/>
    <w:rsid w:val="7C254906"/>
    <w:rsid w:val="7C585DB4"/>
    <w:rsid w:val="7C590818"/>
    <w:rsid w:val="7C7C10F6"/>
    <w:rsid w:val="7C823A55"/>
    <w:rsid w:val="7C853BEA"/>
    <w:rsid w:val="7C881368"/>
    <w:rsid w:val="7C8B294F"/>
    <w:rsid w:val="7CB4634A"/>
    <w:rsid w:val="7CE27788"/>
    <w:rsid w:val="7D0C32F1"/>
    <w:rsid w:val="7D0F408D"/>
    <w:rsid w:val="7D1F7C67"/>
    <w:rsid w:val="7D491C6C"/>
    <w:rsid w:val="7D5429C0"/>
    <w:rsid w:val="7D6E6D43"/>
    <w:rsid w:val="7D84289E"/>
    <w:rsid w:val="7DB57A34"/>
    <w:rsid w:val="7DE60973"/>
    <w:rsid w:val="7DEF0916"/>
    <w:rsid w:val="7E1E5218"/>
    <w:rsid w:val="7E524BBD"/>
    <w:rsid w:val="7E6B21EE"/>
    <w:rsid w:val="7E747B3F"/>
    <w:rsid w:val="7E7A5BE3"/>
    <w:rsid w:val="7E9A4E1F"/>
    <w:rsid w:val="7EA7723A"/>
    <w:rsid w:val="7EF56FBB"/>
    <w:rsid w:val="7F0768EB"/>
    <w:rsid w:val="7F143BEC"/>
    <w:rsid w:val="7F715AF2"/>
    <w:rsid w:val="7F886E69"/>
    <w:rsid w:val="7F9A1896"/>
    <w:rsid w:val="7F9B559F"/>
    <w:rsid w:val="7F9D4E73"/>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7"/>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318"/>
    <w:qFormat/>
    <w:uiPriority w:val="0"/>
    <w:pPr>
      <w:ind w:firstLine="420"/>
    </w:pPr>
    <w:rPr>
      <w:rFonts w:hAnsi="Calibri" w:cs="Times New Roman"/>
      <w:snapToGrid/>
      <w:szCs w:val="20"/>
    </w:rPr>
  </w:style>
  <w:style w:type="paragraph" w:styleId="7">
    <w:name w:val="Normal Indent"/>
    <w:basedOn w:val="1"/>
    <w:next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262"/>
    <w:qFormat/>
    <w:uiPriority w:val="0"/>
    <w:pPr>
      <w:spacing w:line="480" w:lineRule="exact"/>
      <w:ind w:firstLine="480" w:firstLineChars="200"/>
    </w:pPr>
    <w:rPr>
      <w:rFonts w:ascii="宋体" w:hAnsi="宋体"/>
      <w:sz w:val="24"/>
    </w:rPr>
  </w:style>
  <w:style w:type="paragraph" w:styleId="26">
    <w:name w:val="Body Text First Indent 2"/>
    <w:basedOn w:val="25"/>
    <w:next w:val="1"/>
    <w:link w:val="119"/>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4"/>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efault"/>
    <w:next w:val="1"/>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字符"/>
    <w:link w:val="26"/>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字符"/>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7"/>
    <w:qFormat/>
    <w:uiPriority w:val="0"/>
    <w:rPr>
      <w:rFonts w:ascii="宋体"/>
      <w:kern w:val="2"/>
      <w:sz w:val="24"/>
      <w:szCs w:val="21"/>
      <w:lang w:val="zh-CN"/>
    </w:rPr>
  </w:style>
  <w:style w:type="character" w:customStyle="1" w:styleId="180">
    <w:name w:val="标题 9 字符"/>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0"/>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79"/>
    <w:qFormat/>
    <w:uiPriority w:val="0"/>
    <w:rPr>
      <w:rFonts w:ascii="仿宋_GB2312"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8"/>
    <w:qFormat/>
    <w:uiPriority w:val="0"/>
    <w:rPr>
      <w:rFonts w:ascii="黑体" w:hAnsi="Courier New" w:eastAsia="黑体"/>
    </w:rPr>
  </w:style>
  <w:style w:type="character" w:customStyle="1" w:styleId="299">
    <w:name w:val="正文文本 2 字符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11"/>
    <w:qFormat/>
    <w:uiPriority w:val="0"/>
    <w:rPr>
      <w:b/>
      <w:bCs/>
      <w:kern w:val="2"/>
      <w:sz w:val="24"/>
      <w:szCs w:val="24"/>
    </w:rPr>
  </w:style>
  <w:style w:type="character" w:customStyle="1" w:styleId="305">
    <w:name w:val="正文文本缩进 2 字符"/>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字符"/>
    <w:link w:val="3"/>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1"/>
    <w:qFormat/>
    <w:uiPriority w:val="0"/>
    <w:rPr>
      <w:kern w:val="2"/>
      <w:sz w:val="21"/>
      <w:szCs w:val="24"/>
    </w:rPr>
  </w:style>
  <w:style w:type="character" w:customStyle="1" w:styleId="342">
    <w:name w:val="签名 字符"/>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79"/>
    <w:next w:val="79"/>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79"/>
    <w:next w:val="79"/>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2">
    <w:name w:val="font101"/>
    <w:basedOn w:val="69"/>
    <w:qFormat/>
    <w:uiPriority w:val="0"/>
    <w:rPr>
      <w:rFonts w:hint="default" w:ascii="Calibri" w:hAnsi="Calibri"/>
      <w:color w:val="000000"/>
      <w:sz w:val="20"/>
      <w:szCs w:val="20"/>
      <w:u w:val="none"/>
    </w:rPr>
  </w:style>
  <w:style w:type="character" w:customStyle="1" w:styleId="963">
    <w:name w:val="font111"/>
    <w:basedOn w:val="69"/>
    <w:qFormat/>
    <w:uiPriority w:val="0"/>
    <w:rPr>
      <w:rFonts w:hint="default" w:ascii="Segoe UI Symbol" w:hAnsi="Segoe UI Symbol"/>
      <w:color w:val="000000"/>
      <w:sz w:val="20"/>
      <w:szCs w:val="20"/>
      <w:u w:val="none"/>
    </w:rPr>
  </w:style>
  <w:style w:type="character" w:customStyle="1" w:styleId="964">
    <w:name w:val="font121"/>
    <w:basedOn w:val="69"/>
    <w:qFormat/>
    <w:uiPriority w:val="0"/>
    <w:rPr>
      <w:rFonts w:hint="default" w:ascii="Calibri" w:hAnsi="Calibri"/>
      <w:color w:val="000000"/>
      <w:sz w:val="20"/>
      <w:szCs w:val="20"/>
      <w:u w:val="none"/>
    </w:rPr>
  </w:style>
  <w:style w:type="character" w:customStyle="1" w:styleId="965">
    <w:name w:val="font112"/>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numbering" Target="numbering.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BA05-B42F-46BD-8FB1-162699CFAE9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58</Pages>
  <Words>37842</Words>
  <Characters>41853</Characters>
  <Lines>362</Lines>
  <Paragraphs>102</Paragraphs>
  <TotalTime>6</TotalTime>
  <ScaleCrop>false</ScaleCrop>
  <LinksUpToDate>false</LinksUpToDate>
  <CharactersWithSpaces>44254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2024-06-19T02:11:00Z</dcterms:created>
  <dc:creator>玥</dc:creator>
  <cp:lastModifiedBy>天蓝蓝的</cp:lastModifiedBy>
  <cp:lastPrinted>2021-12-27T11:06:00Z</cp:lastPrinted>
  <dcterms:modified xsi:type="dcterms:W3CDTF">2024-07-08T02:18:32Z</dcterms:modified>
  <dc:title>杭州市市民卡扩大发卡工程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