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 xml:space="preserve">  </w:t>
      </w: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sz w:val="48"/>
          <w:szCs w:val="48"/>
          <w:lang w:val="en-US" w:eastAsia="zh-Hans"/>
        </w:rPr>
      </w:pPr>
      <w:r>
        <w:rPr>
          <w:rFonts w:hint="eastAsia" w:ascii="仿宋" w:hAnsi="仿宋" w:eastAsia="仿宋" w:cs="仿宋"/>
          <w:sz w:val="48"/>
          <w:szCs w:val="48"/>
          <w:lang w:val="en-US" w:eastAsia="zh-Hans"/>
        </w:rPr>
        <w:t>萧山经开区国控集团及下属公司</w:t>
      </w:r>
    </w:p>
    <w:p>
      <w:pPr>
        <w:adjustRightInd/>
        <w:spacing w:line="360" w:lineRule="auto"/>
        <w:jc w:val="center"/>
        <w:rPr>
          <w:rFonts w:hint="default" w:ascii="仿宋" w:hAnsi="仿宋" w:eastAsia="仿宋" w:cs="仿宋"/>
          <w:sz w:val="48"/>
          <w:szCs w:val="48"/>
          <w:lang w:val="en-US" w:eastAsia="zh-Hans"/>
        </w:rPr>
      </w:pPr>
      <w:r>
        <w:rPr>
          <w:rFonts w:hint="eastAsia" w:ascii="仿宋" w:hAnsi="仿宋" w:eastAsia="仿宋" w:cs="仿宋"/>
          <w:sz w:val="48"/>
          <w:szCs w:val="48"/>
          <w:lang w:val="en-US" w:eastAsia="zh-Hans"/>
        </w:rPr>
        <w:t>食堂运营项目</w:t>
      </w: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 xml:space="preserve">招标文件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0"/>
          <w:szCs w:val="30"/>
          <w:lang w:val="en-US" w:eastAsia="zh-CN"/>
        </w:rPr>
      </w:pPr>
      <w:r>
        <w:rPr>
          <w:rFonts w:hint="eastAsia" w:ascii="仿宋" w:hAnsi="仿宋" w:eastAsia="仿宋" w:cs="仿宋"/>
          <w:sz w:val="30"/>
          <w:szCs w:val="30"/>
        </w:rPr>
        <w:t>编号:萧开企采(2024)34号</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32"/>
          <w:szCs w:val="32"/>
        </w:rPr>
      </w:pPr>
    </w:p>
    <w:p>
      <w:pPr>
        <w:snapToGrid w:val="0"/>
        <w:spacing w:line="360" w:lineRule="auto"/>
        <w:jc w:val="center"/>
        <w:rPr>
          <w:rFonts w:hint="default" w:ascii="仿宋" w:hAnsi="仿宋" w:eastAsia="仿宋" w:cs="仿宋"/>
          <w:bCs/>
          <w:color w:val="auto"/>
          <w:sz w:val="32"/>
          <w:szCs w:val="32"/>
          <w:highlight w:val="none"/>
          <w:lang w:eastAsia="zh-CN"/>
        </w:rPr>
      </w:pPr>
      <w:r>
        <w:rPr>
          <w:rFonts w:hint="default" w:ascii="仿宋" w:hAnsi="仿宋" w:eastAsia="仿宋" w:cs="仿宋"/>
          <w:bCs/>
          <w:color w:val="auto"/>
          <w:sz w:val="32"/>
          <w:szCs w:val="32"/>
          <w:highlight w:val="none"/>
          <w:lang w:eastAsia="zh-CN"/>
        </w:rPr>
        <w:t>杭州金开颐和物业有限公司</w:t>
      </w:r>
    </w:p>
    <w:p>
      <w:pPr>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浙江省房地产管理咨询有限公司</w:t>
      </w:r>
    </w:p>
    <w:p>
      <w:pPr>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2024</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07</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03</w:t>
      </w:r>
      <w:r>
        <w:rPr>
          <w:rFonts w:hint="eastAsia" w:ascii="仿宋" w:hAnsi="仿宋" w:eastAsia="仿宋" w:cs="仿宋"/>
          <w:bCs/>
          <w:color w:val="auto"/>
          <w:sz w:val="32"/>
          <w:szCs w:val="32"/>
        </w:rPr>
        <w:t>日</w:t>
      </w:r>
    </w:p>
    <w:p>
      <w:pPr>
        <w:pStyle w:val="3"/>
        <w:rPr>
          <w:rFonts w:hint="eastAsia" w:ascii="仿宋" w:hAnsi="仿宋" w:eastAsia="仿宋" w:cs="仿宋"/>
        </w:rPr>
      </w:pPr>
    </w:p>
    <w:p>
      <w:pPr>
        <w:spacing w:line="360" w:lineRule="auto"/>
        <w:jc w:val="center"/>
        <w:rPr>
          <w:rFonts w:hint="eastAsia" w:ascii="仿宋" w:hAnsi="仿宋" w:eastAsia="仿宋" w:cs="仿宋"/>
          <w:b/>
          <w:sz w:val="48"/>
          <w:szCs w:val="48"/>
        </w:rPr>
      </w:pPr>
      <w:r>
        <w:rPr>
          <w:rFonts w:hint="eastAsia" w:ascii="仿宋" w:hAnsi="仿宋" w:eastAsia="仿宋" w:cs="仿宋"/>
          <w:sz w:val="24"/>
        </w:rPr>
        <w:br w:type="page"/>
      </w:r>
      <w:bookmarkStart w:id="0" w:name="_Hlt67893495"/>
      <w:bookmarkEnd w:id="0"/>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b w:val="0"/>
          <w:bCs w:val="0"/>
          <w:color w:val="auto"/>
          <w:sz w:val="24"/>
          <w:u w:val="single"/>
        </w:rPr>
        <w:t>（</w:t>
      </w:r>
      <w:r>
        <w:rPr>
          <w:rFonts w:hint="eastAsia" w:ascii="仿宋" w:hAnsi="仿宋" w:eastAsia="仿宋" w:cs="仿宋"/>
          <w:b w:val="0"/>
          <w:bCs w:val="0"/>
          <w:color w:val="auto"/>
          <w:sz w:val="24"/>
          <w:u w:val="single"/>
          <w:lang w:eastAsia="zh-CN"/>
        </w:rPr>
        <w:t>萧山经开区国控集团及下属公司食堂运营项目</w:t>
      </w:r>
      <w:r>
        <w:rPr>
          <w:rFonts w:hint="eastAsia" w:ascii="仿宋" w:hAnsi="仿宋" w:eastAsia="仿宋" w:cs="仿宋"/>
          <w:b w:val="0"/>
          <w:bCs w:val="0"/>
          <w:color w:val="auto"/>
          <w:sz w:val="24"/>
          <w:u w:val="single"/>
        </w:rPr>
        <w:t>）</w:t>
      </w:r>
      <w:r>
        <w:rPr>
          <w:rFonts w:hint="eastAsia" w:ascii="仿宋" w:hAnsi="仿宋" w:eastAsia="仿宋" w:cs="仿宋"/>
          <w:sz w:val="24"/>
        </w:rPr>
        <w:t>招标项目的潜在投标人应在</w:t>
      </w:r>
      <w:r>
        <w:rPr>
          <w:rFonts w:hint="eastAsia" w:ascii="仿宋" w:hAnsi="仿宋" w:eastAsia="仿宋" w:cs="仿宋"/>
          <w:sz w:val="24"/>
          <w:lang w:eastAsia="zh-CN"/>
        </w:rPr>
        <w:t>萧采云平台</w:t>
      </w:r>
      <w:r>
        <w:rPr>
          <w:rFonts w:hint="eastAsia" w:ascii="仿宋" w:hAnsi="仿宋" w:eastAsia="仿宋" w:cs="仿宋"/>
          <w:sz w:val="24"/>
        </w:rPr>
        <w:t>（</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"https://www.zcygov.cn/）获取（下载）招标文件，并于202%20年%20月%20日%20点%20分00秒" </w:instrText>
      </w:r>
      <w:r>
        <w:rPr>
          <w:rFonts w:hint="eastAsia" w:ascii="仿宋" w:hAnsi="仿宋" w:eastAsia="仿宋" w:cs="仿宋"/>
        </w:rPr>
        <w:fldChar w:fldCharType="separate"/>
      </w:r>
      <w:r>
        <w:rPr>
          <w:rStyle w:val="76"/>
          <w:rFonts w:hint="eastAsia" w:ascii="仿宋" w:hAnsi="仿宋" w:eastAsia="仿宋" w:cs="仿宋"/>
          <w:snapToGrid/>
          <w:kern w:val="2"/>
          <w:sz w:val="24"/>
          <w:szCs w:val="24"/>
        </w:rPr>
        <w:t>https://www.zcygov.cn/）获取（下载）招标文件，并于</w:t>
      </w:r>
      <w:r>
        <w:rPr>
          <w:rStyle w:val="76"/>
          <w:rFonts w:hint="eastAsia" w:ascii="仿宋" w:hAnsi="仿宋" w:eastAsia="仿宋" w:cs="仿宋"/>
          <w:snapToGrid/>
          <w:kern w:val="2"/>
          <w:sz w:val="24"/>
          <w:szCs w:val="24"/>
          <w:lang w:val="en-US" w:eastAsia="zh-CN"/>
        </w:rPr>
        <w:t>2024</w:t>
      </w:r>
      <w:r>
        <w:rPr>
          <w:rStyle w:val="76"/>
          <w:rFonts w:hint="eastAsia" w:ascii="仿宋" w:hAnsi="仿宋" w:eastAsia="仿宋" w:cs="仿宋"/>
          <w:snapToGrid/>
          <w:kern w:val="2"/>
          <w:sz w:val="24"/>
          <w:szCs w:val="24"/>
        </w:rPr>
        <w:t>年</w:t>
      </w:r>
      <w:r>
        <w:rPr>
          <w:rStyle w:val="76"/>
          <w:rFonts w:hint="eastAsia" w:ascii="仿宋" w:hAnsi="仿宋" w:eastAsia="仿宋" w:cs="仿宋"/>
          <w:snapToGrid/>
          <w:kern w:val="2"/>
          <w:sz w:val="24"/>
          <w:szCs w:val="24"/>
          <w:lang w:val="en-US" w:eastAsia="zh-CN"/>
        </w:rPr>
        <w:t>07</w:t>
      </w:r>
      <w:r>
        <w:rPr>
          <w:rStyle w:val="76"/>
          <w:rFonts w:hint="eastAsia" w:ascii="仿宋" w:hAnsi="仿宋" w:eastAsia="仿宋" w:cs="仿宋"/>
          <w:snapToGrid/>
          <w:kern w:val="2"/>
          <w:sz w:val="24"/>
          <w:szCs w:val="24"/>
        </w:rPr>
        <w:t>月</w:t>
      </w:r>
      <w:r>
        <w:rPr>
          <w:rStyle w:val="76"/>
          <w:rFonts w:hint="eastAsia" w:ascii="仿宋" w:hAnsi="仿宋" w:eastAsia="仿宋" w:cs="仿宋"/>
          <w:snapToGrid/>
          <w:kern w:val="2"/>
          <w:sz w:val="24"/>
          <w:szCs w:val="24"/>
          <w:lang w:val="en-US" w:eastAsia="zh-CN"/>
        </w:rPr>
        <w:t>24</w:t>
      </w:r>
      <w:r>
        <w:rPr>
          <w:rStyle w:val="76"/>
          <w:rFonts w:hint="eastAsia" w:ascii="仿宋" w:hAnsi="仿宋" w:eastAsia="仿宋" w:cs="仿宋"/>
          <w:snapToGrid/>
          <w:kern w:val="2"/>
          <w:sz w:val="24"/>
          <w:szCs w:val="24"/>
        </w:rPr>
        <w:t>日</w:t>
      </w:r>
      <w:r>
        <w:rPr>
          <w:rStyle w:val="76"/>
          <w:rFonts w:hint="eastAsia" w:ascii="仿宋" w:hAnsi="仿宋" w:eastAsia="仿宋" w:cs="仿宋"/>
          <w:snapToGrid/>
          <w:kern w:val="2"/>
          <w:sz w:val="24"/>
          <w:szCs w:val="24"/>
          <w:lang w:val="en-US" w:eastAsia="zh-CN"/>
        </w:rPr>
        <w:t>09</w:t>
      </w:r>
      <w:r>
        <w:rPr>
          <w:rStyle w:val="76"/>
          <w:rFonts w:hint="eastAsia" w:ascii="仿宋" w:hAnsi="仿宋" w:eastAsia="仿宋" w:cs="仿宋"/>
          <w:snapToGrid/>
          <w:kern w:val="2"/>
          <w:sz w:val="24"/>
          <w:szCs w:val="24"/>
        </w:rPr>
        <w:t>点</w:t>
      </w:r>
      <w:r>
        <w:rPr>
          <w:rStyle w:val="76"/>
          <w:rFonts w:hint="eastAsia" w:ascii="仿宋" w:hAnsi="仿宋" w:eastAsia="仿宋" w:cs="仿宋"/>
          <w:snapToGrid/>
          <w:kern w:val="2"/>
          <w:sz w:val="24"/>
          <w:szCs w:val="24"/>
          <w:lang w:val="en-US" w:eastAsia="zh-CN"/>
        </w:rPr>
        <w:t>30</w:t>
      </w:r>
      <w:r>
        <w:rPr>
          <w:rStyle w:val="76"/>
          <w:rFonts w:hint="eastAsia" w:ascii="仿宋" w:hAnsi="仿宋" w:eastAsia="仿宋" w:cs="仿宋"/>
          <w:snapToGrid/>
          <w:kern w:val="2"/>
          <w:sz w:val="24"/>
          <w:szCs w:val="24"/>
        </w:rPr>
        <w:t>分</w:t>
      </w:r>
      <w:r>
        <w:rPr>
          <w:rStyle w:val="76"/>
          <w:rFonts w:hint="eastAsia" w:ascii="仿宋" w:hAnsi="仿宋" w:eastAsia="仿宋" w:cs="仿宋"/>
          <w:bCs/>
          <w:snapToGrid/>
          <w:kern w:val="2"/>
          <w:sz w:val="24"/>
          <w:szCs w:val="24"/>
        </w:rPr>
        <w:t>00秒</w:t>
      </w:r>
      <w:r>
        <w:rPr>
          <w:rStyle w:val="76"/>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b w:val="0"/>
          <w:bCs/>
          <w:sz w:val="24"/>
          <w:lang w:val="en-US"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val="0"/>
          <w:bCs/>
          <w:sz w:val="24"/>
        </w:rPr>
        <w:t>萧开企采(2024)34号</w:t>
      </w:r>
    </w:p>
    <w:p>
      <w:pPr>
        <w:spacing w:line="360" w:lineRule="auto"/>
        <w:ind w:firstLine="480"/>
        <w:rPr>
          <w:rFonts w:hint="eastAsia" w:ascii="仿宋" w:hAnsi="仿宋" w:eastAsia="仿宋" w:cs="仿宋"/>
          <w:b/>
          <w:sz w:val="24"/>
        </w:rPr>
      </w:pPr>
      <w:r>
        <w:rPr>
          <w:rFonts w:hint="eastAsia" w:ascii="仿宋" w:hAnsi="仿宋" w:eastAsia="仿宋" w:cs="仿宋"/>
          <w:b/>
          <w:sz w:val="24"/>
        </w:rPr>
        <w:t>项目名称：</w:t>
      </w:r>
      <w:r>
        <w:rPr>
          <w:rFonts w:hint="eastAsia" w:ascii="仿宋" w:hAnsi="仿宋" w:eastAsia="仿宋" w:cs="仿宋"/>
          <w:b w:val="0"/>
          <w:bCs/>
          <w:sz w:val="24"/>
          <w:lang w:eastAsia="zh-CN"/>
        </w:rPr>
        <w:t>萧山经开区国控集团及下属公司食堂运营项目</w:t>
      </w:r>
      <w:r>
        <w:rPr>
          <w:rFonts w:hint="eastAsia" w:ascii="仿宋" w:hAnsi="仿宋" w:eastAsia="仿宋" w:cs="仿宋"/>
          <w:sz w:val="24"/>
        </w:rPr>
        <w:t xml:space="preserve">   </w:t>
      </w:r>
      <w:r>
        <w:rPr>
          <w:rFonts w:hint="eastAsia" w:ascii="仿宋" w:hAnsi="仿宋" w:eastAsia="仿宋" w:cs="仿宋"/>
          <w:b/>
          <w:sz w:val="24"/>
        </w:rPr>
        <w:t xml:space="preserve"> </w:t>
      </w:r>
    </w:p>
    <w:p>
      <w:pPr>
        <w:spacing w:line="360" w:lineRule="auto"/>
        <w:ind w:firstLine="480"/>
        <w:rPr>
          <w:rFonts w:hint="eastAsia" w:ascii="仿宋" w:hAnsi="仿宋" w:eastAsia="仿宋" w:cs="仿宋"/>
          <w:color w:val="auto"/>
          <w:sz w:val="24"/>
        </w:rPr>
      </w:pPr>
      <w:r>
        <w:rPr>
          <w:rFonts w:hint="eastAsia" w:ascii="仿宋" w:hAnsi="仿宋" w:eastAsia="仿宋" w:cs="仿宋"/>
          <w:b/>
          <w:color w:val="auto"/>
          <w:sz w:val="24"/>
        </w:rPr>
        <w:t>预算金额（元）：</w:t>
      </w:r>
      <w:r>
        <w:rPr>
          <w:rFonts w:hint="eastAsia" w:ascii="仿宋" w:hAnsi="仿宋" w:eastAsia="仿宋" w:cs="仿宋"/>
          <w:b w:val="0"/>
          <w:bCs/>
          <w:color w:val="auto"/>
          <w:sz w:val="24"/>
          <w:lang w:val="en-US" w:eastAsia="zh-CN"/>
        </w:rPr>
        <w:t xml:space="preserve">35000000.00 </w:t>
      </w:r>
      <w:r>
        <w:rPr>
          <w:rFonts w:hint="eastAsia" w:ascii="仿宋" w:hAnsi="仿宋" w:eastAsia="仿宋" w:cs="仿宋"/>
          <w:b/>
          <w:color w:val="auto"/>
          <w:sz w:val="24"/>
          <w:lang w:val="en-US" w:eastAsia="zh-CN"/>
        </w:rPr>
        <w:t xml:space="preserve">                                               </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b w:val="0"/>
          <w:bCs/>
          <w:color w:val="auto"/>
          <w:sz w:val="24"/>
          <w:lang w:val="en-US" w:eastAsia="zh-CN"/>
        </w:rPr>
      </w:pPr>
      <w:r>
        <w:rPr>
          <w:rFonts w:hint="eastAsia" w:ascii="仿宋" w:hAnsi="仿宋" w:eastAsia="仿宋" w:cs="仿宋"/>
          <w:b/>
          <w:color w:val="auto"/>
          <w:sz w:val="24"/>
        </w:rPr>
        <w:t>最高限价（元）：</w:t>
      </w:r>
      <w:r>
        <w:rPr>
          <w:rFonts w:hint="eastAsia" w:ascii="仿宋" w:hAnsi="仿宋" w:eastAsia="仿宋" w:cs="仿宋"/>
          <w:b w:val="0"/>
          <w:bCs/>
          <w:color w:val="auto"/>
          <w:sz w:val="24"/>
          <w:lang w:val="en-US" w:eastAsia="zh-CN"/>
        </w:rPr>
        <w:t xml:space="preserve">35000000.00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rPr>
        <w:t>采购需求：</w:t>
      </w:r>
      <w:r>
        <w:rPr>
          <w:rFonts w:hint="eastAsia" w:ascii="仿宋" w:hAnsi="仿宋" w:eastAsia="仿宋" w:cs="仿宋"/>
          <w:b/>
          <w:sz w:val="24"/>
          <w:highlight w:val="none"/>
        </w:rPr>
        <w:t>萧山经开区国控集团及下属公司食堂运营。详见招标文件第三部分采购需求。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sz w:val="24"/>
          <w:lang w:eastAsia="zh-CN"/>
        </w:rPr>
      </w:pPr>
      <w:r>
        <w:rPr>
          <w:rFonts w:hint="eastAsia" w:ascii="仿宋" w:hAnsi="仿宋" w:eastAsia="仿宋" w:cs="仿宋"/>
          <w:b/>
          <w:sz w:val="24"/>
        </w:rPr>
        <w:t>合同履约期限</w:t>
      </w:r>
      <w:r>
        <w:rPr>
          <w:rFonts w:hint="eastAsia" w:ascii="仿宋" w:hAnsi="仿宋" w:eastAsia="仿宋" w:cs="仿宋"/>
          <w:b/>
          <w:sz w:val="24"/>
          <w:lang w:eastAsia="zh-CN"/>
        </w:rPr>
        <w:t>：</w:t>
      </w:r>
      <w:r>
        <w:rPr>
          <w:rFonts w:hint="eastAsia" w:ascii="仿宋" w:hAnsi="仿宋" w:eastAsia="仿宋" w:cs="仿宋"/>
          <w:b/>
          <w:sz w:val="24"/>
        </w:rPr>
        <w:t>具体以招标文件第三部分采购需求为准</w:t>
      </w:r>
      <w:r>
        <w:rPr>
          <w:rFonts w:hint="eastAsia" w:ascii="仿宋" w:hAnsi="仿宋" w:eastAsia="仿宋" w:cs="仿宋"/>
          <w:b/>
          <w:sz w:val="24"/>
          <w:lang w:eastAsia="zh-CN"/>
        </w:rPr>
        <w:t>。</w:t>
      </w:r>
    </w:p>
    <w:p>
      <w:pPr>
        <w:pStyle w:val="15"/>
        <w:spacing w:line="36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t xml:space="preserve"> </w:t>
      </w:r>
      <w:sdt>
        <w:sdtPr>
          <w:rPr>
            <w:rFonts w:hint="eastAsia" w:ascii="仿宋" w:hAnsi="仿宋" w:eastAsia="仿宋" w:cs="仿宋"/>
            <w:color w:val="auto"/>
            <w:kern w:val="0"/>
            <w:sz w:val="24"/>
            <w:highlight w:val="none"/>
          </w:rPr>
          <w:id w:val="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snapToGrid w:val="0"/>
              <w:color w:val="auto"/>
              <w:kern w:val="0"/>
              <w:sz w:val="24"/>
              <w:szCs w:val="20"/>
              <w:highlight w:val="none"/>
              <w:lang w:val="en-US" w:eastAsia="zh-CN" w:bidi="ar-SA"/>
            </w:rPr>
            <w:t>☐</w:t>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2"/>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snapToGrid w:val="0"/>
              <w:color w:val="auto"/>
              <w:kern w:val="0"/>
              <w:sz w:val="24"/>
              <w:szCs w:val="20"/>
              <w:highlight w:val="none"/>
              <w:lang w:val="en-US" w:eastAsia="zh-CN" w:bidi="ar-SA"/>
            </w:rPr>
            <w:t>þ</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color w:val="0000FF"/>
          <w:sz w:val="24"/>
          <w:highlight w:val="none"/>
          <w:u w:val="single"/>
          <w:lang w:val="en-US" w:eastAsia="zh-CN"/>
        </w:rPr>
      </w:pPr>
      <w:r>
        <w:rPr>
          <w:rFonts w:hint="eastAsia" w:ascii="仿宋" w:hAnsi="仿宋" w:eastAsia="仿宋" w:cs="仿宋"/>
          <w:snapToGrid w:val="0"/>
          <w:kern w:val="28"/>
          <w:sz w:val="24"/>
          <w:szCs w:val="20"/>
        </w:rPr>
        <w:t xml:space="preserve">   </w:t>
      </w:r>
      <w:r>
        <w:rPr>
          <w:rFonts w:hint="eastAsia" w:ascii="仿宋" w:hAnsi="仿宋" w:eastAsia="仿宋" w:cs="仿宋"/>
          <w:snapToGrid w:val="0"/>
          <w:kern w:val="28"/>
          <w:sz w:val="24"/>
          <w:szCs w:val="20"/>
          <w:lang w:val="en-US" w:eastAsia="zh-CN"/>
        </w:rPr>
        <w:t>2</w:t>
      </w:r>
      <w:r>
        <w:rPr>
          <w:rFonts w:hint="eastAsia" w:ascii="仿宋" w:hAnsi="仿宋" w:eastAsia="仿宋" w:cs="仿宋"/>
          <w:sz w:val="24"/>
          <w:highlight w:val="none"/>
        </w:rPr>
        <w:t>.本项目的特定资格要求：</w:t>
      </w:r>
      <w:r>
        <w:rPr>
          <w:rFonts w:hint="eastAsia" w:ascii="仿宋" w:hAnsi="仿宋" w:eastAsia="仿宋" w:cs="仿宋"/>
          <w:sz w:val="24"/>
          <w:highlight w:val="none"/>
          <w:lang w:val="en-US" w:eastAsia="zh-CN"/>
        </w:rPr>
        <w:t>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2024</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07</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24</w:t>
      </w:r>
      <w:r>
        <w:rPr>
          <w:rFonts w:hint="eastAsia" w:ascii="仿宋" w:hAnsi="仿宋" w:eastAsia="仿宋" w:cs="仿宋"/>
          <w:color w:val="auto"/>
          <w:sz w:val="24"/>
          <w:u w:val="single"/>
        </w:rPr>
        <w:t>日</w:t>
      </w:r>
      <w:r>
        <w:rPr>
          <w:rFonts w:hint="eastAsia" w:ascii="仿宋" w:hAnsi="仿宋" w:eastAsia="仿宋" w:cs="仿宋"/>
          <w:color w:val="auto"/>
          <w:sz w:val="24"/>
        </w:rPr>
        <w:t>，</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lang w:eastAsia="zh-CN"/>
        </w:rPr>
        <w:t>萧采云平台</w:t>
      </w:r>
      <w:r>
        <w:rPr>
          <w:rFonts w:hint="eastAsia" w:ascii="仿宋" w:hAnsi="仿宋" w:eastAsia="仿宋" w:cs="仿宋"/>
          <w:sz w:val="24"/>
        </w:rPr>
        <w:t xml:space="preserve">（https://www.zcygov.cn/）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供应商登录</w:t>
      </w:r>
      <w:r>
        <w:rPr>
          <w:rFonts w:hint="eastAsia" w:ascii="仿宋" w:hAnsi="仿宋" w:eastAsia="仿宋" w:cs="仿宋"/>
          <w:sz w:val="24"/>
          <w:lang w:eastAsia="zh-CN"/>
        </w:rPr>
        <w:t>萧采云平台</w:t>
      </w:r>
      <w:r>
        <w:rPr>
          <w:rFonts w:hint="eastAsia" w:ascii="仿宋" w:hAnsi="仿宋" w:eastAsia="仿宋" w:cs="仿宋"/>
          <w:sz w:val="24"/>
        </w:rPr>
        <w:t xml:space="preserve">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sz w:val="24"/>
        </w:rPr>
        <w:t>提交投标文件截止时间</w:t>
      </w:r>
      <w:r>
        <w:rPr>
          <w:rFonts w:hint="eastAsia" w:ascii="仿宋" w:hAnsi="仿宋" w:eastAsia="仿宋" w:cs="仿宋"/>
          <w:b/>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2024</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07</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lang w:eastAsia="zh-CN"/>
        </w:rPr>
        <w:t>萧采云平台</w:t>
      </w:r>
      <w:r>
        <w:rPr>
          <w:rFonts w:hint="eastAsia" w:ascii="仿宋" w:hAnsi="仿宋" w:eastAsia="仿宋" w:cs="仿宋"/>
          <w:color w:val="auto"/>
          <w:sz w:val="24"/>
        </w:rPr>
        <w:t xml:space="preserve">（https://www.zcygov.cn/）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lang w:val="en-US" w:eastAsia="zh-CN"/>
        </w:rPr>
        <w:t>2024</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07</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lang w:eastAsia="zh-CN"/>
        </w:rPr>
        <w:t>萧采云平台</w:t>
      </w:r>
      <w:r>
        <w:rPr>
          <w:rFonts w:hint="eastAsia" w:ascii="仿宋" w:hAnsi="仿宋" w:eastAsia="仿宋" w:cs="仿宋"/>
          <w:sz w:val="24"/>
        </w:rPr>
        <w:t>（https://www.zcygov.cn/）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w:t>
      </w:r>
      <w:r>
        <w:rPr>
          <w:rFonts w:hint="eastAsia" w:ascii="仿宋" w:hAnsi="仿宋" w:eastAsia="仿宋" w:cs="仿宋"/>
          <w:sz w:val="24"/>
          <w:lang w:eastAsia="zh-CN"/>
        </w:rPr>
        <w:t>）</w:t>
      </w:r>
      <w:r>
        <w:rPr>
          <w:rFonts w:hint="eastAsia" w:ascii="仿宋" w:hAnsi="仿宋" w:eastAsia="仿宋" w:cs="仿宋"/>
          <w:sz w:val="24"/>
        </w:rPr>
        <w:t>《浙江省财政厅关于进一步促进政府采购公平竞争打造最优营商环境的通知》（浙财采监（2021）22号）</w:t>
      </w:r>
      <w:r>
        <w:rPr>
          <w:rFonts w:hint="eastAsia" w:ascii="仿宋" w:hAnsi="仿宋" w:eastAsia="仿宋" w:cs="仿宋"/>
          <w:sz w:val="24"/>
          <w:lang w:eastAsia="zh-CN"/>
        </w:rPr>
        <w:t>）</w:t>
      </w:r>
      <w:r>
        <w:rPr>
          <w:rFonts w:hint="eastAsia" w:ascii="仿宋" w:hAnsi="仿宋" w:eastAsia="仿宋" w:cs="仿宋"/>
          <w:sz w:val="24"/>
        </w:rPr>
        <w:t>《浙江省财政厅关于进一步加大政府采购支持中小企业力度助力扎实稳住经济的通知》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w:t>
      </w:r>
      <w:r>
        <w:rPr>
          <w:rFonts w:hint="eastAsia" w:ascii="仿宋" w:hAnsi="仿宋" w:eastAsia="仿宋" w:cs="仿宋"/>
          <w:sz w:val="24"/>
          <w:lang w:eastAsia="zh-CN"/>
        </w:rPr>
        <w:t>萧采云</w:t>
      </w:r>
      <w:r>
        <w:rPr>
          <w:rFonts w:hint="eastAsia" w:ascii="仿宋" w:hAnsi="仿宋" w:eastAsia="仿宋" w:cs="仿宋"/>
          <w:sz w:val="24"/>
        </w:rPr>
        <w:t>-项目采购-询问质疑投诉-询问列表:鼓励供应商在线提起质疑，路径为：</w:t>
      </w:r>
      <w:r>
        <w:rPr>
          <w:rFonts w:hint="eastAsia" w:ascii="仿宋" w:hAnsi="仿宋" w:eastAsia="仿宋" w:cs="仿宋"/>
          <w:sz w:val="24"/>
          <w:lang w:eastAsia="zh-CN"/>
        </w:rPr>
        <w:t>萧采云</w:t>
      </w:r>
      <w:r>
        <w:rPr>
          <w:rFonts w:hint="eastAsia" w:ascii="仿宋" w:hAnsi="仿宋" w:eastAsia="仿宋" w:cs="仿宋"/>
          <w:sz w:val="24"/>
        </w:rPr>
        <w:t>-项目采购-询问质疑投诉-质疑列表。质疑供应商对在线质疑答复不满意的，可在线提起投诉，路径为：浙江政府服务网-采购投诉处理-在线办理。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采购监督管理部门投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4.其他事项：（1）需要落实的采购政策：包括节约资源、保护环境、支持创新、促进中小企业发展等。详见招标文件的第二部分总则。（2）电子招投标的说明：①电子招投标：本项目以数据电文形式，依托“</w:t>
      </w:r>
      <w:r>
        <w:rPr>
          <w:rFonts w:hint="eastAsia" w:ascii="仿宋" w:hAnsi="仿宋" w:eastAsia="仿宋" w:cs="仿宋"/>
          <w:sz w:val="24"/>
          <w:lang w:eastAsia="zh-CN"/>
        </w:rPr>
        <w:t>萧采云平台（https://www.zcygov.cn/）</w:t>
      </w:r>
      <w:r>
        <w:rPr>
          <w:rFonts w:hint="eastAsia" w:ascii="仿宋" w:hAnsi="仿宋" w:eastAsia="仿宋" w:cs="仿宋"/>
          <w:sz w:val="24"/>
        </w:rPr>
        <w:t>”进行招投标活动，不接受纸质投标文件；②投标准备：注册账号--点击“商家入驻”，进行采购供应商资料填写；申领CA数字证书---申领流程详见“采购网-下载专区-电子交易客户端-CA驱动和申领流程”；安装“</w:t>
      </w:r>
      <w:r>
        <w:rPr>
          <w:rFonts w:hint="eastAsia" w:ascii="仿宋" w:hAnsi="仿宋" w:eastAsia="仿宋" w:cs="仿宋"/>
          <w:sz w:val="24"/>
          <w:lang w:eastAsia="zh-CN"/>
        </w:rPr>
        <w:t>萧采云</w:t>
      </w:r>
      <w:r>
        <w:rPr>
          <w:rFonts w:hint="eastAsia" w:ascii="仿宋" w:hAnsi="仿宋" w:eastAsia="仿宋" w:cs="仿宋"/>
          <w:sz w:val="24"/>
        </w:rPr>
        <w:t>电子交易客户端”----前往“采购网-下载专区-电子交易客户端”进行下载并安装；③招标文件的获取：使用账号登录或者使用CA登录</w:t>
      </w:r>
      <w:r>
        <w:rPr>
          <w:rFonts w:hint="eastAsia" w:ascii="仿宋" w:hAnsi="仿宋" w:eastAsia="仿宋" w:cs="仿宋"/>
          <w:sz w:val="24"/>
          <w:lang w:eastAsia="zh-CN"/>
        </w:rPr>
        <w:t>萧采云平台</w:t>
      </w:r>
      <w:r>
        <w:rPr>
          <w:rFonts w:hint="eastAsia" w:ascii="仿宋" w:hAnsi="仿宋" w:eastAsia="仿宋" w:cs="仿宋"/>
          <w:sz w:val="24"/>
        </w:rPr>
        <w:t>；进入“项目采购”应用，在获取采购文件菜单中选择项目，获取招标文件；④投标文件的制作：在“</w:t>
      </w:r>
      <w:r>
        <w:rPr>
          <w:rFonts w:hint="eastAsia" w:ascii="仿宋" w:hAnsi="仿宋" w:eastAsia="仿宋" w:cs="仿宋"/>
          <w:sz w:val="24"/>
          <w:lang w:eastAsia="zh-CN"/>
        </w:rPr>
        <w:t>萧采云</w:t>
      </w:r>
      <w:r>
        <w:rPr>
          <w:rFonts w:hint="eastAsia" w:ascii="仿宋" w:hAnsi="仿宋" w:eastAsia="仿宋" w:cs="仿宋"/>
          <w:sz w:val="24"/>
        </w:rPr>
        <w:t>电子交易客户端”中完成“填写基本信息”、“导入投标文件”、“标书关联”、“标书检查”、“电子签名”、“生成电子标书”等操作；⑤采购人、</w:t>
      </w:r>
      <w:r>
        <w:rPr>
          <w:rFonts w:hint="eastAsia" w:ascii="仿宋" w:hAnsi="仿宋" w:eastAsia="仿宋" w:cs="仿宋"/>
          <w:sz w:val="24"/>
          <w:lang w:eastAsia="zh-CN"/>
        </w:rPr>
        <w:t>采购代理机构</w:t>
      </w:r>
      <w:r>
        <w:rPr>
          <w:rFonts w:hint="eastAsia" w:ascii="仿宋" w:hAnsi="仿宋" w:eastAsia="仿宋" w:cs="仿宋"/>
          <w:sz w:val="24"/>
        </w:rPr>
        <w:t>将依托</w:t>
      </w:r>
      <w:r>
        <w:rPr>
          <w:rFonts w:hint="eastAsia" w:ascii="仿宋" w:hAnsi="仿宋" w:eastAsia="仿宋" w:cs="仿宋"/>
          <w:sz w:val="24"/>
          <w:lang w:eastAsia="zh-CN"/>
        </w:rPr>
        <w:t>萧采云平台</w:t>
      </w:r>
      <w:r>
        <w:rPr>
          <w:rFonts w:hint="eastAsia" w:ascii="仿宋" w:hAnsi="仿宋" w:eastAsia="仿宋" w:cs="仿宋"/>
          <w:sz w:val="24"/>
        </w:rPr>
        <w:t>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
          <w:sz w:val="24"/>
          <w:highlight w:val="none"/>
          <w:lang w:val="en-US" w:eastAsia="zh-CN"/>
        </w:rPr>
        <w:t>项目是否接收备份文件，以前附表说明为准。</w:t>
      </w:r>
      <w:r>
        <w:rPr>
          <w:rFonts w:hint="eastAsia" w:ascii="仿宋" w:hAnsi="仿宋" w:eastAsia="仿宋" w:cs="仿宋"/>
          <w:sz w:val="24"/>
        </w:rPr>
        <w:t>⑨投标文件的解密：投标人按照平台提示和招标文件的规定在半小时内完成在线解密。通过“采购云平台”上传递交的投标文件无法按时解密，投标供应商递交了备份投标文件的，以备份投标文件为依据，否则视为投标文件撤回。通过“采购云平台”上传递交的投标文件已按时解密的，备份投标文件自动失效。投标人仅提交备份投标文件，未在电子交易平台传输递交投标文件的，投标无效；⑩具体操作指南：详见</w:t>
      </w:r>
      <w:r>
        <w:rPr>
          <w:rFonts w:hint="eastAsia" w:ascii="仿宋" w:hAnsi="仿宋" w:eastAsia="仿宋" w:cs="仿宋"/>
          <w:sz w:val="24"/>
          <w:lang w:eastAsia="zh-CN"/>
        </w:rPr>
        <w:t>萧采云平台</w:t>
      </w:r>
      <w:r>
        <w:rPr>
          <w:rFonts w:hint="eastAsia" w:ascii="仿宋" w:hAnsi="仿宋" w:eastAsia="仿宋" w:cs="仿宋"/>
          <w:sz w:val="24"/>
        </w:rPr>
        <w:t>“服务中心-帮助文档-项目采购-操作流程-电子招投标-采购项目电子交易管理操作指南-供应商”。（3）招标文件公告期限与招标公告的公告期限一致。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ind w:left="237" w:leftChars="113" w:firstLine="180" w:firstLineChars="75"/>
        <w:rPr>
          <w:rFonts w:hint="eastAsia" w:ascii="仿宋" w:hAnsi="仿宋" w:eastAsia="仿宋" w:cs="仿宋"/>
          <w:sz w:val="24"/>
        </w:rPr>
      </w:pPr>
      <w:r>
        <w:rPr>
          <w:rFonts w:hint="eastAsia" w:ascii="仿宋" w:hAnsi="仿宋" w:eastAsia="仿宋" w:cs="仿宋"/>
          <w:sz w:val="24"/>
        </w:rPr>
        <w:t>1.采购人信息</w:t>
      </w:r>
    </w:p>
    <w:p>
      <w:pPr>
        <w:spacing w:line="360" w:lineRule="auto"/>
        <w:ind w:left="237" w:leftChars="113" w:firstLine="180" w:firstLineChars="75"/>
        <w:rPr>
          <w:rFonts w:hint="default" w:ascii="仿宋" w:hAnsi="仿宋" w:eastAsia="仿宋" w:cs="仿宋"/>
          <w:sz w:val="24"/>
          <w:szCs w:val="28"/>
          <w:lang w:eastAsia="zh-CN"/>
        </w:rPr>
      </w:pPr>
      <w:r>
        <w:rPr>
          <w:rFonts w:hint="eastAsia" w:ascii="仿宋" w:hAnsi="仿宋" w:eastAsia="仿宋" w:cs="仿宋"/>
          <w:sz w:val="24"/>
        </w:rPr>
        <w:t>名称：</w:t>
      </w:r>
      <w:r>
        <w:rPr>
          <w:rFonts w:hint="default" w:ascii="仿宋" w:hAnsi="仿宋" w:eastAsia="仿宋" w:cs="仿宋"/>
          <w:sz w:val="24"/>
          <w:szCs w:val="28"/>
          <w:lang w:eastAsia="zh-CN"/>
        </w:rPr>
        <w:t>杭州金开颐和物业有限公司</w:t>
      </w:r>
    </w:p>
    <w:p>
      <w:pPr>
        <w:spacing w:line="360" w:lineRule="auto"/>
        <w:ind w:left="237" w:leftChars="113" w:firstLine="180" w:firstLineChars="75"/>
        <w:rPr>
          <w:rFonts w:hint="default" w:ascii="仿宋" w:hAnsi="仿宋" w:eastAsia="仿宋" w:cs="仿宋"/>
          <w:sz w:val="24"/>
          <w:lang w:val="en-US" w:eastAsia="zh-Hans"/>
        </w:rPr>
      </w:pPr>
      <w:r>
        <w:rPr>
          <w:rFonts w:hint="eastAsia" w:ascii="仿宋" w:hAnsi="仿宋" w:eastAsia="仿宋" w:cs="仿宋"/>
          <w:sz w:val="24"/>
        </w:rPr>
        <w:t>地址：</w:t>
      </w:r>
      <w:r>
        <w:rPr>
          <w:rFonts w:hint="eastAsia" w:ascii="仿宋" w:hAnsi="仿宋" w:eastAsia="仿宋" w:cs="仿宋"/>
          <w:sz w:val="24"/>
          <w:lang w:val="en-US" w:eastAsia="zh-Hans"/>
        </w:rPr>
        <w:t>浙江省</w:t>
      </w:r>
      <w:r>
        <w:rPr>
          <w:rFonts w:hint="eastAsia" w:ascii="仿宋" w:hAnsi="仿宋" w:eastAsia="仿宋" w:cs="仿宋"/>
          <w:color w:val="auto"/>
          <w:sz w:val="24"/>
          <w:szCs w:val="28"/>
          <w:highlight w:val="none"/>
          <w:lang w:val="en-US" w:eastAsia="zh-CN"/>
        </w:rPr>
        <w:t>杭州</w:t>
      </w:r>
      <w:r>
        <w:rPr>
          <w:rFonts w:hint="eastAsia" w:ascii="仿宋" w:hAnsi="仿宋" w:eastAsia="仿宋" w:cs="仿宋"/>
          <w:color w:val="auto"/>
          <w:sz w:val="24"/>
          <w:szCs w:val="28"/>
          <w:highlight w:val="none"/>
          <w:lang w:val="en-US" w:eastAsia="zh-Hans"/>
        </w:rPr>
        <w:t>市萧山区建设二路</w:t>
      </w:r>
      <w:r>
        <w:rPr>
          <w:rFonts w:hint="default" w:ascii="仿宋" w:hAnsi="仿宋" w:eastAsia="仿宋" w:cs="仿宋"/>
          <w:color w:val="auto"/>
          <w:sz w:val="24"/>
          <w:szCs w:val="28"/>
          <w:highlight w:val="none"/>
          <w:lang w:eastAsia="zh-Hans"/>
        </w:rPr>
        <w:t>146</w:t>
      </w:r>
      <w:r>
        <w:rPr>
          <w:rFonts w:hint="eastAsia" w:ascii="仿宋" w:hAnsi="仿宋" w:eastAsia="仿宋" w:cs="仿宋"/>
          <w:color w:val="auto"/>
          <w:sz w:val="24"/>
          <w:szCs w:val="28"/>
          <w:highlight w:val="none"/>
          <w:lang w:val="en-US" w:eastAsia="zh-Hans"/>
        </w:rPr>
        <w:t>号</w:t>
      </w:r>
    </w:p>
    <w:p>
      <w:pPr>
        <w:spacing w:line="360" w:lineRule="auto"/>
        <w:ind w:left="237" w:leftChars="113" w:firstLine="180" w:firstLineChars="75"/>
        <w:rPr>
          <w:rFonts w:hint="eastAsia" w:ascii="仿宋" w:hAnsi="仿宋" w:eastAsia="仿宋" w:cs="仿宋"/>
          <w:sz w:val="24"/>
        </w:rPr>
      </w:pPr>
      <w:r>
        <w:rPr>
          <w:rFonts w:hint="eastAsia" w:ascii="仿宋" w:hAnsi="仿宋" w:eastAsia="仿宋" w:cs="仿宋"/>
          <w:sz w:val="24"/>
        </w:rPr>
        <w:t>传真：/</w:t>
      </w:r>
    </w:p>
    <w:p>
      <w:pPr>
        <w:spacing w:line="360" w:lineRule="auto"/>
        <w:ind w:left="237" w:leftChars="113" w:firstLine="180" w:firstLineChars="75"/>
        <w:rPr>
          <w:rFonts w:hint="eastAsia" w:ascii="仿宋" w:hAnsi="仿宋" w:eastAsia="仿宋" w:cs="仿宋"/>
          <w:color w:val="auto"/>
          <w:sz w:val="24"/>
          <w:lang w:val="en-US" w:eastAsia="zh-Hans"/>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Hans"/>
        </w:rPr>
        <w:t>朱金强</w:t>
      </w:r>
    </w:p>
    <w:p>
      <w:pPr>
        <w:spacing w:line="360" w:lineRule="auto"/>
        <w:ind w:left="237" w:leftChars="113" w:firstLine="180" w:firstLineChars="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w:t>
      </w:r>
      <w:r>
        <w:rPr>
          <w:rFonts w:hint="eastAsia" w:ascii="仿宋" w:hAnsi="仿宋" w:eastAsia="仿宋" w:cs="仿宋"/>
          <w:sz w:val="24"/>
          <w:highlight w:val="none"/>
          <w:lang w:val="en-US" w:eastAsia="zh-CN"/>
        </w:rPr>
        <w:t>0571-82959756</w:t>
      </w:r>
    </w:p>
    <w:p>
      <w:pPr>
        <w:spacing w:line="360" w:lineRule="auto"/>
        <w:ind w:left="237" w:leftChars="113" w:firstLine="180" w:firstLineChars="75"/>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eastAsia="zh-CN"/>
        </w:rPr>
        <w:t>陈城</w:t>
      </w:r>
    </w:p>
    <w:p>
      <w:pPr>
        <w:spacing w:line="360" w:lineRule="auto"/>
        <w:ind w:left="237" w:leftChars="113" w:firstLine="180" w:firstLineChars="7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7354749010</w:t>
      </w:r>
    </w:p>
    <w:p>
      <w:pPr>
        <w:spacing w:line="36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2.采购代理机构信息</w:t>
      </w:r>
    </w:p>
    <w:p>
      <w:pPr>
        <w:spacing w:line="360" w:lineRule="auto"/>
        <w:ind w:firstLine="420" w:firstLineChars="175"/>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名称：浙江省房地产管理咨询有限公司</w:t>
      </w:r>
    </w:p>
    <w:p>
      <w:pPr>
        <w:spacing w:line="360" w:lineRule="auto"/>
        <w:ind w:firstLine="420" w:firstLineChars="175"/>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r>
        <w:rPr>
          <w:rFonts w:hint="eastAsia" w:ascii="仿宋" w:hAnsi="仿宋" w:eastAsia="仿宋" w:cs="仿宋"/>
          <w:sz w:val="24"/>
          <w:szCs w:val="28"/>
        </w:rPr>
        <w:t>萧山区蜀山街道柳桥南和城4幢1单元1003室</w:t>
      </w:r>
    </w:p>
    <w:p>
      <w:pPr>
        <w:spacing w:line="360" w:lineRule="auto"/>
        <w:ind w:firstLine="420" w:firstLineChars="175"/>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传真：/</w:t>
      </w:r>
    </w:p>
    <w:p>
      <w:pPr>
        <w:spacing w:line="360" w:lineRule="auto"/>
        <w:ind w:firstLine="420" w:firstLineChars="175"/>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项目联系人（询问）：</w:t>
      </w:r>
      <w:r>
        <w:rPr>
          <w:rFonts w:hint="eastAsia" w:ascii="仿宋" w:hAnsi="仿宋" w:eastAsia="仿宋" w:cs="仿宋"/>
          <w:sz w:val="24"/>
          <w:szCs w:val="28"/>
        </w:rPr>
        <w:t>巫铭</w:t>
      </w:r>
    </w:p>
    <w:p>
      <w:pPr>
        <w:spacing w:line="360" w:lineRule="auto"/>
        <w:ind w:firstLine="420" w:firstLineChars="175"/>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项目联系方式（询问）：</w:t>
      </w:r>
      <w:r>
        <w:rPr>
          <w:rFonts w:hint="eastAsia" w:ascii="仿宋" w:hAnsi="仿宋" w:eastAsia="仿宋" w:cs="仿宋"/>
          <w:sz w:val="24"/>
          <w:szCs w:val="28"/>
        </w:rPr>
        <w:t>17316915702</w:t>
      </w:r>
    </w:p>
    <w:p>
      <w:pPr>
        <w:spacing w:line="360" w:lineRule="auto"/>
        <w:ind w:firstLine="420" w:firstLineChars="175"/>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质疑联系人：</w:t>
      </w:r>
      <w:r>
        <w:rPr>
          <w:rFonts w:hint="eastAsia" w:ascii="仿宋" w:hAnsi="仿宋" w:eastAsia="仿宋" w:cs="仿宋"/>
          <w:sz w:val="24"/>
          <w:szCs w:val="28"/>
        </w:rPr>
        <w:t>田岳</w:t>
      </w:r>
    </w:p>
    <w:p>
      <w:pPr>
        <w:spacing w:line="360" w:lineRule="auto"/>
        <w:ind w:left="0" w:leftChars="0" w:firstLine="420" w:firstLineChars="175"/>
        <w:rPr>
          <w:rFonts w:hint="eastAsia" w:ascii="仿宋" w:hAnsi="仿宋" w:eastAsia="仿宋" w:cs="仿宋"/>
          <w:kern w:val="0"/>
          <w:sz w:val="24"/>
        </w:rPr>
      </w:pPr>
      <w:r>
        <w:rPr>
          <w:rFonts w:hint="eastAsia" w:ascii="仿宋" w:hAnsi="仿宋" w:eastAsia="仿宋" w:cs="仿宋"/>
          <w:color w:val="000000" w:themeColor="text1"/>
          <w:sz w:val="24"/>
          <w14:textFill>
            <w14:solidFill>
              <w14:schemeClr w14:val="tx1"/>
            </w14:solidFill>
          </w14:textFill>
        </w:rPr>
        <w:t>质疑联系方式：</w:t>
      </w:r>
      <w:r>
        <w:rPr>
          <w:rFonts w:hint="eastAsia" w:ascii="仿宋" w:hAnsi="仿宋" w:eastAsia="仿宋" w:cs="仿宋"/>
          <w:kern w:val="0"/>
          <w:sz w:val="24"/>
        </w:rPr>
        <w:t>0571-83731873</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8"/>
        </w:rPr>
      </w:pPr>
      <w:r>
        <w:rPr>
          <w:rFonts w:hint="eastAsia" w:ascii="仿宋" w:hAnsi="仿宋" w:eastAsia="仿宋" w:cs="仿宋"/>
          <w:color w:val="auto"/>
          <w:sz w:val="24"/>
          <w:szCs w:val="28"/>
        </w:rPr>
        <w:t>3.采购监督管理部门：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sz w:val="24"/>
          <w:szCs w:val="28"/>
        </w:rPr>
      </w:pPr>
      <w:r>
        <w:rPr>
          <w:rFonts w:hint="eastAsia" w:ascii="仿宋" w:hAnsi="仿宋" w:eastAsia="仿宋" w:cs="仿宋"/>
          <w:sz w:val="24"/>
          <w:szCs w:val="28"/>
        </w:rPr>
        <w:t>名称：开发区财政局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sz w:val="24"/>
          <w:szCs w:val="28"/>
        </w:rPr>
      </w:pPr>
      <w:r>
        <w:rPr>
          <w:rFonts w:hint="eastAsia" w:ascii="仿宋" w:hAnsi="仿宋" w:eastAsia="仿宋" w:cs="仿宋"/>
          <w:sz w:val="24"/>
          <w:szCs w:val="28"/>
        </w:rPr>
        <w:t>地址：杭州市萧山区市心北路99号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sz w:val="24"/>
          <w:szCs w:val="28"/>
        </w:rPr>
      </w:pPr>
      <w:r>
        <w:rPr>
          <w:rFonts w:hint="eastAsia" w:ascii="仿宋" w:hAnsi="仿宋" w:eastAsia="仿宋" w:cs="仿宋"/>
          <w:sz w:val="24"/>
          <w:szCs w:val="28"/>
        </w:rPr>
        <w:t>联系人：倪女士</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sz w:val="24"/>
          <w:szCs w:val="28"/>
        </w:rPr>
      </w:pPr>
      <w:r>
        <w:rPr>
          <w:rFonts w:hint="eastAsia" w:ascii="仿宋" w:hAnsi="仿宋" w:eastAsia="仿宋" w:cs="仿宋"/>
          <w:sz w:val="24"/>
          <w:szCs w:val="28"/>
        </w:rPr>
        <w:t>监督投诉电话：0571-82838922</w:t>
      </w:r>
    </w:p>
    <w:p>
      <w:pPr>
        <w:spacing w:line="360" w:lineRule="auto"/>
        <w:ind w:left="0" w:leftChars="0" w:firstLine="420" w:firstLineChars="175"/>
        <w:rPr>
          <w:rFonts w:hint="eastAsia" w:ascii="仿宋" w:hAnsi="仿宋" w:eastAsia="仿宋" w:cs="仿宋"/>
          <w:kern w:val="0"/>
          <w:sz w:val="24"/>
        </w:rPr>
      </w:pPr>
    </w:p>
    <w:p>
      <w:pPr>
        <w:spacing w:line="360" w:lineRule="auto"/>
        <w:ind w:firstLine="480"/>
        <w:jc w:val="left"/>
        <w:rPr>
          <w:rFonts w:hint="eastAsia" w:ascii="仿宋" w:hAnsi="仿宋" w:eastAsia="仿宋" w:cs="仿宋"/>
          <w:sz w:val="24"/>
        </w:rPr>
      </w:pPr>
      <w:r>
        <w:rPr>
          <w:rFonts w:hint="eastAsia" w:ascii="仿宋" w:hAnsi="仿宋" w:eastAsia="仿宋" w:cs="仿宋"/>
          <w:sz w:val="24"/>
        </w:rPr>
        <w:t>若对项目采购电子交易系统操作有疑问，可登录</w:t>
      </w:r>
      <w:r>
        <w:rPr>
          <w:rFonts w:hint="eastAsia" w:ascii="仿宋" w:hAnsi="仿宋" w:eastAsia="仿宋" w:cs="仿宋"/>
          <w:sz w:val="24"/>
          <w:lang w:eastAsia="zh-CN"/>
        </w:rPr>
        <w:t>萧采云</w:t>
      </w:r>
      <w:r>
        <w:rPr>
          <w:rFonts w:hint="eastAsia" w:ascii="仿宋" w:hAnsi="仿宋" w:eastAsia="仿宋" w:cs="仿宋"/>
          <w:sz w:val="24"/>
        </w:rPr>
        <w:t>（https://www.zcygov.cn/），点击右侧咨询小采，获取采小蜜智能服务管家帮助，或拨打</w:t>
      </w:r>
      <w:r>
        <w:rPr>
          <w:rFonts w:hint="eastAsia" w:ascii="仿宋" w:hAnsi="仿宋" w:eastAsia="仿宋" w:cs="仿宋"/>
          <w:sz w:val="24"/>
          <w:lang w:eastAsia="zh-CN"/>
        </w:rPr>
        <w:t>萧采云</w:t>
      </w:r>
      <w:r>
        <w:rPr>
          <w:rFonts w:hint="eastAsia" w:ascii="仿宋" w:hAnsi="仿宋" w:eastAsia="仿宋" w:cs="仿宋"/>
          <w:sz w:val="24"/>
        </w:rPr>
        <w:t>服务热线95763获取热线服务帮助。</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left"/>
        <w:rPr>
          <w:rFonts w:hint="eastAsia"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 xml:space="preserve">  </w:t>
            </w:r>
            <w:r>
              <w:rPr>
                <w:rFonts w:hint="eastAsia" w:ascii="仿宋" w:hAnsi="仿宋" w:eastAsia="仿宋" w:cs="仿宋"/>
                <w:sz w:val="24"/>
                <w:szCs w:val="24"/>
              </w:rPr>
              <w:t>）A货物类。</w:t>
            </w:r>
          </w:p>
          <w:p>
            <w:pPr>
              <w:spacing w:line="360" w:lineRule="auto"/>
              <w:rPr>
                <w:rFonts w:hint="eastAsia" w:ascii="仿宋" w:hAnsi="仿宋" w:eastAsia="仿宋" w:cs="仿宋"/>
                <w:sz w:val="24"/>
                <w:szCs w:val="24"/>
              </w:rPr>
            </w:pPr>
            <w:r>
              <w:rPr>
                <w:rFonts w:hint="eastAsia" w:ascii="仿宋" w:hAnsi="仿宋" w:eastAsia="仿宋" w:cs="仿宋"/>
                <w:sz w:val="24"/>
                <w:szCs w:val="24"/>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szCs w:val="24"/>
                <w:highlight w:val="none"/>
              </w:rPr>
            </w:pPr>
            <w:sdt>
              <w:sdtPr>
                <w:rPr>
                  <w:rFonts w:hint="eastAsia" w:ascii="仿宋" w:hAnsi="仿宋" w:eastAsia="仿宋" w:cs="仿宋"/>
                  <w:kern w:val="0"/>
                  <w:sz w:val="24"/>
                  <w:szCs w:val="24"/>
                  <w:highlight w:val="none"/>
                </w:rPr>
                <w:id w:val="11"/>
                <w14:checkbox>
                  <w14:checked w14:val="1"/>
                  <w14:checkedState w14:val="00FE" w14:font="Wingdings"/>
                  <w14:uncheckedState w14:val="2610" w14:font="MS Gothic"/>
                </w14:checkbox>
              </w:sdtPr>
              <w:sdtEndPr>
                <w:rPr>
                  <w:rFonts w:hint="eastAsia" w:ascii="仿宋" w:hAnsi="仿宋" w:eastAsia="仿宋" w:cs="仿宋"/>
                  <w:kern w:val="0"/>
                  <w:sz w:val="24"/>
                  <w:szCs w:val="24"/>
                  <w:highlight w:val="none"/>
                </w:rPr>
              </w:sdtEndPr>
              <w:sdtContent>
                <w:r>
                  <w:rPr>
                    <w:rFonts w:hint="eastAsia" w:ascii="仿宋" w:hAnsi="仿宋" w:eastAsia="仿宋" w:cs="仿宋"/>
                    <w:kern w:val="0"/>
                    <w:sz w:val="24"/>
                    <w:szCs w:val="24"/>
                    <w:highlight w:val="none"/>
                  </w:rPr>
                  <w:sym w:font="Wingdings" w:char="F0FE"/>
                </w:r>
              </w:sdtContent>
            </w:sdt>
            <w:r>
              <w:rPr>
                <w:rFonts w:hint="eastAsia" w:ascii="仿宋" w:hAnsi="仿宋" w:eastAsia="仿宋" w:cs="仿宋"/>
                <w:kern w:val="0"/>
                <w:sz w:val="24"/>
                <w:szCs w:val="24"/>
                <w:highlight w:val="none"/>
              </w:rPr>
              <w:t>本项目不允许采购进口产品。</w:t>
            </w:r>
          </w:p>
          <w:p>
            <w:pPr>
              <w:spacing w:line="360" w:lineRule="auto"/>
              <w:rPr>
                <w:rFonts w:hint="eastAsia" w:ascii="仿宋" w:hAnsi="仿宋" w:eastAsia="仿宋" w:cs="仿宋"/>
                <w:kern w:val="0"/>
                <w:sz w:val="24"/>
                <w:szCs w:val="24"/>
                <w:highlight w:val="none"/>
                <w:lang w:eastAsia="zh-CN"/>
              </w:rPr>
            </w:pPr>
            <w:sdt>
              <w:sdtPr>
                <w:rPr>
                  <w:rFonts w:hint="eastAsia" w:ascii="仿宋" w:hAnsi="仿宋" w:eastAsia="仿宋" w:cs="仿宋"/>
                  <w:kern w:val="0"/>
                  <w:sz w:val="24"/>
                  <w:szCs w:val="24"/>
                  <w:highlight w:val="none"/>
                </w:rPr>
                <w:id w:val="12"/>
                <w14:checkbox>
                  <w14:checked w14:val="0"/>
                  <w14:checkedState w14:val="00FE" w14:font="Wingdings"/>
                  <w14:uncheckedState w14:val="2610" w14:font="MS Gothic"/>
                </w14:checkbox>
              </w:sdtPr>
              <w:sdtEndPr>
                <w:rPr>
                  <w:rFonts w:hint="eastAsia" w:ascii="仿宋" w:hAnsi="仿宋" w:eastAsia="仿宋" w:cs="仿宋"/>
                  <w:kern w:val="0"/>
                  <w:sz w:val="24"/>
                  <w:szCs w:val="24"/>
                  <w:highlight w:val="none"/>
                </w:rPr>
              </w:sdtEndPr>
              <w:sdtContent>
                <w:r>
                  <w:rPr>
                    <w:rFonts w:hint="eastAsia" w:ascii="仿宋" w:hAnsi="仿宋" w:eastAsia="仿宋" w:cs="仿宋"/>
                    <w:kern w:val="0"/>
                    <w:sz w:val="24"/>
                    <w:szCs w:val="24"/>
                    <w:highlight w:val="none"/>
                  </w:rPr>
                  <w:t>☐</w:t>
                </w:r>
              </w:sdtContent>
            </w:sdt>
            <w:r>
              <w:rPr>
                <w:rFonts w:hint="eastAsia" w:ascii="仿宋" w:hAnsi="仿宋" w:eastAsia="仿宋" w:cs="仿宋"/>
                <w:kern w:val="0"/>
                <w:sz w:val="24"/>
                <w:szCs w:val="24"/>
                <w:highlight w:val="none"/>
              </w:rPr>
              <w:t>可以就</w:t>
            </w:r>
            <w:r>
              <w:rPr>
                <w:rFonts w:hint="eastAsia"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采购进口产品。</w:t>
            </w:r>
          </w:p>
          <w:p>
            <w:pPr>
              <w:spacing w:line="360" w:lineRule="auto"/>
              <w:rPr>
                <w:rFonts w:hint="eastAsia" w:ascii="仿宋" w:hAnsi="仿宋" w:eastAsia="仿宋" w:cs="仿宋"/>
                <w:sz w:val="24"/>
                <w:szCs w:val="24"/>
                <w:highlight w:val="none"/>
              </w:rPr>
            </w:pPr>
            <w:r>
              <w:rPr>
                <w:rFonts w:hint="eastAsia" w:ascii="仿宋" w:hAnsi="仿宋" w:eastAsia="仿宋" w:cs="仿宋"/>
                <w:color w:val="auto"/>
                <w:kern w:val="0"/>
                <w:sz w:val="24"/>
                <w:szCs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szCs w:val="24"/>
                <w:highlight w:val="none"/>
                <w:u w:val="single"/>
              </w:rPr>
              <w:t>评分标准</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sdt>
              <w:sdtPr>
                <w:rPr>
                  <w:rFonts w:hint="eastAsia" w:ascii="仿宋" w:hAnsi="仿宋" w:eastAsia="仿宋" w:cs="仿宋"/>
                  <w:kern w:val="0"/>
                  <w:sz w:val="24"/>
                  <w:szCs w:val="24"/>
                </w:rPr>
                <w:id w:val="13"/>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lang w:val="en-US" w:eastAsia="zh-CN" w:bidi="ar-SA"/>
                  </w:rPr>
                  <w:t>☐</w:t>
                </w:r>
              </w:sdtContent>
            </w:sdt>
            <w:r>
              <w:rPr>
                <w:rFonts w:hint="eastAsia" w:ascii="仿宋" w:hAnsi="仿宋" w:eastAsia="仿宋" w:cs="仿宋"/>
                <w:kern w:val="0"/>
                <w:sz w:val="24"/>
                <w:szCs w:val="24"/>
              </w:rPr>
              <w:t xml:space="preserve"> A</w:t>
            </w:r>
            <w:r>
              <w:rPr>
                <w:rFonts w:hint="eastAsia" w:ascii="仿宋" w:hAnsi="仿宋" w:eastAsia="仿宋" w:cs="仿宋"/>
                <w:sz w:val="24"/>
                <w:szCs w:val="24"/>
              </w:rPr>
              <w:t>同意将非</w:t>
            </w:r>
            <w:r>
              <w:rPr>
                <w:rFonts w:hint="eastAsia" w:ascii="仿宋" w:hAnsi="仿宋" w:eastAsia="仿宋" w:cs="仿宋"/>
                <w:color w:val="auto"/>
                <w:sz w:val="24"/>
                <w:szCs w:val="24"/>
              </w:rPr>
              <w:t>主体、非关键性的工作分包。</w:t>
            </w:r>
          </w:p>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4"/>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 xml:space="preserve"> B</w:t>
            </w:r>
            <w:r>
              <w:rPr>
                <w:rFonts w:hint="eastAsia" w:ascii="仿宋" w:hAnsi="仿宋" w:eastAsia="仿宋" w:cs="仿宋"/>
                <w:sz w:val="24"/>
                <w:szCs w:val="24"/>
              </w:rPr>
              <w:t>不同意分包。</w:t>
            </w:r>
          </w:p>
          <w:p>
            <w:pPr>
              <w:spacing w:line="360" w:lineRule="auto"/>
              <w:rPr>
                <w:rFonts w:hint="eastAsia" w:ascii="仿宋" w:hAnsi="仿宋" w:eastAsia="仿宋" w:cs="仿宋"/>
                <w:sz w:val="24"/>
                <w:szCs w:val="24"/>
              </w:rPr>
            </w:pPr>
            <w:r>
              <w:rPr>
                <w:rFonts w:hint="eastAsia" w:ascii="仿宋" w:hAnsi="仿宋" w:eastAsia="仿宋" w:cs="仿宋"/>
                <w:sz w:val="24"/>
                <w:szCs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5"/>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6"/>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B组织，</w:t>
            </w:r>
            <w:r>
              <w:rPr>
                <w:rFonts w:hint="eastAsia" w:ascii="仿宋" w:hAnsi="仿宋" w:eastAsia="仿宋" w:cs="仿宋"/>
                <w:sz w:val="24"/>
                <w:szCs w:val="24"/>
              </w:rPr>
              <w:t>时间：</w:t>
            </w:r>
            <w:r>
              <w:rPr>
                <w:rFonts w:hint="eastAsia" w:ascii="仿宋" w:hAnsi="仿宋" w:eastAsia="仿宋" w:cs="仿宋"/>
                <w:sz w:val="24"/>
                <w:szCs w:val="24"/>
                <w:u w:val="single"/>
              </w:rPr>
              <w:t xml:space="preserve">      </w:t>
            </w:r>
            <w:r>
              <w:rPr>
                <w:rFonts w:hint="eastAsia" w:ascii="仿宋" w:hAnsi="仿宋" w:eastAsia="仿宋" w:cs="仿宋"/>
                <w:sz w:val="24"/>
                <w:szCs w:val="24"/>
              </w:rPr>
              <w:t>,地点：</w:t>
            </w:r>
            <w:r>
              <w:rPr>
                <w:rFonts w:hint="eastAsia" w:ascii="仿宋" w:hAnsi="仿宋" w:eastAsia="仿宋" w:cs="仿宋"/>
                <w:sz w:val="24"/>
                <w:szCs w:val="24"/>
                <w:u w:val="single"/>
              </w:rPr>
              <w:t xml:space="preserve">      </w:t>
            </w: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，联系方式：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7"/>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A</w:t>
            </w:r>
            <w:r>
              <w:rPr>
                <w:rFonts w:hint="eastAsia" w:ascii="仿宋" w:hAnsi="仿宋" w:eastAsia="仿宋" w:cs="仿宋"/>
                <w:sz w:val="24"/>
                <w:szCs w:val="24"/>
              </w:rPr>
              <w:t>不要求提供。</w:t>
            </w:r>
          </w:p>
          <w:p>
            <w:pPr>
              <w:spacing w:line="360" w:lineRule="auto"/>
              <w:rPr>
                <w:rFonts w:hint="eastAsia" w:ascii="仿宋" w:hAnsi="仿宋" w:eastAsia="仿宋" w:cs="仿宋"/>
                <w:kern w:val="0"/>
                <w:sz w:val="24"/>
                <w:szCs w:val="24"/>
              </w:rPr>
            </w:pPr>
            <w:sdt>
              <w:sdtPr>
                <w:rPr>
                  <w:rFonts w:hint="eastAsia" w:ascii="仿宋" w:hAnsi="仿宋" w:eastAsia="仿宋" w:cs="仿宋"/>
                  <w:kern w:val="0"/>
                  <w:sz w:val="24"/>
                  <w:szCs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B要求提供，</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snapToGrid w:val="0"/>
                <w:kern w:val="28"/>
                <w:sz w:val="24"/>
                <w:szCs w:val="24"/>
              </w:rPr>
              <w:t>样品：</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snapToGrid w:val="0"/>
                <w:kern w:val="28"/>
                <w:sz w:val="24"/>
                <w:szCs w:val="24"/>
              </w:rPr>
              <w:t>样品制作的标准和要求：</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lang w:eastAsia="zh-CN"/>
              </w:rPr>
            </w:pPr>
            <w:r>
              <w:rPr>
                <w:rFonts w:hint="eastAsia" w:ascii="仿宋" w:hAnsi="仿宋" w:eastAsia="仿宋" w:cs="仿宋"/>
                <w:kern w:val="0"/>
                <w:sz w:val="24"/>
                <w:szCs w:val="24"/>
              </w:rPr>
              <w:t>（3）样品的评审方法以及评审标准</w:t>
            </w:r>
            <w:r>
              <w:rPr>
                <w:rFonts w:hint="eastAsia" w:ascii="仿宋" w:hAnsi="仿宋" w:eastAsia="仿宋" w:cs="仿宋"/>
                <w:snapToGrid w:val="0"/>
                <w:kern w:val="28"/>
                <w:sz w:val="24"/>
                <w:szCs w:val="24"/>
              </w:rPr>
              <w:t>：详见</w:t>
            </w:r>
            <w:r>
              <w:rPr>
                <w:rFonts w:hint="eastAsia" w:ascii="仿宋" w:hAnsi="仿宋" w:eastAsia="仿宋" w:cs="仿宋"/>
                <w:sz w:val="24"/>
                <w:szCs w:val="24"/>
                <w:u w:val="single"/>
              </w:rPr>
              <w:t>评标办法</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☐样品分未超过价格分的50%；</w:t>
            </w:r>
          </w:p>
          <w:p>
            <w:pPr>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☐样品分超过价格分的50%，理由</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w:t>
            </w:r>
          </w:p>
          <w:p>
            <w:pPr>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详见招标文件第四部分评标办分法。 </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（4）是否需要随样品提交检测报告：</w:t>
            </w:r>
            <w:sdt>
              <w:sdtPr>
                <w:rPr>
                  <w:rFonts w:hint="eastAsia" w:ascii="仿宋" w:hAnsi="仿宋" w:eastAsia="仿宋" w:cs="仿宋"/>
                  <w:kern w:val="0"/>
                  <w:sz w:val="24"/>
                  <w:szCs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否；</w:t>
            </w:r>
            <w:sdt>
              <w:sdtPr>
                <w:rPr>
                  <w:rFonts w:hint="eastAsia" w:ascii="仿宋" w:hAnsi="仿宋" w:eastAsia="仿宋" w:cs="仿宋"/>
                  <w:kern w:val="0"/>
                  <w:sz w:val="24"/>
                  <w:szCs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lang w:val="en-US" w:eastAsia="zh-CN" w:bidi="ar-SA"/>
                  </w:rPr>
                  <w:t>☐</w:t>
                </w:r>
              </w:sdtContent>
            </w:sdt>
            <w:r>
              <w:rPr>
                <w:rFonts w:hint="eastAsia" w:ascii="仿宋" w:hAnsi="仿宋" w:eastAsia="仿宋" w:cs="仿宋"/>
                <w:kern w:val="0"/>
                <w:sz w:val="24"/>
                <w:szCs w:val="24"/>
              </w:rPr>
              <w:t>是，检测机构的要求</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；检测内容</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（5）提供样品的时间：</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；地点：</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；联系人</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kern w:val="28"/>
                <w:sz w:val="24"/>
                <w:szCs w:val="24"/>
              </w:rPr>
              <w:t>联系电话：</w:t>
            </w:r>
            <w:r>
              <w:rPr>
                <w:rFonts w:hint="eastAsia" w:ascii="仿宋" w:hAnsi="仿宋" w:eastAsia="仿宋" w:cs="仿宋"/>
                <w:sz w:val="24"/>
                <w:szCs w:val="24"/>
                <w:u w:val="single"/>
              </w:rPr>
              <w:t xml:space="preserve">    </w:t>
            </w:r>
            <w:r>
              <w:rPr>
                <w:rFonts w:hint="eastAsia" w:ascii="仿宋" w:hAnsi="仿宋" w:eastAsia="仿宋" w:cs="仿宋"/>
                <w:sz w:val="24"/>
                <w:szCs w:val="24"/>
              </w:rPr>
              <w:t>。请投标人在上述时间内提供样品</w:t>
            </w:r>
            <w:r>
              <w:rPr>
                <w:rFonts w:hint="eastAsia" w:ascii="仿宋" w:hAnsi="仿宋" w:eastAsia="仿宋" w:cs="仿宋"/>
                <w:sz w:val="24"/>
                <w:szCs w:val="24"/>
                <w:highlight w:val="none"/>
                <w:lang w:eastAsia="zh-CN"/>
              </w:rPr>
              <w:t>，</w:t>
            </w:r>
            <w:r>
              <w:rPr>
                <w:rFonts w:hint="eastAsia" w:ascii="仿宋" w:hAnsi="仿宋" w:eastAsia="仿宋" w:cs="仿宋"/>
                <w:bCs/>
                <w:sz w:val="24"/>
                <w:szCs w:val="24"/>
                <w:highlight w:val="none"/>
              </w:rPr>
              <w:t>样品递交人须提供投标人的授权书（见附件格式，法人代表请携带身份证复件及营业执照复印件</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rPr>
              <w:t>身份证</w:t>
            </w:r>
            <w:r>
              <w:rPr>
                <w:rFonts w:hint="eastAsia" w:ascii="仿宋" w:hAnsi="仿宋" w:eastAsia="仿宋" w:cs="仿宋"/>
                <w:bCs/>
                <w:sz w:val="24"/>
                <w:szCs w:val="24"/>
                <w:highlight w:val="none"/>
                <w:lang w:val="en-US" w:eastAsia="zh-CN"/>
              </w:rPr>
              <w:t>明</w:t>
            </w:r>
            <w:r>
              <w:rPr>
                <w:rFonts w:hint="eastAsia" w:ascii="仿宋" w:hAnsi="仿宋" w:eastAsia="仿宋" w:cs="仿宋"/>
                <w:bCs/>
                <w:sz w:val="24"/>
                <w:szCs w:val="24"/>
                <w:highlight w:val="none"/>
              </w:rPr>
              <w:t>。</w:t>
            </w:r>
            <w:r>
              <w:rPr>
                <w:rFonts w:hint="eastAsia" w:ascii="仿宋" w:hAnsi="仿宋" w:eastAsia="仿宋" w:cs="仿宋"/>
                <w:sz w:val="24"/>
                <w:szCs w:val="24"/>
                <w:highlight w:val="none"/>
              </w:rPr>
              <w:t>超</w:t>
            </w:r>
            <w:r>
              <w:rPr>
                <w:rFonts w:hint="eastAsia" w:ascii="仿宋" w:hAnsi="仿宋" w:eastAsia="仿宋" w:cs="仿宋"/>
                <w:sz w:val="24"/>
                <w:szCs w:val="24"/>
              </w:rPr>
              <w:t>过截止时间的，采购人或采购代理机构将不予接收，并将清场并封闭样品现场。</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(6)采购活动结束后，对于未中标人提供的样品，采购人、</w:t>
            </w:r>
            <w:r>
              <w:rPr>
                <w:rFonts w:hint="eastAsia" w:ascii="仿宋" w:hAnsi="仿宋" w:eastAsia="仿宋" w:cs="仿宋"/>
                <w:sz w:val="24"/>
                <w:szCs w:val="24"/>
                <w:lang w:eastAsia="zh-CN"/>
              </w:rPr>
              <w:t>采购代理机构</w:t>
            </w:r>
            <w:r>
              <w:rPr>
                <w:rFonts w:hint="eastAsia" w:ascii="仿宋" w:hAnsi="仿宋" w:eastAsia="仿宋" w:cs="仿宋"/>
                <w:sz w:val="24"/>
                <w:szCs w:val="24"/>
              </w:rPr>
              <w:t>将通知未中标人在规定的时间内取回，逾期未取回的，采购人、</w:t>
            </w:r>
            <w:r>
              <w:rPr>
                <w:rFonts w:hint="eastAsia" w:ascii="仿宋" w:hAnsi="仿宋" w:eastAsia="仿宋" w:cs="仿宋"/>
                <w:sz w:val="24"/>
                <w:szCs w:val="24"/>
                <w:lang w:eastAsia="zh-CN"/>
              </w:rPr>
              <w:t>采购代理机构</w:t>
            </w:r>
            <w:r>
              <w:rPr>
                <w:rFonts w:hint="eastAsia" w:ascii="仿宋" w:hAnsi="仿宋" w:eastAsia="仿宋" w:cs="仿宋"/>
                <w:sz w:val="24"/>
                <w:szCs w:val="24"/>
              </w:rPr>
              <w:t>不负保管义务；对于中标人提供的样品，采购人将进行保管、封存，并作为履约验收的参考。</w:t>
            </w:r>
          </w:p>
          <w:p>
            <w:pPr>
              <w:spacing w:line="360" w:lineRule="auto"/>
              <w:rPr>
                <w:rFonts w:hint="eastAsia" w:ascii="仿宋" w:hAnsi="仿宋" w:eastAsia="仿宋" w:cs="仿宋"/>
                <w:sz w:val="24"/>
                <w:szCs w:val="24"/>
              </w:rPr>
            </w:pPr>
            <w:r>
              <w:rPr>
                <w:rFonts w:hint="eastAsia" w:ascii="仿宋" w:hAnsi="仿宋" w:eastAsia="仿宋" w:cs="仿宋"/>
                <w:sz w:val="24"/>
                <w:szCs w:val="24"/>
              </w:rPr>
              <w:t>（7）制作、运输、安装和保管样品所发生的一切费用由投标人自理。</w:t>
            </w:r>
          </w:p>
          <w:p>
            <w:pPr>
              <w:pStyle w:val="3"/>
              <w:rPr>
                <w:rFonts w:hint="eastAsia" w:ascii="仿宋" w:hAnsi="仿宋" w:eastAsia="仿宋" w:cs="仿宋"/>
                <w:sz w:val="24"/>
                <w:szCs w:val="24"/>
              </w:rPr>
            </w:pPr>
            <w:r>
              <w:rPr>
                <w:rFonts w:hint="eastAsia" w:ascii="仿宋" w:hAnsi="仿宋" w:eastAsia="仿宋" w:cs="仿宋"/>
                <w:b w:val="0"/>
                <w:bCs w:val="0"/>
                <w:kern w:val="2"/>
                <w:sz w:val="24"/>
                <w:szCs w:val="24"/>
                <w:lang w:eastAsia="zh-CN" w:bidi="ar-SA"/>
              </w:rPr>
              <w:t>（8）</w:t>
            </w:r>
            <w:r>
              <w:rPr>
                <w:rFonts w:hint="eastAsia" w:ascii="仿宋" w:hAnsi="仿宋" w:eastAsia="仿宋" w:cs="仿宋"/>
                <w:b w:val="0"/>
                <w:bCs w:val="0"/>
                <w:kern w:val="2"/>
                <w:sz w:val="24"/>
                <w:szCs w:val="24"/>
                <w:lang w:val="en-US" w:eastAsia="zh-CN" w:bidi="ar-SA"/>
              </w:rPr>
              <w:t>未提供样品或提供样品不满足采购需求实质性条件（“▲” 系指实质性要求）的供应商，投标无效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szCs w:val="24"/>
              </w:rPr>
            </w:pPr>
            <w:r>
              <w:rPr>
                <w:rFonts w:hint="eastAsia" w:ascii="仿宋" w:hAnsi="仿宋" w:eastAsia="仿宋" w:cs="仿宋"/>
                <w:b/>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21"/>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hint="eastAsia" w:ascii="仿宋" w:hAnsi="仿宋" w:eastAsia="仿宋" w:cs="仿宋"/>
                <w:kern w:val="0"/>
                <w:sz w:val="24"/>
                <w:szCs w:val="24"/>
              </w:rPr>
            </w:pPr>
            <w:sdt>
              <w:sdtPr>
                <w:rPr>
                  <w:rFonts w:hint="eastAsia" w:ascii="仿宋" w:hAnsi="仿宋" w:eastAsia="仿宋" w:cs="仿宋"/>
                  <w:kern w:val="0"/>
                  <w:sz w:val="24"/>
                  <w:szCs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B组织。</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（1）在评标时安排每个投标人进行方案讲解演示。每个投标人时间不超过</w:t>
            </w:r>
            <w:r>
              <w:rPr>
                <w:rFonts w:hint="eastAsia" w:ascii="仿宋" w:hAnsi="仿宋" w:eastAsia="仿宋" w:cs="仿宋"/>
                <w:kern w:val="0"/>
                <w:sz w:val="24"/>
                <w:szCs w:val="24"/>
                <w:u w:val="single"/>
              </w:rPr>
              <w:t>20</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lang w:val="en-US" w:eastAsia="zh-CN"/>
              </w:rPr>
              <w:t>编制时可根据项目情况进行调整</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rPr>
              <w:t>分钟，讲解次序以投标文件解密时间先后次序为准，讲解演示人员不超过</w:t>
            </w:r>
            <w:r>
              <w:rPr>
                <w:rFonts w:hint="eastAsia" w:ascii="仿宋" w:hAnsi="仿宋" w:eastAsia="仿宋" w:cs="仿宋"/>
                <w:kern w:val="0"/>
                <w:sz w:val="24"/>
                <w:szCs w:val="24"/>
                <w:u w:val="single"/>
              </w:rPr>
              <w:t>3</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lang w:val="en-US" w:eastAsia="zh-CN"/>
              </w:rPr>
              <w:t>编制时可根据项目情况进行调整</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rPr>
              <w:t>人。讲解演示结束后按要求解答评标委员会提问。</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（2）方案讲解演示可选择以下其中一种方式：</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方式一：</w:t>
            </w:r>
            <w:r>
              <w:rPr>
                <w:rFonts w:hint="eastAsia" w:ascii="仿宋" w:hAnsi="仿宋" w:eastAsia="仿宋" w:cs="仿宋"/>
                <w:kern w:val="0"/>
                <w:sz w:val="24"/>
                <w:szCs w:val="24"/>
                <w:lang w:eastAsia="zh-CN"/>
              </w:rPr>
              <w:t>萧采云平台</w:t>
            </w:r>
            <w:r>
              <w:rPr>
                <w:rFonts w:hint="eastAsia" w:ascii="仿宋" w:hAnsi="仿宋" w:eastAsia="仿宋" w:cs="仿宋"/>
                <w:kern w:val="0"/>
                <w:sz w:val="24"/>
                <w:szCs w:val="24"/>
              </w:rPr>
              <w:t>在线讲解演示。</w:t>
            </w:r>
            <w:r>
              <w:rPr>
                <w:rFonts w:hint="eastAsia" w:ascii="仿宋" w:hAnsi="仿宋" w:eastAsia="仿宋" w:cs="仿宋"/>
                <w:kern w:val="0"/>
                <w:sz w:val="24"/>
                <w:szCs w:val="24"/>
                <w:lang w:eastAsia="zh-CN"/>
              </w:rPr>
              <w:t>萧采云平台</w:t>
            </w:r>
            <w:r>
              <w:rPr>
                <w:rFonts w:hint="eastAsia" w:ascii="仿宋" w:hAnsi="仿宋" w:eastAsia="仿宋" w:cs="仿宋"/>
                <w:kern w:val="0"/>
                <w:sz w:val="24"/>
                <w:szCs w:val="24"/>
              </w:rPr>
              <w:t>在线讲解需投标人根据</w:t>
            </w:r>
            <w:r>
              <w:rPr>
                <w:rFonts w:hint="eastAsia" w:ascii="仿宋" w:hAnsi="仿宋" w:eastAsia="仿宋" w:cs="仿宋"/>
                <w:kern w:val="0"/>
                <w:sz w:val="24"/>
                <w:szCs w:val="24"/>
                <w:lang w:eastAsia="zh-CN"/>
              </w:rPr>
              <w:t>萧采云平台</w:t>
            </w:r>
            <w:r>
              <w:rPr>
                <w:rFonts w:hint="eastAsia" w:ascii="仿宋" w:hAnsi="仿宋" w:eastAsia="仿宋" w:cs="仿宋"/>
                <w:kern w:val="0"/>
                <w:sz w:val="24"/>
                <w:szCs w:val="24"/>
              </w:rPr>
              <w:t>操作要求做好准备工作，提前完善软硬件配置环境。</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方式二：交易中心现场讲解演示。现场讲解地点为       ，讲解演示所用电脑等设备由投标人自备。现场讲解演示人员进场时提供讲解人员名单（加盖公章）及身份证明</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法人代表请携带身份证复件及营业执照复印件），否则不得讲解演示。</w:t>
            </w:r>
          </w:p>
          <w:p>
            <w:pPr>
              <w:snapToGrid w:val="0"/>
              <w:spacing w:line="360" w:lineRule="auto"/>
              <w:rPr>
                <w:rFonts w:hint="eastAsia" w:ascii="仿宋" w:hAnsi="仿宋" w:eastAsia="仿宋" w:cs="仿宋"/>
                <w:b/>
                <w:kern w:val="0"/>
                <w:sz w:val="24"/>
                <w:szCs w:val="24"/>
                <w:lang w:val="zh-CN"/>
              </w:rPr>
            </w:pPr>
            <w:r>
              <w:rPr>
                <w:rFonts w:hint="eastAsia" w:ascii="仿宋" w:hAnsi="仿宋" w:eastAsia="仿宋" w:cs="仿宋"/>
                <w:kern w:val="0"/>
                <w:sz w:val="24"/>
                <w:szCs w:val="24"/>
              </w:rPr>
              <w:t>注：因投标人自身原因导致无法演示或者演示效果不理想的，责任自负。因平台原因导致本项目方案讲解演示环节无法顺利开展，按照《浙江省采购项目电子交易管理暂行办法》相关规定执行。</w:t>
            </w:r>
            <w:r>
              <w:rPr>
                <w:rFonts w:hint="eastAsia" w:ascii="仿宋" w:hAnsi="仿宋" w:eastAsia="仿宋" w:cs="仿宋"/>
                <w:bCs/>
                <w:sz w:val="24"/>
                <w:szCs w:val="24"/>
                <w:highlight w:val="none"/>
                <w:lang w:val="en-US" w:eastAsia="zh-CN"/>
              </w:rPr>
              <w:t>演示人员</w:t>
            </w:r>
            <w:r>
              <w:rPr>
                <w:rFonts w:hint="eastAsia" w:ascii="仿宋" w:hAnsi="仿宋" w:eastAsia="仿宋" w:cs="仿宋"/>
                <w:bCs/>
                <w:sz w:val="24"/>
                <w:szCs w:val="24"/>
                <w:highlight w:val="none"/>
              </w:rPr>
              <w:t>须提供投标人的授权书（见附件格式，法人代表请携带身份证复件及营业执照复印件</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rPr>
              <w:t>身份证</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复印件</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（1）资格证明文件：见招标文件第二部分11.1。</w:t>
            </w:r>
          </w:p>
          <w:p>
            <w:pPr>
              <w:spacing w:line="360" w:lineRule="auto"/>
              <w:rPr>
                <w:rFonts w:hint="eastAsia" w:ascii="仿宋" w:hAnsi="仿宋" w:eastAsia="仿宋" w:cs="仿宋"/>
                <w:snapToGrid w:val="0"/>
                <w:kern w:val="0"/>
                <w:sz w:val="24"/>
                <w:szCs w:val="24"/>
              </w:rPr>
            </w:pPr>
            <w:r>
              <w:rPr>
                <w:rFonts w:hint="eastAsia" w:ascii="仿宋" w:hAnsi="仿宋" w:eastAsia="仿宋" w:cs="仿宋"/>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both"/>
              <w:rPr>
                <w:rFonts w:hint="eastAsia" w:ascii="仿宋" w:hAnsi="仿宋" w:eastAsia="仿宋" w:cs="仿宋"/>
                <w:sz w:val="24"/>
                <w:szCs w:val="24"/>
              </w:rPr>
            </w:pPr>
          </w:p>
          <w:p>
            <w:pPr>
              <w:snapToGrid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szCs w:val="24"/>
                <w:lang w:val="zh-CN"/>
              </w:rPr>
            </w:pPr>
            <w:r>
              <w:rPr>
                <w:rFonts w:hint="eastAsia" w:ascii="仿宋" w:hAnsi="仿宋" w:eastAsia="仿宋" w:cs="仿宋"/>
                <w:kern w:val="0"/>
                <w:sz w:val="24"/>
                <w:szCs w:val="24"/>
                <w:lang w:val="zh-CN"/>
              </w:rPr>
              <w:t>有关本项目实施所需的所有费用（含税费）均计入报价。</w:t>
            </w:r>
            <w:r>
              <w:rPr>
                <w:rFonts w:hint="eastAsia" w:ascii="仿宋" w:hAnsi="仿宋" w:eastAsia="仿宋" w:cs="仿宋"/>
                <w:b/>
                <w:bCs/>
                <w:kern w:val="0"/>
                <w:sz w:val="24"/>
                <w:szCs w:val="24"/>
                <w:lang w:val="zh-CN"/>
              </w:rPr>
              <w:t>投标文件</w:t>
            </w:r>
            <w:r>
              <w:rPr>
                <w:rFonts w:hint="eastAsia" w:ascii="仿宋" w:hAnsi="仿宋" w:eastAsia="仿宋" w:cs="仿宋"/>
                <w:b/>
                <w:bCs/>
                <w:sz w:val="24"/>
                <w:szCs w:val="24"/>
              </w:rPr>
              <w:t>开标一览表（报价表）是报价的唯一载体，如投标人在采购云平台填写的投标报价与投标文件报价文件中开标一览表（报价表）不一致的，以报价文件中开标一览表（报价表）为准。</w:t>
            </w:r>
            <w:r>
              <w:rPr>
                <w:rFonts w:hint="eastAsia" w:ascii="仿宋" w:hAnsi="仿宋" w:eastAsia="仿宋" w:cs="仿宋"/>
                <w:kern w:val="0"/>
                <w:sz w:val="24"/>
                <w:szCs w:val="24"/>
                <w:lang w:val="zh-CN"/>
              </w:rPr>
              <w:t>投标文件中价格全部采用人民币报价。招标文件未列明，而投标人认为必需的费用也需列入报价。</w:t>
            </w:r>
            <w:r>
              <w:rPr>
                <w:rFonts w:hint="eastAsia" w:ascii="仿宋" w:hAnsi="仿宋" w:eastAsia="仿宋" w:cs="仿宋"/>
                <w:b/>
                <w:kern w:val="0"/>
                <w:sz w:val="24"/>
                <w:szCs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szCs w:val="24"/>
                <w:lang w:val="zh-CN"/>
              </w:rPr>
            </w:pPr>
            <w:r>
              <w:rPr>
                <w:rFonts w:hint="eastAsia" w:ascii="仿宋" w:hAnsi="仿宋" w:eastAsia="仿宋" w:cs="仿宋"/>
                <w:b/>
                <w:kern w:val="0"/>
                <w:sz w:val="24"/>
                <w:szCs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szCs w:val="24"/>
              </w:rPr>
            </w:pPr>
            <w:r>
              <w:rPr>
                <w:rFonts w:hint="eastAsia" w:ascii="仿宋" w:hAnsi="仿宋" w:eastAsia="仿宋" w:cs="仿宋"/>
                <w:b/>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4"/>
              </w:rPr>
              <w:t>;</w:t>
            </w:r>
          </w:p>
          <w:p>
            <w:pPr>
              <w:spacing w:line="360" w:lineRule="auto"/>
              <w:ind w:firstLine="241" w:firstLineChars="100"/>
              <w:rPr>
                <w:rFonts w:hint="eastAsia" w:ascii="仿宋" w:hAnsi="仿宋" w:eastAsia="仿宋" w:cs="仿宋"/>
                <w:sz w:val="24"/>
                <w:szCs w:val="24"/>
              </w:rPr>
            </w:pPr>
            <w:r>
              <w:rPr>
                <w:rFonts w:hint="eastAsia" w:ascii="仿宋" w:hAnsi="仿宋" w:eastAsia="仿宋" w:cs="仿宋"/>
                <w:b/>
                <w:kern w:val="0"/>
                <w:sz w:val="24"/>
                <w:szCs w:val="24"/>
              </w:rPr>
              <w:t>投标人对根据修正原则修正后的报价不确认的</w:t>
            </w:r>
            <w:r>
              <w:rPr>
                <w:rFonts w:hint="eastAsia" w:ascii="仿宋" w:hAnsi="仿宋" w:eastAsia="仿宋" w:cs="仿宋"/>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供应商中标后也可在“</w:t>
            </w:r>
            <w:r>
              <w:rPr>
                <w:rFonts w:hint="eastAsia" w:ascii="仿宋" w:hAnsi="仿宋" w:eastAsia="仿宋" w:cs="仿宋"/>
                <w:snapToGrid w:val="0"/>
                <w:kern w:val="28"/>
                <w:sz w:val="24"/>
                <w:szCs w:val="24"/>
                <w:lang w:eastAsia="zh-CN"/>
              </w:rPr>
              <w:t>萧采云</w:t>
            </w:r>
            <w:r>
              <w:rPr>
                <w:rFonts w:hint="eastAsia" w:ascii="仿宋" w:hAnsi="仿宋" w:eastAsia="仿宋" w:cs="仿宋"/>
                <w:snapToGrid w:val="0"/>
                <w:kern w:val="28"/>
                <w:sz w:val="24"/>
                <w:szCs w:val="24"/>
              </w:rPr>
              <w:t>”平台申请政采贷：操作路径：登录</w:t>
            </w:r>
            <w:r>
              <w:rPr>
                <w:rFonts w:hint="eastAsia" w:ascii="仿宋" w:hAnsi="仿宋" w:eastAsia="仿宋" w:cs="仿宋"/>
                <w:snapToGrid w:val="0"/>
                <w:kern w:val="28"/>
                <w:sz w:val="24"/>
                <w:szCs w:val="24"/>
                <w:lang w:eastAsia="zh-CN"/>
              </w:rPr>
              <w:t>萧采云平台</w:t>
            </w:r>
            <w:r>
              <w:rPr>
                <w:rFonts w:hint="eastAsia" w:ascii="仿宋" w:hAnsi="仿宋" w:eastAsia="仿宋" w:cs="仿宋"/>
                <w:snapToGrid w:val="0"/>
                <w:kern w:val="28"/>
                <w:sz w:val="24"/>
                <w:szCs w:val="24"/>
              </w:rPr>
              <w:t xml:space="preserve">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本项目支持《杭州市萧山区采购支持中小企业信用融资暂行办法》。</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napToGrid w:val="0"/>
                <w:kern w:val="28"/>
                <w:sz w:val="24"/>
                <w:szCs w:val="24"/>
              </w:rPr>
              <w:t>有融资需求的中标供应商可参照相关规定及银行方案凭采购合同向相关合作银行提出信用融资（贷款）申请。详见http://www.xiaoshan.gov.cn/art/2018/12/20/art_1229293109_1559514.html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 w:hAnsi="仿宋" w:eastAsia="仿宋" w:cs="仿宋"/>
                <w:kern w:val="28"/>
                <w:sz w:val="24"/>
                <w:szCs w:val="24"/>
                <w:lang w:eastAsia="zh-CN"/>
              </w:rPr>
            </w:pPr>
            <w:r>
              <w:rPr>
                <w:rFonts w:hint="eastAsia" w:ascii="仿宋" w:hAnsi="仿宋" w:eastAsia="仿宋" w:cs="仿宋"/>
                <w:kern w:val="28"/>
                <w:sz w:val="24"/>
                <w:szCs w:val="24"/>
                <w:highlight w:val="none"/>
                <w:lang w:val="en-US" w:eastAsia="zh-CN"/>
              </w:rPr>
              <w:t>本项目</w:t>
            </w:r>
            <w:r>
              <w:rPr>
                <w:rFonts w:hint="eastAsia" w:ascii="仿宋" w:hAnsi="仿宋" w:eastAsia="仿宋" w:cs="仿宋"/>
                <w:kern w:val="28"/>
                <w:sz w:val="24"/>
                <w:szCs w:val="24"/>
                <w:highlight w:val="none"/>
              </w:rPr>
              <w:t>备份文件是否收取：不收取</w:t>
            </w:r>
            <w:r>
              <w:rPr>
                <w:rFonts w:hint="eastAsia" w:ascii="仿宋" w:hAnsi="仿宋" w:eastAsia="仿宋" w:cs="仿宋"/>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default" w:ascii="仿宋" w:hAnsi="仿宋" w:eastAsia="仿宋" w:cs="仿宋"/>
                <w:kern w:val="28"/>
                <w:sz w:val="24"/>
                <w:szCs w:val="24"/>
                <w:highlight w:val="none"/>
                <w:lang w:val="en-US" w:eastAsia="zh-CN"/>
              </w:rPr>
            </w:pPr>
            <w:r>
              <w:rPr>
                <w:rFonts w:hint="eastAsia" w:ascii="仿宋" w:hAnsi="仿宋" w:eastAsia="仿宋" w:cs="仿宋"/>
                <w:bCs/>
                <w:sz w:val="24"/>
                <w:szCs w:val="24"/>
                <w:highlight w:val="none"/>
                <w:lang w:val="en-US" w:eastAsia="zh-Hans"/>
              </w:rPr>
              <w:t>采购人支付</w:t>
            </w:r>
            <w:r>
              <w:rPr>
                <w:rFonts w:hint="eastAsia" w:ascii="仿宋" w:hAnsi="仿宋" w:eastAsia="仿宋" w:cs="仿宋"/>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kern w:val="2"/>
                <w:sz w:val="24"/>
                <w:szCs w:val="24"/>
                <w:lang w:val="en-US" w:eastAsia="zh-CN" w:bidi="ar-SA"/>
              </w:rPr>
            </w:pPr>
            <w:r>
              <w:rPr>
                <w:rFonts w:hint="eastAsia" w:ascii="仿宋" w:hAnsi="仿宋" w:eastAsia="仿宋" w:cs="仿宋"/>
                <w:b/>
                <w:sz w:val="24"/>
                <w:szCs w:val="24"/>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本项目</w:t>
            </w:r>
            <w:r>
              <w:rPr>
                <w:rFonts w:hint="eastAsia" w:ascii="仿宋" w:hAnsi="仿宋" w:eastAsia="仿宋" w:cs="仿宋"/>
                <w:color w:val="auto"/>
                <w:sz w:val="24"/>
                <w:szCs w:val="24"/>
              </w:rPr>
              <w:t>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b/>
                <w:sz w:val="24"/>
                <w:szCs w:val="24"/>
              </w:rPr>
            </w:pPr>
            <w:r>
              <w:rPr>
                <w:rFonts w:hint="eastAsia" w:ascii="仿宋" w:hAnsi="仿宋" w:eastAsia="仿宋" w:cs="仿宋"/>
                <w:b/>
                <w:sz w:val="24"/>
                <w:szCs w:val="24"/>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采购人、采购机构质疑接收人、联系方式：详见公告</w:t>
            </w:r>
          </w:p>
          <w:p>
            <w:pPr>
              <w:snapToGrid w:val="0"/>
              <w:spacing w:after="0"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线上提交质疑方式：</w:t>
            </w:r>
            <w:r>
              <w:rPr>
                <w:rFonts w:hint="eastAsia" w:ascii="仿宋" w:hAnsi="仿宋" w:eastAsia="仿宋" w:cs="仿宋"/>
                <w:b/>
                <w:color w:val="000000"/>
                <w:sz w:val="24"/>
                <w:szCs w:val="24"/>
                <w:lang w:eastAsia="zh-CN"/>
              </w:rPr>
              <w:t>萧采云</w:t>
            </w:r>
            <w:r>
              <w:rPr>
                <w:rFonts w:hint="eastAsia" w:ascii="仿宋" w:hAnsi="仿宋" w:eastAsia="仿宋" w:cs="仿宋"/>
                <w:b/>
                <w:color w:val="000000"/>
                <w:sz w:val="24"/>
                <w:szCs w:val="24"/>
              </w:rPr>
              <w:t>线上质疑路径：项目采购-询问质疑投诉-质疑列表。请使用ca签章在每一页质疑文件中加盖电子公章，上传完整附件。</w:t>
            </w:r>
          </w:p>
          <w:p>
            <w:pPr>
              <w:snapToGrid w:val="0"/>
              <w:spacing w:after="0" w:line="360" w:lineRule="auto"/>
              <w:rPr>
                <w:rFonts w:hint="eastAsia" w:ascii="仿宋" w:hAnsi="仿宋" w:eastAsia="仿宋" w:cs="仿宋"/>
                <w:sz w:val="24"/>
                <w:szCs w:val="24"/>
              </w:rPr>
            </w:pPr>
            <w:r>
              <w:rPr>
                <w:rFonts w:hint="eastAsia" w:ascii="仿宋" w:hAnsi="仿宋" w:eastAsia="仿宋" w:cs="仿宋"/>
                <w:color w:val="000000"/>
                <w:sz w:val="24"/>
                <w:szCs w:val="24"/>
              </w:rPr>
              <w:t>本项目涉及</w:t>
            </w:r>
            <w:r>
              <w:rPr>
                <w:rFonts w:hint="eastAsia" w:ascii="仿宋" w:hAnsi="仿宋" w:eastAsia="仿宋" w:cs="仿宋"/>
                <w:sz w:val="24"/>
                <w:szCs w:val="24"/>
              </w:rPr>
              <w:t>资格条件、采购需求、评分办法及采购过程中有关现场考察或开标前答疑会等事项由采购人进行答复。</w:t>
            </w:r>
          </w:p>
          <w:p>
            <w:pPr>
              <w:spacing w:after="0"/>
              <w:rPr>
                <w:rFonts w:hint="eastAsia" w:ascii="仿宋" w:hAnsi="仿宋" w:eastAsia="仿宋" w:cs="仿宋"/>
                <w:sz w:val="24"/>
                <w:szCs w:val="24"/>
              </w:rPr>
            </w:pPr>
            <w:r>
              <w:rPr>
                <w:rFonts w:hint="eastAsia" w:ascii="仿宋" w:hAnsi="仿宋" w:eastAsia="仿宋" w:cs="仿宋"/>
                <w:sz w:val="24"/>
                <w:szCs w:val="24"/>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采购项目的验收，按萧市监【2015】127号、萧市监【2019】16号等相关文件执行（如项目发布</w:t>
            </w:r>
            <w:r>
              <w:rPr>
                <w:rFonts w:hint="eastAsia" w:ascii="仿宋" w:hAnsi="仿宋" w:eastAsia="仿宋" w:cs="仿宋"/>
                <w:sz w:val="24"/>
                <w:szCs w:val="24"/>
                <w:highlight w:val="none"/>
                <w:lang w:val="en-US" w:eastAsia="zh-CN"/>
              </w:rPr>
              <w:t>后</w:t>
            </w:r>
            <w:r>
              <w:rPr>
                <w:rFonts w:hint="eastAsia" w:ascii="仿宋" w:hAnsi="仿宋" w:eastAsia="仿宋" w:cs="仿宋"/>
                <w:sz w:val="24"/>
                <w:szCs w:val="24"/>
                <w:highlight w:val="none"/>
              </w:rPr>
              <w:t>已有新文件</w:t>
            </w:r>
            <w:r>
              <w:rPr>
                <w:rFonts w:hint="eastAsia" w:ascii="仿宋" w:hAnsi="仿宋" w:eastAsia="仿宋" w:cs="仿宋"/>
                <w:sz w:val="24"/>
                <w:szCs w:val="24"/>
                <w:highlight w:val="none"/>
                <w:lang w:val="en-US" w:eastAsia="zh-CN"/>
              </w:rPr>
              <w:t>规定</w:t>
            </w:r>
            <w:r>
              <w:rPr>
                <w:rFonts w:hint="eastAsia" w:ascii="仿宋" w:hAnsi="仿宋" w:eastAsia="仿宋" w:cs="仿宋"/>
                <w:sz w:val="24"/>
                <w:szCs w:val="24"/>
                <w:highlight w:val="none"/>
              </w:rPr>
              <w:t>，按照最新文件执行）。存在隐蔽工程的项目，采购单位及供应商应在货物到货并将实施安装前，申请进行初验收。</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hint="eastAsia" w:ascii="仿宋" w:hAnsi="仿宋" w:eastAsia="仿宋" w:cs="仿宋"/>
                <w:b/>
                <w:sz w:val="24"/>
                <w:szCs w:val="24"/>
              </w:rPr>
            </w:pPr>
            <w:r>
              <w:rPr>
                <w:rFonts w:hint="eastAsia" w:ascii="仿宋" w:hAnsi="仿宋" w:eastAsia="仿宋" w:cs="仿宋"/>
                <w:b/>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szCs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szCs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sz w:val="24"/>
                  <w:szCs w:val="24"/>
                </w:rPr>
                <w:id w:val="23"/>
                <w14:checkbox>
                  <w14:checked w14:val="0"/>
                  <w14:checkedState w14:val="00FE" w14:font="Wingdings"/>
                  <w14:uncheckedState w14:val="2610" w14:font="MS Gothic"/>
                </w14:checkbox>
              </w:sdtPr>
              <w:sdtEndPr>
                <w:rPr>
                  <w:rFonts w:hint="eastAsia" w:ascii="仿宋" w:hAnsi="仿宋" w:eastAsia="仿宋" w:cs="仿宋"/>
                  <w:sz w:val="24"/>
                  <w:szCs w:val="24"/>
                </w:rPr>
              </w:sdtEndPr>
              <w:sdtContent>
                <w:r>
                  <w:rPr>
                    <w:rFonts w:hint="eastAsia" w:ascii="仿宋" w:hAnsi="仿宋" w:eastAsia="仿宋" w:cs="仿宋"/>
                    <w:sz w:val="24"/>
                    <w:szCs w:val="24"/>
                  </w:rPr>
                  <w:t>☐</w:t>
                </w:r>
              </w:sdtContent>
            </w:sdt>
            <w:r>
              <w:rPr>
                <w:rFonts w:hint="eastAsia" w:ascii="仿宋" w:hAnsi="仿宋" w:eastAsia="仿宋" w:cs="仿宋"/>
                <w:sz w:val="24"/>
                <w:szCs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z w:val="24"/>
                <w:szCs w:val="24"/>
                <w:lang w:eastAsia="zh-CN"/>
              </w:rPr>
            </w:pPr>
            <w:sdt>
              <w:sdtPr>
                <w:rPr>
                  <w:rFonts w:hint="eastAsia" w:ascii="仿宋" w:hAnsi="仿宋" w:eastAsia="仿宋" w:cs="仿宋"/>
                  <w:sz w:val="24"/>
                  <w:szCs w:val="24"/>
                </w:rPr>
                <w:id w:val="1052570136"/>
                <w14:checkbox>
                  <w14:checked w14:val="1"/>
                  <w14:checkedState w14:val="00FE" w14:font="Wingdings"/>
                  <w14:uncheckedState w14:val="2610" w14:font="MS Gothic"/>
                </w14:checkbox>
              </w:sdtPr>
              <w:sdtEndPr>
                <w:rPr>
                  <w:rFonts w:hint="eastAsia" w:ascii="仿宋" w:hAnsi="仿宋" w:eastAsia="仿宋" w:cs="仿宋"/>
                  <w:sz w:val="24"/>
                  <w:szCs w:val="24"/>
                </w:rPr>
              </w:sdtEndPr>
              <w:sdtContent>
                <w:r>
                  <w:rPr>
                    <w:rFonts w:hint="eastAsia" w:ascii="仿宋" w:hAnsi="仿宋" w:eastAsia="仿宋" w:cs="仿宋"/>
                    <w:sz w:val="24"/>
                    <w:szCs w:val="24"/>
                  </w:rPr>
                  <w:sym w:font="Wingdings" w:char="F0FE"/>
                </w:r>
              </w:sdtContent>
            </w:sdt>
            <w:r>
              <w:rPr>
                <w:rFonts w:hint="eastAsia" w:ascii="仿宋" w:hAnsi="仿宋" w:eastAsia="仿宋" w:cs="仿宋"/>
                <w:sz w:val="24"/>
                <w:szCs w:val="24"/>
              </w:rPr>
              <w:t>联合体投标的，联合体中有一方或者联合体成员根据分工按招标文件第四部分评标标准要求提供资信证明文件的，视为符合了相关要求。</w:t>
            </w:r>
          </w:p>
          <w:p>
            <w:pPr>
              <w:spacing w:line="360" w:lineRule="auto"/>
              <w:rPr>
                <w:rFonts w:hint="eastAsia" w:ascii="仿宋" w:hAnsi="仿宋" w:eastAsia="仿宋" w:cs="仿宋"/>
                <w:sz w:val="24"/>
                <w:szCs w:val="24"/>
              </w:rPr>
            </w:pPr>
            <w:r>
              <w:rPr>
                <w:rFonts w:hint="eastAsia" w:ascii="仿宋" w:hAnsi="仿宋" w:eastAsia="仿宋" w:cs="仿宋"/>
                <w:kern w:val="0"/>
                <w:sz w:val="24"/>
                <w:szCs w:val="24"/>
                <w:highlight w:val="none"/>
              </w:rPr>
              <w:t>评审因素对应的要求视为采购需求的一部分。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严格执行预算限价，项目如涉及办公用房装修、通用办公设备家具的不得超限额标准。（萧财国资【2019】389号）</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bCs/>
                <w:sz w:val="24"/>
                <w:szCs w:val="24"/>
                <w:lang w:eastAsia="zh-CN"/>
              </w:rPr>
              <w:t>中标候选人数量</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eastAsia="zh-CN"/>
              </w:rPr>
              <w:t>本项目每个标项推荐中标候选人数量：</w:t>
            </w:r>
            <w:r>
              <w:rPr>
                <w:rFonts w:hint="eastAsia" w:ascii="仿宋" w:hAnsi="仿宋" w:eastAsia="仿宋" w:cs="仿宋"/>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仿宋" w:hAnsi="仿宋" w:eastAsia="仿宋" w:cs="仿宋"/>
                <w:sz w:val="24"/>
                <w:szCs w:val="24"/>
                <w:lang w:val="en-US" w:eastAsia="zh-CN"/>
              </w:rPr>
            </w:pPr>
            <w:r>
              <w:rPr>
                <w:rFonts w:hint="eastAsia" w:ascii="仿宋" w:hAnsi="仿宋" w:eastAsia="仿宋" w:cs="仿宋"/>
                <w:color w:val="auto"/>
                <w:sz w:val="24"/>
                <w:szCs w:val="24"/>
                <w:lang w:val="en-US" w:eastAsia="zh-CN"/>
              </w:rPr>
              <w:t>18</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bCs/>
                <w:sz w:val="24"/>
                <w:szCs w:val="24"/>
                <w:lang w:eastAsia="zh-CN"/>
              </w:rPr>
            </w:pPr>
            <w:r>
              <w:rPr>
                <w:rFonts w:hint="eastAsia" w:ascii="仿宋" w:hAnsi="仿宋" w:eastAsia="仿宋" w:cs="仿宋"/>
                <w:b/>
                <w:color w:val="auto"/>
                <w:sz w:val="24"/>
                <w:szCs w:val="24"/>
                <w:highlight w:val="none"/>
              </w:rPr>
              <w:t>投标文件份数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bCs/>
                <w:sz w:val="24"/>
                <w:szCs w:val="24"/>
                <w:lang w:eastAsia="zh-CN"/>
              </w:rPr>
            </w:pPr>
            <w:r>
              <w:rPr>
                <w:rFonts w:hint="eastAsia" w:ascii="仿宋" w:hAnsi="仿宋" w:eastAsia="仿宋" w:cs="仿宋"/>
                <w:b w:val="0"/>
                <w:bCs w:val="0"/>
                <w:sz w:val="24"/>
                <w:szCs w:val="24"/>
                <w:lang w:eastAsia="zh-CN"/>
              </w:rPr>
              <w:t>中标单位在中标后提供纸质投标文件一正</w:t>
            </w:r>
            <w:r>
              <w:rPr>
                <w:rFonts w:hint="eastAsia" w:ascii="仿宋" w:hAnsi="仿宋" w:eastAsia="仿宋" w:cs="仿宋"/>
                <w:b w:val="0"/>
                <w:bCs w:val="0"/>
                <w:sz w:val="24"/>
                <w:szCs w:val="24"/>
                <w:lang w:val="en-US" w:eastAsia="zh-Hans"/>
              </w:rPr>
              <w:t>四</w:t>
            </w:r>
            <w:r>
              <w:rPr>
                <w:rFonts w:hint="eastAsia" w:ascii="仿宋" w:hAnsi="仿宋" w:eastAsia="仿宋" w:cs="仿宋"/>
                <w:b w:val="0"/>
                <w:bCs w:val="0"/>
                <w:sz w:val="24"/>
                <w:szCs w:val="24"/>
                <w:lang w:eastAsia="zh-CN"/>
              </w:rPr>
              <w:t>副（需加盖公章）。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履约保证金</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中标价格的</w:t>
            </w:r>
            <w:r>
              <w:rPr>
                <w:rFonts w:hint="eastAsia" w:ascii="仿宋" w:hAnsi="仿宋" w:eastAsia="仿宋" w:cs="仿宋"/>
                <w:b w:val="0"/>
                <w:bCs/>
                <w:color w:val="auto"/>
                <w:sz w:val="24"/>
                <w:szCs w:val="24"/>
                <w:highlight w:val="none"/>
                <w:u w:val="single"/>
                <w:lang w:val="en-US" w:eastAsia="zh-CN"/>
              </w:rPr>
              <w:t>1%。</w:t>
            </w:r>
          </w:p>
        </w:tc>
      </w:tr>
    </w:tbl>
    <w:p>
      <w:pPr>
        <w:snapToGrid w:val="0"/>
        <w:spacing w:line="360" w:lineRule="auto"/>
        <w:jc w:val="center"/>
        <w:rPr>
          <w:rFonts w:hint="eastAsia" w:ascii="仿宋" w:hAnsi="仿宋" w:eastAsia="仿宋" w:cs="仿宋"/>
          <w:b/>
          <w:sz w:val="32"/>
          <w:szCs w:val="20"/>
        </w:rPr>
      </w:pPr>
    </w:p>
    <w:bookmarkEnd w:id="10"/>
    <w:p>
      <w:pPr>
        <w:rPr>
          <w:rFonts w:hint="eastAsia" w:ascii="仿宋" w:hAnsi="仿宋" w:eastAsia="仿宋" w:cs="仿宋"/>
          <w:b/>
          <w:sz w:val="32"/>
          <w:szCs w:val="20"/>
        </w:rPr>
      </w:pPr>
      <w:bookmarkStart w:id="11" w:name="第三部分"/>
      <w:bookmarkStart w:id="12" w:name="_Toc164416483"/>
      <w:r>
        <w:rPr>
          <w:rFonts w:hint="eastAsia" w:ascii="仿宋" w:hAnsi="仿宋" w:eastAsia="仿宋" w:cs="仿宋"/>
          <w:b/>
          <w:sz w:val="32"/>
          <w:szCs w:val="20"/>
        </w:rPr>
        <w:br w:type="page"/>
      </w:r>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w:t>
      </w:r>
      <w:r>
        <w:rPr>
          <w:rFonts w:hint="eastAsia" w:ascii="仿宋" w:hAnsi="仿宋" w:eastAsia="仿宋" w:cs="仿宋"/>
          <w:sz w:val="24"/>
          <w:lang w:eastAsia="zh-CN"/>
        </w:rPr>
        <w:t>采购代理机构</w:t>
      </w:r>
      <w:r>
        <w:rPr>
          <w:rFonts w:hint="eastAsia" w:ascii="仿宋" w:hAnsi="仿宋" w:eastAsia="仿宋" w:cs="仿宋"/>
          <w:sz w:val="24"/>
        </w:rPr>
        <w:t>”系指招标公告中载明的本项目的</w:t>
      </w:r>
      <w:r>
        <w:rPr>
          <w:rFonts w:hint="eastAsia" w:ascii="仿宋" w:hAnsi="仿宋" w:eastAsia="仿宋" w:cs="仿宋"/>
          <w:sz w:val="24"/>
          <w:lang w:eastAsia="zh-CN"/>
        </w:rPr>
        <w:t>采购代理机构</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w:t>
      </w:r>
      <w:r>
        <w:rPr>
          <w:rFonts w:hint="eastAsia" w:ascii="仿宋" w:hAnsi="仿宋" w:eastAsia="仿宋" w:cs="仿宋"/>
          <w:sz w:val="24"/>
          <w:lang w:val="en-US" w:eastAsia="zh-CN"/>
        </w:rPr>
        <w:t>系</w:t>
      </w:r>
      <w:r>
        <w:rPr>
          <w:rFonts w:hint="eastAsia" w:ascii="仿宋" w:hAnsi="仿宋" w:eastAsia="仿宋" w:cs="仿宋"/>
          <w:sz w:val="24"/>
        </w:rPr>
        <w:t>指本项目采购活动所依托的采购云平台（https://www.zcygov.cn/）。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sz w:val="24"/>
          <w:lang w:eastAsia="zh-CN"/>
        </w:rPr>
        <w:t>采购代理机构</w:t>
      </w:r>
      <w:r>
        <w:rPr>
          <w:rFonts w:hint="eastAsia" w:ascii="仿宋" w:hAnsi="仿宋" w:eastAsia="仿宋" w:cs="仿宋"/>
          <w:sz w:val="24"/>
        </w:rPr>
        <w:t>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w:t>
      </w:r>
      <w:r>
        <w:rPr>
          <w:rFonts w:hint="eastAsia" w:ascii="仿宋" w:hAnsi="仿宋" w:eastAsia="仿宋" w:cs="仿宋"/>
          <w:sz w:val="24"/>
          <w:lang w:val="en-US" w:eastAsia="zh-CN"/>
        </w:rPr>
        <w:t>1</w:t>
      </w:r>
      <w:r>
        <w:rPr>
          <w:rFonts w:hint="eastAsia" w:ascii="仿宋" w:hAnsi="仿宋" w:eastAsia="仿宋" w:cs="仿宋"/>
          <w:sz w:val="24"/>
        </w:rPr>
        <w:t>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w:t>
      </w:r>
      <w:r>
        <w:rPr>
          <w:rFonts w:hint="eastAsia" w:ascii="仿宋" w:hAnsi="仿宋" w:eastAsia="仿宋" w:cs="仿宋"/>
          <w:sz w:val="24"/>
          <w:lang w:val="en-US" w:eastAsia="zh-CN"/>
        </w:rPr>
        <w:t>2</w:t>
      </w:r>
      <w:r>
        <w:rPr>
          <w:rFonts w:hint="eastAsia" w:ascii="仿宋" w:hAnsi="仿宋" w:eastAsia="仿宋" w:cs="仿宋"/>
          <w:sz w:val="24"/>
        </w:rPr>
        <w:t>为助力打好污染防治攻坚战，推广使用绿色包装，采购货物、工程和服务项目中涉及商品包装和快递包装的，供应商提供产品及相关快递服务的具体包装要求要参考《商品包装采购需求标准（试行）》、《快递包装采购需求标准（试行）》。</w:t>
      </w:r>
      <w:r>
        <w:rPr>
          <w:rFonts w:hint="eastAsia" w:ascii="仿宋" w:hAnsi="仿宋" w:eastAsia="仿宋" w:cs="仿宋"/>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3.2.</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鼓励供应商在参加采购过程中开展绿色设计、选择绿色材料、打造绿色制造工艺、开展绿色运输、做好废弃产品回收处理，实现产品全周期的绿色环保。鼓励采购单位对其提高预付款比例、免收履约保证金。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w:t>
      </w:r>
      <w:r>
        <w:rPr>
          <w:rFonts w:hint="eastAsia" w:ascii="仿宋" w:hAnsi="仿宋" w:eastAsia="仿宋" w:cs="仿宋"/>
          <w:sz w:val="24"/>
          <w:lang w:val="en-US" w:eastAsia="zh-CN"/>
        </w:rPr>
        <w:t>3</w:t>
      </w:r>
      <w:r>
        <w:rPr>
          <w:rFonts w:hint="eastAsia" w:ascii="仿宋" w:hAnsi="仿宋" w:eastAsia="仿宋" w:cs="仿宋"/>
          <w:sz w:val="24"/>
        </w:rPr>
        <w:t>符合《关于促进残疾人就业采购政策的通知》（财库〔2017〕141号）规定的条件并提供《残疾人福利性单位声明函》（附件1）的残疾人福利性单位视同小型、微型企业；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w:t>
      </w:r>
      <w:r>
        <w:rPr>
          <w:rFonts w:hint="eastAsia" w:ascii="仿宋" w:hAnsi="仿宋" w:eastAsia="仿宋" w:cs="仿宋"/>
          <w:sz w:val="24"/>
          <w:lang w:val="en-US" w:eastAsia="zh-CN"/>
        </w:rPr>
        <w:t>4</w:t>
      </w:r>
      <w:r>
        <w:rPr>
          <w:rFonts w:hint="eastAsia" w:ascii="仿宋" w:hAnsi="仿宋" w:eastAsia="仿宋" w:cs="仿宋"/>
          <w:sz w:val="24"/>
        </w:rPr>
        <w:t>符合《关于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w:t>
      </w:r>
      <w:r>
        <w:rPr>
          <w:rFonts w:hint="eastAsia" w:ascii="仿宋" w:hAnsi="仿宋" w:eastAsia="仿宋" w:cs="仿宋"/>
          <w:sz w:val="24"/>
          <w:lang w:val="en-US" w:eastAsia="zh-CN"/>
        </w:rPr>
        <w:t>5</w:t>
      </w:r>
      <w:r>
        <w:rPr>
          <w:rFonts w:hint="eastAsia" w:ascii="仿宋" w:hAnsi="仿宋" w:eastAsia="仿宋" w:cs="仿宋"/>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w:t>
      </w:r>
      <w:r>
        <w:rPr>
          <w:rFonts w:hint="eastAsia" w:ascii="仿宋" w:hAnsi="仿宋" w:eastAsia="仿宋" w:cs="仿宋"/>
          <w:sz w:val="24"/>
          <w:lang w:val="en-US" w:eastAsia="zh-CN"/>
        </w:rPr>
        <w:t>6</w:t>
      </w:r>
      <w:r>
        <w:rPr>
          <w:rFonts w:hint="eastAsia" w:ascii="仿宋" w:hAnsi="仿宋" w:eastAsia="仿宋" w:cs="仿宋"/>
          <w:sz w:val="24"/>
        </w:rPr>
        <w:t>中小企业享受扶持政策获得采购合同的，小微企业不得将合同分包给大中型企业，中型企业不得将合同分包给大型企业。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采购活动时业绩分值为满分。</w:t>
      </w:r>
    </w:p>
    <w:p>
      <w:pPr>
        <w:spacing w:line="360" w:lineRule="auto"/>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采购公平竞争打造最优营商环境的通知》（浙财采监（2021）22号）文件关于“健全行政裁决机制”要求，鼓励供应商在线提起询问，路径为：萧采云-项目采购-询问质疑投诉-询问列表；鼓励供应商在线提起质疑，路径为：萧采云-项目采购-询问质疑投诉-质疑列表。质疑供应商对在线质疑答复不满意的，可在线提起投诉，路径为：浙江政府服务网-采购投诉处理-在线办理。</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4.3供应商质疑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sz w:val="24"/>
          <w:lang w:eastAsia="zh-CN"/>
        </w:rPr>
        <w:t>采购代理机构</w:t>
      </w:r>
      <w:r>
        <w:rPr>
          <w:rFonts w:hint="eastAsia" w:ascii="仿宋" w:hAnsi="仿宋" w:eastAsia="仿宋" w:cs="仿宋"/>
          <w:sz w:val="24"/>
        </w:rPr>
        <w:t>提出质疑，否则，采购人或者</w:t>
      </w:r>
      <w:r>
        <w:rPr>
          <w:rFonts w:hint="eastAsia" w:ascii="仿宋" w:hAnsi="仿宋" w:eastAsia="仿宋" w:cs="仿宋"/>
          <w:sz w:val="24"/>
          <w:lang w:eastAsia="zh-CN"/>
        </w:rPr>
        <w:t>采购代理机构</w:t>
      </w:r>
      <w:r>
        <w:rPr>
          <w:rFonts w:hint="eastAsia" w:ascii="仿宋" w:hAnsi="仿宋" w:eastAsia="仿宋" w:cs="仿宋"/>
          <w:sz w:val="24"/>
        </w:rPr>
        <w:t>不予受理：</w:t>
      </w:r>
    </w:p>
    <w:p>
      <w:pPr>
        <w:pStyle w:val="15"/>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int="eastAsia"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4.3.3.4事实依据；</w:t>
      </w:r>
    </w:p>
    <w:p>
      <w:pPr>
        <w:pStyle w:val="34"/>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4"/>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w:t>
      </w:r>
      <w:r>
        <w:rPr>
          <w:rFonts w:hint="eastAsia" w:ascii="仿宋" w:hAnsi="仿宋" w:eastAsia="仿宋" w:cs="仿宋"/>
          <w:lang w:eastAsia="zh-CN"/>
        </w:rPr>
        <w:t>采购代理机构</w:t>
      </w:r>
      <w:r>
        <w:rPr>
          <w:rFonts w:hint="eastAsia" w:ascii="仿宋" w:hAnsi="仿宋" w:eastAsia="仿宋" w:cs="仿宋"/>
        </w:rPr>
        <w:t>应当在收到供应商的书面质疑后七个工作日内作出答复，并以书面形式通知质疑供应商和其他与质疑处理结果有利害关系的采购当事人，但答复的内容不得涉及商业秘密。根据《杭州市财政局关于进一步加强采购信息公开优化营商环境的通知》（杭财采监〔2021〕17号）,采购人或者</w:t>
      </w:r>
      <w:r>
        <w:rPr>
          <w:rFonts w:hint="eastAsia" w:ascii="仿宋" w:hAnsi="仿宋" w:eastAsia="仿宋" w:cs="仿宋"/>
          <w:lang w:eastAsia="zh-CN"/>
        </w:rPr>
        <w:t>采购代理机构</w:t>
      </w:r>
      <w:r>
        <w:rPr>
          <w:rFonts w:hint="eastAsia" w:ascii="仿宋" w:hAnsi="仿宋" w:eastAsia="仿宋" w:cs="仿宋"/>
        </w:rPr>
        <w:t>在质疑回复后5个工作日内，在浙江采购网的“其他公告”栏目公开质疑答复，答复内容应当完整。质疑函作为附件上传。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4.4供应商投诉</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4.4.1质疑供应商对采购人、</w:t>
      </w:r>
      <w:r>
        <w:rPr>
          <w:rFonts w:hint="eastAsia" w:ascii="仿宋" w:hAnsi="仿宋" w:eastAsia="仿宋" w:cs="仿宋"/>
          <w:lang w:eastAsia="zh-CN"/>
        </w:rPr>
        <w:t>采购代理机构</w:t>
      </w:r>
      <w:r>
        <w:rPr>
          <w:rFonts w:hint="eastAsia" w:ascii="仿宋" w:hAnsi="仿宋" w:eastAsia="仿宋" w:cs="仿宋"/>
        </w:rPr>
        <w:t>的答复不满意或者采购人、</w:t>
      </w:r>
      <w:r>
        <w:rPr>
          <w:rFonts w:hint="eastAsia" w:ascii="仿宋" w:hAnsi="仿宋" w:eastAsia="仿宋" w:cs="仿宋"/>
          <w:lang w:eastAsia="zh-CN"/>
        </w:rPr>
        <w:t>采购代理机构</w:t>
      </w:r>
      <w:r>
        <w:rPr>
          <w:rFonts w:hint="eastAsia" w:ascii="仿宋" w:hAnsi="仿宋" w:eastAsia="仿宋" w:cs="仿宋"/>
        </w:rPr>
        <w:t>未在规定的时间内作出答复的，可以在答复期满后十五个工作日内向同级采购监督管理部门提出投诉。</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4.4.3供应商投诉应当有明确的请求和必要的证明材料。</w:t>
      </w:r>
    </w:p>
    <w:p>
      <w:pPr>
        <w:pStyle w:val="888"/>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4.4.4以联合体形式参加采购活动的，其投诉应当由组成联合体的所有供应商共同提出。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hint="eastAsia" w:ascii="仿宋" w:hAnsi="仿宋" w:eastAsia="仿宋" w:cs="仿宋"/>
          <w:sz w:val="18"/>
          <w:szCs w:val="18"/>
        </w:rPr>
      </w:pPr>
      <w:r>
        <w:rPr>
          <w:rFonts w:hint="eastAsia" w:ascii="仿宋" w:hAnsi="仿宋" w:eastAsia="仿宋" w:cs="仿宋"/>
        </w:rPr>
        <w:t>投诉书范本及制作说明详见附件3。</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4"/>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4"/>
        <w:spacing w:line="360" w:lineRule="auto"/>
        <w:rPr>
          <w:rFonts w:hint="eastAsia" w:ascii="仿宋" w:hAnsi="仿宋" w:eastAsia="仿宋" w:cs="仿宋"/>
          <w:b/>
          <w:sz w:val="24"/>
          <w:szCs w:val="24"/>
          <w:lang w:val="en-US" w:eastAsia="zh-CN"/>
        </w:rPr>
      </w:pPr>
      <w:r>
        <w:rPr>
          <w:rFonts w:hint="eastAsia" w:ascii="仿宋" w:hAnsi="仿宋" w:eastAsia="仿宋" w:cs="仿宋"/>
          <w:b/>
          <w:sz w:val="24"/>
          <w:szCs w:val="24"/>
        </w:rPr>
        <w:t>6. 招标文件的澄清、修改</w:t>
      </w:r>
    </w:p>
    <w:p>
      <w:pPr>
        <w:pStyle w:val="131"/>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w:t>
      </w:r>
      <w:r>
        <w:rPr>
          <w:rFonts w:hint="eastAsia" w:ascii="仿宋" w:hAnsi="仿宋" w:eastAsia="仿宋" w:cs="仿宋"/>
          <w:lang w:eastAsia="zh-CN"/>
        </w:rPr>
        <w:t>采购代理机构</w:t>
      </w:r>
      <w:r>
        <w:rPr>
          <w:rFonts w:hint="eastAsia" w:ascii="仿宋" w:hAnsi="仿宋" w:eastAsia="仿宋" w:cs="仿宋"/>
        </w:rPr>
        <w:t>提出。</w:t>
      </w:r>
    </w:p>
    <w:p>
      <w:pPr>
        <w:pStyle w:val="131"/>
        <w:snapToGrid w:val="0"/>
        <w:spacing w:before="0"/>
        <w:ind w:firstLine="480"/>
        <w:rPr>
          <w:rFonts w:hint="eastAsia" w:ascii="仿宋" w:hAnsi="仿宋" w:eastAsia="仿宋" w:cs="仿宋"/>
        </w:rPr>
      </w:pPr>
      <w:r>
        <w:rPr>
          <w:rFonts w:hint="eastAsia" w:ascii="仿宋" w:hAnsi="仿宋" w:eastAsia="仿宋" w:cs="仿宋"/>
        </w:rPr>
        <w:t xml:space="preserve">6.2 </w:t>
      </w:r>
      <w:r>
        <w:rPr>
          <w:rFonts w:hint="eastAsia" w:ascii="仿宋" w:hAnsi="仿宋" w:eastAsia="仿宋" w:cs="仿宋"/>
          <w:lang w:eastAsia="zh-CN"/>
        </w:rPr>
        <w:t>采购代理机构</w:t>
      </w:r>
      <w:r>
        <w:rPr>
          <w:rFonts w:hint="eastAsia" w:ascii="仿宋" w:hAnsi="仿宋" w:eastAsia="仿宋" w:cs="仿宋"/>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1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11.1.1符合参加采购活动应当具备的一般条件的承诺函；</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3</w:t>
      </w:r>
      <w:r>
        <w:rPr>
          <w:rFonts w:hint="eastAsia" w:ascii="仿宋" w:hAnsi="仿宋" w:eastAsia="仿宋" w:cs="仿宋"/>
          <w:sz w:val="24"/>
        </w:rPr>
        <w:t>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5</w:t>
      </w:r>
      <w:r>
        <w:rPr>
          <w:rFonts w:hint="eastAsia" w:ascii="仿宋" w:hAnsi="仿宋" w:eastAsia="仿宋" w:cs="仿宋"/>
          <w:sz w:val="24"/>
        </w:rPr>
        <w:t>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6</w:t>
      </w:r>
      <w:r>
        <w:rPr>
          <w:rFonts w:hint="eastAsia" w:ascii="仿宋" w:hAnsi="仿宋" w:eastAsia="仿宋" w:cs="仿宋"/>
          <w:sz w:val="24"/>
        </w:rPr>
        <w:t>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31"/>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12.2投标人进行电子投标应安装客户端软件—“萧采云电子交易客户端”，并按照招标文件和电子交易平台的要求编制并加密投标文件。投标人未按规定加密的投标文件，电子交易平台将拒收并提示。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12.3使用“萧采云电子交易客户端”需要提前申领CA数字证书，申领流程请自行前往“</w:t>
      </w:r>
      <w:r>
        <w:rPr>
          <w:rFonts w:hint="eastAsia" w:ascii="仿宋" w:hAnsi="仿宋" w:eastAsia="仿宋" w:cs="仿宋"/>
          <w:kern w:val="0"/>
          <w:sz w:val="24"/>
          <w:lang w:val="en-US" w:eastAsia="zh-CN"/>
        </w:rPr>
        <w:t>萧采云</w:t>
      </w:r>
      <w:r>
        <w:rPr>
          <w:rFonts w:hint="eastAsia" w:ascii="仿宋" w:hAnsi="仿宋" w:eastAsia="仿宋" w:cs="仿宋"/>
          <w:kern w:val="0"/>
          <w:sz w:val="24"/>
          <w:lang w:val="zh-CN"/>
        </w:rPr>
        <w:t>-下载专区-电子交易客户端-CA驱动和申领流程”进行查阅。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31"/>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1"/>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w:t>
      </w:r>
      <w:r>
        <w:rPr>
          <w:rFonts w:hint="eastAsia" w:ascii="仿宋" w:hAnsi="仿宋" w:eastAsia="仿宋" w:cs="仿宋"/>
          <w:lang w:val="en-US" w:eastAsia="zh-CN"/>
        </w:rPr>
        <w:t>萧采云</w:t>
      </w:r>
      <w:r>
        <w:rPr>
          <w:rFonts w:hint="eastAsia" w:ascii="仿宋" w:hAnsi="仿宋" w:eastAsia="仿宋" w:cs="仿宋"/>
        </w:rPr>
        <w:t>平台”的身份认证，确保在电子投标过程中能够对相关数据电文进行加密和使用电子签名。</w:t>
      </w:r>
    </w:p>
    <w:p>
      <w:pPr>
        <w:pStyle w:val="131"/>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31"/>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31"/>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w:t>
      </w:r>
      <w:r>
        <w:rPr>
          <w:rFonts w:hint="eastAsia" w:ascii="仿宋" w:hAnsi="仿宋" w:eastAsia="仿宋" w:cs="仿宋"/>
          <w:szCs w:val="24"/>
          <w:highlight w:val="none"/>
        </w:rPr>
        <w:t>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w:t>
      </w:r>
      <w:r>
        <w:rPr>
          <w:rFonts w:hint="eastAsia" w:ascii="仿宋" w:hAnsi="仿宋" w:eastAsia="仿宋" w:cs="仿宋"/>
          <w:szCs w:val="24"/>
        </w:rPr>
        <w:t>台将拒收。</w:t>
      </w:r>
    </w:p>
    <w:p>
      <w:pPr>
        <w:pStyle w:val="131"/>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仿宋" w:hAnsi="仿宋" w:eastAsia="仿宋" w:cs="仿宋"/>
          <w:szCs w:val="24"/>
        </w:rPr>
      </w:pPr>
      <w:r>
        <w:rPr>
          <w:rFonts w:hint="eastAsia" w:ascii="仿宋" w:hAnsi="仿宋" w:eastAsia="仿宋" w:cs="仿宋"/>
          <w:szCs w:val="24"/>
        </w:rPr>
        <w:t>14.3采购人、</w:t>
      </w:r>
      <w:r>
        <w:rPr>
          <w:rFonts w:hint="eastAsia" w:ascii="仿宋" w:hAnsi="仿宋" w:eastAsia="仿宋" w:cs="仿宋"/>
          <w:szCs w:val="24"/>
          <w:lang w:eastAsia="zh-CN"/>
        </w:rPr>
        <w:t>采购代理机构</w:t>
      </w:r>
      <w:r>
        <w:rPr>
          <w:rFonts w:hint="eastAsia" w:ascii="仿宋" w:hAnsi="仿宋" w:eastAsia="仿宋" w:cs="仿宋"/>
          <w:szCs w:val="24"/>
        </w:rPr>
        <w:t>可以视情况延长投标文件提交的截止时间。在上述情况下，</w:t>
      </w:r>
      <w:r>
        <w:rPr>
          <w:rFonts w:hint="eastAsia" w:ascii="仿宋" w:hAnsi="仿宋" w:eastAsia="仿宋" w:cs="仿宋"/>
          <w:szCs w:val="24"/>
          <w:lang w:eastAsia="zh-CN"/>
        </w:rPr>
        <w:t>采购代理机构</w:t>
      </w:r>
      <w:r>
        <w:rPr>
          <w:rFonts w:hint="eastAsia" w:ascii="仿宋" w:hAnsi="仿宋" w:eastAsia="仿宋" w:cs="仿宋"/>
          <w:szCs w:val="24"/>
        </w:rPr>
        <w:t>与投标人以前在投标截止期方面的全部权利、责任和义务，将适用于延长至新的投标截止期。</w:t>
      </w:r>
    </w:p>
    <w:p>
      <w:pPr>
        <w:pStyle w:val="34"/>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4"/>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不强制或变相强制投标人提交备份投标文件。</w:t>
      </w:r>
    </w:p>
    <w:p>
      <w:pPr>
        <w:pStyle w:val="34"/>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w:t>
      </w:r>
      <w:r>
        <w:rPr>
          <w:rFonts w:hint="eastAsia" w:ascii="仿宋" w:hAnsi="仿宋" w:eastAsia="仿宋" w:cs="仿宋"/>
          <w:sz w:val="24"/>
          <w:szCs w:val="24"/>
          <w:lang w:eastAsia="zh-CN"/>
        </w:rPr>
        <w:t>萧采云</w:t>
      </w:r>
      <w:r>
        <w:rPr>
          <w:rFonts w:hint="eastAsia" w:ascii="仿宋" w:hAnsi="仿宋" w:eastAsia="仿宋" w:cs="仿宋"/>
          <w:sz w:val="24"/>
          <w:szCs w:val="24"/>
        </w:rPr>
        <w:t>投标客户端”制作生成，并储存在</w:t>
      </w:r>
      <w:r>
        <w:rPr>
          <w:rFonts w:hint="eastAsia" w:ascii="仿宋" w:hAnsi="仿宋" w:eastAsia="仿宋" w:cs="仿宋"/>
          <w:sz w:val="24"/>
        </w:rPr>
        <w:t>DVD光盘</w:t>
      </w:r>
      <w:r>
        <w:rPr>
          <w:rFonts w:hint="eastAsia" w:ascii="仿宋" w:hAnsi="仿宋" w:eastAsia="仿宋" w:cs="仿宋"/>
          <w:sz w:val="24"/>
          <w:lang w:val="en-US" w:eastAsia="zh-CN"/>
        </w:rPr>
        <w:t>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w:t>
      </w:r>
    </w:p>
    <w:p>
      <w:pPr>
        <w:pStyle w:val="34"/>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31"/>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有招标文件第四部分4.2规定的情形之一的，投标无效：</w:t>
      </w:r>
    </w:p>
    <w:p>
      <w:pPr>
        <w:pStyle w:val="131"/>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1"/>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31"/>
        <w:spacing w:before="0"/>
        <w:ind w:firstLine="480"/>
        <w:jc w:val="left"/>
        <w:rPr>
          <w:rFonts w:hint="eastAsia" w:ascii="仿宋" w:hAnsi="仿宋" w:eastAsia="仿宋" w:cs="仿宋"/>
          <w:lang w:eastAsia="zh-CN"/>
        </w:rPr>
      </w:pPr>
      <w:r>
        <w:rPr>
          <w:rFonts w:hint="eastAsia" w:ascii="仿宋" w:hAnsi="仿宋" w:eastAsia="仿宋" w:cs="仿宋"/>
        </w:rPr>
        <w:t>17.3在原定投标有效期满之前，如果出现特殊情况，</w:t>
      </w:r>
      <w:r>
        <w:rPr>
          <w:rFonts w:hint="eastAsia" w:ascii="仿宋" w:hAnsi="仿宋" w:eastAsia="仿宋" w:cs="仿宋"/>
          <w:lang w:eastAsia="zh-CN"/>
        </w:rPr>
        <w:t>采购代理机构</w:t>
      </w:r>
      <w:r>
        <w:rPr>
          <w:rFonts w:hint="eastAsia" w:ascii="仿宋" w:hAnsi="仿宋" w:eastAsia="仿宋" w:cs="仿宋"/>
        </w:rPr>
        <w:t>可以以书面形式通知投标人延长投标有效期。投标人同意延长的，不得要求或被允许修改其投标文件，投标人拒绝延长的，其投标无效。</w:t>
      </w:r>
    </w:p>
    <w:p>
      <w:pPr>
        <w:pStyle w:val="131"/>
        <w:spacing w:before="0"/>
        <w:ind w:firstLine="480"/>
        <w:jc w:val="left"/>
        <w:rPr>
          <w:rFonts w:hint="eastAsia" w:ascii="仿宋" w:hAnsi="仿宋" w:eastAsia="仿宋" w:cs="仿宋"/>
          <w:b/>
          <w:sz w:val="32"/>
        </w:rPr>
      </w:pPr>
      <w:r>
        <w:rPr>
          <w:rFonts w:hint="eastAsia" w:ascii="仿宋" w:hAnsi="仿宋" w:eastAsia="仿宋" w:cs="仿宋"/>
          <w:lang w:val="en-US" w:eastAsia="zh-CN"/>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17.4在投标截止时间起至投标有效期届满，供应商投标文件不可撤销。</w:t>
      </w:r>
    </w:p>
    <w:p>
      <w:pPr>
        <w:pStyle w:val="131"/>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6"/>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6"/>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lang w:eastAsia="zh-CN"/>
        </w:rPr>
        <w:t>采购代理机构</w:t>
      </w:r>
      <w:r>
        <w:rPr>
          <w:rFonts w:hint="eastAsia" w:ascii="仿宋" w:hAnsi="仿宋" w:eastAsia="仿宋" w:cs="仿宋"/>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w:t>
      </w:r>
      <w:r>
        <w:rPr>
          <w:rFonts w:hint="eastAsia" w:ascii="仿宋" w:hAnsi="仿宋" w:eastAsia="仿宋" w:cs="仿宋"/>
          <w:sz w:val="24"/>
          <w:lang w:eastAsia="zh-CN"/>
        </w:rPr>
        <w:t>采购代理机构</w:t>
      </w:r>
      <w:r>
        <w:rPr>
          <w:rFonts w:hint="eastAsia" w:ascii="仿宋" w:hAnsi="仿宋" w:eastAsia="仿宋" w:cs="仿宋"/>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highlight w:val="none"/>
        </w:rPr>
      </w:pPr>
      <w:r>
        <w:rPr>
          <w:rFonts w:hint="eastAsia" w:ascii="仿宋" w:hAnsi="仿宋" w:eastAsia="仿宋" w:cs="仿宋"/>
          <w:b/>
          <w:sz w:val="24"/>
          <w:szCs w:val="20"/>
        </w:rPr>
        <w:t>　19</w:t>
      </w:r>
      <w:r>
        <w:rPr>
          <w:rFonts w:hint="eastAsia" w:ascii="仿宋" w:hAnsi="仿宋" w:eastAsia="仿宋" w:cs="仿宋"/>
          <w:b/>
          <w:sz w:val="24"/>
          <w:szCs w:val="20"/>
          <w:highlight w:val="none"/>
        </w:rPr>
        <w:t>、资格审查</w:t>
      </w:r>
    </w:p>
    <w:p>
      <w:pPr>
        <w:pStyle w:val="131"/>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19.1开标后，采购人将依据法律法规和招标文件的规定，对投标人的资格进行审查。</w:t>
      </w:r>
    </w:p>
    <w:p>
      <w:pPr>
        <w:pStyle w:val="131"/>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19.2投标人未按照招标文件要求提供与</w:t>
      </w:r>
      <w:r>
        <w:rPr>
          <w:rFonts w:hint="eastAsia" w:ascii="仿宋" w:hAnsi="仿宋" w:eastAsia="仿宋" w:cs="仿宋"/>
          <w:highlight w:val="none"/>
        </w:rPr>
        <w:t>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highlight w:val="none"/>
        </w:rPr>
        <w:t>投标人不具备招标文件中规定的资格要求，其投标无效。</w:t>
      </w:r>
    </w:p>
    <w:p>
      <w:pPr>
        <w:pStyle w:val="131"/>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3对未通过资格审查的投标人，告知其未通过的原因。</w:t>
      </w:r>
    </w:p>
    <w:p>
      <w:pPr>
        <w:pStyle w:val="131"/>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4合格投标人不足3家的，不再评标。</w:t>
      </w:r>
    </w:p>
    <w:p>
      <w:pPr>
        <w:pStyle w:val="131"/>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31"/>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w:t>
      </w:r>
      <w:r>
        <w:rPr>
          <w:rFonts w:hint="eastAsia" w:ascii="仿宋" w:hAnsi="仿宋" w:eastAsia="仿宋" w:cs="仿宋"/>
          <w:kern w:val="0"/>
          <w:szCs w:val="24"/>
          <w:lang w:val="en-US" w:eastAsia="zh-CN"/>
        </w:rPr>
        <w:t>采购人</w:t>
      </w:r>
      <w:r>
        <w:rPr>
          <w:rFonts w:hint="eastAsia" w:ascii="仿宋" w:hAnsi="仿宋" w:eastAsia="仿宋" w:cs="仿宋"/>
          <w:kern w:val="0"/>
          <w:szCs w:val="24"/>
        </w:rPr>
        <w:t>将在资格审查时通过“信用中国”网站(www.creditchina.gov.cn)、中国政府采购网(www.ccgp.gov.cn)渠道查询投标人接受资格时的信用记录。</w:t>
      </w:r>
    </w:p>
    <w:p>
      <w:pPr>
        <w:pStyle w:val="131"/>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hint="eastAsia" w:ascii="仿宋" w:hAnsi="仿宋" w:eastAsia="仿宋" w:cs="仿宋"/>
          <w:kern w:val="0"/>
          <w:szCs w:val="24"/>
        </w:rPr>
      </w:pPr>
      <w:r>
        <w:rPr>
          <w:rFonts w:hint="eastAsia" w:ascii="仿宋" w:hAnsi="仿宋" w:eastAsia="仿宋" w:cs="仿宋"/>
          <w:kern w:val="0"/>
          <w:szCs w:val="24"/>
        </w:rPr>
        <w:t>20.4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31"/>
        <w:snapToGrid w:val="0"/>
        <w:spacing w:before="0"/>
        <w:ind w:firstLine="480"/>
        <w:rPr>
          <w:rFonts w:hint="eastAsia" w:ascii="仿宋" w:hAnsi="仿宋" w:eastAsia="仿宋" w:cs="仿宋"/>
          <w:b/>
          <w:szCs w:val="24"/>
        </w:rPr>
      </w:pPr>
      <w:r>
        <w:rPr>
          <w:rFonts w:hint="eastAsia" w:ascii="仿宋" w:hAnsi="仿宋" w:eastAsia="仿宋" w:cs="仿宋"/>
          <w:szCs w:val="24"/>
        </w:rPr>
        <w:t>采购项目实行全流程电子化，评审报告送交、采购结果确定和结果公告均在线完成。为进一步提升采购结果确定效率，采购代理机构应当依法及时将评审报告在线送</w:t>
      </w:r>
      <w:r>
        <w:rPr>
          <w:rFonts w:hint="eastAsia" w:ascii="仿宋" w:hAnsi="仿宋" w:eastAsia="仿宋" w:cs="仿宋"/>
          <w:szCs w:val="24"/>
          <w:highlight w:val="none"/>
        </w:rPr>
        <w:t>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1"/>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w:t>
      </w:r>
      <w:r>
        <w:rPr>
          <w:rFonts w:hint="eastAsia" w:ascii="仿宋" w:hAnsi="仿宋" w:eastAsia="仿宋" w:cs="仿宋"/>
          <w:sz w:val="24"/>
          <w:lang w:eastAsia="zh-CN"/>
        </w:rPr>
        <w:t>采购代理机构</w:t>
      </w:r>
      <w:r>
        <w:rPr>
          <w:rFonts w:hint="eastAsia" w:ascii="仿宋" w:hAnsi="仿宋" w:eastAsia="仿宋" w:cs="仿宋"/>
          <w:sz w:val="24"/>
        </w:rPr>
        <w:t>通过电子交易平台向中标人发出中标通知书，同时编制发布采购结果公告。</w:t>
      </w:r>
      <w:r>
        <w:rPr>
          <w:rFonts w:hint="eastAsia" w:ascii="仿宋" w:hAnsi="仿宋" w:eastAsia="仿宋" w:cs="仿宋"/>
          <w:sz w:val="24"/>
          <w:lang w:eastAsia="zh-CN"/>
        </w:rPr>
        <w:t>采购代理机构</w:t>
      </w:r>
      <w:r>
        <w:rPr>
          <w:rFonts w:hint="eastAsia" w:ascii="仿宋" w:hAnsi="仿宋" w:eastAsia="仿宋" w:cs="仿宋"/>
          <w:sz w:val="24"/>
        </w:rPr>
        <w:t>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w:t>
      </w:r>
      <w:r>
        <w:rPr>
          <w:rFonts w:hint="eastAsia" w:ascii="仿宋" w:hAnsi="仿宋" w:eastAsia="仿宋" w:cs="仿宋"/>
          <w:sz w:val="24"/>
          <w:lang w:eastAsia="zh-CN"/>
        </w:rPr>
        <w:t>采购代理机构</w:t>
      </w:r>
      <w:r>
        <w:rPr>
          <w:rFonts w:hint="eastAsia" w:ascii="仿宋" w:hAnsi="仿宋" w:eastAsia="仿宋" w:cs="仿宋"/>
          <w:sz w:val="24"/>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采购合同，并在签订之日起2个工作日内将采购合同在萧采云上公告。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1"/>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1"/>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25.4中标供应商拒绝与采购人签订合同的，采购人可以按照评审报告推荐的中标或者成交候选人名单排序，确定下一候选人为中标供应商，也可以重新开展采购活动。</w:t>
      </w:r>
    </w:p>
    <w:p>
      <w:pPr>
        <w:pStyle w:val="131"/>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25.5采购合同由采购人与中标供应商根据招标文件、投标文件等内容通过采购电子交易平台在线签订，自动备案。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。履约保证金的数额不得超过采</w:t>
      </w:r>
      <w:r>
        <w:rPr>
          <w:rFonts w:hint="eastAsia" w:ascii="仿宋" w:hAnsi="仿宋" w:eastAsia="仿宋" w:cs="仿宋"/>
          <w:sz w:val="24"/>
          <w:highlight w:val="none"/>
        </w:rPr>
        <w:t>购合同金额的1%，鼓励根据项目特点、供应商诚信等因素免收履约保证金或降低缴纳比例</w:t>
      </w:r>
      <w:r>
        <w:rPr>
          <w:rFonts w:hint="eastAsia" w:ascii="仿宋" w:hAnsi="仿宋" w:eastAsia="仿宋" w:cs="仿宋"/>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3"/>
        <w:ind w:left="0" w:firstLine="480" w:firstLineChars="200"/>
        <w:rPr>
          <w:rFonts w:hint="eastAsia" w:ascii="仿宋" w:hAnsi="仿宋" w:eastAsia="仿宋" w:cs="仿宋"/>
          <w:b w:val="0"/>
          <w:bCs w:val="0"/>
          <w:snapToGrid w:val="0"/>
          <w:kern w:val="28"/>
          <w:sz w:val="24"/>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w:t>
      </w:r>
      <w:r>
        <w:rPr>
          <w:rFonts w:hint="eastAsia" w:ascii="仿宋" w:hAnsi="仿宋" w:eastAsia="仿宋" w:cs="仿宋"/>
          <w:b w:val="0"/>
          <w:bCs w:val="0"/>
          <w:snapToGrid w:val="0"/>
          <w:kern w:val="28"/>
          <w:sz w:val="24"/>
          <w:lang w:eastAsia="zh-CN"/>
        </w:rPr>
        <w:t>萧采云平台</w:t>
      </w:r>
      <w:r>
        <w:rPr>
          <w:rFonts w:hint="eastAsia" w:ascii="仿宋" w:hAnsi="仿宋" w:eastAsia="仿宋" w:cs="仿宋"/>
          <w:b w:val="0"/>
          <w:bCs w:val="0"/>
          <w:snapToGrid w:val="0"/>
          <w:kern w:val="28"/>
          <w:sz w:val="24"/>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w:t>
      </w:r>
      <w:r>
        <w:rPr>
          <w:rFonts w:hint="eastAsia" w:ascii="仿宋" w:hAnsi="仿宋" w:eastAsia="仿宋" w:cs="仿宋"/>
          <w:b w:val="0"/>
          <w:bCs w:val="0"/>
          <w:snapToGrid w:val="0"/>
          <w:kern w:val="28"/>
          <w:sz w:val="24"/>
          <w:lang w:eastAsia="zh-CN"/>
        </w:rPr>
        <w:t>萧采云</w:t>
      </w:r>
      <w:r>
        <w:rPr>
          <w:rFonts w:hint="eastAsia" w:ascii="仿宋" w:hAnsi="仿宋" w:eastAsia="仿宋" w:cs="仿宋"/>
          <w:b w:val="0"/>
          <w:bCs w:val="0"/>
          <w:snapToGrid w:val="0"/>
          <w:kern w:val="28"/>
          <w:sz w:val="24"/>
        </w:rPr>
        <w:t>金融专线400-903-9583。</w:t>
      </w:r>
    </w:p>
    <w:p>
      <w:pPr>
        <w:pStyle w:val="3"/>
        <w:rPr>
          <w:rFonts w:hint="eastAsia" w:ascii="仿宋" w:hAnsi="仿宋" w:eastAsia="仿宋" w:cs="仿宋"/>
          <w:highlight w:val="none"/>
        </w:rPr>
      </w:pPr>
      <w:r>
        <w:rPr>
          <w:rFonts w:hint="eastAsia" w:ascii="仿宋" w:hAnsi="仿宋" w:eastAsia="仿宋" w:cs="仿宋"/>
          <w:b/>
          <w:bCs/>
          <w:sz w:val="24"/>
          <w:szCs w:val="32"/>
          <w:highlight w:val="none"/>
          <w:lang w:val="en-US"/>
        </w:rPr>
        <w:t>27.预付款</w:t>
      </w:r>
    </w:p>
    <w:p>
      <w:pPr>
        <w:adjustRightInd/>
        <w:spacing w:line="360" w:lineRule="auto"/>
        <w:ind w:firstLine="480" w:firstLineChars="200"/>
        <w:rPr>
          <w:rFonts w:hint="eastAsia" w:ascii="仿宋" w:hAnsi="仿宋" w:eastAsia="仿宋" w:cs="仿宋"/>
          <w:b/>
          <w:sz w:val="32"/>
        </w:rPr>
      </w:pPr>
      <w:r>
        <w:rPr>
          <w:rFonts w:hint="eastAsia" w:ascii="仿宋" w:hAnsi="仿宋" w:eastAsia="仿宋" w:cs="仿宋"/>
          <w:sz w:val="24"/>
          <w:highlight w:val="none"/>
        </w:rPr>
        <w:t>采购单位应当在采购合同中约定预付款，对中小企业合同预付款比例原则上不低于合同金额的40％，不高于合同金额的70%；项目分年安排预算的，每年预付款比例</w:t>
      </w:r>
      <w:r>
        <w:rPr>
          <w:rFonts w:hint="eastAsia" w:ascii="仿宋" w:hAnsi="仿宋" w:eastAsia="仿宋" w:cs="仿宋"/>
          <w:sz w:val="24"/>
        </w:rPr>
        <w:t>不低于</w:t>
      </w:r>
      <w:r>
        <w:rPr>
          <w:rFonts w:hint="eastAsia" w:ascii="仿宋" w:hAnsi="仿宋" w:eastAsia="仿宋" w:cs="仿宋"/>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采购预付款应在合同生效以及具备实施条件后5个工作日内支付。采购工程以及与工程建设有关的货物、服务，采用招标方式采购的，预付款从其相关规定。供应商可登录</w:t>
      </w:r>
      <w:r>
        <w:rPr>
          <w:rFonts w:hint="eastAsia" w:ascii="仿宋" w:hAnsi="仿宋" w:eastAsia="仿宋" w:cs="仿宋"/>
          <w:sz w:val="24"/>
          <w:highlight w:val="none"/>
          <w:lang w:eastAsia="zh-CN"/>
        </w:rPr>
        <w:t>萧采云</w:t>
      </w:r>
      <w:r>
        <w:rPr>
          <w:rFonts w:hint="eastAsia" w:ascii="仿宋" w:hAnsi="仿宋" w:eastAsia="仿宋" w:cs="仿宋"/>
          <w:sz w:val="24"/>
          <w:highlight w:val="none"/>
        </w:rPr>
        <w:t>前台大厅选择金融服务 - 【保函保险服务】出具预付款保函，具体步骤：选择产品—填写供应商信息—选择中标项目—确认信息—等待保险/保函受理—确认保单—支付保费—成功出单。</w:t>
      </w:r>
      <w:r>
        <w:rPr>
          <w:rFonts w:hint="eastAsia" w:ascii="仿宋" w:hAnsi="仿宋" w:eastAsia="仿宋" w:cs="仿宋"/>
          <w:sz w:val="24"/>
          <w:highlight w:val="none"/>
          <w:lang w:eastAsia="zh-CN"/>
        </w:rPr>
        <w:t>萧采云</w:t>
      </w:r>
      <w:r>
        <w:rPr>
          <w:rFonts w:hint="eastAsia" w:ascii="仿宋" w:hAnsi="仿宋" w:eastAsia="仿宋" w:cs="仿宋"/>
          <w:sz w:val="24"/>
          <w:highlight w:val="none"/>
        </w:rPr>
        <w:t>金融专线400-903-9583。</w:t>
      </w: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31"/>
        <w:snapToGrid w:val="0"/>
        <w:spacing w:before="0"/>
        <w:ind w:firstLine="0" w:firstLineChars="0"/>
        <w:rPr>
          <w:rFonts w:hint="eastAsia" w:ascii="仿宋" w:hAnsi="仿宋" w:eastAsia="仿宋" w:cs="仿宋"/>
        </w:rPr>
      </w:pPr>
      <w:r>
        <w:rPr>
          <w:rFonts w:hint="eastAsia" w:ascii="仿宋" w:hAnsi="仿宋" w:eastAsia="仿宋" w:cs="仿宋"/>
          <w:b/>
          <w:bCs/>
          <w:sz w:val="24"/>
          <w:szCs w:val="20"/>
        </w:rPr>
        <w:t>2</w:t>
      </w:r>
      <w:r>
        <w:rPr>
          <w:rFonts w:hint="eastAsia" w:ascii="仿宋" w:hAnsi="仿宋" w:eastAsia="仿宋" w:cs="仿宋"/>
          <w:b/>
          <w:bCs/>
          <w:sz w:val="24"/>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w:t>
      </w:r>
      <w:r>
        <w:rPr>
          <w:rFonts w:hint="eastAsia" w:ascii="仿宋" w:hAnsi="仿宋" w:eastAsia="仿宋" w:cs="仿宋"/>
          <w:lang w:eastAsia="zh-CN"/>
        </w:rPr>
        <w:t>采购代理机构</w:t>
      </w:r>
      <w:r>
        <w:rPr>
          <w:rFonts w:hint="eastAsia" w:ascii="仿宋" w:hAnsi="仿宋" w:eastAsia="仿宋" w:cs="仿宋"/>
        </w:rPr>
        <w:t>可中止电子交易活动：</w:t>
      </w:r>
    </w:p>
    <w:p>
      <w:pPr>
        <w:pStyle w:val="131"/>
        <w:snapToGrid w:val="0"/>
        <w:spacing w:before="0"/>
        <w:ind w:firstLine="480"/>
        <w:rPr>
          <w:rFonts w:hint="eastAsia" w:ascii="仿宋" w:hAnsi="仿宋" w:eastAsia="仿宋" w:cs="仿宋"/>
        </w:rPr>
      </w:pPr>
      <w:r>
        <w:rPr>
          <w:rFonts w:hint="eastAsia" w:ascii="仿宋" w:hAnsi="仿宋" w:eastAsia="仿宋" w:cs="仿宋"/>
        </w:rPr>
        <w:t xml:space="preserve">28.1电子交易平台发生故障而无法登录访问的； </w:t>
      </w:r>
    </w:p>
    <w:p>
      <w:pPr>
        <w:pStyle w:val="131"/>
        <w:snapToGrid w:val="0"/>
        <w:spacing w:before="0"/>
        <w:ind w:firstLine="480"/>
        <w:rPr>
          <w:rFonts w:hint="eastAsia" w:ascii="仿宋" w:hAnsi="仿宋" w:eastAsia="仿宋" w:cs="仿宋"/>
        </w:rPr>
      </w:pPr>
      <w:r>
        <w:rPr>
          <w:rFonts w:hint="eastAsia" w:ascii="仿宋" w:hAnsi="仿宋" w:eastAsia="仿宋" w:cs="仿宋"/>
        </w:rPr>
        <w:t>28.2电子交易平台应用或数据库出现错误，不能进行正常操作的；</w:t>
      </w:r>
    </w:p>
    <w:p>
      <w:pPr>
        <w:pStyle w:val="131"/>
        <w:snapToGrid w:val="0"/>
        <w:spacing w:before="0"/>
        <w:ind w:firstLine="480"/>
        <w:rPr>
          <w:rFonts w:hint="eastAsia" w:ascii="仿宋" w:hAnsi="仿宋" w:eastAsia="仿宋" w:cs="仿宋"/>
        </w:rPr>
      </w:pPr>
      <w:r>
        <w:rPr>
          <w:rFonts w:hint="eastAsia" w:ascii="仿宋" w:hAnsi="仿宋" w:eastAsia="仿宋" w:cs="仿宋"/>
        </w:rPr>
        <w:t>28.3电子交易平台发现严重安全漏洞，有潜在泄密危险的；</w:t>
      </w:r>
    </w:p>
    <w:p>
      <w:pPr>
        <w:pStyle w:val="131"/>
        <w:snapToGrid w:val="0"/>
        <w:spacing w:before="0"/>
        <w:ind w:firstLine="480"/>
        <w:rPr>
          <w:rFonts w:hint="eastAsia" w:ascii="仿宋" w:hAnsi="仿宋" w:eastAsia="仿宋" w:cs="仿宋"/>
        </w:rPr>
      </w:pPr>
      <w:r>
        <w:rPr>
          <w:rFonts w:hint="eastAsia" w:ascii="仿宋" w:hAnsi="仿宋" w:eastAsia="仿宋" w:cs="仿宋"/>
        </w:rPr>
        <w:t xml:space="preserve">28.4病毒发作导致不能进行正常操作的； </w:t>
      </w:r>
    </w:p>
    <w:p>
      <w:pPr>
        <w:pStyle w:val="131"/>
        <w:snapToGrid w:val="0"/>
        <w:spacing w:before="0"/>
        <w:ind w:firstLine="480"/>
        <w:rPr>
          <w:rFonts w:hint="eastAsia" w:ascii="仿宋" w:hAnsi="仿宋" w:eastAsia="仿宋" w:cs="仿宋"/>
        </w:rPr>
      </w:pPr>
      <w:r>
        <w:rPr>
          <w:rFonts w:hint="eastAsia" w:ascii="仿宋" w:hAnsi="仿宋" w:eastAsia="仿宋" w:cs="仿宋"/>
        </w:rPr>
        <w:t>28.5其他无法保证电子交易的公平、公正和安全的情况。</w:t>
      </w:r>
    </w:p>
    <w:p>
      <w:pPr>
        <w:pStyle w:val="131"/>
        <w:snapToGrid w:val="0"/>
        <w:spacing w:before="0"/>
        <w:ind w:firstLine="0" w:firstLineChars="0"/>
        <w:rPr>
          <w:rFonts w:hint="eastAsia" w:ascii="仿宋" w:hAnsi="仿宋" w:eastAsia="仿宋" w:cs="仿宋"/>
          <w:sz w:val="24"/>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30.1采购人组织对供应商履约的验收。大型或者复杂的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30295"/>
      <w:bookmarkEnd w:id="15"/>
      <w:bookmarkStart w:id="16" w:name="_Hlt68072990"/>
      <w:bookmarkEnd w:id="16"/>
      <w:bookmarkStart w:id="17" w:name="_Hlt68403820"/>
      <w:bookmarkEnd w:id="17"/>
      <w:bookmarkStart w:id="18" w:name="_Hlt74707468"/>
      <w:bookmarkEnd w:id="18"/>
      <w:bookmarkStart w:id="19" w:name="_Hlt74714665"/>
      <w:bookmarkEnd w:id="19"/>
      <w:bookmarkStart w:id="20" w:name="_Hlt75236011"/>
      <w:bookmarkEnd w:id="20"/>
      <w:bookmarkStart w:id="21" w:name="_Hlt75236101"/>
      <w:bookmarkEnd w:id="21"/>
      <w:bookmarkStart w:id="22" w:name="_Hlt68072998"/>
      <w:bookmarkEnd w:id="22"/>
      <w:bookmarkStart w:id="23" w:name="_Hlt68073093"/>
      <w:bookmarkEnd w:id="23"/>
      <w:bookmarkStart w:id="24" w:name="_Hlt68057669"/>
      <w:bookmarkEnd w:id="24"/>
      <w:bookmarkStart w:id="25" w:name="_Hlt75236290"/>
      <w:bookmarkEnd w:id="25"/>
      <w:bookmarkStart w:id="26" w:name="_Hlt74729768"/>
      <w:bookmarkEnd w:id="26"/>
    </w:p>
    <w:bookmarkEnd w:id="11"/>
    <w:bookmarkEnd w:id="12"/>
    <w:p>
      <w:pPr>
        <w:spacing w:line="360" w:lineRule="auto"/>
        <w:jc w:val="center"/>
        <w:outlineLvl w:val="0"/>
        <w:rPr>
          <w:rFonts w:hint="eastAsia" w:ascii="仿宋" w:hAnsi="仿宋" w:eastAsia="仿宋" w:cs="仿宋"/>
          <w:b/>
          <w:sz w:val="36"/>
          <w:szCs w:val="36"/>
        </w:rPr>
      </w:pPr>
      <w:bookmarkStart w:id="27" w:name="第四部分"/>
      <w:r>
        <w:rPr>
          <w:rFonts w:hint="eastAsia" w:ascii="仿宋" w:hAnsi="仿宋" w:eastAsia="仿宋" w:cs="仿宋"/>
          <w:b/>
          <w:sz w:val="36"/>
          <w:szCs w:val="36"/>
        </w:rPr>
        <w:t>第三部分   采购需求</w:t>
      </w:r>
    </w:p>
    <w:p>
      <w:pPr>
        <w:snapToGrid w:val="0"/>
        <w:rPr>
          <w:rStyle w:val="964"/>
          <w:rFonts w:hint="eastAsia" w:ascii="仿宋" w:hAnsi="仿宋" w:eastAsia="仿宋" w:cs="仿宋"/>
          <w:sz w:val="24"/>
          <w:szCs w:val="24"/>
        </w:rPr>
      </w:pPr>
      <w:r>
        <w:rPr>
          <w:rStyle w:val="964"/>
          <w:rFonts w:hint="eastAsia" w:ascii="仿宋" w:hAnsi="仿宋" w:eastAsia="仿宋" w:cs="仿宋"/>
          <w:sz w:val="24"/>
          <w:szCs w:val="24"/>
        </w:rPr>
        <w:t>属于实质性要求条款的，请用符号“▲”标明，否则属于非实质性要求。</w:t>
      </w:r>
    </w:p>
    <w:p>
      <w:pPr>
        <w:snapToGrid w:val="0"/>
        <w:rPr>
          <w:rStyle w:val="964"/>
          <w:rFonts w:hint="eastAsia" w:ascii="仿宋" w:hAnsi="仿宋" w:eastAsia="仿宋" w:cs="仿宋"/>
          <w:sz w:val="24"/>
          <w:szCs w:val="24"/>
        </w:rPr>
      </w:pPr>
      <w:r>
        <w:rPr>
          <w:rStyle w:val="964"/>
          <w:rFonts w:hint="eastAsia" w:ascii="仿宋" w:hAnsi="仿宋" w:eastAsia="仿宋" w:cs="仿宋"/>
          <w:sz w:val="24"/>
          <w:szCs w:val="24"/>
        </w:rPr>
        <w:t>“★”系产品采购项目中单一产品或核心产品。</w:t>
      </w:r>
    </w:p>
    <w:p>
      <w:pPr>
        <w:pStyle w:val="3"/>
        <w:rPr>
          <w:rFonts w:hint="eastAsia" w:ascii="仿宋" w:hAnsi="仿宋" w:eastAsia="仿宋" w:cs="仿宋"/>
        </w:rPr>
      </w:pPr>
    </w:p>
    <w:p>
      <w:pPr>
        <w:pStyle w:val="3"/>
        <w:numPr>
          <w:ilvl w:val="0"/>
          <w:numId w:val="1"/>
        </w:numPr>
        <w:jc w:val="center"/>
        <w:rPr>
          <w:rFonts w:hint="eastAsia" w:ascii="仿宋" w:hAnsi="仿宋" w:eastAsia="仿宋" w:cs="仿宋"/>
        </w:rPr>
      </w:pPr>
      <w:r>
        <w:rPr>
          <w:rFonts w:hint="eastAsia" w:ascii="仿宋" w:hAnsi="仿宋" w:eastAsia="仿宋" w:cs="仿宋"/>
        </w:rPr>
        <w:t>招标一览表</w:t>
      </w:r>
    </w:p>
    <w:p>
      <w:pPr>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标项1:</w:t>
      </w:r>
      <w:r>
        <w:rPr>
          <w:rFonts w:hint="eastAsia" w:ascii="仿宋" w:hAnsi="仿宋" w:eastAsia="仿宋" w:cs="仿宋"/>
          <w:b/>
          <w:bCs/>
          <w:sz w:val="24"/>
          <w:szCs w:val="24"/>
          <w:lang w:eastAsia="zh-CN"/>
        </w:rPr>
        <w:t>萧山经开区国控集团及下属公司食堂运营项目</w:t>
      </w:r>
    </w:p>
    <w:tbl>
      <w:tblPr>
        <w:tblStyle w:val="62"/>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366"/>
        <w:gridCol w:w="791"/>
        <w:gridCol w:w="764"/>
        <w:gridCol w:w="1744"/>
        <w:gridCol w:w="1495"/>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3" w:hRule="atLeast"/>
        </w:trPr>
        <w:tc>
          <w:tcPr>
            <w:tcW w:w="523"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序号</w:t>
            </w:r>
          </w:p>
        </w:tc>
        <w:tc>
          <w:tcPr>
            <w:tcW w:w="1366"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名称</w:t>
            </w:r>
          </w:p>
        </w:tc>
        <w:tc>
          <w:tcPr>
            <w:tcW w:w="791"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数量</w:t>
            </w:r>
          </w:p>
        </w:tc>
        <w:tc>
          <w:tcPr>
            <w:tcW w:w="764"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单位</w:t>
            </w:r>
          </w:p>
        </w:tc>
        <w:tc>
          <w:tcPr>
            <w:tcW w:w="1744" w:type="dxa"/>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预算（元）</w:t>
            </w:r>
          </w:p>
        </w:tc>
        <w:tc>
          <w:tcPr>
            <w:tcW w:w="1495" w:type="dxa"/>
            <w:vAlign w:val="center"/>
          </w:tcPr>
          <w:p>
            <w:pPr>
              <w:tabs>
                <w:tab w:val="left" w:pos="0"/>
              </w:tabs>
              <w:snapToGrid w:val="0"/>
              <w:jc w:val="center"/>
              <w:rPr>
                <w:rFonts w:ascii="仿宋" w:hAnsi="仿宋" w:eastAsia="仿宋" w:cs="仿宋"/>
                <w:sz w:val="24"/>
              </w:rPr>
            </w:pPr>
            <w:r>
              <w:rPr>
                <w:rFonts w:hint="eastAsia" w:ascii="仿宋" w:hAnsi="仿宋" w:eastAsia="仿宋" w:cs="仿宋"/>
                <w:kern w:val="0"/>
                <w:sz w:val="24"/>
                <w:lang w:val="zh-CN"/>
              </w:rPr>
              <w:t>规格及技术要求</w:t>
            </w:r>
          </w:p>
        </w:tc>
        <w:tc>
          <w:tcPr>
            <w:tcW w:w="1996" w:type="dxa"/>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tcMar>
              <w:top w:w="15" w:type="dxa"/>
              <w:left w:w="15" w:type="dxa"/>
              <w:bottom w:w="0" w:type="dxa"/>
              <w:right w:w="15" w:type="dxa"/>
            </w:tcMar>
            <w:vAlign w:val="center"/>
          </w:tcPr>
          <w:p>
            <w:pPr>
              <w:tabs>
                <w:tab w:val="left" w:pos="0"/>
              </w:tabs>
              <w:jc w:val="center"/>
              <w:rPr>
                <w:rFonts w:ascii="仿宋" w:hAnsi="仿宋" w:eastAsia="仿宋" w:cs="仿宋"/>
                <w:sz w:val="24"/>
              </w:rPr>
            </w:pPr>
            <w:r>
              <w:rPr>
                <w:rFonts w:hint="eastAsia" w:ascii="仿宋" w:hAnsi="仿宋" w:eastAsia="仿宋" w:cs="仿宋"/>
                <w:sz w:val="24"/>
              </w:rPr>
              <w:t>1</w:t>
            </w:r>
          </w:p>
        </w:tc>
        <w:tc>
          <w:tcPr>
            <w:tcW w:w="1366" w:type="dxa"/>
            <w:tcMar>
              <w:top w:w="15" w:type="dxa"/>
              <w:left w:w="15" w:type="dxa"/>
              <w:bottom w:w="0" w:type="dxa"/>
              <w:right w:w="15" w:type="dxa"/>
            </w:tcMar>
            <w:vAlign w:val="center"/>
          </w:tcPr>
          <w:p>
            <w:pPr>
              <w:jc w:val="center"/>
              <w:textAlignment w:val="center"/>
              <w:rPr>
                <w:rFonts w:hint="eastAsia" w:ascii="仿宋" w:hAnsi="仿宋" w:eastAsia="仿宋" w:cs="仿宋"/>
                <w:sz w:val="24"/>
                <w:lang w:eastAsia="zh-CN"/>
              </w:rPr>
            </w:pPr>
            <w:r>
              <w:rPr>
                <w:rFonts w:hint="eastAsia" w:ascii="仿宋" w:hAnsi="仿宋" w:eastAsia="仿宋" w:cs="仿宋"/>
                <w:b w:val="0"/>
                <w:bCs/>
                <w:sz w:val="24"/>
                <w:lang w:val="en-US" w:eastAsia="zh-CN"/>
              </w:rPr>
              <w:t>萧山经开区国控集团及下属公司食堂运营项目</w:t>
            </w:r>
          </w:p>
        </w:tc>
        <w:tc>
          <w:tcPr>
            <w:tcW w:w="791"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w:t>
            </w:r>
          </w:p>
        </w:tc>
        <w:tc>
          <w:tcPr>
            <w:tcW w:w="764" w:type="dxa"/>
            <w:tcMar>
              <w:top w:w="15" w:type="dxa"/>
              <w:left w:w="15" w:type="dxa"/>
              <w:bottom w:w="0" w:type="dxa"/>
              <w:right w:w="15" w:type="dxa"/>
            </w:tcMar>
            <w:vAlign w:val="center"/>
          </w:tcPr>
          <w:p>
            <w:pPr>
              <w:jc w:val="center"/>
              <w:textAlignment w:val="center"/>
              <w:rPr>
                <w:rFonts w:hint="default" w:ascii="仿宋" w:hAnsi="仿宋" w:eastAsia="仿宋" w:cs="仿宋"/>
                <w:color w:val="auto"/>
                <w:sz w:val="24"/>
                <w:lang w:val="en-US" w:eastAsia="zh-CN"/>
              </w:rPr>
            </w:pPr>
            <w:r>
              <w:rPr>
                <w:rFonts w:hint="eastAsia" w:ascii="仿宋" w:hAnsi="仿宋" w:eastAsia="仿宋" w:cs="仿宋"/>
                <w:b w:val="0"/>
                <w:bCs w:val="0"/>
                <w:color w:val="auto"/>
                <w:sz w:val="24"/>
                <w:u w:val="none"/>
                <w:lang w:val="en-US" w:eastAsia="zh-CN"/>
              </w:rPr>
              <w:t>项</w:t>
            </w:r>
          </w:p>
        </w:tc>
        <w:tc>
          <w:tcPr>
            <w:tcW w:w="1744" w:type="dxa"/>
            <w:vAlign w:val="center"/>
          </w:tcPr>
          <w:p>
            <w:pPr>
              <w:jc w:val="center"/>
              <w:textAlignment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35000000.00</w:t>
            </w:r>
          </w:p>
        </w:tc>
        <w:tc>
          <w:tcPr>
            <w:tcW w:w="1495"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详见采购需求</w:t>
            </w:r>
          </w:p>
        </w:tc>
        <w:tc>
          <w:tcPr>
            <w:tcW w:w="1996" w:type="dxa"/>
            <w:vAlign w:val="center"/>
          </w:tcPr>
          <w:p>
            <w:pPr>
              <w:pStyle w:val="79"/>
              <w:jc w:val="center"/>
              <w:rPr>
                <w:rFonts w:hint="default"/>
                <w:highlight w:val="none"/>
                <w:lang w:val="en-US" w:eastAsia="zh-CN"/>
              </w:rPr>
            </w:pPr>
            <w:r>
              <w:rPr>
                <w:rFonts w:hint="eastAsia"/>
                <w:highlight w:val="none"/>
                <w:lang w:val="en-US" w:eastAsia="zh-CN"/>
              </w:rPr>
              <w:t>35000000.00</w:t>
            </w:r>
          </w:p>
        </w:tc>
      </w:tr>
    </w:tbl>
    <w:p>
      <w:pPr>
        <w:pStyle w:val="3"/>
        <w:numPr>
          <w:ilvl w:val="0"/>
          <w:numId w:val="0"/>
        </w:numPr>
        <w:ind w:leftChars="0"/>
        <w:rPr>
          <w:rFonts w:hint="eastAsia" w:ascii="仿宋" w:hAnsi="仿宋" w:eastAsia="仿宋" w:cs="仿宋"/>
          <w:b/>
          <w:sz w:val="24"/>
          <w:szCs w:val="24"/>
        </w:rPr>
      </w:pPr>
      <w:r>
        <w:rPr>
          <w:rFonts w:hint="eastAsia" w:ascii="仿宋" w:hAnsi="仿宋" w:eastAsia="仿宋" w:cs="仿宋"/>
          <w:b/>
          <w:sz w:val="24"/>
          <w:szCs w:val="24"/>
        </w:rPr>
        <w:t>注：▲投标人需在投标（开标）一览表中明确投标报价（总价）及以上各分项小计报价，各分项小计报价不得超过上表各最高限价。严格执行预算限价，项目如涉及办公用房装修、通用办公设备家具的不得超限额标准。（萧财国资【2019】389号）</w:t>
      </w:r>
    </w:p>
    <w:p>
      <w:pPr>
        <w:rPr>
          <w:rFonts w:hint="eastAsia" w:ascii="仿宋" w:hAnsi="仿宋" w:eastAsia="仿宋" w:cs="仿宋"/>
          <w:b/>
          <w:sz w:val="22"/>
          <w:szCs w:val="22"/>
        </w:rPr>
      </w:pPr>
    </w:p>
    <w:p>
      <w:pPr>
        <w:pStyle w:val="3"/>
        <w:numPr>
          <w:ilvl w:val="0"/>
          <w:numId w:val="0"/>
        </w:numPr>
        <w:ind w:leftChars="0"/>
        <w:jc w:val="center"/>
        <w:rPr>
          <w:rFonts w:hint="eastAsia" w:ascii="仿宋" w:hAnsi="仿宋" w:eastAsia="仿宋" w:cs="仿宋"/>
          <w:sz w:val="24"/>
          <w:szCs w:val="24"/>
        </w:rPr>
      </w:pPr>
      <w:bookmarkStart w:id="28" w:name="_Toc121650746"/>
      <w:r>
        <w:rPr>
          <w:rFonts w:hint="eastAsia" w:ascii="仿宋" w:eastAsia="仿宋" w:cs="仿宋"/>
          <w:color w:val="auto"/>
          <w:highlight w:val="none"/>
          <w:lang w:val="en-US" w:eastAsia="zh-CN"/>
        </w:rPr>
        <w:t>二、</w:t>
      </w:r>
      <w:r>
        <w:rPr>
          <w:rFonts w:hint="eastAsia" w:ascii="仿宋" w:hAnsi="仿宋" w:eastAsia="仿宋" w:cs="仿宋"/>
          <w:color w:val="auto"/>
          <w:highlight w:val="none"/>
        </w:rPr>
        <w:t>采购需求</w:t>
      </w:r>
      <w:bookmarkEnd w:id="28"/>
    </w:p>
    <w:p>
      <w:pPr>
        <w:pageBreakBefore w:val="0"/>
        <w:kinsoku/>
        <w:wordWrap/>
        <w:overflowPunct/>
        <w:topLinePunct w:val="0"/>
        <w:autoSpaceDE/>
        <w:autoSpaceDN/>
        <w:bidi w:val="0"/>
        <w:snapToGrid w:val="0"/>
        <w:spacing w:beforeAutospacing="0" w:afterAutospacing="0"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（一）</w:t>
      </w:r>
      <w:r>
        <w:rPr>
          <w:rFonts w:hint="eastAsia" w:ascii="仿宋" w:hAnsi="仿宋" w:eastAsia="仿宋" w:cs="仿宋"/>
          <w:b/>
          <w:bCs/>
          <w:sz w:val="24"/>
          <w:szCs w:val="24"/>
          <w:highlight w:val="none"/>
        </w:rPr>
        <w:t>项目基本情况</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1、项目地点：</w:t>
      </w:r>
      <w:r>
        <w:rPr>
          <w:rFonts w:hint="eastAsia" w:ascii="仿宋" w:hAnsi="仿宋" w:eastAsia="仿宋" w:cs="仿宋"/>
          <w:sz w:val="24"/>
          <w:szCs w:val="24"/>
          <w:highlight w:val="none"/>
          <w:lang w:val="en-US" w:eastAsia="zh-CN"/>
        </w:rPr>
        <w:t>萧山</w:t>
      </w:r>
      <w:r>
        <w:rPr>
          <w:rFonts w:hint="eastAsia" w:ascii="仿宋" w:hAnsi="仿宋" w:eastAsia="仿宋" w:cs="仿宋"/>
          <w:b w:val="0"/>
          <w:bCs/>
          <w:sz w:val="24"/>
          <w:lang w:val="en-US" w:eastAsia="zh-CN"/>
        </w:rPr>
        <w:t>经济技术开发区国有资本控股集团下属9个</w:t>
      </w:r>
      <w:r>
        <w:rPr>
          <w:rFonts w:hint="eastAsia" w:ascii="仿宋" w:hAnsi="仿宋" w:eastAsia="仿宋" w:cs="仿宋"/>
          <w:b w:val="0"/>
          <w:bCs/>
          <w:sz w:val="24"/>
          <w:lang w:eastAsia="zh-CN"/>
        </w:rPr>
        <w:t>食堂</w:t>
      </w:r>
      <w:r>
        <w:rPr>
          <w:rFonts w:hint="eastAsia" w:ascii="仿宋" w:hAnsi="仿宋" w:eastAsia="仿宋" w:cs="仿宋"/>
          <w:sz w:val="24"/>
          <w:szCs w:val="24"/>
          <w:highlight w:val="none"/>
        </w:rPr>
        <w:t>。</w:t>
      </w:r>
    </w:p>
    <w:p>
      <w:pPr>
        <w:pStyle w:val="79"/>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食堂简介</w:t>
      </w:r>
      <w:r>
        <w:rPr>
          <w:rFonts w:hint="eastAsia" w:ascii="仿宋" w:hAnsi="仿宋" w:eastAsia="仿宋" w:cs="仿宋"/>
          <w:color w:val="auto"/>
          <w:sz w:val="24"/>
          <w:szCs w:val="24"/>
          <w:highlight w:val="none"/>
        </w:rPr>
        <w:t>：</w:t>
      </w:r>
    </w:p>
    <w:p>
      <w:pPr>
        <w:pStyle w:val="80"/>
        <w:spacing w:line="360" w:lineRule="auto"/>
        <w:ind w:left="0" w:leftChars="0" w:firstLine="480" w:firstLineChars="200"/>
        <w:rPr>
          <w:rFonts w:hint="default" w:eastAsia="仿宋"/>
          <w:lang w:val="en-US" w:eastAsia="zh-CN"/>
        </w:rPr>
      </w:pPr>
      <w:r>
        <w:rPr>
          <w:rFonts w:hint="eastAsia" w:ascii="仿宋" w:hAnsi="仿宋" w:eastAsia="仿宋" w:cs="仿宋"/>
          <w:color w:val="auto"/>
          <w:sz w:val="24"/>
          <w:szCs w:val="24"/>
          <w:highlight w:val="none"/>
          <w:lang w:val="en-US" w:eastAsia="zh-CN"/>
        </w:rPr>
        <w:t>食堂分为内部食堂和市场化经营食堂，其中内部食堂有经开国控集团食堂和绿发公司食堂，其余为市场化经营食堂。以下为各个食堂的预估情况，如出现就餐时间、园区人员数量、每日供餐次数、包厢数量、档口数量的调整，中标人不得拒绝，运营费用及管理费用收取比例不变。</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（1）经开国控集团食堂（内部食堂）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集团内目前约100人，就餐人数以实际为准。中标人负责提供周一至周五早中晚三餐及满足一个包厢的就餐需求。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（2）绿发公司食堂（内部食堂）</w:t>
      </w:r>
    </w:p>
    <w:p>
      <w:pPr>
        <w:pStyle w:val="80"/>
        <w:spacing w:line="360" w:lineRule="auto"/>
        <w:ind w:left="0" w:leftChars="0" w:firstLine="480" w:firstLineChars="200"/>
        <w:rPr>
          <w:rFonts w:hint="eastAsia"/>
          <w:lang w:val="en-US" w:eastAsia="zh-CN"/>
        </w:rPr>
      </w:pPr>
      <w:r>
        <w:rPr>
          <w:rFonts w:hint="eastAsia" w:ascii="仿宋" w:hAnsi="仿宋" w:eastAsia="仿宋" w:cs="仿宋"/>
          <w:color w:val="auto"/>
          <w:sz w:val="24"/>
          <w:szCs w:val="24"/>
          <w:highlight w:val="none"/>
          <w:lang w:val="en-US" w:eastAsia="zh-CN"/>
        </w:rPr>
        <w:t>公司内目前约50人，就餐人数以实际为准。中标人负责提供周一至周五早中两餐及满足一个包厢的就餐需求。</w:t>
      </w:r>
    </w:p>
    <w:p>
      <w:pPr>
        <w:pStyle w:val="80"/>
        <w:spacing w:line="360" w:lineRule="auto"/>
        <w:ind w:left="0" w:leftChars="0"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（3）创业谷一期食堂（市场化经营食堂）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园区内目前约400人，就餐人数以实际为准。中标人负责提供周一至周五早中晚三餐及满足两个包厢的就餐需求。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（4）信息港七期食堂（市场化经营食堂）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园区暂未开园，预计招租招商稳定后约600-800人，就餐人数以实际为准。中标人负责提供周一至周五早中晚三餐及满足五个以上档口、五个以上包厢的就餐需求。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（5）机器人小镇博展中心食堂（市场化经营食堂）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园区内目前约250人，就餐人数以实际为准。中标人负责提供周一至周五早中晚三餐及满足两个包厢的就餐需求。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（6）机器人小镇硬科技中心食堂（市场化经营食堂）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园区内目前约400人，就餐人数以实际为准。目前园区内有汉帛员工食堂在运营，后续将与汉帛公司协商，在汉帛员工食堂关闭后，重新开设食堂交由中标人运营。中标人负责提供周一至周五早中晚三餐及满足一到三个包厢的就餐需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（7）金珺澜庭邻里食堂（市场化经营食堂）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小区内目前约100名60岁以上老人，就餐人数以实际为准。中标人负责提供社区老人周一至周日全年午休早中晚社区养老餐堂食及送餐保障服务，社区老人就餐须按照要求打折（具体折扣由采购方确定，中标人不得拒绝）。此外，该食堂进行纯粹的市场化经营，设计、装修、设备采买、人员工资、食材、易耗品等所有费用均由中标人支出，且采购人不向中标人支付运营费用，但营收管理费提取比例不变。</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（8）钱湾生物港一期食堂（市场化经营食堂）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园区内目前约400人，就餐人数以实际为准。中标人负责提供周一到周日全年午休早中晚夜宵四餐及满足两个档口、两个包厢的就餐需求。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（9）灵康大厦无忧共享食堂（市场化经营食堂）</w:t>
      </w:r>
    </w:p>
    <w:p>
      <w:pPr>
        <w:pStyle w:val="80"/>
        <w:spacing w:line="360" w:lineRule="auto"/>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园区内无忧传媒目前约400人，就餐人数以实际为准。中标人负责提供周一到周日全年午休中晚夜宵三餐的就餐需求。</w:t>
      </w:r>
    </w:p>
    <w:p>
      <w:pPr>
        <w:pageBreakBefore w:val="0"/>
        <w:tabs>
          <w:tab w:val="left" w:pos="1050"/>
        </w:tabs>
        <w:kinsoku/>
        <w:wordWrap/>
        <w:overflowPunct/>
        <w:topLinePunct w:val="0"/>
        <w:autoSpaceDE/>
        <w:autoSpaceDN/>
        <w:bidi w:val="0"/>
        <w:snapToGrid w:val="0"/>
        <w:spacing w:beforeAutospacing="0" w:afterAutospacing="0"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（二）运营方</w:t>
      </w:r>
      <w:r>
        <w:rPr>
          <w:rFonts w:hint="eastAsia" w:ascii="仿宋" w:hAnsi="仿宋" w:eastAsia="仿宋" w:cs="仿宋"/>
          <w:b/>
          <w:bCs/>
          <w:sz w:val="24"/>
          <w:szCs w:val="24"/>
          <w:highlight w:val="none"/>
        </w:rPr>
        <w:t>式</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b/>
          <w:bCs/>
          <w:color w:val="auto"/>
          <w:sz w:val="24"/>
          <w:szCs w:val="24"/>
          <w:highlight w:val="none"/>
          <w:u w:val="none"/>
          <w:lang w:val="zh-CN"/>
        </w:rPr>
      </w:pPr>
      <w:r>
        <w:rPr>
          <w:rFonts w:hint="eastAsia" w:ascii="仿宋" w:hAnsi="仿宋" w:eastAsia="仿宋" w:cs="仿宋"/>
          <w:color w:val="auto"/>
          <w:sz w:val="24"/>
          <w:szCs w:val="24"/>
          <w:highlight w:val="none"/>
          <w:lang w:val="en-US" w:eastAsia="zh-CN"/>
        </w:rPr>
        <w:t>1、内部食堂，中标人严格按照经开国控集团食堂制度（职工与食堂服务人员比例不高于20：1，区外接待标准60元/人，其他接待一般不超过40元/人），向采购人提供</w:t>
      </w:r>
      <w:r>
        <w:rPr>
          <w:rFonts w:hint="eastAsia" w:ascii="仿宋" w:hAnsi="仿宋" w:eastAsia="仿宋" w:cs="仿宋"/>
          <w:color w:val="auto"/>
          <w:sz w:val="24"/>
          <w:szCs w:val="24"/>
          <w:highlight w:val="none"/>
          <w:lang w:val="zh-CN"/>
        </w:rPr>
        <w:t>提供厨房和用餐的管理及服务工作，并支付中标人故意损坏所导致的维修费用。采购人向中标人支付运营费以覆盖中标人的食堂人员工资、易耗品及管理费用等，食材及配送费用按照实际结算给中标人（最高不得超过食堂营收的</w:t>
      </w:r>
      <w:r>
        <w:rPr>
          <w:rFonts w:hint="eastAsia" w:ascii="仿宋" w:hAnsi="仿宋" w:eastAsia="仿宋" w:cs="仿宋"/>
          <w:color w:val="auto"/>
          <w:sz w:val="24"/>
          <w:szCs w:val="24"/>
          <w:highlight w:val="none"/>
          <w:lang w:val="en-US" w:eastAsia="zh-CN"/>
        </w:rPr>
        <w:t>90%，其中食堂营收部分应计入</w:t>
      </w:r>
      <w:r>
        <w:rPr>
          <w:rFonts w:hint="eastAsia" w:ascii="仿宋" w:hAnsi="仿宋" w:eastAsia="仿宋" w:cs="仿宋"/>
          <w:color w:val="auto"/>
          <w:sz w:val="24"/>
          <w:szCs w:val="24"/>
          <w:highlight w:val="none"/>
          <w:lang w:val="zh-CN"/>
        </w:rPr>
        <w:t>包厢接待的标准费用、餐券费用、节日活动费用等），每月一结。食堂及相关营收全额进入采购人账户</w:t>
      </w:r>
      <w:r>
        <w:rPr>
          <w:rFonts w:hint="eastAsia" w:ascii="仿宋" w:hAnsi="仿宋" w:eastAsia="仿宋" w:cs="仿宋"/>
          <w:b/>
          <w:bCs/>
          <w:color w:val="auto"/>
          <w:sz w:val="24"/>
          <w:szCs w:val="24"/>
          <w:highlight w:val="none"/>
          <w:lang w:val="zh-CN"/>
        </w:rPr>
        <w:t>，</w:t>
      </w:r>
      <w:r>
        <w:rPr>
          <w:rFonts w:hint="eastAsia" w:ascii="仿宋" w:hAnsi="仿宋" w:eastAsia="仿宋" w:cs="仿宋"/>
          <w:b w:val="0"/>
          <w:bCs w:val="0"/>
          <w:color w:val="auto"/>
          <w:sz w:val="24"/>
          <w:szCs w:val="24"/>
          <w:highlight w:val="none"/>
          <w:u w:val="none"/>
          <w:lang w:val="zh-CN"/>
        </w:rPr>
        <w:t>不再返还营收给中标人，采购人自行支付水电燃气等能耗费并承担其他所有费用。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u w:val="none"/>
          <w:lang w:val="en-US" w:eastAsia="zh-CN"/>
        </w:rPr>
        <w:t>2、市场化经营食堂，</w:t>
      </w:r>
      <w:r>
        <w:rPr>
          <w:rFonts w:hint="eastAsia" w:ascii="仿宋" w:hAnsi="仿宋" w:eastAsia="仿宋" w:cs="仿宋"/>
          <w:color w:val="auto"/>
          <w:sz w:val="24"/>
          <w:szCs w:val="24"/>
          <w:highlight w:val="none"/>
          <w:u w:val="none"/>
          <w:lang w:val="zh-CN"/>
        </w:rPr>
        <w:t>中标人向采购人提供厨房和用餐的管理及服务工作，所有食材、易耗品、水电燃气等能耗费由中标人自行采购并全额支付。采购人向中标人支付考核达标后</w:t>
      </w:r>
      <w:r>
        <w:rPr>
          <w:rFonts w:hint="eastAsia" w:ascii="仿宋" w:hAnsi="仿宋" w:eastAsia="仿宋" w:cs="仿宋"/>
          <w:b w:val="0"/>
          <w:bCs w:val="0"/>
          <w:color w:val="auto"/>
          <w:sz w:val="24"/>
          <w:szCs w:val="24"/>
          <w:highlight w:val="none"/>
          <w:u w:val="none"/>
          <w:lang w:val="zh-CN"/>
        </w:rPr>
        <w:t>的运营费用，食堂及相关营收（包括但不限于餐饮外销售收入、搭伙费、食堂补贴、团餐、送餐费用等）全额进入采购人账户后，采购人提取</w:t>
      </w:r>
      <w:r>
        <w:rPr>
          <w:rFonts w:hint="eastAsia" w:ascii="仿宋" w:hAnsi="仿宋" w:eastAsia="仿宋" w:cs="仿宋"/>
          <w:b w:val="0"/>
          <w:bCs w:val="0"/>
          <w:color w:val="auto"/>
          <w:sz w:val="24"/>
          <w:szCs w:val="24"/>
          <w:highlight w:val="none"/>
          <w:u w:val="none"/>
          <w:lang w:val="en-US" w:eastAsia="zh-CN"/>
        </w:rPr>
        <w:t>15%作为管理费（餐饮外销售部分提取7%作为管理费，如：烟酒牛奶等，7%管理费涉及项目内容由采购人确认，中标人不得拒绝），</w:t>
      </w:r>
      <w:r>
        <w:rPr>
          <w:rFonts w:hint="eastAsia" w:ascii="仿宋" w:hAnsi="仿宋" w:eastAsia="仿宋" w:cs="仿宋"/>
          <w:color w:val="auto"/>
          <w:sz w:val="24"/>
          <w:szCs w:val="24"/>
          <w:highlight w:val="none"/>
          <w:lang w:val="en-US" w:eastAsia="zh-CN"/>
        </w:rPr>
        <w:t>剩余部分返还给中标人</w:t>
      </w:r>
      <w:r>
        <w:rPr>
          <w:rFonts w:hint="eastAsia" w:ascii="仿宋" w:hAnsi="仿宋" w:eastAsia="仿宋" w:cs="仿宋"/>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 市场化经营食堂（不包含金珺澜庭邻里食堂）采购人承担的费用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（1）餐厅功能布局设计、改造的相关费用。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食堂前档基础设施设备及通用后厨基本厨具采购安装费用。经营前或经营过程中确须增添的基础设施设备，由中标人提出申请，采购人自行实施。如采购人交由中标人采买的，品牌及型号须由采购人指定，购置前品牌型号及价格目录清单须经采购人书面同意。中标人采购后，将发票提供给采购人，采购人将相关费用支付给中标人。</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（3）因房屋建筑质量、设施设备质量出现问题，达不到使用功能的，由采购人负责维修并承担相关费用（如房屋漏雨、外线管道、室外的设施设备、消防设备设施等）。</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（4）餐厅内各类收银终端设备购置费用。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（5）采购人免费提供经营场地，免收物业服务费，采购人可以视情况为中标人提供收费员工宿舍。</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（6）餐厅采购人提供的设备设施的维护保养费用，但中标人原因造成的除外。</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（7）餐厅安装和使用固定电话、网络及采购办公用品的费用。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（8）餐厅运营所使用的基础餐具的购置费用，经营过程中发生缺损的由中标人负责补齐。</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凡涉及厨房设备</w:t>
      </w:r>
      <w:r>
        <w:rPr>
          <w:rFonts w:hint="eastAsia" w:ascii="仿宋" w:hAnsi="仿宋" w:eastAsia="仿宋" w:cs="仿宋"/>
          <w:color w:val="auto"/>
          <w:sz w:val="24"/>
          <w:szCs w:val="24"/>
          <w:highlight w:val="none"/>
          <w:lang w:val="en-US" w:eastAsia="zh-CN"/>
        </w:rPr>
        <w:t>及固定设施</w:t>
      </w:r>
      <w:r>
        <w:rPr>
          <w:rFonts w:hint="eastAsia" w:ascii="仿宋" w:hAnsi="仿宋" w:eastAsia="仿宋" w:cs="仿宋"/>
          <w:color w:val="auto"/>
          <w:sz w:val="24"/>
          <w:szCs w:val="24"/>
          <w:highlight w:val="none"/>
          <w:lang w:val="zh-CN"/>
        </w:rPr>
        <w:t>维修产生的维修费由采购人承担，如为中标人工作人员故意损坏的，则由中标人承担。</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 市场化经营食堂（不包含金珺澜庭邻里食堂）中标人承担的费用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yellow"/>
          <w:lang w:val="en-US" w:eastAsia="zh-CN"/>
        </w:rPr>
      </w:pPr>
      <w:r>
        <w:rPr>
          <w:rFonts w:hint="eastAsia" w:ascii="仿宋" w:hAnsi="仿宋" w:eastAsia="仿宋" w:cs="仿宋"/>
          <w:color w:val="auto"/>
          <w:sz w:val="24"/>
          <w:szCs w:val="24"/>
          <w:highlight w:val="none"/>
          <w:lang w:val="en-US" w:eastAsia="zh-CN"/>
        </w:rPr>
        <w:t>（1）中标人经营前及经营过程中，需提供相关食堂设计及改造的咨询服务，中标人应根据食堂的现状和后续用餐情况提出合理化改造和设施设备采买建议。明确需要进行改造的食堂，由中标人提供咨询，采购人自行实施，单个食堂整体设计、装修改造及设施设备采买的费用合计不得超过2000元/平米，超出部分由中标单位补齐。</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（2）基础厨具以外的特型厨具及设备费用。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（3）餐厅日常保洁、餐具回收、清洗、消毒、餐具送检、餐具破损遗失后补充等相关费用。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（4）餐厅经营产生的能源费用，包括但不限于水费、电费、空调使用费、天然气费等。</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（5）中标人及中标人商户自行承担采购食材的费用和工装费用。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（6）餐厅经营所需的易耗品费用，包括但不限于餐巾纸、洗手液、一次性手套、口罩、发网等。</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（7）中标人及中标人商户自行承担虫害消杀、油烟清洗、垃圾清运、排污清理费用，但无需再承担物业费用。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中标人在运营过程中承担食品安全的全部责任，如发生严重食品安全事故如5人以上腹泻、中毒、食材过期等情况，由中标人负责全部赔偿责任；采购人如因此连带受罚，中标人应给予赔付，同时采购人保留追责、罚款、立即解除合同的权利。</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（9）中标人承担餐厅经营所需的营业执照、食品经营许可证、健康证等资质证件的办理费用，采购人予以协助。</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（10）中标人承担客诉、采购人处罚、中标人原因造成的行政处罚。</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 金珺澜庭邻里食堂的费用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（1）金珺澜庭邻里食堂除经营场地租金和物业服务费之外，其他所有费用均由中标人支付。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（三）</w:t>
      </w:r>
      <w:r>
        <w:rPr>
          <w:rFonts w:hint="eastAsia" w:ascii="仿宋" w:hAnsi="仿宋" w:eastAsia="仿宋" w:cs="仿宋"/>
          <w:b/>
          <w:bCs/>
          <w:sz w:val="24"/>
          <w:szCs w:val="24"/>
          <w:highlight w:val="none"/>
        </w:rPr>
        <w:t>服务内容</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中标人提供厨房和用餐的管理和服务：负责食堂专业岗位员工的委派，负责食堂设备的正确使用与维护，负责食堂菜品的开发搭配、烧制与提供就餐服务等，负责食品安全生产与台账的建设，负责员工的管理与专业培训，按采购人要求提供满意菜肴。</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服务期内无休，一日两~四餐、临时客餐、包厢、集团内部送餐日常保障服务及特殊保障服务，全力配合采购人安排。集团送餐服务可能会常态化，人数不超过单日单次100人餐，如有特殊保障情况（特殊保障指大小型活动，临时性突发性事件等就餐供应；遇防汛抗台、冰雪冰冻等天气值班夜宵供应），投标人须无条件配合采购人需求，请投标人充分考虑。</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3、各餐的供餐时间：早餐就餐时间为：7：30-9：00， 中餐就餐时间为：11：00-13：00，晚餐就餐时间为：17：30-18：30，夜宵就餐时间为10：30-11：30。如就餐时间有变动以采购人通知为准。</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4、中标人必须按照采购人规定的营业时间开展营业，非经采购人同意，不得擅自提前营业或提前结束营业，不得无故歇业停业。无故歇业停业超过5个天的，采购人可以无条件取消该食堂的合同，</w:t>
      </w:r>
      <w:r>
        <w:rPr>
          <w:rFonts w:hint="eastAsia" w:ascii="仿宋" w:hAnsi="仿宋" w:eastAsia="仿宋" w:cs="仿宋"/>
          <w:b w:val="0"/>
          <w:bCs w:val="0"/>
          <w:color w:val="auto"/>
          <w:kern w:val="2"/>
          <w:sz w:val="24"/>
          <w:szCs w:val="24"/>
          <w:highlight w:val="none"/>
          <w:lang w:val="en-US" w:eastAsia="zh-CN" w:bidi="ar-SA"/>
        </w:rPr>
        <w:t>并依法追究中标人</w:t>
      </w:r>
      <w:r>
        <w:rPr>
          <w:rFonts w:hint="eastAsia" w:ascii="仿宋" w:hAnsi="仿宋" w:eastAsia="仿宋" w:cs="仿宋"/>
          <w:sz w:val="24"/>
          <w:szCs w:val="24"/>
          <w:highlight w:val="none"/>
        </w:rPr>
        <w:t>相应的经济和法律责任。</w:t>
      </w:r>
      <w:r>
        <w:rPr>
          <w:rFonts w:hint="eastAsia" w:ascii="仿宋" w:hAnsi="仿宋" w:eastAsia="仿宋" w:cs="仿宋"/>
          <w:sz w:val="24"/>
          <w:szCs w:val="24"/>
          <w:highlight w:val="none"/>
          <w:lang w:val="en-US" w:eastAsia="zh-CN"/>
        </w:rPr>
        <w:t>中标后，如采购人确须增加或减少餐厅营业时间（单个餐厅原则上增加和减少不超过一餐），中标人不得拒绝。</w:t>
      </w:r>
    </w:p>
    <w:p>
      <w:pPr>
        <w:pageBreakBefore w:val="0"/>
        <w:kinsoku/>
        <w:wordWrap/>
        <w:overflowPunct/>
        <w:topLinePunct w:val="0"/>
        <w:autoSpaceDE/>
        <w:autoSpaceDN/>
        <w:bidi w:val="0"/>
        <w:snapToGrid w:val="0"/>
        <w:spacing w:beforeAutospacing="0" w:afterAutospacing="0"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（四）</w:t>
      </w:r>
      <w:r>
        <w:rPr>
          <w:rFonts w:hint="eastAsia" w:ascii="仿宋" w:hAnsi="仿宋" w:eastAsia="仿宋" w:cs="仿宋"/>
          <w:b/>
          <w:bCs/>
          <w:sz w:val="24"/>
          <w:szCs w:val="24"/>
          <w:highlight w:val="none"/>
        </w:rPr>
        <w:t>配餐要求</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1、早餐：每日必备早餐品种为：稀饭、豆浆、油条、鸡蛋、包子、馒头、花卷、面条、馄饨、牛奶、蛋糕、麦糊烧、炒年糕、烙饼等，品种不少于15个。</w:t>
      </w:r>
      <w:r>
        <w:rPr>
          <w:rFonts w:hint="eastAsia" w:ascii="仿宋" w:hAnsi="仿宋" w:eastAsia="仿宋" w:cs="仿宋"/>
          <w:sz w:val="24"/>
          <w:szCs w:val="24"/>
          <w:highlight w:val="none"/>
          <w:lang w:val="en-US" w:eastAsia="zh-CN"/>
        </w:rPr>
        <w:t xml:space="preserve">      餐标：6-10元。 </w:t>
      </w:r>
    </w:p>
    <w:p>
      <w:pPr>
        <w:autoSpaceDE/>
        <w:autoSpaceDN/>
        <w:snapToGrid w:val="0"/>
        <w:spacing w:line="360" w:lineRule="auto"/>
        <w:ind w:firstLine="480" w:firstLineChars="200"/>
        <w:rPr>
          <w:rFonts w:hint="default" w:eastAsia="仿宋"/>
          <w:lang w:val="en-US" w:eastAsia="zh-CN"/>
        </w:rPr>
      </w:pPr>
      <w:r>
        <w:rPr>
          <w:rFonts w:hint="eastAsia" w:ascii="仿宋" w:hAnsi="仿宋" w:eastAsia="仿宋" w:cs="仿宋"/>
          <w:sz w:val="24"/>
          <w:szCs w:val="24"/>
          <w:highlight w:val="none"/>
        </w:rPr>
        <w:t>2、中餐按自主选择模式供应：以本地常规菜为主，部分配以其他菜系特色菜。</w:t>
      </w:r>
      <w:r>
        <w:rPr>
          <w:rFonts w:hint="eastAsia" w:ascii="仿宋" w:hAnsi="仿宋" w:eastAsia="仿宋" w:cs="仿宋"/>
          <w:sz w:val="24"/>
          <w:szCs w:val="24"/>
          <w:highlight w:val="none"/>
          <w:lang w:val="en-US" w:eastAsia="zh-CN"/>
        </w:rPr>
        <w:t>餐标：12-22元。</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其中</w:t>
      </w:r>
      <w:r>
        <w:rPr>
          <w:rFonts w:hint="eastAsia" w:ascii="仿宋" w:hAnsi="仿宋" w:eastAsia="仿宋" w:cs="仿宋"/>
          <w:sz w:val="24"/>
          <w:szCs w:val="24"/>
          <w:highlight w:val="none"/>
          <w:lang w:val="en-US" w:eastAsia="zh-CN"/>
        </w:rPr>
        <w:t>菜品</w:t>
      </w:r>
      <w:r>
        <w:rPr>
          <w:rFonts w:hint="eastAsia" w:ascii="仿宋" w:hAnsi="仿宋" w:eastAsia="仿宋" w:cs="仿宋"/>
          <w:sz w:val="24"/>
          <w:szCs w:val="24"/>
          <w:highlight w:val="none"/>
        </w:rPr>
        <w:t>：</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①</w:t>
      </w:r>
      <w:r>
        <w:rPr>
          <w:rFonts w:hint="eastAsia" w:ascii="仿宋" w:hAnsi="仿宋" w:eastAsia="仿宋" w:cs="仿宋"/>
          <w:sz w:val="24"/>
          <w:szCs w:val="24"/>
          <w:highlight w:val="none"/>
        </w:rPr>
        <w:t>大荤</w:t>
      </w:r>
      <w:r>
        <w:rPr>
          <w:rFonts w:hint="eastAsia" w:ascii="仿宋" w:hAnsi="仿宋" w:eastAsia="仿宋" w:cs="仿宋"/>
          <w:sz w:val="24"/>
          <w:szCs w:val="24"/>
          <w:highlight w:val="none"/>
          <w:lang w:val="en-US" w:eastAsia="zh-CN"/>
        </w:rPr>
        <w:t>不少于</w:t>
      </w:r>
      <w:r>
        <w:rPr>
          <w:rFonts w:hint="eastAsia" w:ascii="仿宋" w:hAnsi="仿宋" w:eastAsia="仿宋" w:cs="仿宋"/>
          <w:sz w:val="24"/>
          <w:szCs w:val="24"/>
          <w:highlight w:val="none"/>
        </w:rPr>
        <w:t>5个。以当日活宰肉、禽、鱼或保鲜海产类为主。一周内</w:t>
      </w:r>
      <w:r>
        <w:rPr>
          <w:rFonts w:hint="eastAsia" w:ascii="仿宋" w:hAnsi="仿宋" w:eastAsia="仿宋" w:cs="仿宋"/>
          <w:sz w:val="24"/>
          <w:szCs w:val="24"/>
          <w:highlight w:val="none"/>
          <w:lang w:val="en-US" w:eastAsia="zh-CN"/>
        </w:rPr>
        <w:t>品种</w:t>
      </w:r>
      <w:r>
        <w:rPr>
          <w:rFonts w:hint="eastAsia" w:ascii="仿宋" w:hAnsi="仿宋" w:eastAsia="仿宋" w:cs="仿宋"/>
          <w:sz w:val="24"/>
          <w:szCs w:val="24"/>
          <w:highlight w:val="none"/>
        </w:rPr>
        <w:t>不得重复。</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②</w:t>
      </w:r>
      <w:r>
        <w:rPr>
          <w:rFonts w:hint="eastAsia" w:ascii="仿宋" w:hAnsi="仿宋" w:eastAsia="仿宋" w:cs="仿宋"/>
          <w:sz w:val="24"/>
          <w:szCs w:val="24"/>
          <w:highlight w:val="none"/>
        </w:rPr>
        <w:t>半荤</w:t>
      </w:r>
      <w:r>
        <w:rPr>
          <w:rFonts w:hint="eastAsia" w:ascii="仿宋" w:hAnsi="仿宋" w:eastAsia="仿宋" w:cs="仿宋"/>
          <w:sz w:val="24"/>
          <w:szCs w:val="24"/>
          <w:highlight w:val="none"/>
          <w:lang w:val="en-US" w:eastAsia="zh-CN"/>
        </w:rPr>
        <w:t>不少于4</w:t>
      </w:r>
      <w:r>
        <w:rPr>
          <w:rFonts w:hint="eastAsia" w:ascii="仿宋" w:hAnsi="仿宋" w:eastAsia="仿宋" w:cs="仿宋"/>
          <w:sz w:val="24"/>
          <w:szCs w:val="24"/>
          <w:highlight w:val="none"/>
        </w:rPr>
        <w:t>个。荤素搭配各一半量。一周内</w:t>
      </w:r>
      <w:r>
        <w:rPr>
          <w:rFonts w:hint="eastAsia" w:ascii="仿宋" w:hAnsi="仿宋" w:eastAsia="仿宋" w:cs="仿宋"/>
          <w:sz w:val="24"/>
          <w:szCs w:val="24"/>
          <w:highlight w:val="none"/>
          <w:lang w:val="en-US" w:eastAsia="zh-CN"/>
        </w:rPr>
        <w:t>品种</w:t>
      </w:r>
      <w:r>
        <w:rPr>
          <w:rFonts w:hint="eastAsia" w:ascii="仿宋" w:hAnsi="仿宋" w:eastAsia="仿宋" w:cs="仿宋"/>
          <w:sz w:val="24"/>
          <w:szCs w:val="24"/>
          <w:highlight w:val="none"/>
        </w:rPr>
        <w:t>不得重复。</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③</w:t>
      </w:r>
      <w:r>
        <w:rPr>
          <w:rFonts w:hint="eastAsia" w:ascii="仿宋" w:hAnsi="仿宋" w:eastAsia="仿宋" w:cs="仿宋"/>
          <w:sz w:val="24"/>
          <w:szCs w:val="24"/>
          <w:highlight w:val="none"/>
        </w:rPr>
        <w:t>素菜</w:t>
      </w:r>
      <w:r>
        <w:rPr>
          <w:rFonts w:hint="eastAsia" w:ascii="仿宋" w:hAnsi="仿宋" w:eastAsia="仿宋" w:cs="仿宋"/>
          <w:sz w:val="24"/>
          <w:szCs w:val="24"/>
          <w:highlight w:val="none"/>
          <w:lang w:val="en-US" w:eastAsia="zh-CN"/>
        </w:rPr>
        <w:t>不少于4</w:t>
      </w:r>
      <w:r>
        <w:rPr>
          <w:rFonts w:hint="eastAsia" w:ascii="仿宋" w:hAnsi="仿宋" w:eastAsia="仿宋" w:cs="仿宋"/>
          <w:sz w:val="24"/>
          <w:szCs w:val="24"/>
          <w:highlight w:val="none"/>
        </w:rPr>
        <w:t>个。时令菜不少于2个。一周内</w:t>
      </w:r>
      <w:r>
        <w:rPr>
          <w:rFonts w:hint="eastAsia" w:ascii="仿宋" w:hAnsi="仿宋" w:eastAsia="仿宋" w:cs="仿宋"/>
          <w:sz w:val="24"/>
          <w:szCs w:val="24"/>
          <w:highlight w:val="none"/>
          <w:lang w:val="en-US" w:eastAsia="zh-CN"/>
        </w:rPr>
        <w:t>品种</w:t>
      </w:r>
      <w:r>
        <w:rPr>
          <w:rFonts w:hint="eastAsia" w:ascii="仿宋" w:hAnsi="仿宋" w:eastAsia="仿宋" w:cs="仿宋"/>
          <w:sz w:val="24"/>
          <w:szCs w:val="24"/>
          <w:highlight w:val="none"/>
        </w:rPr>
        <w:t>不重复超过两次。</w:t>
      </w:r>
    </w:p>
    <w:p>
      <w:pPr>
        <w:pStyle w:val="79"/>
        <w:spacing w:line="360" w:lineRule="auto"/>
        <w:ind w:firstLine="480" w:firstLineChars="200"/>
        <w:rPr>
          <w:rFonts w:hint="default" w:eastAsia="仿宋"/>
          <w:highlight w:val="none"/>
          <w:lang w:val="en-US" w:eastAsia="zh-CN"/>
        </w:rPr>
      </w:pPr>
      <w:r>
        <w:rPr>
          <w:rFonts w:hint="eastAsia" w:ascii="仿宋" w:hAnsi="仿宋" w:eastAsia="仿宋" w:cs="仿宋"/>
          <w:sz w:val="24"/>
          <w:szCs w:val="24"/>
          <w:highlight w:val="none"/>
          <w:lang w:val="en-US" w:eastAsia="zh-CN"/>
        </w:rPr>
        <w:t>④另档口提供特色小吃。</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⑤</w:t>
      </w:r>
      <w:r>
        <w:rPr>
          <w:rFonts w:hint="eastAsia" w:ascii="仿宋" w:hAnsi="仿宋" w:eastAsia="仿宋" w:cs="仿宋"/>
          <w:sz w:val="24"/>
          <w:szCs w:val="24"/>
          <w:highlight w:val="none"/>
        </w:rPr>
        <w:t>汤1个（品种一周内不重复）。</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3、素菜和半荤菜（包括已加工未烹调的半成品）存放不超过24小时、荤菜不超过48小时；冰箱生冻品存放不超过一星期。</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4、配餐主料除少量腌腊制品外，不得采购半成品或加工品。</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5、当日提供的面点，须由面点师当日完成制作。</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6、就餐时间提供面点、大米、植物油、乳制品、净菜等特色便民服务，并根据实际适时推出超市卖场。</w:t>
      </w:r>
    </w:p>
    <w:p>
      <w:pPr>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7、包厢：按用餐人数点菜或以标准菜单制作。</w:t>
      </w:r>
    </w:p>
    <w:p>
      <w:pPr>
        <w:pageBreakBefore w:val="0"/>
        <w:kinsoku/>
        <w:wordWrap/>
        <w:overflowPunct/>
        <w:topLinePunct w:val="0"/>
        <w:autoSpaceDE/>
        <w:autoSpaceDN/>
        <w:bidi w:val="0"/>
        <w:snapToGrid w:val="0"/>
        <w:spacing w:beforeAutospacing="0" w:afterAutospacing="0"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（五）</w:t>
      </w:r>
      <w:r>
        <w:rPr>
          <w:rFonts w:hint="eastAsia" w:ascii="仿宋" w:hAnsi="仿宋" w:eastAsia="仿宋" w:cs="仿宋"/>
          <w:b/>
          <w:bCs/>
          <w:sz w:val="24"/>
          <w:szCs w:val="24"/>
          <w:highlight w:val="none"/>
        </w:rPr>
        <w:t>食材采购和菜价核定</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中标人自行采购食材，核定菜价售买。食材的采购严格执行《食品安全法》，配合金开颐和物业规范各种食品的索证、验收、蔬菜农药残留监测以及存放、加工、出售、储存、留样等各个环节管理，食品储存、加工必须责任到人，切实明确职责。物资仓库由中标人管理，食堂从仓库专人领取后对主要食品（如米、面、油、肉类、豆制品、鸡蛋等）要专人管理，确保食品安全。中标人负责制定每周菜单，制定的下周菜单每周周四前递交，金开颐和物业进行审核，并根据金开颐和物业的合理意见对菜单进行修改后在用餐大厅公示，每天将菜单价格公示于售卖处明显位置。</w:t>
      </w:r>
    </w:p>
    <w:p>
      <w:pPr>
        <w:pStyle w:val="4"/>
        <w:spacing w:before="0" w:after="0" w:line="360" w:lineRule="auto"/>
        <w:ind w:left="0" w:firstLine="480" w:firstLineChars="200"/>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lang w:val="en-US"/>
        </w:rPr>
        <w:t>若中标人供应</w:t>
      </w:r>
      <w:r>
        <w:rPr>
          <w:rFonts w:hint="eastAsia" w:ascii="仿宋" w:hAnsi="仿宋" w:eastAsia="仿宋" w:cs="仿宋"/>
          <w:b w:val="0"/>
          <w:bCs w:val="0"/>
          <w:sz w:val="24"/>
          <w:szCs w:val="24"/>
          <w:highlight w:val="none"/>
          <w:lang w:val="en-US" w:eastAsia="zh-CN"/>
        </w:rPr>
        <w:t>食材及配送</w:t>
      </w:r>
      <w:r>
        <w:rPr>
          <w:rFonts w:hint="eastAsia" w:ascii="仿宋" w:hAnsi="仿宋" w:eastAsia="仿宋" w:cs="仿宋"/>
          <w:b w:val="0"/>
          <w:bCs w:val="0"/>
          <w:sz w:val="24"/>
          <w:szCs w:val="24"/>
          <w:highlight w:val="none"/>
          <w:lang w:val="en-US"/>
        </w:rPr>
        <w:t>价格</w:t>
      </w:r>
      <w:r>
        <w:rPr>
          <w:rFonts w:hint="eastAsia" w:ascii="仿宋" w:hAnsi="仿宋" w:eastAsia="仿宋" w:cs="仿宋"/>
          <w:b w:val="0"/>
          <w:bCs w:val="0"/>
          <w:sz w:val="24"/>
          <w:szCs w:val="24"/>
          <w:highlight w:val="none"/>
          <w:lang w:val="en-US" w:eastAsia="zh-CN"/>
        </w:rPr>
        <w:t>高于</w:t>
      </w:r>
      <w:r>
        <w:rPr>
          <w:rFonts w:hint="eastAsia" w:ascii="仿宋" w:hAnsi="仿宋" w:eastAsia="仿宋" w:cs="仿宋"/>
          <w:b w:val="0"/>
          <w:bCs w:val="0"/>
          <w:sz w:val="24"/>
          <w:szCs w:val="24"/>
          <w:highlight w:val="none"/>
          <w:lang w:val="en-US"/>
        </w:rPr>
        <w:t>市场</w:t>
      </w:r>
      <w:r>
        <w:rPr>
          <w:rFonts w:hint="eastAsia" w:ascii="仿宋" w:hAnsi="仿宋" w:eastAsia="仿宋" w:cs="仿宋"/>
          <w:b w:val="0"/>
          <w:bCs w:val="0"/>
          <w:sz w:val="24"/>
          <w:szCs w:val="24"/>
          <w:highlight w:val="none"/>
          <w:lang w:val="en-US" w:eastAsia="zh-CN"/>
        </w:rPr>
        <w:t>平均</w:t>
      </w:r>
      <w:r>
        <w:rPr>
          <w:rFonts w:hint="eastAsia" w:ascii="仿宋" w:hAnsi="仿宋" w:eastAsia="仿宋" w:cs="仿宋"/>
          <w:b w:val="0"/>
          <w:bCs w:val="0"/>
          <w:sz w:val="24"/>
          <w:szCs w:val="24"/>
          <w:highlight w:val="none"/>
          <w:lang w:val="en-US"/>
        </w:rPr>
        <w:t>菜价</w:t>
      </w:r>
      <w:r>
        <w:rPr>
          <w:rFonts w:hint="eastAsia" w:ascii="仿宋" w:hAnsi="仿宋" w:eastAsia="仿宋" w:cs="仿宋"/>
          <w:b w:val="0"/>
          <w:bCs w:val="0"/>
          <w:sz w:val="24"/>
          <w:szCs w:val="24"/>
          <w:highlight w:val="none"/>
          <w:lang w:val="en-US" w:eastAsia="zh-CN"/>
        </w:rPr>
        <w:t>，</w:t>
      </w:r>
      <w:r>
        <w:rPr>
          <w:rFonts w:hint="eastAsia" w:ascii="仿宋" w:hAnsi="仿宋" w:eastAsia="仿宋" w:cs="仿宋"/>
          <w:b w:val="0"/>
          <w:bCs w:val="0"/>
          <w:sz w:val="24"/>
          <w:szCs w:val="24"/>
          <w:highlight w:val="none"/>
          <w:lang w:val="en-US"/>
        </w:rPr>
        <w:t>采购人有权</w:t>
      </w:r>
      <w:r>
        <w:rPr>
          <w:rFonts w:hint="eastAsia" w:ascii="仿宋" w:hAnsi="仿宋" w:eastAsia="仿宋" w:cs="仿宋"/>
          <w:b w:val="0"/>
          <w:bCs w:val="0"/>
          <w:sz w:val="24"/>
          <w:szCs w:val="24"/>
          <w:highlight w:val="none"/>
          <w:lang w:val="en-US" w:eastAsia="zh-CN"/>
        </w:rPr>
        <w:t>要求</w:t>
      </w:r>
      <w:r>
        <w:rPr>
          <w:rFonts w:hint="eastAsia" w:ascii="仿宋" w:hAnsi="仿宋" w:eastAsia="仿宋" w:cs="仿宋"/>
          <w:b w:val="0"/>
          <w:bCs w:val="0"/>
          <w:sz w:val="24"/>
          <w:szCs w:val="24"/>
          <w:highlight w:val="none"/>
          <w:lang w:val="en-US"/>
        </w:rPr>
        <w:t>中标人整改。</w:t>
      </w:r>
      <w:r>
        <w:rPr>
          <w:rFonts w:hint="eastAsia" w:ascii="仿宋" w:hAnsi="仿宋" w:eastAsia="仿宋" w:cs="仿宋"/>
          <w:b w:val="0"/>
          <w:bCs w:val="0"/>
          <w:sz w:val="24"/>
          <w:szCs w:val="24"/>
          <w:highlight w:val="none"/>
          <w:lang w:val="en-US" w:eastAsia="zh-CN"/>
        </w:rPr>
        <w:t>中标人不同意整改的，采购人有权单方面终止合同。</w:t>
      </w:r>
    </w:p>
    <w:p>
      <w:pPr>
        <w:pageBreakBefore w:val="0"/>
        <w:kinsoku/>
        <w:wordWrap/>
        <w:overflowPunct/>
        <w:topLinePunct w:val="0"/>
        <w:autoSpaceDE/>
        <w:autoSpaceDN/>
        <w:bidi w:val="0"/>
        <w:snapToGrid w:val="0"/>
        <w:spacing w:beforeAutospacing="0" w:afterAutospacing="0"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（六）</w:t>
      </w:r>
      <w:r>
        <w:rPr>
          <w:rFonts w:hint="eastAsia" w:ascii="仿宋" w:hAnsi="仿宋" w:eastAsia="仿宋" w:cs="仿宋"/>
          <w:b/>
          <w:bCs/>
          <w:sz w:val="24"/>
          <w:szCs w:val="24"/>
          <w:highlight w:val="none"/>
        </w:rPr>
        <w:t>服务人员配置</w:t>
      </w:r>
      <w:r>
        <w:rPr>
          <w:rFonts w:hint="eastAsia" w:ascii="仿宋" w:hAnsi="仿宋" w:eastAsia="仿宋" w:cs="仿宋"/>
          <w:b/>
          <w:bCs/>
          <w:sz w:val="24"/>
          <w:szCs w:val="24"/>
          <w:highlight w:val="none"/>
          <w:lang w:val="en-US" w:eastAsia="zh-CN"/>
        </w:rPr>
        <w:t>及要求</w:t>
      </w:r>
    </w:p>
    <w:p>
      <w:pPr>
        <w:keepNext w:val="0"/>
        <w:keepLines w:val="0"/>
        <w:pageBreakBefore w:val="0"/>
        <w:numPr>
          <w:ilvl w:val="-1"/>
          <w:numId w:val="0"/>
        </w:numPr>
        <w:kinsoku/>
        <w:wordWrap/>
        <w:overflowPunct/>
        <w:topLinePunct w:val="0"/>
        <w:autoSpaceDE/>
        <w:autoSpaceDN/>
        <w:bidi w:val="0"/>
        <w:snapToGrid w:val="0"/>
        <w:spacing w:beforeAutospacing="0" w:afterAutospacing="0" w:line="360" w:lineRule="auto"/>
        <w:ind w:firstLine="0" w:firstLineChars="0"/>
        <w:textAlignment w:val="auto"/>
        <w:rPr>
          <w:rFonts w:hint="eastAsia" w:ascii="仿宋" w:hAnsi="仿宋" w:eastAsia="仿宋" w:cs="仿宋"/>
          <w:sz w:val="24"/>
          <w:szCs w:val="24"/>
          <w:highlight w:val="none"/>
          <w:lang w:eastAsia="zh-CN"/>
        </w:rPr>
      </w:pP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val="en-US" w:eastAsia="zh-CN"/>
        </w:rPr>
        <w:t>1、</w:t>
      </w:r>
      <w:r>
        <w:rPr>
          <w:rFonts w:hint="eastAsia" w:ascii="仿宋" w:hAnsi="仿宋" w:eastAsia="仿宋" w:cs="仿宋"/>
          <w:sz w:val="24"/>
          <w:szCs w:val="24"/>
          <w:highlight w:val="none"/>
          <w:lang w:val="en-US" w:eastAsia="zh-CN"/>
        </w:rPr>
        <w:t>各食堂</w:t>
      </w:r>
      <w:r>
        <w:rPr>
          <w:rFonts w:hint="eastAsia" w:ascii="仿宋" w:hAnsi="仿宋" w:eastAsia="仿宋" w:cs="仿宋"/>
          <w:sz w:val="24"/>
          <w:szCs w:val="24"/>
          <w:highlight w:val="none"/>
        </w:rPr>
        <w:t>人员配置基本情况</w:t>
      </w:r>
      <w:r>
        <w:rPr>
          <w:rFonts w:hint="eastAsia" w:ascii="仿宋" w:hAnsi="仿宋" w:eastAsia="仿宋" w:cs="仿宋"/>
          <w:sz w:val="24"/>
          <w:szCs w:val="24"/>
          <w:highlight w:val="none"/>
          <w:lang w:eastAsia="zh-CN"/>
        </w:rPr>
        <w:t>，总人数不变或增加的情况下，中标人可根据食堂的实际情况调节，如出现总人数低于要求的配置，中标人在各食堂间人员的调整，须经采购人同意方可实施。</w:t>
      </w:r>
      <w:r>
        <w:rPr>
          <w:rFonts w:hint="eastAsia" w:ascii="仿宋" w:hAnsi="仿宋" w:eastAsia="仿宋" w:cs="仿宋"/>
          <w:b/>
          <w:bCs/>
          <w:sz w:val="24"/>
          <w:szCs w:val="24"/>
          <w:highlight w:val="none"/>
          <w:lang w:val="en-US" w:eastAsia="zh-CN"/>
        </w:rPr>
        <w:t>（须提供承诺函并加盖投标人公章，格式自拟）</w:t>
      </w:r>
    </w:p>
    <w:p>
      <w:pPr>
        <w:pStyle w:val="80"/>
        <w:keepNext w:val="0"/>
        <w:keepLines w:val="0"/>
        <w:pageBreakBefore w:val="0"/>
        <w:numPr>
          <w:ilvl w:val="0"/>
          <w:numId w:val="0"/>
        </w:numPr>
        <w:kinsoku/>
        <w:overflowPunct/>
        <w:topLinePunct w:val="0"/>
        <w:bidi w:val="0"/>
        <w:spacing w:line="360" w:lineRule="auto"/>
        <w:ind w:left="0" w:firstLine="482" w:firstLineChars="200"/>
        <w:textAlignment w:val="auto"/>
        <w:rPr>
          <w:rFonts w:hint="eastAsia" w:ascii="仿宋" w:hAnsi="仿宋" w:eastAsia="仿宋" w:cs="仿宋"/>
          <w:b/>
          <w:bCs w:val="0"/>
          <w:color w:val="auto"/>
          <w:sz w:val="24"/>
          <w:szCs w:val="24"/>
          <w:highlight w:val="none"/>
          <w:shd w:val="clear"/>
          <w:lang w:val="en-US" w:eastAsia="zh-CN"/>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val="0"/>
          <w:color w:val="auto"/>
          <w:sz w:val="24"/>
          <w:szCs w:val="24"/>
          <w:highlight w:val="none"/>
          <w:shd w:val="clear"/>
          <w:lang w:val="en-US" w:eastAsia="zh-CN"/>
        </w:rPr>
        <w:t>经开国控集团食堂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val="en-US" w:eastAsia="zh-CN"/>
        </w:rPr>
        <w:t>及包厢菜品；</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副厨一名：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协助厨师长做好厨房生产组织工作，分配厨房人员的工作情况，擅长制作本地菜品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面点师一名：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切配一名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合计：6人；</w:t>
      </w:r>
    </w:p>
    <w:p>
      <w:pPr>
        <w:keepNext w:val="0"/>
        <w:keepLines w:val="0"/>
        <w:pageBreakBefore w:val="0"/>
        <w:kinsoku/>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keepNext w:val="0"/>
        <w:keepLines w:val="0"/>
        <w:pageBreakBefore w:val="0"/>
        <w:kinsoku/>
        <w:overflowPunct/>
        <w:topLinePunct w:val="0"/>
        <w:bidi w:val="0"/>
        <w:snapToGrid w:val="0"/>
        <w:spacing w:line="240" w:lineRule="auto"/>
        <w:ind w:left="0" w:firstLine="0" w:firstLineChars="0"/>
        <w:textAlignment w:val="auto"/>
        <w:rPr>
          <w:rFonts w:hint="eastAsia" w:ascii="仿宋" w:hAnsi="仿宋" w:eastAsia="仿宋" w:cs="仿宋"/>
          <w:b/>
          <w:bCs/>
          <w:sz w:val="24"/>
          <w:szCs w:val="24"/>
          <w:highlight w:val="none"/>
          <w:lang w:val="en-US" w:eastAsia="zh-CN"/>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绿发公司食堂</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厨师</w:t>
      </w:r>
      <w:r>
        <w:rPr>
          <w:rFonts w:hint="eastAsia" w:ascii="仿宋" w:hAnsi="仿宋" w:eastAsia="仿宋" w:cs="仿宋"/>
          <w:sz w:val="24"/>
          <w:szCs w:val="24"/>
          <w:highlight w:val="none"/>
        </w:rPr>
        <w:t>一名：</w:t>
      </w:r>
      <w:r>
        <w:rPr>
          <w:rFonts w:hint="eastAsia" w:ascii="仿宋" w:hAnsi="仿宋" w:eastAsia="仿宋" w:cs="仿宋"/>
          <w:sz w:val="24"/>
          <w:szCs w:val="24"/>
          <w:highlight w:val="none"/>
          <w:lang w:val="en-US" w:eastAsia="zh-CN"/>
        </w:rPr>
        <w:t>有相关工作经验，做</w:t>
      </w:r>
      <w:r>
        <w:rPr>
          <w:rFonts w:hint="eastAsia" w:ascii="仿宋" w:hAnsi="仿宋" w:eastAsia="仿宋" w:cs="仿宋"/>
          <w:sz w:val="24"/>
          <w:szCs w:val="24"/>
          <w:highlight w:val="none"/>
        </w:rPr>
        <w:t>好厨房生产组织工作，分配厨房人员的工作情况，擅长制作本地菜品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pStyle w:val="79"/>
        <w:spacing w:line="360" w:lineRule="auto"/>
        <w:ind w:firstLine="480" w:firstLineChars="200"/>
        <w:rPr>
          <w:rFonts w:hint="eastAsia" w:ascii="仿宋" w:hAnsi="仿宋" w:eastAsia="仿宋" w:cs="仿宋"/>
          <w:highlight w:val="none"/>
          <w:lang w:val="en-US" w:eastAsia="zh-CN"/>
        </w:rPr>
      </w:pPr>
      <w:r>
        <w:rPr>
          <w:rFonts w:hint="eastAsia" w:ascii="仿宋" w:hAnsi="仿宋" w:eastAsia="仿宋" w:cs="仿宋"/>
          <w:sz w:val="24"/>
          <w:szCs w:val="24"/>
          <w:highlight w:val="none"/>
          <w:lang w:val="en-US" w:eastAsia="zh-CN"/>
        </w:rPr>
        <w:t>合计：3人。</w:t>
      </w:r>
    </w:p>
    <w:p>
      <w:pPr>
        <w:pStyle w:val="80"/>
        <w:keepNext w:val="0"/>
        <w:keepLines w:val="0"/>
        <w:pageBreakBefore w:val="0"/>
        <w:numPr>
          <w:ilvl w:val="0"/>
          <w:numId w:val="0"/>
        </w:numPr>
        <w:kinsoku/>
        <w:overflowPunct/>
        <w:topLinePunct w:val="0"/>
        <w:bidi w:val="0"/>
        <w:spacing w:line="360" w:lineRule="auto"/>
        <w:ind w:left="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val="0"/>
          <w:color w:val="auto"/>
          <w:sz w:val="24"/>
          <w:szCs w:val="24"/>
          <w:highlight w:val="none"/>
          <w:shd w:val="clear"/>
          <w:lang w:val="en-US" w:eastAsia="zh-CN"/>
        </w:rPr>
        <w:t>（3）</w:t>
      </w:r>
      <w:r>
        <w:rPr>
          <w:rFonts w:hint="eastAsia" w:ascii="仿宋" w:hAnsi="仿宋" w:eastAsia="仿宋" w:cs="仿宋"/>
          <w:b/>
          <w:bCs/>
          <w:color w:val="auto"/>
          <w:sz w:val="24"/>
          <w:szCs w:val="24"/>
          <w:highlight w:val="none"/>
          <w:lang w:val="en-US" w:eastAsia="zh-CN"/>
        </w:rPr>
        <w:t>创业谷一期食堂</w:t>
      </w:r>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项目经理一名：有相关工作经验；</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副厨一名：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擅长制作本地菜品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面点师一名：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工两</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：有相关工作经验；</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：有相关工作经验；</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切配一名</w:t>
      </w:r>
      <w:r>
        <w:rPr>
          <w:rFonts w:hint="eastAsia" w:ascii="仿宋" w:hAnsi="仿宋" w:eastAsia="仿宋" w:cs="仿宋"/>
          <w:sz w:val="24"/>
          <w:szCs w:val="24"/>
          <w:highlight w:val="none"/>
          <w:lang w:val="en-US" w:eastAsia="zh-CN"/>
        </w:rPr>
        <w:t>：有相关工作经验；</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合计：8人；</w:t>
      </w:r>
    </w:p>
    <w:p>
      <w:pPr>
        <w:keepNext w:val="0"/>
        <w:keepLines w:val="0"/>
        <w:pageBreakBefore w:val="0"/>
        <w:kinsoku/>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keepNext w:val="0"/>
        <w:keepLines w:val="0"/>
        <w:pageBreakBefore w:val="0"/>
        <w:numPr>
          <w:ilvl w:val="0"/>
          <w:numId w:val="0"/>
        </w:numPr>
        <w:kinsoku/>
        <w:overflowPunct/>
        <w:topLinePunct w:val="0"/>
        <w:bidi w:val="0"/>
        <w:spacing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（4）信息港七期食堂</w:t>
      </w:r>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项目经理一名：有相关工作经验；</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大灶</w:t>
      </w:r>
      <w:r>
        <w:rPr>
          <w:rFonts w:hint="eastAsia" w:ascii="仿宋" w:hAnsi="仿宋" w:eastAsia="仿宋" w:cs="仿宋"/>
          <w:sz w:val="24"/>
          <w:szCs w:val="24"/>
          <w:highlight w:val="none"/>
        </w:rPr>
        <w:t>厨</w:t>
      </w:r>
      <w:r>
        <w:rPr>
          <w:rFonts w:hint="eastAsia" w:ascii="仿宋" w:hAnsi="仿宋" w:eastAsia="仿宋" w:cs="仿宋"/>
          <w:sz w:val="24"/>
          <w:szCs w:val="24"/>
          <w:highlight w:val="none"/>
          <w:lang w:val="en-US" w:eastAsia="zh-CN"/>
        </w:rPr>
        <w:t>师三</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擅长制作本地菜品</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包厢厨师一名：有相关工作经验，</w:t>
      </w:r>
      <w:r>
        <w:rPr>
          <w:rFonts w:hint="eastAsia" w:ascii="仿宋" w:hAnsi="仿宋" w:eastAsia="仿宋" w:cs="仿宋"/>
          <w:sz w:val="24"/>
          <w:szCs w:val="24"/>
          <w:highlight w:val="none"/>
        </w:rPr>
        <w:t>擅长制作</w:t>
      </w:r>
      <w:r>
        <w:rPr>
          <w:rFonts w:hint="eastAsia" w:ascii="仿宋" w:hAnsi="仿宋" w:eastAsia="仿宋" w:cs="仿宋"/>
          <w:sz w:val="24"/>
          <w:szCs w:val="24"/>
          <w:highlight w:val="none"/>
          <w:lang w:val="en-US" w:eastAsia="zh-CN"/>
        </w:rPr>
        <w:t>精品</w:t>
      </w:r>
      <w:r>
        <w:rPr>
          <w:rFonts w:hint="eastAsia" w:ascii="仿宋" w:hAnsi="仿宋" w:eastAsia="仿宋" w:cs="仿宋"/>
          <w:sz w:val="24"/>
          <w:szCs w:val="24"/>
          <w:highlight w:val="none"/>
        </w:rPr>
        <w:t>本地菜品</w:t>
      </w:r>
      <w:r>
        <w:rPr>
          <w:rFonts w:hint="eastAsia" w:ascii="仿宋" w:hAnsi="仿宋" w:eastAsia="仿宋" w:cs="仿宋"/>
          <w:sz w:val="24"/>
          <w:szCs w:val="24"/>
          <w:highlight w:val="none"/>
          <w:lang w:eastAsia="zh-CN"/>
        </w:rPr>
        <w:t>；</w:t>
      </w:r>
    </w:p>
    <w:p>
      <w:pPr>
        <w:pStyle w:val="80"/>
        <w:keepNext w:val="0"/>
        <w:keepLines w:val="0"/>
        <w:pageBreakBefore w:val="0"/>
        <w:kinsoku/>
        <w:overflowPunct/>
        <w:topLinePunct w:val="0"/>
        <w:bidi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冷菜厨师一名：有相关工作经验，擅长冷菜制作；</w:t>
      </w:r>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厨房打荷两名：有相关工作经验；</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蒸灶师傅一名：有相关工作经验；</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面点师</w:t>
      </w:r>
      <w:r>
        <w:rPr>
          <w:rFonts w:hint="eastAsia" w:ascii="仿宋" w:hAnsi="仿宋" w:eastAsia="仿宋" w:cs="仿宋"/>
          <w:sz w:val="24"/>
          <w:szCs w:val="24"/>
          <w:highlight w:val="none"/>
          <w:lang w:val="en-US" w:eastAsia="zh-CN"/>
        </w:rPr>
        <w:t>两</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仓管员一名：有相关工作经验；</w:t>
      </w:r>
    </w:p>
    <w:p>
      <w:pPr>
        <w:pStyle w:val="80"/>
        <w:keepNext w:val="0"/>
        <w:keepLines w:val="0"/>
        <w:pageBreakBefore w:val="0"/>
        <w:kinsoku/>
        <w:overflowPunct/>
        <w:topLinePunct w:val="0"/>
        <w:bidi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大厅保洁员两名；</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工四</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default"/>
          <w:highlight w:val="none"/>
          <w:lang w:val="en-US" w:eastAsia="zh-CN"/>
        </w:rPr>
      </w:pPr>
      <w:r>
        <w:rPr>
          <w:rFonts w:hint="eastAsia" w:ascii="仿宋" w:hAnsi="仿宋" w:eastAsia="仿宋" w:cs="仿宋"/>
          <w:sz w:val="24"/>
          <w:szCs w:val="24"/>
          <w:highlight w:val="none"/>
          <w:lang w:val="en-US" w:eastAsia="zh-CN"/>
        </w:rPr>
        <w:t>服务主管一名：有相关工作经验；</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eastAsia="仿宋"/>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两</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切配</w:t>
      </w:r>
      <w:r>
        <w:rPr>
          <w:rFonts w:hint="eastAsia" w:ascii="仿宋" w:hAnsi="仿宋" w:eastAsia="仿宋" w:cs="仿宋"/>
          <w:sz w:val="24"/>
          <w:szCs w:val="24"/>
          <w:highlight w:val="none"/>
          <w:lang w:val="en-US" w:eastAsia="zh-CN"/>
        </w:rPr>
        <w:t>两</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合计：24人；</w:t>
      </w:r>
    </w:p>
    <w:p>
      <w:pPr>
        <w:keepNext w:val="0"/>
        <w:keepLines w:val="0"/>
        <w:pageBreakBefore w:val="0"/>
        <w:kinsoku/>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pStyle w:val="80"/>
        <w:keepNext w:val="0"/>
        <w:keepLines w:val="0"/>
        <w:pageBreakBefore w:val="0"/>
        <w:kinsoku/>
        <w:overflowPunct/>
        <w:topLinePunct w:val="0"/>
        <w:bidi w:val="0"/>
        <w:spacing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（5）机器人小镇博展中心食堂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副厨一名：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协助厨师长做好厨房生产组织工作，分配厨房人员的工作情况，擅长制作本地菜品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切配一名</w:t>
      </w:r>
      <w:r>
        <w:rPr>
          <w:rFonts w:hint="eastAsia" w:ascii="仿宋" w:hAnsi="仿宋" w:eastAsia="仿宋" w:cs="仿宋"/>
          <w:sz w:val="24"/>
          <w:szCs w:val="24"/>
          <w:highlight w:val="none"/>
          <w:lang w:eastAsia="zh-CN"/>
        </w:rPr>
        <w:t>；</w:t>
      </w:r>
    </w:p>
    <w:p>
      <w:pPr>
        <w:keepNext w:val="0"/>
        <w:keepLines w:val="0"/>
        <w:pageBreakBefore w:val="0"/>
        <w:kinsoku/>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合计：6人；</w:t>
      </w:r>
    </w:p>
    <w:p>
      <w:pPr>
        <w:keepNext w:val="0"/>
        <w:keepLines w:val="0"/>
        <w:pageBreakBefore w:val="0"/>
        <w:kinsoku/>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pStyle w:val="80"/>
        <w:keepNext w:val="0"/>
        <w:keepLines w:val="0"/>
        <w:pageBreakBefore w:val="0"/>
        <w:numPr>
          <w:ilvl w:val="0"/>
          <w:numId w:val="0"/>
        </w:numPr>
        <w:kinsoku/>
        <w:overflowPunct/>
        <w:topLinePunct w:val="0"/>
        <w:bidi w:val="0"/>
        <w:spacing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（6）机器人小镇硬科技中心食堂</w:t>
      </w:r>
    </w:p>
    <w:p>
      <w:pPr>
        <w:keepNext w:val="0"/>
        <w:keepLines w:val="0"/>
        <w:pageBreakBefore w:val="0"/>
        <w:numPr>
          <w:ilvl w:val="0"/>
          <w:numId w:val="0"/>
        </w:numPr>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项目经理一名：有相关工作经验；</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副厨一名：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协助厨师长做好厨房生产组织工作，分配厨房人员的工作情况，擅长制作本地菜品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面点师一名：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工四</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切配一名</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合计：10人；</w:t>
      </w:r>
    </w:p>
    <w:p>
      <w:pPr>
        <w:keepNext w:val="0"/>
        <w:keepLines w:val="0"/>
        <w:pageBreakBefore w:val="0"/>
        <w:kinsoku/>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pStyle w:val="80"/>
        <w:keepNext w:val="0"/>
        <w:keepLines w:val="0"/>
        <w:pageBreakBefore w:val="0"/>
        <w:numPr>
          <w:ilvl w:val="0"/>
          <w:numId w:val="0"/>
        </w:numPr>
        <w:kinsoku/>
        <w:overflowPunct/>
        <w:topLinePunct w:val="0"/>
        <w:bidi w:val="0"/>
        <w:spacing w:line="360" w:lineRule="auto"/>
        <w:ind w:left="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（7）金珺澜庭邻里食堂</w:t>
      </w:r>
    </w:p>
    <w:p>
      <w:pPr>
        <w:keepNext w:val="0"/>
        <w:keepLines w:val="0"/>
        <w:pageBreakBefore w:val="0"/>
        <w:numPr>
          <w:ilvl w:val="0"/>
          <w:numId w:val="0"/>
        </w:numPr>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项目经理一名：有相关工作经验；</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副厨一名：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协助厨师长做好厨房生产组织工作，分配厨房人员的工作情况，擅长制作本地菜品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面点师一名：会做中式点心</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工四</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切配一名</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合计：10人；</w:t>
      </w:r>
    </w:p>
    <w:p>
      <w:pPr>
        <w:keepNext w:val="0"/>
        <w:keepLines w:val="0"/>
        <w:pageBreakBefore w:val="0"/>
        <w:kinsoku/>
        <w:overflowPunct/>
        <w:topLinePunct w:val="0"/>
        <w:bidi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pStyle w:val="80"/>
        <w:keepNext w:val="0"/>
        <w:keepLines w:val="0"/>
        <w:pageBreakBefore w:val="0"/>
        <w:numPr>
          <w:ilvl w:val="0"/>
          <w:numId w:val="0"/>
        </w:numPr>
        <w:kinsoku/>
        <w:overflowPunct/>
        <w:topLinePunct w:val="0"/>
        <w:bidi w:val="0"/>
        <w:spacing w:line="360" w:lineRule="auto"/>
        <w:ind w:left="0"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（8）</w:t>
      </w:r>
      <w:r>
        <w:rPr>
          <w:rFonts w:hint="eastAsia" w:ascii="仿宋" w:hAnsi="仿宋" w:eastAsia="仿宋" w:cs="仿宋"/>
          <w:b/>
          <w:bCs/>
          <w:sz w:val="24"/>
          <w:szCs w:val="24"/>
          <w:highlight w:val="none"/>
        </w:rPr>
        <w:t>钱湾生物港</w:t>
      </w:r>
      <w:r>
        <w:rPr>
          <w:rFonts w:hint="eastAsia" w:ascii="仿宋" w:hAnsi="仿宋" w:eastAsia="仿宋" w:cs="仿宋"/>
          <w:b/>
          <w:bCs/>
          <w:sz w:val="24"/>
          <w:szCs w:val="24"/>
          <w:highlight w:val="none"/>
          <w:lang w:eastAsia="zh-CN"/>
        </w:rPr>
        <w:t>一期</w:t>
      </w:r>
      <w:r>
        <w:rPr>
          <w:rFonts w:hint="eastAsia" w:ascii="仿宋" w:hAnsi="仿宋" w:eastAsia="仿宋" w:cs="仿宋"/>
          <w:b/>
          <w:bCs/>
          <w:sz w:val="24"/>
          <w:szCs w:val="24"/>
          <w:highlight w:val="none"/>
        </w:rPr>
        <w:t>食堂</w:t>
      </w:r>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项目经理一名：有相关工作经验；</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大灶</w:t>
      </w:r>
      <w:r>
        <w:rPr>
          <w:rFonts w:hint="eastAsia" w:ascii="仿宋" w:hAnsi="仿宋" w:eastAsia="仿宋" w:cs="仿宋"/>
          <w:sz w:val="24"/>
          <w:szCs w:val="24"/>
          <w:highlight w:val="none"/>
        </w:rPr>
        <w:t>厨</w:t>
      </w:r>
      <w:r>
        <w:rPr>
          <w:rFonts w:hint="eastAsia" w:ascii="仿宋" w:hAnsi="仿宋" w:eastAsia="仿宋" w:cs="仿宋"/>
          <w:sz w:val="24"/>
          <w:szCs w:val="24"/>
          <w:highlight w:val="none"/>
          <w:lang w:val="en-US" w:eastAsia="zh-CN"/>
        </w:rPr>
        <w:t>师两</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擅长制作本地菜品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面点师一名：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副面点师一名：有相关工作经验，会做中式点心；</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仓管员一名：有相关工作经验；</w:t>
      </w:r>
    </w:p>
    <w:p>
      <w:pPr>
        <w:pStyle w:val="80"/>
        <w:keepNext w:val="0"/>
        <w:keepLines w:val="0"/>
        <w:pageBreakBefore w:val="0"/>
        <w:kinsoku/>
        <w:overflowPunct/>
        <w:topLinePunct w:val="0"/>
        <w:bidi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大厅保洁员一名；</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工四</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两</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切配</w:t>
      </w:r>
      <w:r>
        <w:rPr>
          <w:rFonts w:hint="eastAsia" w:ascii="仿宋" w:hAnsi="仿宋" w:eastAsia="仿宋" w:cs="仿宋"/>
          <w:sz w:val="24"/>
          <w:szCs w:val="24"/>
          <w:highlight w:val="none"/>
          <w:lang w:val="en-US" w:eastAsia="zh-CN"/>
        </w:rPr>
        <w:t>两</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合计：16人；</w:t>
      </w:r>
    </w:p>
    <w:p>
      <w:pPr>
        <w:snapToGrid w:val="0"/>
        <w:spacing w:line="360" w:lineRule="auto"/>
        <w:ind w:firstLine="480" w:firstLineChars="200"/>
        <w:rPr>
          <w:rFonts w:hint="eastAsia"/>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pStyle w:val="80"/>
        <w:keepNext w:val="0"/>
        <w:keepLines w:val="0"/>
        <w:pageBreakBefore w:val="0"/>
        <w:numPr>
          <w:ilvl w:val="0"/>
          <w:numId w:val="0"/>
        </w:numPr>
        <w:kinsoku/>
        <w:overflowPunct/>
        <w:topLinePunct w:val="0"/>
        <w:bidi w:val="0"/>
        <w:spacing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（9）灵康大厦无忧共享食堂</w:t>
      </w:r>
    </w:p>
    <w:p>
      <w:pPr>
        <w:keepNext w:val="0"/>
        <w:keepLines w:val="0"/>
        <w:pageBreakBefore w:val="0"/>
        <w:numPr>
          <w:ilvl w:val="0"/>
          <w:numId w:val="0"/>
        </w:numPr>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项目经理一名：有相关工作经验；</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厨师长一名</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副厨一名：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协助厨师长做好厨房生产组织工作，分配厨房人员的工作情况，擅长制作本地菜品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面点师一名：</w:t>
      </w:r>
      <w:r>
        <w:rPr>
          <w:rFonts w:hint="eastAsia" w:ascii="仿宋" w:hAnsi="仿宋" w:eastAsia="仿宋" w:cs="仿宋"/>
          <w:sz w:val="24"/>
          <w:szCs w:val="24"/>
          <w:highlight w:val="none"/>
          <w:lang w:val="en-US" w:eastAsia="zh-CN"/>
        </w:rPr>
        <w:t>有相关工作经验，</w:t>
      </w:r>
      <w:r>
        <w:rPr>
          <w:rFonts w:hint="eastAsia" w:ascii="仿宋" w:hAnsi="仿宋" w:eastAsia="仿宋" w:cs="仿宋"/>
          <w:sz w:val="24"/>
          <w:szCs w:val="24"/>
          <w:highlight w:val="none"/>
        </w:rPr>
        <w:t>会做中式点心</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勤杂</w:t>
      </w:r>
      <w:r>
        <w:rPr>
          <w:rFonts w:hint="eastAsia" w:ascii="仿宋" w:hAnsi="仿宋" w:eastAsia="仿宋" w:cs="仿宋"/>
          <w:sz w:val="24"/>
          <w:szCs w:val="24"/>
          <w:highlight w:val="none"/>
          <w:lang w:val="en-US" w:eastAsia="zh-CN"/>
        </w:rPr>
        <w:t>工三</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服务员</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名</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切配一名</w:t>
      </w:r>
      <w:r>
        <w:rPr>
          <w:rFonts w:hint="eastAsia" w:ascii="仿宋" w:hAnsi="仿宋" w:eastAsia="仿宋" w:cs="仿宋"/>
          <w:sz w:val="24"/>
          <w:szCs w:val="24"/>
          <w:highlight w:val="none"/>
          <w:lang w:eastAsia="zh-CN"/>
        </w:rPr>
        <w:t>；</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合计：9人；</w:t>
      </w:r>
    </w:p>
    <w:p>
      <w:pPr>
        <w:keepNext w:val="0"/>
        <w:keepLines w:val="0"/>
        <w:pageBreakBefore w:val="0"/>
        <w:kinsoku/>
        <w:overflowPunct/>
        <w:topLinePunct w:val="0"/>
        <w:bidi w:val="0"/>
        <w:snapToGrid w:val="0"/>
        <w:spacing w:line="360" w:lineRule="auto"/>
        <w:ind w:firstLine="480" w:firstLineChars="200"/>
        <w:textAlignment w:val="auto"/>
        <w:rPr>
          <w:rFonts w:hint="default"/>
          <w:highlight w:val="none"/>
          <w:lang w:val="en-US" w:eastAsia="zh-CN"/>
        </w:rPr>
      </w:pPr>
      <w:r>
        <w:rPr>
          <w:rFonts w:hint="eastAsia" w:ascii="仿宋" w:hAnsi="仿宋" w:eastAsia="仿宋" w:cs="仿宋"/>
          <w:sz w:val="24"/>
          <w:szCs w:val="24"/>
          <w:highlight w:val="none"/>
          <w:lang w:val="en-US" w:eastAsia="zh-CN"/>
        </w:rPr>
        <w:t>该团队中须满足</w:t>
      </w:r>
      <w:r>
        <w:rPr>
          <w:rFonts w:hint="eastAsia" w:ascii="仿宋" w:hAnsi="仿宋" w:eastAsia="仿宋" w:cs="仿宋"/>
          <w:sz w:val="24"/>
          <w:szCs w:val="24"/>
          <w:highlight w:val="none"/>
        </w:rPr>
        <w:t>一人会做食堂帐，熟练电脑操作，餐厅菜单打印，饭卡充值、查询等。</w:t>
      </w:r>
    </w:p>
    <w:p>
      <w:pPr>
        <w:keepNext w:val="0"/>
        <w:keepLines w:val="0"/>
        <w:pageBreakBefore w:val="0"/>
        <w:kinsoku/>
        <w:overflowPunct/>
        <w:topLinePunct w:val="0"/>
        <w:bidi w:val="0"/>
        <w:spacing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2、投标人总项目部</w:t>
      </w:r>
    </w:p>
    <w:p>
      <w:pPr>
        <w:pStyle w:val="79"/>
        <w:keepNext w:val="0"/>
        <w:keepLines w:val="0"/>
        <w:pageBreakBefore w:val="0"/>
        <w:kinsoku/>
        <w:overflowPunct/>
        <w:topLinePunct w:val="0"/>
        <w:bidi w:val="0"/>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项目总负责一名：大专及以上学历；</w:t>
      </w:r>
    </w:p>
    <w:p>
      <w:pPr>
        <w:pStyle w:val="80"/>
        <w:keepNext w:val="0"/>
        <w:keepLines w:val="0"/>
        <w:pageBreakBefore w:val="0"/>
        <w:kinsoku/>
        <w:overflowPunct/>
        <w:topLinePunct w:val="0"/>
        <w:bidi w:val="0"/>
        <w:spacing w:line="360" w:lineRule="auto"/>
        <w:ind w:left="0" w:leftChars="0"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食品安全员一名；</w:t>
      </w:r>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营养师一名；</w:t>
      </w:r>
    </w:p>
    <w:p>
      <w:pPr>
        <w:pStyle w:val="79"/>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采购经理一名；</w:t>
      </w:r>
    </w:p>
    <w:p>
      <w:pPr>
        <w:pStyle w:val="80"/>
        <w:keepNext w:val="0"/>
        <w:keepLines w:val="0"/>
        <w:pageBreakBefore w:val="0"/>
        <w:kinsoku/>
        <w:overflowPunct/>
        <w:topLinePunct w:val="0"/>
        <w:bidi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采购主管一名；</w:t>
      </w:r>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生产车间主任一名；</w:t>
      </w:r>
    </w:p>
    <w:p>
      <w:pPr>
        <w:pStyle w:val="79"/>
        <w:keepNext w:val="0"/>
        <w:keepLines w:val="0"/>
        <w:pageBreakBefore w:val="0"/>
        <w:kinsoku/>
        <w:overflowPunct/>
        <w:topLinePunct w:val="0"/>
        <w:bidi w:val="0"/>
        <w:spacing w:line="360" w:lineRule="auto"/>
        <w:ind w:firstLine="480" w:firstLineChars="200"/>
        <w:textAlignment w:val="auto"/>
        <w:rPr>
          <w:rFonts w:hint="eastAsia"/>
          <w:highlight w:val="none"/>
          <w:lang w:val="en-US" w:eastAsia="zh-CN"/>
        </w:rPr>
      </w:pPr>
      <w:r>
        <w:rPr>
          <w:rFonts w:hint="eastAsia" w:ascii="仿宋" w:hAnsi="仿宋" w:eastAsia="仿宋" w:cs="仿宋"/>
          <w:sz w:val="24"/>
          <w:szCs w:val="24"/>
          <w:highlight w:val="none"/>
          <w:lang w:val="en-US" w:eastAsia="zh-CN"/>
        </w:rPr>
        <w:t>财务主管一名；</w:t>
      </w:r>
    </w:p>
    <w:p>
      <w:pPr>
        <w:pStyle w:val="80"/>
        <w:keepNext w:val="0"/>
        <w:keepLines w:val="0"/>
        <w:pageBreakBefore w:val="0"/>
        <w:kinsoku/>
        <w:overflowPunct/>
        <w:topLinePunct w:val="0"/>
        <w:bidi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出纳一名；</w:t>
      </w:r>
    </w:p>
    <w:p>
      <w:pPr>
        <w:pStyle w:val="80"/>
        <w:keepNext w:val="0"/>
        <w:keepLines w:val="0"/>
        <w:pageBreakBefore w:val="0"/>
        <w:kinsoku/>
        <w:overflowPunct/>
        <w:topLinePunct w:val="0"/>
        <w:bidi w:val="0"/>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办公室三名；</w:t>
      </w:r>
    </w:p>
    <w:p>
      <w:pPr>
        <w:pStyle w:val="79"/>
        <w:spacing w:line="360" w:lineRule="auto"/>
        <w:ind w:firstLine="480" w:firstLineChars="200"/>
        <w:rPr>
          <w:rFonts w:hint="eastAsia"/>
          <w:highlight w:val="none"/>
          <w:lang w:val="en-US" w:eastAsia="zh-CN"/>
        </w:rPr>
      </w:pPr>
      <w:r>
        <w:rPr>
          <w:rFonts w:hint="eastAsia"/>
          <w:highlight w:val="none"/>
          <w:lang w:val="en-US" w:eastAsia="zh-CN"/>
        </w:rPr>
        <w:t>合计：11人；</w:t>
      </w:r>
    </w:p>
    <w:p>
      <w:pPr>
        <w:pStyle w:val="80"/>
        <w:spacing w:line="360" w:lineRule="auto"/>
        <w:ind w:left="0" w:leftChars="0" w:firstLine="480" w:firstLineChars="20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项目人员总计：103人。</w:t>
      </w:r>
    </w:p>
    <w:p>
      <w:pPr>
        <w:snapToGrid w:val="0"/>
        <w:spacing w:line="360" w:lineRule="auto"/>
        <w:ind w:firstLine="480" w:firstLineChars="200"/>
        <w:rPr>
          <w:rFonts w:hint="default"/>
          <w:highlight w:val="none"/>
          <w:lang w:val="en-US" w:eastAsia="zh-CN"/>
        </w:rPr>
      </w:pPr>
      <w:r>
        <w:rPr>
          <w:rFonts w:hint="eastAsia" w:ascii="仿宋" w:hAnsi="仿宋" w:eastAsia="仿宋" w:cs="仿宋"/>
          <w:sz w:val="24"/>
          <w:szCs w:val="24"/>
          <w:highlight w:val="none"/>
          <w:lang w:val="en-US" w:eastAsia="zh-CN"/>
        </w:rPr>
        <w:t>3、所有</w:t>
      </w:r>
      <w:r>
        <w:rPr>
          <w:rFonts w:hint="eastAsia" w:ascii="仿宋" w:hAnsi="仿宋" w:eastAsia="仿宋" w:cs="仿宋"/>
          <w:sz w:val="24"/>
          <w:szCs w:val="24"/>
          <w:highlight w:val="none"/>
        </w:rPr>
        <w:t>工作人员须均持有有效健康证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男性员工60周岁以内，女性员工55周岁以内</w:t>
      </w:r>
      <w:r>
        <w:rPr>
          <w:rFonts w:hint="eastAsia" w:ascii="仿宋" w:hAnsi="仿宋" w:eastAsia="仿宋" w:cs="仿宋"/>
          <w:sz w:val="24"/>
          <w:szCs w:val="24"/>
          <w:highlight w:val="none"/>
        </w:rPr>
        <w:t>。</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工作人员上岗必须穿戴清洁工作衣帽，不留长指甲，不涂指甲油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不染怪发，男同志不留长发；在食堂内不抽烟</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不赌博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不随地吐痰，讲究公共卫生。</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由于采购人工作的特殊性，中标人需根据招标方的要求，确保各类大型活动、突发事件、夜宵等食堂后勤保障任务。</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中标人负责员工招收、签订劳动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劳务</w:t>
      </w:r>
      <w:r>
        <w:rPr>
          <w:rFonts w:hint="eastAsia" w:ascii="仿宋" w:hAnsi="仿宋" w:eastAsia="仿宋" w:cs="仿宋"/>
          <w:sz w:val="24"/>
          <w:szCs w:val="24"/>
          <w:highlight w:val="none"/>
        </w:rPr>
        <w:t>协议等工作，并进行业务培训和日常管理，委派人员的工作受双方共同管理和监督。</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中标人在协议期内提出提前解除员工的劳动协议，由此带来的经济损失及赔偿等问题由中标人承担。</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中标人员工在上下班和工作期间，发生人身伤害或操作不当造成伤害或损失的，一切费用由中标人负责。</w:t>
      </w:r>
    </w:p>
    <w:p>
      <w:pPr>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9、未经采购人书面同意，中标人每个食堂正式运营后，各食堂配备人员数量不得低于上述要求。</w:t>
      </w:r>
    </w:p>
    <w:p>
      <w:pPr>
        <w:pStyle w:val="26"/>
        <w:pageBreakBefore w:val="0"/>
        <w:kinsoku/>
        <w:wordWrap/>
        <w:overflowPunct/>
        <w:topLinePunct w:val="0"/>
        <w:autoSpaceDE/>
        <w:autoSpaceDN/>
        <w:bidi w:val="0"/>
        <w:spacing w:beforeAutospacing="0" w:after="0" w:afterAutospacing="0" w:line="360" w:lineRule="auto"/>
        <w:ind w:left="0" w:leftChars="0"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（七）</w:t>
      </w:r>
      <w:r>
        <w:rPr>
          <w:rFonts w:hint="eastAsia" w:ascii="仿宋" w:hAnsi="仿宋" w:eastAsia="仿宋" w:cs="仿宋"/>
          <w:b/>
          <w:bCs/>
          <w:color w:val="auto"/>
          <w:kern w:val="2"/>
          <w:sz w:val="24"/>
          <w:szCs w:val="24"/>
          <w:highlight w:val="none"/>
          <w:lang w:val="en-US" w:eastAsia="zh-CN" w:bidi="ar-SA"/>
        </w:rPr>
        <w:t>考核方式</w:t>
      </w:r>
    </w:p>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 xml:space="preserve"> 1、正式运营后，采购人每月对每个市场化经营食堂的营收情况进行量化考核，具体考核标准详见附件1。</w:t>
      </w:r>
    </w:p>
    <w:p>
      <w:pPr>
        <w:pStyle w:val="3"/>
        <w:pageBreakBefore w:val="0"/>
        <w:numPr>
          <w:ilvl w:val="0"/>
          <w:numId w:val="0"/>
        </w:numPr>
        <w:kinsoku/>
        <w:wordWrap/>
        <w:overflowPunct/>
        <w:topLinePunct w:val="0"/>
        <w:autoSpaceDE/>
        <w:autoSpaceDN/>
        <w:bidi w:val="0"/>
        <w:spacing w:beforeAutospacing="0" w:afterAutospacing="0" w:line="360" w:lineRule="auto"/>
        <w:ind w:left="0" w:firstLine="482" w:firstLineChars="200"/>
        <w:jc w:val="both"/>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000000"/>
          <w:sz w:val="24"/>
          <w:szCs w:val="24"/>
          <w:highlight w:val="none"/>
          <w:lang w:val="en-US" w:eastAsia="zh-CN"/>
        </w:rPr>
        <w:t>营收考核表（附件1）</w:t>
      </w:r>
      <w:r>
        <w:rPr>
          <w:rFonts w:hint="eastAsia" w:ascii="仿宋" w:eastAsia="仿宋" w:cs="仿宋"/>
          <w:b/>
          <w:bCs/>
          <w:color w:val="000000"/>
          <w:sz w:val="24"/>
          <w:szCs w:val="24"/>
          <w:highlight w:val="none"/>
          <w:lang w:val="en-US" w:eastAsia="zh-CN"/>
        </w:rPr>
        <w:t>：</w:t>
      </w:r>
    </w:p>
    <w:tbl>
      <w:tblPr>
        <w:tblStyle w:val="63"/>
        <w:tblpPr w:leftFromText="180" w:rightFromText="180" w:vertAnchor="text" w:horzAnchor="page" w:tblpX="1815" w:tblpY="111"/>
        <w:tblOverlap w:val="never"/>
        <w:tblW w:w="8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499"/>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44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center"/>
              <w:textAlignment w:val="auto"/>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月营业额（人民币）</w:t>
            </w:r>
          </w:p>
        </w:tc>
        <w:tc>
          <w:tcPr>
            <w:tcW w:w="31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center"/>
              <w:textAlignment w:val="auto"/>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运营费用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w:t>
            </w:r>
          </w:p>
        </w:tc>
        <w:tc>
          <w:tcPr>
            <w:tcW w:w="44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月营业额＜单月运营费</w:t>
            </w:r>
          </w:p>
        </w:tc>
        <w:tc>
          <w:tcPr>
            <w:tcW w:w="31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2</w:t>
            </w:r>
          </w:p>
        </w:tc>
        <w:tc>
          <w:tcPr>
            <w:tcW w:w="44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单月运营费≤月营业额＜3倍单月运营费</w:t>
            </w:r>
          </w:p>
        </w:tc>
        <w:tc>
          <w:tcPr>
            <w:tcW w:w="31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80%标准支付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3</w:t>
            </w:r>
          </w:p>
        </w:tc>
        <w:tc>
          <w:tcPr>
            <w:tcW w:w="44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3倍单月运营费≤月营业额＜7倍单月运营费</w:t>
            </w:r>
          </w:p>
        </w:tc>
        <w:tc>
          <w:tcPr>
            <w:tcW w:w="31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r>
              <w:rPr>
                <w:rFonts w:hint="eastAsia" w:ascii="仿宋" w:hAnsi="仿宋" w:eastAsia="仿宋" w:cs="仿宋"/>
                <w:sz w:val="24"/>
                <w:highlight w:val="none"/>
              </w:rPr>
              <w:t>0%</w:t>
            </w:r>
            <w:r>
              <w:rPr>
                <w:rFonts w:hint="eastAsia" w:ascii="仿宋" w:hAnsi="仿宋" w:eastAsia="仿宋" w:cs="仿宋"/>
                <w:sz w:val="24"/>
                <w:highlight w:val="none"/>
                <w:lang w:val="en-US" w:eastAsia="zh-CN"/>
              </w:rPr>
              <w:t>标准支付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p>
        </w:tc>
        <w:tc>
          <w:tcPr>
            <w:tcW w:w="44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7倍单月运营费≤月营业额</w:t>
            </w:r>
          </w:p>
        </w:tc>
        <w:tc>
          <w:tcPr>
            <w:tcW w:w="311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110%标准支付，月营业额超出7倍单月运营费部分，采购人提取比例降低至10%。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760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考核开始时间节点由采购人自行决定，中标人不得拒绝。</w:t>
            </w:r>
          </w:p>
        </w:tc>
      </w:tr>
    </w:tbl>
    <w:p>
      <w:pPr>
        <w:pageBreakBefore w:val="0"/>
        <w:numPr>
          <w:ilvl w:val="0"/>
          <w:numId w:val="2"/>
        </w:numPr>
        <w:kinsoku/>
        <w:wordWrap/>
        <w:overflowPunct/>
        <w:topLinePunct w:val="0"/>
        <w:autoSpaceDE/>
        <w:autoSpaceDN/>
        <w:bidi w:val="0"/>
        <w:snapToGrid w:val="0"/>
        <w:spacing w:beforeAutospacing="0" w:afterAutospacing="0" w:line="360" w:lineRule="auto"/>
        <w:ind w:left="0" w:leftChars="0" w:firstLine="480" w:firstLineChars="20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采购人每月对每个食堂的日常经营及卫生情况进行量化考核，任一个食堂当月考核在80分以下的，每扣一分，扣500元；当月考核在70分以下的，每扣一分，扣1000元；连续两个月该食堂考核在60分以下的，采购人有权单方面解除该食堂的运营合同。单月食堂考核在40分以下的，采购人有权单方面解除该食堂的运营合同。单个食堂荣获采购人认可的省、市、区行政机关颁发的荣誉称号的，当年度该食堂运营费按110%、108%、105%标准（考核后）支付；超过3个食堂荣获采购人认可的省、市、区行政机关颁发的荣誉称号的，除获得荣誉称号的食堂运营费按照上述标准（考核后）支付外，当年度所有剩余食堂运营费按103%标准（考核后）支付。每次获得采购人认可的区级及以上官方媒体正面报道的，当月运营费加5000元。</w:t>
      </w:r>
    </w:p>
    <w:p>
      <w:pPr>
        <w:pageBreakBefore w:val="0"/>
        <w:numPr>
          <w:ilvl w:val="0"/>
          <w:numId w:val="0"/>
        </w:numPr>
        <w:kinsoku/>
        <w:wordWrap/>
        <w:overflowPunct/>
        <w:topLinePunct w:val="0"/>
        <w:autoSpaceDE/>
        <w:autoSpaceDN/>
        <w:bidi w:val="0"/>
        <w:snapToGrid w:val="0"/>
        <w:spacing w:beforeAutospacing="0" w:afterAutospacing="0" w:line="360" w:lineRule="auto"/>
        <w:ind w:leftChars="0" w:firstLine="480" w:firstLineChars="20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具体考核标准详见附件2。</w:t>
      </w:r>
    </w:p>
    <w:p>
      <w:pPr>
        <w:pStyle w:val="3"/>
        <w:pageBreakBefore w:val="0"/>
        <w:numPr>
          <w:ilvl w:val="0"/>
          <w:numId w:val="0"/>
        </w:numPr>
        <w:kinsoku/>
        <w:wordWrap/>
        <w:overflowPunct/>
        <w:topLinePunct w:val="0"/>
        <w:autoSpaceDE/>
        <w:autoSpaceDN/>
        <w:bidi w:val="0"/>
        <w:spacing w:beforeAutospacing="0" w:afterAutospacing="0" w:line="360" w:lineRule="auto"/>
        <w:ind w:firstLine="482" w:firstLineChars="200"/>
        <w:jc w:val="both"/>
        <w:textAlignment w:val="auto"/>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月度考核表（附件</w:t>
      </w:r>
      <w:r>
        <w:rPr>
          <w:rFonts w:hint="eastAsia" w:ascii="仿宋" w:eastAsia="仿宋" w:cs="仿宋"/>
          <w:b/>
          <w:bCs/>
          <w:color w:val="000000"/>
          <w:sz w:val="24"/>
          <w:szCs w:val="24"/>
          <w:highlight w:val="none"/>
          <w:lang w:val="en-US" w:eastAsia="zh-CN"/>
        </w:rPr>
        <w:t>2</w:t>
      </w:r>
      <w:r>
        <w:rPr>
          <w:rFonts w:hint="eastAsia" w:ascii="仿宋" w:hAnsi="仿宋" w:eastAsia="仿宋" w:cs="仿宋"/>
          <w:b/>
          <w:bCs/>
          <w:color w:val="000000"/>
          <w:sz w:val="24"/>
          <w:szCs w:val="24"/>
          <w:highlight w:val="none"/>
        </w:rPr>
        <w:t>）：</w:t>
      </w:r>
    </w:p>
    <w:tbl>
      <w:tblPr>
        <w:tblStyle w:val="6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6577"/>
        <w:gridCol w:w="577"/>
        <w:gridCol w:w="530"/>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4" w:type="dxa"/>
            <w:tcBorders>
              <w:top w:val="single" w:color="auto" w:sz="4" w:space="0"/>
              <w:left w:val="single" w:color="auto" w:sz="4" w:space="0"/>
              <w:bottom w:val="single" w:color="auto" w:sz="4" w:space="0"/>
              <w:right w:val="single" w:color="auto" w:sz="4" w:space="0"/>
            </w:tcBorders>
            <w:shd w:val="clear" w:color="auto" w:fill="FEFEFE"/>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w:t>
            </w:r>
          </w:p>
        </w:tc>
        <w:tc>
          <w:tcPr>
            <w:tcW w:w="6577" w:type="dxa"/>
            <w:tcBorders>
              <w:top w:val="single" w:color="auto" w:sz="4" w:space="0"/>
              <w:left w:val="single" w:color="auto" w:sz="4" w:space="0"/>
              <w:bottom w:val="single" w:color="auto" w:sz="4" w:space="0"/>
              <w:right w:val="single" w:color="auto" w:sz="4" w:space="0"/>
            </w:tcBorders>
            <w:shd w:val="clear" w:color="auto" w:fill="FEFEFE"/>
            <w:vAlign w:val="center"/>
          </w:tcPr>
          <w:p>
            <w:pPr>
              <w:pageBreakBefore w:val="0"/>
              <w:kinsoku/>
              <w:wordWrap/>
              <w:overflowPunct/>
              <w:topLinePunct w:val="0"/>
              <w:autoSpaceDE/>
              <w:autoSpaceDN/>
              <w:bidi w:val="0"/>
              <w:snapToGrid w:val="0"/>
              <w:spacing w:beforeAutospacing="0" w:afterAutospacing="0" w:line="360" w:lineRule="auto"/>
              <w:ind w:firstLine="480" w:firstLineChars="200"/>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考核（检查）具体内容</w:t>
            </w:r>
          </w:p>
        </w:tc>
        <w:tc>
          <w:tcPr>
            <w:tcW w:w="577" w:type="dxa"/>
            <w:tcBorders>
              <w:top w:val="single" w:color="auto" w:sz="4" w:space="0"/>
              <w:left w:val="single" w:color="auto" w:sz="4" w:space="0"/>
              <w:bottom w:val="single" w:color="auto" w:sz="4" w:space="0"/>
              <w:right w:val="single" w:color="auto" w:sz="4" w:space="0"/>
            </w:tcBorders>
            <w:shd w:val="clear" w:color="auto" w:fill="FEFEFE"/>
            <w:vAlign w:val="center"/>
          </w:tcPr>
          <w:p>
            <w:pPr>
              <w:pageBreakBefore w:val="0"/>
              <w:kinsoku/>
              <w:wordWrap/>
              <w:overflowPunct/>
              <w:topLinePunct w:val="0"/>
              <w:autoSpaceDE/>
              <w:autoSpaceDN/>
              <w:bidi w:val="0"/>
              <w:spacing w:beforeAutospacing="0" w:afterAutospacing="0" w:line="360" w:lineRule="auto"/>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分值</w:t>
            </w:r>
          </w:p>
        </w:tc>
        <w:tc>
          <w:tcPr>
            <w:tcW w:w="530" w:type="dxa"/>
            <w:tcBorders>
              <w:top w:val="single" w:color="auto" w:sz="4" w:space="0"/>
              <w:left w:val="single" w:color="auto" w:sz="4" w:space="0"/>
              <w:bottom w:val="single" w:color="auto" w:sz="4" w:space="0"/>
              <w:right w:val="single" w:color="auto" w:sz="4" w:space="0"/>
            </w:tcBorders>
            <w:shd w:val="clear" w:color="auto" w:fill="FEFEFE"/>
            <w:vAlign w:val="center"/>
          </w:tcPr>
          <w:p>
            <w:pPr>
              <w:pageBreakBefore w:val="0"/>
              <w:kinsoku/>
              <w:wordWrap/>
              <w:overflowPunct/>
              <w:topLinePunct w:val="0"/>
              <w:autoSpaceDE/>
              <w:autoSpaceDN/>
              <w:bidi w:val="0"/>
              <w:spacing w:beforeAutospacing="0" w:afterAutospacing="0" w:line="360" w:lineRule="auto"/>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扣分</w:t>
            </w:r>
          </w:p>
        </w:tc>
        <w:tc>
          <w:tcPr>
            <w:tcW w:w="485" w:type="dxa"/>
            <w:tcBorders>
              <w:top w:val="single" w:color="auto" w:sz="4" w:space="0"/>
              <w:left w:val="single" w:color="auto" w:sz="4" w:space="0"/>
              <w:bottom w:val="single" w:color="auto" w:sz="4" w:space="0"/>
              <w:right w:val="single" w:color="auto" w:sz="4" w:space="0"/>
            </w:tcBorders>
            <w:shd w:val="clear" w:color="auto" w:fill="FEFEFE"/>
            <w:vAlign w:val="center"/>
          </w:tcPr>
          <w:p>
            <w:pPr>
              <w:pageBreakBefore w:val="0"/>
              <w:kinsoku/>
              <w:wordWrap/>
              <w:overflowPunct/>
              <w:topLinePunct w:val="0"/>
              <w:autoSpaceDE/>
              <w:autoSpaceDN/>
              <w:bidi w:val="0"/>
              <w:spacing w:beforeAutospacing="0" w:afterAutospacing="0" w:line="360" w:lineRule="auto"/>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组织制度建设</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1、有食堂管理负责人、厨师长，并建立食堂各岗位职责制度。食堂各岗位职责制度规范、符合业主要求不扣分。食堂各岗位职责制度不规范扣1分；未符合业主要求扣1分。</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4</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2、建立食品安全领导小组和落实食品安全员，并建立食品安全管理制度。未建立食品安全领导小组扣1分；未落实食品安全员扣1分；未建立食品安全管理制度扣1分。</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3、建立食品（餐饮）卫生管理制度。食品（餐饮）卫生管理制度规范、条理清晰不扣分，食品（餐饮）卫生管理制度不规范扣1分；条理不清晰扣1分。</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4、实行周食谱（菜单）制度。周食谱（菜单）完善的得2分，不完善的扣1分；不清晰的扣1分。</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5、有食品安全监测、价格报审和公示及饮食健康宣传等。每缺少一项扣1分，扣完为止。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后厨操作及安全卫生管理（49分）</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1、食堂工作人员必须持有效的健康证上岗，定期检查，并挂牌上岗。发现个人卫生不达标的扣1分。无健康证并没定期检查的扣1分，没挂牌的扣1分。</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注：个人卫生（不留长指甲、不染指甲、工作服干净等）</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炊事人员必须保持整洁，在加工及出售食品时须穿戴整洁工作服、佩戴工作帽、口罩（口罩佩戴须规范）并将头发置于帽内，不准佩戴首饰，售菜间必须二次更衣，禁止吸烟和对食品打喷嚏等不卫生行为。未按上述要求规定，每发现一例不符合要求扣2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3、蔬菜要求鲜嫩，无农药残留检测。蔬菜不新鲜扣1分；农药残留检测不合格的扣1分。</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4、工作间防蝇、防蟑、防鼠、防尘等设备安全、有效。工作间防蝇、防蟑、防鼠、防尘等设备不落实，每发现一项扣1分，扣完为止。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原料、半成品、成品的加工、存放及使用容器有明显的区分标志，并按规定存放，食品存放分类分架，生、熟食品分开，杜绝交叉污染，定期盘库，提交《盘库表》，确保无过期、变质食品。达不到上述要求的，每发现一项扣1分。</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食堂四周墙壁及房顶无蜘蛛网、污斑,无苍蝇、老鼠，地面应清洁，无尘、无水、无油渍，保持干爽；食堂内电扇、空调、灭蚊器、日光灯等电器保持清洁；餐台、坐椅、门、窗等保持清洁干净；供餐台应清洁卫生，不供餐时进行封闭；供餐期间随时清理散漏的菜饭并收集放入剩菜桶，保持供餐台清洁；供餐后供餐台随时打扫干净；食堂周围（门口窗外、过道排水沟等）无垃圾，保持清洁。未按上述要求规定，每发现一项不符合要求的扣2分。</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7、灶具餐具、熟食容器定期消毒并保持清洁，做到“一刮二洗三冲四消毒五保洁”。 并且餐具保持干净卫生。如碗、盆、筷、勺等清洗不干净等投入使用一次扣2分；不按操作流程规范工作洗消扣1分；无消毒记录台账扣1分。</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8、厨房设备、刀、锅铲、勺等按规定摆放整齐，并不留有残渣。未按上述要求规定，每发现一次不符合要求的扣1分，扣完为止。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9、冰箱、冰柜里食物分开摆放，每</w:t>
            </w:r>
            <w:r>
              <w:rPr>
                <w:rFonts w:hint="eastAsia" w:ascii="仿宋" w:hAnsi="仿宋" w:eastAsia="仿宋" w:cs="仿宋"/>
                <w:color w:val="000000"/>
                <w:sz w:val="24"/>
                <w:szCs w:val="24"/>
                <w:highlight w:val="none"/>
                <w:lang w:val="en-US" w:eastAsia="zh-CN"/>
              </w:rPr>
              <w:t>月</w:t>
            </w:r>
            <w:r>
              <w:rPr>
                <w:rFonts w:hint="eastAsia" w:ascii="仿宋" w:hAnsi="仿宋" w:eastAsia="仿宋" w:cs="仿宋"/>
                <w:color w:val="000000"/>
                <w:sz w:val="24"/>
                <w:szCs w:val="24"/>
                <w:highlight w:val="none"/>
              </w:rPr>
              <w:t>解冻清理一次，冰箱、冰柜内保持清洁、无异味。每发现一次不符合要求的扣1分，扣完为止。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10、出售食品时不能用手直接接触食品，必须使用食品夹或采用隔离措施。每发现一次扣1分，扣完为止。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11、每次烹饪后，出售前，对所有食品留样，留样时间不少于48小时，留样食品数量不少于150g，并注明日期，每少留样1个扣1分。</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12、蒸箱柜内应保持卫生，不允许有散漏的剩饭、积淀的污垢等。每发现一次扣1分，扣完为止。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13、面粉、大米、食用油、肉、菜等主要食品原料必须从报请</w:t>
            </w:r>
            <w:r>
              <w:rPr>
                <w:rFonts w:hint="eastAsia" w:ascii="仿宋" w:hAnsi="仿宋" w:eastAsia="仿宋" w:cs="仿宋"/>
                <w:color w:val="000000"/>
                <w:sz w:val="24"/>
                <w:szCs w:val="24"/>
                <w:highlight w:val="none"/>
                <w:lang w:eastAsia="zh-CN"/>
              </w:rPr>
              <w:t>采购人</w:t>
            </w:r>
            <w:r>
              <w:rPr>
                <w:rFonts w:hint="eastAsia" w:ascii="仿宋" w:hAnsi="仿宋" w:eastAsia="仿宋" w:cs="仿宋"/>
                <w:color w:val="000000"/>
                <w:sz w:val="24"/>
                <w:szCs w:val="24"/>
                <w:highlight w:val="none"/>
              </w:rPr>
              <w:t>确认的正规供货渠道进货，所购物品必须是有供货方的营业执照、营业许可证、生产合格证，每批次购物凭证。每发现一次不合格扣1分，扣完为止。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14、泔水、垃圾等废弃物当餐必须清除，废弃物存放在垃圾通道指定位置并盖好，不得有不良气味或有害（有毒）气体溢出，采取应急措施并立即上报。每发现一次不合格扣1分，扣完为止。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15、洗菜过程中应保持洗菜池及周围干净，把废弃的菜头、烂叶、杂物随时放入垃圾桶。洗完菜后应清理洗菜池及下水道，并把垃圾桶加盖或搬出厨房，过餐的饭菜及其他变质、变味的食品应及时清理。每发现一次不合格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16、食具应经过粗洗、清洁精洗、清水清洗、消毒四道工序，然后将洗碗池周围打扫干净。每日消毒工作是否规范，消毒记录完整。每发现一次不合格扣1分，扣完为止。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17、切配台在操作过程中应始终保持清洁，刀、案板等应保持卫生，生熟须分开摆放使用。</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18、工作人员有发热、腹泻、皮肤伤口或感染、咽部炎症等有碍食品卫生病症的，应立即调离工作岗位。每发现一次不合格扣1分，扣完为止。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供餐</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质量</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（17分）</w:t>
            </w: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主食标准：米饭无杂质，不夹生；豆浆、稀饭浓度适当；馒头色白松软，无酸、无黄；面条新鲜色正；包子、饺子、馄饨、馅饼馅均匀，包裹严密，口味佳；制作中不偷工减料、缺斤短两。每发现一次不符合要求的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菜肴制作标准：切菜应厚薄一致，粗细均匀，蔬菜不带蒂、不带斑，条、片、丝、块形状规范，搭配合理。炸、蒸、包味道适中；爆火、中火，温火适当；调配料投放时机恰当，数量准确；炖、酱、卤、烧，熟透入味，外形完整；成品应色正、味正、咸淡适中。每发现一次不符合要求的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3、供餐不能出现断档情况（除收尾时段）。每断档一次扣1分，扣完为止。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4、不允许发生饭菜、汤内出现苍蝇、虫子、头发等现象。每出现一次扣2分，扣完为止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5、每月必须更新一次菜品，相邻两个月需确保6个及以上菜品不得重复。每次更新菜品少于6个的，扣1分。</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服务</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质量</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（10分）</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1、按规定时间供餐，不得提前、延时。发现不按时间供餐的，每发现一次扣1分，扣完为止。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2、微笑服务，热情周到，不得发生争吵。如出现吵架，打骂、服务态度差等不文明行为，每出现一次扣1分。扣完为止。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3、开餐过程中及开餐前后，餐厅环境整治，要求桌面、地面不间断清扫。保证无垃圾、无积水、无污渍。未按上述要求规定，每发现一项不符合要求的扣1分，扣完为止。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4、卤味、自制食品糕点等出售时需标明品名、份量、单价、总价。未按规定标明的，每发现一次扣1分，扣完为止。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综合</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管理</w:t>
            </w:r>
          </w:p>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（11分）</w:t>
            </w: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1、非食堂人员不得随意进入食堂加工区域，每发现一次扣1分；对所聘炊事人员无审核及未登记扣1分；对所聘炊事人员管理不力扣1分。</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2、节能减排：定人定岗，定时间，杜绝长明灯，常流水现象，做到人走关灯，人离关火。下班关电源，空调定人定时开关。未按上述要求规定，每发现一项不符合要求的扣1分，扣完为止。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3、餐具、设备损耗率控制在合理范围。因操作不当或人为损坏每发现一次扣1分，扣完为止。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6577"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4、食堂必须</w:t>
            </w:r>
            <w:r>
              <w:rPr>
                <w:rFonts w:hint="eastAsia" w:ascii="仿宋" w:hAnsi="仿宋" w:eastAsia="仿宋" w:cs="仿宋"/>
                <w:color w:val="000000"/>
                <w:sz w:val="24"/>
                <w:szCs w:val="24"/>
                <w:highlight w:val="none"/>
                <w:lang w:val="en-US" w:eastAsia="zh-CN"/>
              </w:rPr>
              <w:t>落实</w:t>
            </w:r>
            <w:r>
              <w:rPr>
                <w:rFonts w:hint="eastAsia" w:ascii="仿宋" w:hAnsi="仿宋" w:eastAsia="仿宋" w:cs="仿宋"/>
                <w:color w:val="000000"/>
                <w:sz w:val="24"/>
                <w:szCs w:val="24"/>
                <w:highlight w:val="none"/>
              </w:rPr>
              <w:t>卫生清扫专员1名，保持食堂所有</w:t>
            </w:r>
            <w:r>
              <w:rPr>
                <w:rFonts w:hint="eastAsia" w:ascii="仿宋" w:hAnsi="仿宋" w:eastAsia="仿宋" w:cs="仿宋"/>
                <w:color w:val="000000"/>
                <w:sz w:val="24"/>
                <w:szCs w:val="24"/>
                <w:highlight w:val="none"/>
                <w:lang w:val="en-US" w:eastAsia="zh-CN"/>
              </w:rPr>
              <w:t>区域</w:t>
            </w:r>
            <w:r>
              <w:rPr>
                <w:rFonts w:hint="eastAsia" w:ascii="仿宋" w:hAnsi="仿宋" w:eastAsia="仿宋" w:cs="仿宋"/>
                <w:color w:val="000000"/>
                <w:sz w:val="24"/>
                <w:szCs w:val="24"/>
                <w:highlight w:val="none"/>
              </w:rPr>
              <w:t>干净无水渍，及时</w:t>
            </w:r>
            <w:r>
              <w:rPr>
                <w:rFonts w:hint="eastAsia" w:ascii="仿宋" w:hAnsi="仿宋" w:eastAsia="仿宋" w:cs="仿宋"/>
                <w:color w:val="000000"/>
                <w:sz w:val="24"/>
                <w:szCs w:val="24"/>
                <w:highlight w:val="none"/>
                <w:lang w:val="en-US" w:eastAsia="zh-CN"/>
              </w:rPr>
              <w:t>清理</w:t>
            </w:r>
            <w:r>
              <w:rPr>
                <w:rFonts w:hint="eastAsia" w:ascii="仿宋" w:hAnsi="仿宋" w:eastAsia="仿宋" w:cs="仿宋"/>
                <w:color w:val="000000"/>
                <w:sz w:val="24"/>
                <w:szCs w:val="24"/>
                <w:highlight w:val="none"/>
              </w:rPr>
              <w:t>垃圾桶保证无</w:t>
            </w:r>
            <w:r>
              <w:rPr>
                <w:rFonts w:hint="eastAsia" w:ascii="仿宋" w:hAnsi="仿宋" w:eastAsia="仿宋" w:cs="仿宋"/>
                <w:color w:val="000000"/>
                <w:sz w:val="24"/>
                <w:szCs w:val="24"/>
                <w:highlight w:val="none"/>
                <w:lang w:val="en-US" w:eastAsia="zh-CN"/>
              </w:rPr>
              <w:t>异</w:t>
            </w:r>
            <w:r>
              <w:rPr>
                <w:rFonts w:hint="eastAsia" w:ascii="仿宋" w:hAnsi="仿宋" w:eastAsia="仿宋" w:cs="仿宋"/>
                <w:color w:val="000000"/>
                <w:sz w:val="24"/>
                <w:szCs w:val="24"/>
                <w:highlight w:val="none"/>
              </w:rPr>
              <w:t>味。未按上述要求规定，每发现一项不符合要求的扣1分，扣完为止。</w:t>
            </w:r>
          </w:p>
        </w:tc>
        <w:tc>
          <w:tcPr>
            <w:tcW w:w="577" w:type="dxa"/>
            <w:tcBorders>
              <w:top w:val="single" w:color="auto" w:sz="4" w:space="0"/>
              <w:left w:val="single" w:color="auto" w:sz="4" w:space="0"/>
              <w:bottom w:val="single" w:color="auto" w:sz="4" w:space="0"/>
              <w:right w:val="single" w:color="auto" w:sz="4" w:space="0"/>
            </w:tcBorders>
            <w:shd w:val="clear" w:color="auto" w:fill="E0E0E0"/>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530"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0E0E0"/>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24" w:type="dxa"/>
            <w:tcBorders>
              <w:top w:val="single" w:color="auto" w:sz="4" w:space="0"/>
              <w:left w:val="single" w:color="auto" w:sz="4" w:space="0"/>
              <w:bottom w:val="single" w:color="auto" w:sz="4" w:space="0"/>
              <w:right w:val="single" w:color="auto" w:sz="4" w:space="0"/>
            </w:tcBorders>
            <w:shd w:val="clear" w:color="auto" w:fill="EBEBEB"/>
            <w:vAlign w:val="center"/>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其他</w:t>
            </w:r>
          </w:p>
        </w:tc>
        <w:tc>
          <w:tcPr>
            <w:tcW w:w="6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发生食物中毒等突发性重大事件扣</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0分；</w:t>
            </w:r>
            <w:r>
              <w:rPr>
                <w:rFonts w:hint="eastAsia" w:ascii="仿宋" w:hAnsi="仿宋" w:eastAsia="仿宋" w:cs="仿宋"/>
                <w:color w:val="000000"/>
                <w:sz w:val="24"/>
                <w:szCs w:val="24"/>
                <w:highlight w:val="none"/>
                <w:lang w:eastAsia="zh-CN"/>
              </w:rPr>
              <w:t>根据协议，开业后正常运营的食堂，未经甲方允许无故歇业停业的，每天扣</w:t>
            </w:r>
            <w:r>
              <w:rPr>
                <w:rFonts w:hint="eastAsia" w:ascii="仿宋" w:hAnsi="仿宋" w:eastAsia="仿宋" w:cs="仿宋"/>
                <w:color w:val="000000"/>
                <w:sz w:val="24"/>
                <w:szCs w:val="24"/>
                <w:highlight w:val="none"/>
                <w:lang w:val="en-US" w:eastAsia="zh-CN"/>
              </w:rPr>
              <w:t>20分；</w:t>
            </w:r>
            <w:r>
              <w:rPr>
                <w:rFonts w:hint="eastAsia" w:ascii="仿宋" w:hAnsi="仿宋" w:eastAsia="仿宋" w:cs="仿宋"/>
                <w:color w:val="000000"/>
                <w:sz w:val="24"/>
                <w:szCs w:val="24"/>
                <w:highlight w:val="none"/>
              </w:rPr>
              <w:t>根据</w:t>
            </w:r>
            <w:r>
              <w:rPr>
                <w:rFonts w:hint="eastAsia" w:ascii="仿宋" w:hAnsi="仿宋" w:eastAsia="仿宋" w:cs="仿宋"/>
                <w:color w:val="000000"/>
                <w:sz w:val="24"/>
                <w:szCs w:val="24"/>
                <w:highlight w:val="none"/>
                <w:lang w:eastAsia="zh-CN"/>
              </w:rPr>
              <w:t>协议</w:t>
            </w:r>
            <w:r>
              <w:rPr>
                <w:rFonts w:hint="eastAsia" w:ascii="仿宋" w:hAnsi="仿宋" w:eastAsia="仿宋" w:cs="仿宋"/>
                <w:color w:val="000000"/>
                <w:sz w:val="24"/>
                <w:szCs w:val="24"/>
                <w:highlight w:val="none"/>
              </w:rPr>
              <w:t>核定人数，如某岗位缺一</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扣</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分；发生卫生、价格等方面的投诉，经查实的每次扣5分；</w:t>
            </w:r>
            <w:r>
              <w:rPr>
                <w:rFonts w:hint="eastAsia" w:ascii="仿宋" w:hAnsi="仿宋" w:eastAsia="仿宋" w:cs="仿宋"/>
                <w:color w:val="000000"/>
                <w:sz w:val="24"/>
                <w:szCs w:val="24"/>
                <w:highlight w:val="none"/>
                <w:lang w:eastAsia="zh-CN"/>
              </w:rPr>
              <w:t>获得区级及以上官方媒体正面报道的，每次加</w:t>
            </w:r>
            <w:r>
              <w:rPr>
                <w:rFonts w:hint="eastAsia" w:ascii="仿宋" w:hAnsi="仿宋" w:eastAsia="仿宋" w:cs="仿宋"/>
                <w:color w:val="000000"/>
                <w:sz w:val="24"/>
                <w:szCs w:val="24"/>
                <w:highlight w:val="none"/>
                <w:lang w:val="en-US" w:eastAsia="zh-CN"/>
              </w:rPr>
              <w:t>5分；</w:t>
            </w:r>
            <w:r>
              <w:rPr>
                <w:rFonts w:hint="eastAsia" w:ascii="仿宋" w:hAnsi="仿宋" w:eastAsia="仿宋" w:cs="仿宋"/>
                <w:color w:val="000000"/>
                <w:sz w:val="24"/>
                <w:szCs w:val="24"/>
                <w:highlight w:val="none"/>
                <w:lang w:eastAsia="zh-CN"/>
              </w:rPr>
              <w:t>获得集团、下属公司或园区颁发荣誉的，分别加分</w:t>
            </w:r>
            <w:r>
              <w:rPr>
                <w:rFonts w:hint="eastAsia" w:ascii="仿宋" w:hAnsi="仿宋" w:eastAsia="仿宋" w:cs="仿宋"/>
                <w:color w:val="000000"/>
                <w:sz w:val="24"/>
                <w:szCs w:val="24"/>
                <w:highlight w:val="none"/>
                <w:lang w:val="en-US" w:eastAsia="zh-CN"/>
              </w:rPr>
              <w:t>15分、5分、10分；</w:t>
            </w:r>
            <w:r>
              <w:rPr>
                <w:rFonts w:hint="eastAsia" w:ascii="仿宋" w:hAnsi="仿宋" w:eastAsia="仿宋" w:cs="仿宋"/>
                <w:color w:val="000000"/>
                <w:sz w:val="24"/>
                <w:szCs w:val="24"/>
                <w:highlight w:val="none"/>
              </w:rPr>
              <w:t>获得县</w:t>
            </w:r>
            <w:r>
              <w:rPr>
                <w:rFonts w:hint="eastAsia" w:ascii="仿宋" w:hAnsi="仿宋" w:eastAsia="仿宋" w:cs="仿宋"/>
                <w:color w:val="000000"/>
                <w:sz w:val="24"/>
                <w:szCs w:val="24"/>
                <w:highlight w:val="none"/>
                <w:lang w:eastAsia="zh-CN"/>
              </w:rPr>
              <w:t>（区）</w:t>
            </w:r>
            <w:r>
              <w:rPr>
                <w:rFonts w:hint="eastAsia" w:ascii="仿宋" w:hAnsi="仿宋" w:eastAsia="仿宋" w:cs="仿宋"/>
                <w:color w:val="000000"/>
                <w:sz w:val="24"/>
                <w:szCs w:val="24"/>
                <w:highlight w:val="none"/>
              </w:rPr>
              <w:t>、市、省有关部门称号（先进）的，分别加分</w:t>
            </w: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40</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60</w:t>
            </w:r>
            <w:r>
              <w:rPr>
                <w:rFonts w:hint="eastAsia" w:ascii="仿宋" w:hAnsi="仿宋" w:eastAsia="仿宋" w:cs="仿宋"/>
                <w:color w:val="000000"/>
                <w:sz w:val="24"/>
                <w:szCs w:val="24"/>
                <w:highlight w:val="none"/>
              </w:rPr>
              <w:t>分（记最高分）。</w:t>
            </w:r>
          </w:p>
        </w:tc>
        <w:tc>
          <w:tcPr>
            <w:tcW w:w="577"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530"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c>
          <w:tcPr>
            <w:tcW w:w="485" w:type="dxa"/>
            <w:tcBorders>
              <w:top w:val="single" w:color="auto" w:sz="4" w:space="0"/>
              <w:left w:val="single" w:color="auto" w:sz="4" w:space="0"/>
              <w:bottom w:val="single" w:color="auto" w:sz="4" w:space="0"/>
              <w:right w:val="single" w:color="auto" w:sz="4" w:space="0"/>
            </w:tcBorders>
            <w:shd w:val="clear" w:color="auto" w:fill="EBEBEB"/>
          </w:tcPr>
          <w:p>
            <w:pPr>
              <w:pageBreakBefore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color w:val="000000"/>
                <w:sz w:val="24"/>
                <w:szCs w:val="24"/>
                <w:highlight w:val="none"/>
              </w:rPr>
            </w:pPr>
          </w:p>
        </w:tc>
      </w:tr>
    </w:tbl>
    <w:p>
      <w:pPr>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b/>
          <w:bCs/>
          <w:color w:val="000000"/>
          <w:sz w:val="24"/>
          <w:szCs w:val="24"/>
          <w:highlight w:val="none"/>
        </w:rPr>
      </w:pPr>
      <w:r>
        <w:rPr>
          <w:rFonts w:hint="eastAsia" w:ascii="仿宋" w:hAnsi="仿宋" w:eastAsia="仿宋" w:cs="仿宋"/>
          <w:b w:val="0"/>
          <w:bCs w:val="0"/>
          <w:color w:val="auto"/>
          <w:kern w:val="2"/>
          <w:sz w:val="24"/>
          <w:szCs w:val="24"/>
          <w:highlight w:val="none"/>
          <w:lang w:val="en-US" w:eastAsia="zh-CN" w:bidi="ar-SA"/>
        </w:rPr>
        <w:t>3、运营期间采购人组织机关编内人员每季度或不定时突击进行食堂的满意度测评，连续两个次考核结果在70分以下的，采购人有权单方面解除该食堂的运营合同。对菜品数量、菜品价格、食品卫生、服务质量、就餐环境、菜品品质等六项进行测评，其测评权重分别为10%、20%、20%、10%、10%、30%。具体测评标准详见附件3。</w:t>
      </w:r>
      <w:r>
        <w:rPr>
          <w:rFonts w:hint="eastAsia" w:ascii="仿宋" w:hAnsi="仿宋" w:eastAsia="仿宋" w:cs="仿宋"/>
          <w:sz w:val="24"/>
          <w:szCs w:val="24"/>
          <w:highlight w:val="none"/>
        </w:rPr>
        <w:t xml:space="preserve"> </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满意度测评表（附件3）</w:t>
      </w:r>
    </w:p>
    <w:p>
      <w:pPr>
        <w:adjustRightInd w:val="0"/>
        <w:snapToGrid w:val="0"/>
        <w:ind w:left="42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菜品数量10分</w:t>
      </w:r>
    </w:p>
    <w:tbl>
      <w:tblPr>
        <w:tblStyle w:val="6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档次</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较好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一般</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不好</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分值</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8</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0</w:t>
            </w:r>
          </w:p>
        </w:tc>
      </w:tr>
    </w:tbl>
    <w:p>
      <w:pPr>
        <w:adjustRightInd w:val="0"/>
        <w:snapToGrid w:val="0"/>
        <w:ind w:left="42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菜品价格20分</w:t>
      </w:r>
    </w:p>
    <w:tbl>
      <w:tblPr>
        <w:tblStyle w:val="6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档次</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很合理</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合理</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较合理</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不合理</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分值</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16</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0</w:t>
            </w:r>
          </w:p>
        </w:tc>
      </w:tr>
    </w:tbl>
    <w:p>
      <w:pPr>
        <w:adjustRightInd w:val="0"/>
        <w:snapToGrid w:val="0"/>
        <w:ind w:left="42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食品卫生20分</w:t>
      </w:r>
    </w:p>
    <w:tbl>
      <w:tblPr>
        <w:tblStyle w:val="6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档次</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较好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一般</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不好</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分值</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16</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0</w:t>
            </w:r>
          </w:p>
        </w:tc>
      </w:tr>
    </w:tbl>
    <w:p>
      <w:pPr>
        <w:adjustRightInd w:val="0"/>
        <w:snapToGrid w:val="0"/>
        <w:ind w:left="42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服务质量10分</w:t>
      </w:r>
    </w:p>
    <w:tbl>
      <w:tblPr>
        <w:tblStyle w:val="6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档次</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较好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一般</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不好</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分值</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8</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0</w:t>
            </w:r>
          </w:p>
        </w:tc>
      </w:tr>
    </w:tbl>
    <w:p>
      <w:pPr>
        <w:adjustRightInd w:val="0"/>
        <w:snapToGrid w:val="0"/>
        <w:ind w:left="42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就餐环境10分</w:t>
      </w:r>
    </w:p>
    <w:tbl>
      <w:tblPr>
        <w:tblStyle w:val="6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档次</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较好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一般</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不好</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分值</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8</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0</w:t>
            </w:r>
          </w:p>
        </w:tc>
      </w:tr>
    </w:tbl>
    <w:p>
      <w:pPr>
        <w:adjustRightInd w:val="0"/>
        <w:snapToGrid w:val="0"/>
        <w:ind w:left="42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菜品品质30分</w:t>
      </w:r>
    </w:p>
    <w:tbl>
      <w:tblPr>
        <w:tblStyle w:val="6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档次</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较好</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一般</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不好</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很不好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分值</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30</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24</w:t>
            </w:r>
          </w:p>
        </w:tc>
        <w:tc>
          <w:tcPr>
            <w:tcW w:w="1420"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21</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15</w:t>
            </w:r>
          </w:p>
        </w:tc>
        <w:tc>
          <w:tcPr>
            <w:tcW w:w="1421" w:type="dxa"/>
            <w:noWrap w:val="0"/>
            <w:vAlign w:val="center"/>
          </w:tcPr>
          <w:p>
            <w:pPr>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0</w:t>
            </w:r>
          </w:p>
        </w:tc>
      </w:tr>
    </w:tbl>
    <w:p>
      <w:pPr>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4、如果</w:t>
      </w:r>
      <w:r>
        <w:rPr>
          <w:rFonts w:hint="default" w:ascii="仿宋" w:hAnsi="仿宋" w:eastAsia="仿宋" w:cs="仿宋"/>
          <w:b w:val="0"/>
          <w:bCs w:val="0"/>
          <w:color w:val="auto"/>
          <w:kern w:val="2"/>
          <w:sz w:val="24"/>
          <w:szCs w:val="24"/>
          <w:highlight w:val="none"/>
          <w:lang w:val="en-US" w:eastAsia="zh-CN" w:bidi="ar-SA"/>
        </w:rPr>
        <w:t>由于</w:t>
      </w:r>
      <w:r>
        <w:rPr>
          <w:rFonts w:hint="eastAsia" w:ascii="仿宋" w:hAnsi="仿宋" w:eastAsia="仿宋" w:cs="仿宋"/>
          <w:b w:val="0"/>
          <w:bCs w:val="0"/>
          <w:color w:val="auto"/>
          <w:kern w:val="2"/>
          <w:sz w:val="24"/>
          <w:szCs w:val="24"/>
          <w:highlight w:val="none"/>
          <w:lang w:val="en-US" w:eastAsia="zh-CN" w:bidi="ar-SA"/>
        </w:rPr>
        <w:t>中标供应商原因发生食物中毒事件，则由中标供应商负责承担全部责任。采购人有权请相关监管部门介入调查，按照情节的严重性决定是否终止本协议，并追究中标供应商相关责任。</w:t>
      </w:r>
    </w:p>
    <w:p>
      <w:pPr>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8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5、如果依据考核办法，已有两个食堂解除运营合同，采购人有权单方面解除整个运营合同。</w:t>
      </w:r>
    </w:p>
    <w:p>
      <w:pPr>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80"/>
        <w:textAlignment w:val="auto"/>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6、单个食堂合同解除后，中标人须在5个工作日内完成食堂交接手续，清点并交接食堂设施设备及用具，有人为损坏或遗失的，中标人须赔偿相应损失。逾期交接的，逾期时间内的运营费不再支付，营业额不再返还，逾期每超过一天，从履约保证金中扣除5000元，并依法追究中标人</w:t>
      </w:r>
      <w:r>
        <w:rPr>
          <w:rFonts w:hint="eastAsia" w:ascii="仿宋" w:hAnsi="仿宋" w:eastAsia="仿宋" w:cs="仿宋"/>
          <w:sz w:val="24"/>
          <w:szCs w:val="24"/>
          <w:highlight w:val="none"/>
        </w:rPr>
        <w:t>相应的经济和法律责任。</w:t>
      </w:r>
    </w:p>
    <w:p>
      <w:pPr>
        <w:keepNext w:val="0"/>
        <w:keepLines w:val="0"/>
        <w:pageBreakBefore w:val="0"/>
        <w:widowControl w:val="0"/>
        <w:kinsoku/>
        <w:wordWrap/>
        <w:overflowPunct/>
        <w:topLinePunct w:val="0"/>
        <w:autoSpaceDE/>
        <w:autoSpaceDN/>
        <w:bidi w:val="0"/>
        <w:snapToGrid w:val="0"/>
        <w:spacing w:beforeAutospacing="0" w:afterAutospacing="0"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（八）</w:t>
      </w:r>
      <w:r>
        <w:rPr>
          <w:rFonts w:hint="eastAsia" w:ascii="仿宋" w:hAnsi="仿宋" w:eastAsia="仿宋" w:cs="仿宋"/>
          <w:b/>
          <w:bCs/>
          <w:sz w:val="24"/>
          <w:szCs w:val="24"/>
          <w:highlight w:val="none"/>
        </w:rPr>
        <w:t>服务要求</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1、工作要求</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（1）中标人应严格做好使用食品的验收监督工作，严禁使用过期、变质食品，保证使用食品安全，发现质量、数量等问题的，需及时向</w:t>
      </w:r>
      <w:r>
        <w:rPr>
          <w:rFonts w:hint="eastAsia" w:ascii="仿宋" w:hAnsi="仿宋" w:eastAsia="仿宋" w:cs="仿宋"/>
          <w:sz w:val="24"/>
          <w:szCs w:val="24"/>
          <w:highlight w:val="none"/>
          <w:lang w:eastAsia="zh-CN"/>
        </w:rPr>
        <w:t>金开颐和物业</w:t>
      </w:r>
      <w:r>
        <w:rPr>
          <w:rFonts w:hint="eastAsia" w:ascii="仿宋" w:hAnsi="仿宋" w:eastAsia="仿宋" w:cs="仿宋"/>
          <w:sz w:val="24"/>
          <w:szCs w:val="24"/>
          <w:highlight w:val="none"/>
        </w:rPr>
        <w:t>汇报，并提出或做好相应的解决方案。</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（2）严格落实生、熟分离和物品摆放定点定位制度，实行标签化管理。</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（3）严格落实定时消毒、定时清理制度，并做好登记。</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（4）严格执行48小时留样菜制度。</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（5）加强企业内部管理中标人对本服务点的检查每月不得少于1次;食堂负责人每天应对食品安全、食品卫生、食品供应等情况进行检查，并全程参与保障工作，发现问题及时纠正，并做好相关登记。</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（6）中标人应当制定并落实考勤制度，采购人有权根据实际缺勤人员、次数核减当月服务费。</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2、卫生基本要求与管理规定</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）所有员工必须进行健康检查及卫生培训，取得健康证。</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）上岗前食堂员工必须要穿戴洁净的工作衣帽、穿鞋、勤洗手，保持个人卫生清洁，不留长指甲、不准戴戒指、手链。</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）上班期间，不准在岗位上抽烟、吃东西；售餐期间，服务人员必须配戴卫生口罩和一次性手套上岗。不得</w:t>
      </w:r>
      <w:r>
        <w:rPr>
          <w:rFonts w:hint="eastAsia" w:ascii="仿宋" w:hAnsi="仿宋" w:eastAsia="仿宋" w:cs="仿宋"/>
          <w:sz w:val="24"/>
          <w:szCs w:val="24"/>
          <w:highlight w:val="none"/>
          <w:u w:val="none"/>
        </w:rPr>
        <w:t>擅自使用提供用餐人</w:t>
      </w:r>
      <w:r>
        <w:rPr>
          <w:rFonts w:hint="eastAsia" w:ascii="仿宋" w:hAnsi="仿宋" w:eastAsia="仿宋" w:cs="仿宋"/>
          <w:sz w:val="24"/>
          <w:szCs w:val="24"/>
          <w:highlight w:val="none"/>
        </w:rPr>
        <w:t>的物品。</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认真搞好食堂卫生，做到每天一小扫、每周一大扫，保持食堂的清洁卫生。做好厨房油烟管道的清洗工作，根据厨房用火的实际情况确定清洗次数。每季度不少于一次对排烟（包括屋顶油烟净化滤芯）及通风管道清洗一次。外请专业管道清洗公司须经交易人认可。如因成交人未按交易人要求及相关规定操作，发生各种意外事故，由中标人自行承担责任。</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）积极配合</w:t>
      </w:r>
      <w:r>
        <w:rPr>
          <w:rFonts w:hint="eastAsia" w:ascii="仿宋" w:hAnsi="仿宋" w:eastAsia="仿宋" w:cs="仿宋"/>
          <w:sz w:val="24"/>
          <w:szCs w:val="24"/>
          <w:highlight w:val="none"/>
          <w:lang w:eastAsia="zh-CN"/>
        </w:rPr>
        <w:t>金开颐和物业</w:t>
      </w:r>
      <w:r>
        <w:rPr>
          <w:rFonts w:hint="eastAsia" w:ascii="仿宋" w:hAnsi="仿宋" w:eastAsia="仿宋" w:cs="仿宋"/>
          <w:sz w:val="24"/>
          <w:szCs w:val="24"/>
          <w:highlight w:val="none"/>
        </w:rPr>
        <w:t>开展灭四害、垃圾分类等活动，若因四害造成的破坏和损失应及时修补和照价赔偿。</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）生产加工的工具、容器、砧板等每次用后要及时清洗，保持清洁卫生。生熟用具、器具严格区分使用，不得混用；做到成品和半成品隔离、食品和杂物隔离，盛放食物成品的器具必须经过消毒才准使用。</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）冰柜每</w:t>
      </w:r>
      <w:r>
        <w:rPr>
          <w:rFonts w:hint="eastAsia" w:ascii="仿宋" w:hAnsi="仿宋" w:eastAsia="仿宋" w:cs="仿宋"/>
          <w:sz w:val="24"/>
          <w:szCs w:val="24"/>
          <w:highlight w:val="none"/>
          <w:lang w:val="en-US" w:eastAsia="zh-CN"/>
        </w:rPr>
        <w:t>月</w:t>
      </w:r>
      <w:r>
        <w:rPr>
          <w:rFonts w:hint="eastAsia" w:ascii="仿宋" w:hAnsi="仿宋" w:eastAsia="仿宋" w:cs="仿宋"/>
          <w:sz w:val="24"/>
          <w:szCs w:val="24"/>
          <w:highlight w:val="none"/>
        </w:rPr>
        <w:t>清洗一次，冰柜內架、柜内要保持洁净、无臭味。</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）及时清洁属于服务区域内的桌面、地面和洗手间。桌椅、地面、工具、台布等做到无积污、无油渍、无水迹、摆设整齐；洗手间设施完好、洁净、无异味，保证良好的就餐环境。</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）食品用具做到每餐清洁和每餐彻底消毒并烘干，味碟、匙更、筷子、小碗、茶杯等食具必须在保洁柜存放，分类排好，移动时不得接触盛食品的部位。</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）保洁柜必须清洁、做到无霉菌、无苍蝇、无蟑螂、无杂物。</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保持污水排放口及管道的畅通。采取有效方法，保证各专用区域污水排放口至隔油池排放口不流入颗粒较大易引起堵塞的垃圾。隔油池至少每月清掏一次，有溢出及时清掏。因污水溢出或管道堵塞引起其它的问题和损失，由中标人全权负责。</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3、安全节能生产管理规定</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（1）建立安全生产责任制。谁主管，谁负责，食堂设立专职安全生产管理员，切实履行安全生产管理、监督职责，认真落实安全生产措施，确保责任到位，工作到位。</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各类机械设备、燃气设备、管道设备、电器设备的使用，必须严格按照各类设备的操作规程操作，杜绝违规操作，发现安全隐患及时报告，对违反设备操作规程操作造成人员伤亡、财务损失的，由中标人承担所有损失，情节严重的，按相关规定执行。</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严格遵守有关用电规定。外加电线电路、用电器的铺设、连接、安装，必须报采购人同意，不得擅自乱拉、乱接电线，不得擅自增加用电器数量，增大用电功率，对违反规定，造成触电、断电、短路引起火灾事故的违章人员及相关责任人要严肃处理，由中标人承担所有损失，事故特别严重的，要追究相应的经济和法律责任。</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加强防火安全意识。天然气库内严禁烟火，禁止进行可生产火花的作业；上下班要认真检查送气管道、天然气阀门库房、开关、炉头，若发现漏气现象立即关闭总闸，并通知有关部门迅速维修完好；每天使用完毕后，须仔细检查所有燃气具开关是否关闭，厨房设备及管道要及时清除污垢或易燃物，严防不安全隐患的产生。发生天燃气事故由中标人承担所有损失。</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（5）保证生产从业人员正确、熟练掌握消防器材、设备的使用方法，定期对器材、设备设施进行检查，确保消防器材充足有效。</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（6）定期对食堂的机器电器设备、输送油（气）管道、开关等进行检查，发现问题立即维修，并建立台账。</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（7）加强食品卫生管理，严防传染疾病的传播流行及食物中毒事故的发生。</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（8）认真做好食品仓库、冷库的管理，防止食品变质、霉烂食品流入加工制作工序，食品贮存要合乎卫生、安全要求。</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经常性地组织食堂员工开展工作安全教育。进入食堂场所要穿防滑水鞋，防止滑倒跌伤；员工在进行餐具消毒、煮饭、菜肴制作时，必须按章操作，防止被热水、热油、高温蒸汽、高温餐具、厨具等灼伤；在刀工制作时，要防止被刀切伤割伤等。如发生跌伤、灼伤、触电、刀伤等事故，要迅速组织抢救治疗，情况严重的要立即报告职能部门领导，果断采取必要救治措施。</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（10）严格按照食品卫生防疫要求，及时做好各类台帐的登记工作。</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（11）积极配合采购单位做好节能减排、节水型单位创建工作，强化管理职能，提高节能管理水平，建立水、电、气能耗台账。加强节能监管，落实节能考核，在能源消耗定额范围内使用能源。 </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4、其他要求</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（1）因中标人过错造成就餐员工食物中毒，由中标人承担一切经济和法律责任。</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（2）中标人擅自把承包权转让他人，视中标人违约，采购人有权终止服务协议。</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（3）根据采购人特别需要增加其它项目而造成中标人亏损，中标人的亏损部分可向采购人进行申请补助，采购人同意后可进行亏损补贴。</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82" w:firstLineChars="200"/>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九</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服务期限</w:t>
      </w:r>
      <w:r>
        <w:rPr>
          <w:rFonts w:hint="eastAsia" w:ascii="仿宋" w:hAnsi="仿宋" w:eastAsia="仿宋" w:cs="仿宋"/>
          <w:sz w:val="24"/>
          <w:szCs w:val="24"/>
          <w:highlight w:val="none"/>
        </w:rPr>
        <w:t>：</w:t>
      </w:r>
      <w:r>
        <w:rPr>
          <w:rFonts w:hint="eastAsia" w:ascii="仿宋" w:hAnsi="仿宋" w:eastAsia="仿宋" w:cs="仿宋"/>
          <w:b w:val="0"/>
          <w:bCs w:val="0"/>
          <w:color w:val="000000" w:themeColor="text1"/>
          <w:sz w:val="24"/>
          <w:szCs w:val="24"/>
          <w:highlight w:val="none"/>
          <w:u w:val="none"/>
          <w:lang w:val="en-US" w:eastAsia="zh-CN"/>
          <w14:textFill>
            <w14:solidFill>
              <w14:schemeClr w14:val="tx1"/>
            </w14:solidFill>
          </w14:textFill>
        </w:rPr>
        <w:t>5</w:t>
      </w:r>
      <w:r>
        <w:rPr>
          <w:rFonts w:hint="eastAsia" w:ascii="仿宋" w:hAnsi="仿宋" w:eastAsia="仿宋" w:cs="仿宋"/>
          <w:sz w:val="24"/>
          <w:szCs w:val="24"/>
          <w:highlight w:val="none"/>
          <w:lang w:val="en-US" w:eastAsia="zh-CN"/>
        </w:rPr>
        <w:t>年（具体时间以合同签订为准）</w:t>
      </w:r>
      <w:r>
        <w:rPr>
          <w:rFonts w:hint="eastAsia" w:ascii="仿宋" w:hAnsi="仿宋" w:eastAsia="仿宋" w:cs="仿宋"/>
          <w:sz w:val="24"/>
          <w:szCs w:val="24"/>
          <w:highlight w:val="none"/>
        </w:rPr>
        <w:t>。采购人通过招投标确定新运营商正式开始运营前一天止。期间采购人开展招投标确定食堂新运营商。如协议履行完毕后，招投标流程未确定新运营商入驻期间，中标人应延续服务至新运营商正式入驻。延续期间服务费用，按协议签订的费用标准按日计算支付。</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十</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付款方式：</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sz w:val="24"/>
          <w:szCs w:val="24"/>
          <w:highlight w:val="none"/>
          <w:lang w:val="en-US" w:eastAsia="zh-CN"/>
        </w:rPr>
        <w:t>1、</w:t>
      </w:r>
      <w:r>
        <w:rPr>
          <w:rFonts w:hint="eastAsia" w:ascii="仿宋" w:hAnsi="仿宋" w:eastAsia="仿宋" w:cs="仿宋"/>
          <w:b w:val="0"/>
          <w:bCs w:val="0"/>
          <w:color w:val="auto"/>
          <w:sz w:val="24"/>
          <w:szCs w:val="24"/>
          <w:highlight w:val="none"/>
          <w:u w:val="none"/>
          <w:lang w:val="en-US" w:eastAsia="zh-CN"/>
        </w:rPr>
        <w:t>在合同签订后10日内支付年度运营费的50%作为预付款，半年结算一次，合同履约半年后按照考核结果，支付剩余年度运营费50%，合同履约一年后，按照采购人考核结果实际支付剩余年度运营费。以后每年依次类推。</w:t>
      </w:r>
      <w:r>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t>(具体以合同签订为准）。</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t>2、中标人使用自主收银系统，餐饮相关费用全部进入采购人指定收款账户。每月5号前双方核对确认完毕，扣除流水分成、处罚（如有）、违约金（如有）等，剩余餐饮费用在每月10号前由采购人支付给中标人，如遇节假日支付日期自动顺延。采购人付款前，中标人应向采购人开具同等金额的增值税发票，否则采购人有权迟延付款且无需承担违约责任。</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t>3、内部食堂，集团、下属公司给予员工的所有补贴、奖励等，全额支付给采购人。市场化食堂，园区（小区）、街道（社区）、公司及相关就餐单位给予食堂的餐饮补助、搭伙费用、</w:t>
      </w:r>
      <w:r>
        <w:rPr>
          <w:rFonts w:hint="eastAsia" w:ascii="仿宋" w:hAnsi="仿宋" w:eastAsia="仿宋" w:cs="仿宋"/>
          <w:b w:val="0"/>
          <w:bCs w:val="0"/>
          <w:color w:val="auto"/>
          <w:sz w:val="24"/>
          <w:szCs w:val="24"/>
          <w:highlight w:val="none"/>
          <w:u w:val="none"/>
          <w:lang w:val="zh-CN"/>
        </w:rPr>
        <w:t>团餐、送餐费用</w:t>
      </w:r>
      <w:r>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t>等，采购人提取15%作为管理费。因荣誉称号或受到表彰等获得的其他来源的奖金、补贴、津贴等相关奖励，全部上交给采购人，采购人根据招标文件的约定，另行对中标人进行奖励。</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t>4、招标文件中所涉及的所有食堂，因为采购人调整而有部分食堂不开业或者开业后停业的，中标人须无条件服从采购人的安排，在中标人收到采购人停业通知后，须在5个工作日内有序退出停业食堂的经营，逾期未退出的，</w:t>
      </w:r>
      <w:r>
        <w:rPr>
          <w:rFonts w:hint="eastAsia" w:ascii="仿宋" w:hAnsi="仿宋" w:eastAsia="仿宋" w:cs="仿宋"/>
          <w:b w:val="0"/>
          <w:bCs w:val="0"/>
          <w:color w:val="auto"/>
          <w:kern w:val="2"/>
          <w:sz w:val="24"/>
          <w:szCs w:val="24"/>
          <w:highlight w:val="none"/>
          <w:lang w:val="en-US" w:eastAsia="zh-CN" w:bidi="ar-SA"/>
        </w:rPr>
        <w:t>逾期每超过一天，从履约保证金中扣除5000元，并依法追究中标人</w:t>
      </w:r>
      <w:r>
        <w:rPr>
          <w:rFonts w:hint="eastAsia" w:ascii="仿宋" w:hAnsi="仿宋" w:eastAsia="仿宋" w:cs="仿宋"/>
          <w:sz w:val="24"/>
          <w:szCs w:val="24"/>
          <w:highlight w:val="none"/>
        </w:rPr>
        <w:t>相应的经济和法律责任。</w:t>
      </w:r>
      <w:r>
        <w:rPr>
          <w:rFonts w:hint="eastAsia"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t>未开业或开业后停业的食堂，在停业时间内，采购人不需要向中标人支付该食堂的运营费等所有费用，中标人也无需再支付该食堂的所有费用。</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十一</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报价方式</w:t>
      </w:r>
      <w:r>
        <w:rPr>
          <w:rFonts w:hint="eastAsia" w:ascii="仿宋" w:hAnsi="仿宋" w:eastAsia="仿宋" w:cs="仿宋"/>
          <w:b/>
          <w:bCs/>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sz w:val="24"/>
          <w:szCs w:val="24"/>
        </w:rPr>
        <w:t>▲</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highlight w:val="none"/>
          <w:lang w:val="en-US" w:eastAsia="zh-CN"/>
        </w:rPr>
        <w:t>各投标人运营服务费需包含总价和每个食堂的单独运营服务费，最终按照总价计算得分。（漏报食堂或不按“开标一览表（报价表）”格式报价的作无效标处理）</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ind w:firstLine="480" w:firstLineChars="200"/>
        <w:textAlignment w:val="auto"/>
        <w:rPr>
          <w:rFonts w:hint="default" w:ascii="仿宋" w:hAnsi="仿宋" w:eastAsia="仿宋" w:cs="仿宋"/>
          <w:b w:val="0"/>
          <w:bCs w:val="0"/>
          <w:i w:val="0"/>
          <w:i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sz w:val="24"/>
          <w:szCs w:val="24"/>
          <w:highlight w:val="none"/>
          <w:lang w:val="en-US" w:eastAsia="zh-CN"/>
        </w:rPr>
        <w:t>2、本项目“投标人总项目部费用”，由各投标人自行考虑均摊到每个食堂运营服务费中。</w:t>
      </w:r>
      <w:bookmarkStart w:id="516" w:name="_GoBack"/>
      <w:bookmarkEnd w:id="516"/>
    </w:p>
    <w:p>
      <w:pPr>
        <w:spacing w:line="500" w:lineRule="exact"/>
        <w:rPr>
          <w:rFonts w:hint="eastAsia" w:ascii="仿宋" w:hAnsi="仿宋" w:eastAsia="仿宋" w:cs="仿宋"/>
          <w:sz w:val="24"/>
          <w:szCs w:val="24"/>
        </w:rPr>
      </w:pPr>
      <w:r>
        <w:rPr>
          <w:rFonts w:hint="eastAsia" w:ascii="仿宋" w:hAnsi="仿宋" w:eastAsia="仿宋" w:cs="仿宋"/>
          <w:sz w:val="24"/>
          <w:szCs w:val="24"/>
        </w:rPr>
        <w:t>注：</w:t>
      </w:r>
    </w:p>
    <w:p>
      <w:pPr>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、如有附图，仅作参考。</w:t>
      </w:r>
    </w:p>
    <w:p>
      <w:pPr>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、打▲内容为实质性要求，不允许有负偏离，否则将以涉及无效投标条款作无效投标。</w:t>
      </w:r>
    </w:p>
    <w:p>
      <w:pPr>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、中标人所提供的货物、服务须与投标承诺一致，不得以次充好、偷工减料，若在项目验收中发现有上述情况，将向有关部门举报，根据相关规定进行处理。</w:t>
      </w:r>
    </w:p>
    <w:p/>
    <w:p>
      <w:pPr>
        <w:jc w:val="center"/>
        <w:rPr>
          <w:rFonts w:hint="eastAsia" w:ascii="仿宋" w:hAnsi="仿宋" w:eastAsia="仿宋" w:cs="仿宋"/>
          <w:b/>
          <w:sz w:val="36"/>
          <w:szCs w:val="36"/>
        </w:rPr>
      </w:pPr>
    </w:p>
    <w:p>
      <w:pPr>
        <w:jc w:val="left"/>
        <w:rPr>
          <w:rFonts w:hint="eastAsia" w:ascii="仿宋" w:hAnsi="仿宋" w:eastAsia="仿宋" w:cs="仿宋"/>
          <w:b/>
          <w:sz w:val="36"/>
          <w:szCs w:val="36"/>
        </w:rPr>
      </w:pPr>
      <w:r>
        <w:rPr>
          <w:rFonts w:hint="eastAsia" w:ascii="仿宋" w:hAnsi="仿宋" w:eastAsia="仿宋" w:cs="仿宋"/>
          <w:b/>
          <w:sz w:val="36"/>
          <w:szCs w:val="36"/>
        </w:rPr>
        <w:br w:type="page"/>
      </w:r>
    </w:p>
    <w:p>
      <w:pPr>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29" w:name="_Toc184313293"/>
      <w:bookmarkEnd w:id="29"/>
      <w:bookmarkStart w:id="30" w:name="_Toc184312122"/>
      <w:bookmarkEnd w:id="30"/>
      <w:bookmarkStart w:id="31" w:name="_Toc184308039"/>
      <w:bookmarkEnd w:id="31"/>
      <w:bookmarkStart w:id="32" w:name="_Toc184310319"/>
      <w:bookmarkEnd w:id="32"/>
      <w:bookmarkStart w:id="33" w:name="_Toc184312107"/>
      <w:bookmarkEnd w:id="33"/>
      <w:bookmarkStart w:id="34" w:name="_Toc184313288"/>
      <w:bookmarkEnd w:id="34"/>
      <w:bookmarkStart w:id="35" w:name="_Toc184310325"/>
      <w:bookmarkEnd w:id="35"/>
      <w:bookmarkStart w:id="36" w:name="_Toc184312116"/>
      <w:bookmarkEnd w:id="36"/>
      <w:bookmarkStart w:id="37" w:name="_Toc184308049"/>
      <w:bookmarkEnd w:id="37"/>
      <w:bookmarkStart w:id="38" w:name="_Toc184313244"/>
      <w:bookmarkEnd w:id="38"/>
      <w:bookmarkStart w:id="39" w:name="_Toc184314464"/>
      <w:bookmarkEnd w:id="39"/>
      <w:bookmarkStart w:id="40" w:name="_Toc184310302"/>
      <w:bookmarkEnd w:id="40"/>
      <w:bookmarkStart w:id="41" w:name="_Toc184310317"/>
      <w:bookmarkEnd w:id="41"/>
      <w:bookmarkStart w:id="42" w:name="_Toc184308047"/>
      <w:bookmarkEnd w:id="42"/>
      <w:bookmarkStart w:id="43" w:name="_Toc184313239"/>
      <w:bookmarkEnd w:id="43"/>
      <w:bookmarkStart w:id="44" w:name="_Toc184308108"/>
      <w:bookmarkEnd w:id="44"/>
      <w:bookmarkStart w:id="45" w:name="_Toc184308093"/>
      <w:bookmarkEnd w:id="45"/>
      <w:bookmarkStart w:id="46" w:name="_Toc184308104"/>
      <w:bookmarkEnd w:id="46"/>
      <w:bookmarkStart w:id="47" w:name="_Toc184308054"/>
      <w:bookmarkEnd w:id="47"/>
      <w:bookmarkStart w:id="48" w:name="_Toc184314467"/>
      <w:bookmarkEnd w:id="48"/>
      <w:bookmarkStart w:id="49" w:name="_Toc184308107"/>
      <w:bookmarkEnd w:id="49"/>
      <w:bookmarkStart w:id="50" w:name="_Toc184312113"/>
      <w:bookmarkEnd w:id="50"/>
      <w:bookmarkStart w:id="51" w:name="_Toc184314428"/>
      <w:bookmarkEnd w:id="51"/>
      <w:bookmarkStart w:id="52" w:name="_Toc184313287"/>
      <w:bookmarkEnd w:id="52"/>
      <w:bookmarkStart w:id="53" w:name="_Toc184308041"/>
      <w:bookmarkEnd w:id="53"/>
      <w:bookmarkStart w:id="54" w:name="_Toc184314451"/>
      <w:bookmarkEnd w:id="54"/>
      <w:bookmarkStart w:id="55" w:name="_Toc184312083"/>
      <w:bookmarkEnd w:id="55"/>
      <w:bookmarkStart w:id="56" w:name="_Toc184312138"/>
      <w:bookmarkEnd w:id="56"/>
      <w:bookmarkStart w:id="57" w:name="_Toc184313251"/>
      <w:bookmarkEnd w:id="57"/>
      <w:bookmarkStart w:id="58" w:name="_Toc184310280"/>
      <w:bookmarkEnd w:id="58"/>
      <w:bookmarkStart w:id="59" w:name="_Toc184313307"/>
      <w:bookmarkEnd w:id="59"/>
      <w:bookmarkStart w:id="60" w:name="_Toc184308071"/>
      <w:bookmarkEnd w:id="60"/>
      <w:bookmarkStart w:id="61" w:name="_Toc184312087"/>
      <w:bookmarkEnd w:id="61"/>
      <w:bookmarkStart w:id="62" w:name="_Toc184314425"/>
      <w:bookmarkEnd w:id="62"/>
      <w:bookmarkStart w:id="63" w:name="_Toc184314430"/>
      <w:bookmarkEnd w:id="63"/>
      <w:bookmarkStart w:id="64" w:name="_Toc184310330"/>
      <w:bookmarkEnd w:id="64"/>
      <w:bookmarkStart w:id="65" w:name="_Toc184310310"/>
      <w:bookmarkEnd w:id="65"/>
      <w:bookmarkStart w:id="66" w:name="_Toc184310326"/>
      <w:bookmarkEnd w:id="66"/>
      <w:bookmarkStart w:id="67" w:name="_Toc184312073"/>
      <w:bookmarkEnd w:id="67"/>
      <w:bookmarkStart w:id="68" w:name="_Toc184308098"/>
      <w:bookmarkEnd w:id="68"/>
      <w:bookmarkStart w:id="69" w:name="_Toc184313238"/>
      <w:bookmarkEnd w:id="69"/>
      <w:bookmarkStart w:id="70" w:name="_Toc184313295"/>
      <w:bookmarkEnd w:id="70"/>
      <w:bookmarkStart w:id="71" w:name="_Toc184314437"/>
      <w:bookmarkEnd w:id="71"/>
      <w:bookmarkStart w:id="72" w:name="_Toc184312130"/>
      <w:bookmarkEnd w:id="72"/>
      <w:bookmarkStart w:id="73" w:name="_Toc184314458"/>
      <w:bookmarkEnd w:id="73"/>
      <w:bookmarkStart w:id="74" w:name="_Toc184310295"/>
      <w:bookmarkEnd w:id="74"/>
      <w:bookmarkStart w:id="75" w:name="_Toc184310320"/>
      <w:bookmarkEnd w:id="75"/>
      <w:bookmarkStart w:id="76" w:name="_Toc184313264"/>
      <w:bookmarkEnd w:id="76"/>
      <w:bookmarkStart w:id="77" w:name="_Toc184310306"/>
      <w:bookmarkEnd w:id="77"/>
      <w:bookmarkStart w:id="78" w:name="_Toc184312110"/>
      <w:bookmarkEnd w:id="78"/>
      <w:bookmarkStart w:id="79" w:name="_Toc184313296"/>
      <w:bookmarkEnd w:id="79"/>
      <w:bookmarkStart w:id="80" w:name="_Toc184312123"/>
      <w:bookmarkEnd w:id="80"/>
      <w:bookmarkStart w:id="81" w:name="_Toc184310304"/>
      <w:bookmarkEnd w:id="81"/>
      <w:bookmarkStart w:id="82" w:name="_Toc184308082"/>
      <w:bookmarkEnd w:id="82"/>
      <w:bookmarkStart w:id="83" w:name="_Toc184308103"/>
      <w:bookmarkEnd w:id="83"/>
      <w:bookmarkStart w:id="84" w:name="_Toc184310286"/>
      <w:bookmarkEnd w:id="84"/>
      <w:bookmarkStart w:id="85" w:name="_Toc184308097"/>
      <w:bookmarkEnd w:id="85"/>
      <w:bookmarkStart w:id="86" w:name="_Toc184312132"/>
      <w:bookmarkEnd w:id="86"/>
      <w:bookmarkStart w:id="87" w:name="_Toc184310312"/>
      <w:bookmarkEnd w:id="87"/>
      <w:bookmarkStart w:id="88" w:name="_Toc184310324"/>
      <w:bookmarkEnd w:id="88"/>
      <w:bookmarkStart w:id="89" w:name="_Toc184312114"/>
      <w:bookmarkEnd w:id="89"/>
      <w:bookmarkStart w:id="90" w:name="_Toc184310340"/>
      <w:bookmarkEnd w:id="90"/>
      <w:bookmarkStart w:id="91" w:name="_Toc184312119"/>
      <w:bookmarkEnd w:id="91"/>
      <w:bookmarkStart w:id="92" w:name="_Toc184308083"/>
      <w:bookmarkEnd w:id="92"/>
      <w:bookmarkStart w:id="93" w:name="_Toc184314438"/>
      <w:bookmarkEnd w:id="93"/>
      <w:bookmarkStart w:id="94" w:name="_Toc184308088"/>
      <w:bookmarkEnd w:id="94"/>
      <w:bookmarkStart w:id="95" w:name="_Toc184312109"/>
      <w:bookmarkEnd w:id="95"/>
      <w:bookmarkStart w:id="96" w:name="_Toc184312076"/>
      <w:bookmarkEnd w:id="96"/>
      <w:bookmarkStart w:id="97" w:name="_Toc184310278"/>
      <w:bookmarkEnd w:id="97"/>
      <w:bookmarkStart w:id="98" w:name="_Toc184308102"/>
      <w:bookmarkEnd w:id="98"/>
      <w:bookmarkStart w:id="99" w:name="_Toc184312112"/>
      <w:bookmarkEnd w:id="99"/>
      <w:bookmarkStart w:id="100" w:name="_Toc184313253"/>
      <w:bookmarkEnd w:id="100"/>
      <w:bookmarkStart w:id="101" w:name="_Toc184313310"/>
      <w:bookmarkEnd w:id="101"/>
      <w:bookmarkStart w:id="102" w:name="_Toc184314424"/>
      <w:bookmarkEnd w:id="102"/>
      <w:bookmarkStart w:id="103" w:name="_Toc184308055"/>
      <w:bookmarkEnd w:id="103"/>
      <w:bookmarkStart w:id="104" w:name="_Toc184310321"/>
      <w:bookmarkEnd w:id="104"/>
      <w:bookmarkStart w:id="105" w:name="_Toc184310344"/>
      <w:bookmarkEnd w:id="105"/>
      <w:bookmarkStart w:id="106" w:name="_Toc184314431"/>
      <w:bookmarkEnd w:id="106"/>
      <w:bookmarkStart w:id="107" w:name="_Toc184313256"/>
      <w:bookmarkEnd w:id="107"/>
      <w:bookmarkStart w:id="108" w:name="_Toc184310331"/>
      <w:bookmarkEnd w:id="108"/>
      <w:bookmarkStart w:id="109" w:name="_Toc184313274"/>
      <w:bookmarkEnd w:id="109"/>
      <w:bookmarkStart w:id="110" w:name="_Toc184314422"/>
      <w:bookmarkEnd w:id="110"/>
      <w:bookmarkStart w:id="111" w:name="_Toc184310297"/>
      <w:bookmarkEnd w:id="111"/>
      <w:bookmarkStart w:id="112" w:name="_Toc184310282"/>
      <w:bookmarkEnd w:id="112"/>
      <w:bookmarkStart w:id="113" w:name="_Toc184314444"/>
      <w:bookmarkEnd w:id="113"/>
      <w:bookmarkStart w:id="114" w:name="_Toc184313248"/>
      <w:bookmarkEnd w:id="114"/>
      <w:bookmarkStart w:id="115" w:name="_Toc184312086"/>
      <w:bookmarkEnd w:id="115"/>
      <w:bookmarkStart w:id="116" w:name="_Toc184308106"/>
      <w:bookmarkEnd w:id="116"/>
      <w:bookmarkStart w:id="117" w:name="_Toc184308042"/>
      <w:bookmarkEnd w:id="117"/>
      <w:bookmarkStart w:id="118" w:name="_Toc184308068"/>
      <w:bookmarkEnd w:id="118"/>
      <w:bookmarkStart w:id="119" w:name="_Toc184310311"/>
      <w:bookmarkEnd w:id="119"/>
      <w:bookmarkStart w:id="120" w:name="_Toc184314476"/>
      <w:bookmarkEnd w:id="120"/>
      <w:bookmarkStart w:id="121" w:name="_Toc184313242"/>
      <w:bookmarkEnd w:id="121"/>
      <w:bookmarkStart w:id="122" w:name="_Toc184313284"/>
      <w:bookmarkEnd w:id="122"/>
      <w:bookmarkStart w:id="123" w:name="_Toc184314440"/>
      <w:bookmarkEnd w:id="123"/>
      <w:bookmarkStart w:id="124" w:name="_Toc184308044"/>
      <w:bookmarkEnd w:id="124"/>
      <w:bookmarkStart w:id="125" w:name="_Toc184314463"/>
      <w:bookmarkEnd w:id="125"/>
      <w:bookmarkStart w:id="126" w:name="_Toc184313268"/>
      <w:bookmarkEnd w:id="126"/>
      <w:bookmarkStart w:id="127" w:name="_Toc184313262"/>
      <w:bookmarkEnd w:id="127"/>
      <w:bookmarkStart w:id="128" w:name="_Toc184313257"/>
      <w:bookmarkEnd w:id="128"/>
      <w:bookmarkStart w:id="129" w:name="_Toc184314482"/>
      <w:bookmarkEnd w:id="129"/>
      <w:bookmarkStart w:id="130" w:name="_Toc184314466"/>
      <w:bookmarkEnd w:id="130"/>
      <w:bookmarkStart w:id="131" w:name="_Toc184308090"/>
      <w:bookmarkEnd w:id="131"/>
      <w:bookmarkStart w:id="132" w:name="_Toc184312111"/>
      <w:bookmarkEnd w:id="132"/>
      <w:bookmarkStart w:id="133" w:name="_Toc184308063"/>
      <w:bookmarkEnd w:id="133"/>
      <w:bookmarkStart w:id="134" w:name="_Toc184314481"/>
      <w:bookmarkEnd w:id="134"/>
      <w:bookmarkStart w:id="135" w:name="_Toc184308074"/>
      <w:bookmarkEnd w:id="135"/>
      <w:bookmarkStart w:id="136" w:name="_Toc184312089"/>
      <w:bookmarkEnd w:id="136"/>
      <w:bookmarkStart w:id="137" w:name="_Toc184310343"/>
      <w:bookmarkEnd w:id="137"/>
      <w:bookmarkStart w:id="138" w:name="_Toc184313278"/>
      <w:bookmarkEnd w:id="138"/>
      <w:bookmarkStart w:id="139" w:name="_Toc184313245"/>
      <w:bookmarkEnd w:id="139"/>
      <w:bookmarkStart w:id="140" w:name="_Toc184310335"/>
      <w:bookmarkEnd w:id="140"/>
      <w:bookmarkStart w:id="141" w:name="_Toc184313275"/>
      <w:bookmarkEnd w:id="141"/>
      <w:bookmarkStart w:id="142" w:name="_Toc184314446"/>
      <w:bookmarkEnd w:id="142"/>
      <w:bookmarkStart w:id="143" w:name="_Toc184308087"/>
      <w:bookmarkEnd w:id="143"/>
      <w:bookmarkStart w:id="144" w:name="_Toc184314432"/>
      <w:bookmarkEnd w:id="144"/>
      <w:bookmarkStart w:id="145" w:name="_Toc184314461"/>
      <w:bookmarkEnd w:id="145"/>
      <w:bookmarkStart w:id="146" w:name="_Toc184310329"/>
      <w:bookmarkEnd w:id="146"/>
      <w:bookmarkStart w:id="147" w:name="_Toc184308038"/>
      <w:bookmarkEnd w:id="147"/>
      <w:bookmarkStart w:id="148" w:name="_Toc184312099"/>
      <w:bookmarkEnd w:id="148"/>
      <w:bookmarkStart w:id="149" w:name="_Toc184313259"/>
      <w:bookmarkEnd w:id="149"/>
      <w:bookmarkStart w:id="150" w:name="_Toc184312126"/>
      <w:bookmarkEnd w:id="150"/>
      <w:bookmarkStart w:id="151" w:name="_Toc184312118"/>
      <w:bookmarkEnd w:id="151"/>
      <w:bookmarkStart w:id="152" w:name="_Toc184308105"/>
      <w:bookmarkEnd w:id="152"/>
      <w:bookmarkStart w:id="153" w:name="_Toc184314462"/>
      <w:bookmarkEnd w:id="153"/>
      <w:bookmarkStart w:id="154" w:name="_Toc184310281"/>
      <w:bookmarkEnd w:id="154"/>
      <w:bookmarkStart w:id="155" w:name="_Toc184308053"/>
      <w:bookmarkEnd w:id="155"/>
      <w:bookmarkStart w:id="156" w:name="_Toc184310279"/>
      <w:bookmarkEnd w:id="156"/>
      <w:bookmarkStart w:id="157" w:name="_Toc184308066"/>
      <w:bookmarkEnd w:id="157"/>
      <w:bookmarkStart w:id="158" w:name="_Toc184312077"/>
      <w:bookmarkEnd w:id="158"/>
      <w:bookmarkStart w:id="159" w:name="_Toc184314479"/>
      <w:bookmarkEnd w:id="159"/>
      <w:bookmarkStart w:id="160" w:name="_Toc184310336"/>
      <w:bookmarkEnd w:id="160"/>
      <w:bookmarkStart w:id="161" w:name="_Toc184314472"/>
      <w:bookmarkEnd w:id="161"/>
      <w:bookmarkStart w:id="162" w:name="_Toc184312094"/>
      <w:bookmarkEnd w:id="162"/>
      <w:bookmarkStart w:id="163" w:name="_Toc184313285"/>
      <w:bookmarkEnd w:id="163"/>
      <w:bookmarkStart w:id="164" w:name="_Toc184314456"/>
      <w:bookmarkEnd w:id="164"/>
      <w:bookmarkStart w:id="165" w:name="_Toc184308089"/>
      <w:bookmarkEnd w:id="165"/>
      <w:bookmarkStart w:id="166" w:name="_Toc184310308"/>
      <w:bookmarkEnd w:id="166"/>
      <w:bookmarkStart w:id="167" w:name="_Toc184313261"/>
      <w:bookmarkEnd w:id="167"/>
      <w:bookmarkStart w:id="168" w:name="_Toc184312139"/>
      <w:bookmarkEnd w:id="168"/>
      <w:bookmarkStart w:id="169" w:name="_Toc184310284"/>
      <w:bookmarkEnd w:id="169"/>
      <w:bookmarkStart w:id="170" w:name="_Toc184312090"/>
      <w:bookmarkEnd w:id="170"/>
      <w:bookmarkStart w:id="171" w:name="_Toc184314436"/>
      <w:bookmarkEnd w:id="171"/>
      <w:bookmarkStart w:id="172" w:name="_Toc184310316"/>
      <w:bookmarkEnd w:id="172"/>
      <w:bookmarkStart w:id="173" w:name="_Toc184312102"/>
      <w:bookmarkEnd w:id="173"/>
      <w:bookmarkStart w:id="174" w:name="_Toc184310338"/>
      <w:bookmarkEnd w:id="174"/>
      <w:bookmarkStart w:id="175" w:name="_Toc184314450"/>
      <w:bookmarkEnd w:id="175"/>
      <w:bookmarkStart w:id="176" w:name="_Toc184314447"/>
      <w:bookmarkEnd w:id="176"/>
      <w:bookmarkStart w:id="177" w:name="_Toc184308076"/>
      <w:bookmarkEnd w:id="177"/>
      <w:bookmarkStart w:id="178" w:name="_Toc184314418"/>
      <w:bookmarkEnd w:id="178"/>
      <w:bookmarkStart w:id="179" w:name="_Toc184308036"/>
      <w:bookmarkEnd w:id="179"/>
      <w:bookmarkStart w:id="180" w:name="_Toc184314448"/>
      <w:bookmarkEnd w:id="180"/>
      <w:bookmarkStart w:id="181" w:name="_Toc184313299"/>
      <w:bookmarkEnd w:id="181"/>
      <w:bookmarkStart w:id="182" w:name="_Toc184314460"/>
      <w:bookmarkEnd w:id="182"/>
      <w:bookmarkStart w:id="183" w:name="_Toc184312080"/>
      <w:bookmarkEnd w:id="183"/>
      <w:bookmarkStart w:id="184" w:name="_Toc184310318"/>
      <w:bookmarkEnd w:id="184"/>
      <w:bookmarkStart w:id="185" w:name="_Toc184314455"/>
      <w:bookmarkEnd w:id="185"/>
      <w:bookmarkStart w:id="186" w:name="_Toc184313258"/>
      <w:bookmarkEnd w:id="186"/>
      <w:bookmarkStart w:id="187" w:name="_Toc184308059"/>
      <w:bookmarkEnd w:id="187"/>
      <w:bookmarkStart w:id="188" w:name="_Toc184310328"/>
      <w:bookmarkEnd w:id="188"/>
      <w:bookmarkStart w:id="189" w:name="_Toc184312103"/>
      <w:bookmarkEnd w:id="189"/>
      <w:bookmarkStart w:id="190" w:name="_Toc184312067"/>
      <w:bookmarkEnd w:id="190"/>
      <w:bookmarkStart w:id="191" w:name="_Toc184312128"/>
      <w:bookmarkEnd w:id="191"/>
      <w:bookmarkStart w:id="192" w:name="_Toc184313266"/>
      <w:bookmarkEnd w:id="192"/>
      <w:bookmarkStart w:id="193" w:name="_Toc184313302"/>
      <w:bookmarkEnd w:id="193"/>
      <w:bookmarkStart w:id="194" w:name="_Toc184308094"/>
      <w:bookmarkEnd w:id="194"/>
      <w:bookmarkStart w:id="195" w:name="_Toc184314454"/>
      <w:bookmarkEnd w:id="195"/>
      <w:bookmarkStart w:id="196" w:name="_Toc184312072"/>
      <w:bookmarkEnd w:id="196"/>
      <w:bookmarkStart w:id="197" w:name="_Toc184310272"/>
      <w:bookmarkEnd w:id="197"/>
      <w:bookmarkStart w:id="198" w:name="_Toc184308051"/>
      <w:bookmarkEnd w:id="198"/>
      <w:bookmarkStart w:id="199" w:name="_Toc184314457"/>
      <w:bookmarkEnd w:id="199"/>
      <w:bookmarkStart w:id="200" w:name="_Toc184313305"/>
      <w:bookmarkEnd w:id="200"/>
      <w:bookmarkStart w:id="201" w:name="_Toc184313300"/>
      <w:bookmarkEnd w:id="201"/>
      <w:bookmarkStart w:id="202" w:name="_Toc184314453"/>
      <w:bookmarkEnd w:id="202"/>
      <w:bookmarkStart w:id="203" w:name="_Toc184308043"/>
      <w:bookmarkEnd w:id="203"/>
      <w:bookmarkStart w:id="204" w:name="_Toc184308065"/>
      <w:bookmarkEnd w:id="204"/>
      <w:bookmarkStart w:id="205" w:name="_Toc184313276"/>
      <w:bookmarkEnd w:id="205"/>
      <w:bookmarkStart w:id="206" w:name="_Toc184312075"/>
      <w:bookmarkEnd w:id="206"/>
      <w:bookmarkStart w:id="207" w:name="_Toc184314410"/>
      <w:bookmarkEnd w:id="207"/>
      <w:bookmarkStart w:id="208" w:name="_Toc184308040"/>
      <w:bookmarkEnd w:id="208"/>
      <w:bookmarkStart w:id="209" w:name="_Toc184308101"/>
      <w:bookmarkEnd w:id="209"/>
      <w:bookmarkStart w:id="210" w:name="_Toc184308056"/>
      <w:bookmarkEnd w:id="210"/>
      <w:bookmarkStart w:id="211" w:name="_Toc184312101"/>
      <w:bookmarkEnd w:id="211"/>
      <w:bookmarkStart w:id="212" w:name="_Toc184310285"/>
      <w:bookmarkEnd w:id="212"/>
      <w:bookmarkStart w:id="213" w:name="_Toc184308073"/>
      <w:bookmarkEnd w:id="213"/>
      <w:bookmarkStart w:id="214" w:name="_Toc184310275"/>
      <w:bookmarkEnd w:id="214"/>
      <w:bookmarkStart w:id="215" w:name="_Toc184313292"/>
      <w:bookmarkEnd w:id="215"/>
      <w:bookmarkStart w:id="216" w:name="_Toc184310314"/>
      <w:bookmarkEnd w:id="216"/>
      <w:bookmarkStart w:id="217" w:name="_Toc184310293"/>
      <w:bookmarkEnd w:id="217"/>
      <w:bookmarkStart w:id="218" w:name="_Toc184313301"/>
      <w:bookmarkEnd w:id="218"/>
      <w:bookmarkStart w:id="219" w:name="_Toc184314414"/>
      <w:bookmarkEnd w:id="219"/>
      <w:bookmarkStart w:id="220" w:name="_Toc184310294"/>
      <w:bookmarkEnd w:id="220"/>
      <w:bookmarkStart w:id="221" w:name="_Toc184310337"/>
      <w:bookmarkEnd w:id="221"/>
      <w:bookmarkStart w:id="222" w:name="_Toc184314443"/>
      <w:bookmarkEnd w:id="222"/>
      <w:bookmarkStart w:id="223" w:name="_Toc184312069"/>
      <w:bookmarkEnd w:id="223"/>
      <w:bookmarkStart w:id="224" w:name="_Toc184312127"/>
      <w:bookmarkEnd w:id="224"/>
      <w:bookmarkStart w:id="225" w:name="_Toc184313241"/>
      <w:bookmarkEnd w:id="225"/>
      <w:bookmarkStart w:id="226" w:name="_Toc184310342"/>
      <w:bookmarkEnd w:id="226"/>
      <w:bookmarkStart w:id="227" w:name="_Toc184310274"/>
      <w:bookmarkEnd w:id="227"/>
      <w:bookmarkStart w:id="228" w:name="_Toc184314412"/>
      <w:bookmarkEnd w:id="228"/>
      <w:bookmarkStart w:id="229" w:name="_Toc184308048"/>
      <w:bookmarkEnd w:id="229"/>
      <w:bookmarkStart w:id="230" w:name="_Toc184310299"/>
      <w:bookmarkEnd w:id="230"/>
      <w:bookmarkStart w:id="231" w:name="_Toc184313308"/>
      <w:bookmarkEnd w:id="231"/>
      <w:bookmarkStart w:id="232" w:name="_Toc184314421"/>
      <w:bookmarkEnd w:id="232"/>
      <w:bookmarkStart w:id="233" w:name="_Toc184313294"/>
      <w:bookmarkEnd w:id="233"/>
      <w:bookmarkStart w:id="234" w:name="_Toc184314445"/>
      <w:bookmarkEnd w:id="234"/>
      <w:bookmarkStart w:id="235" w:name="_Toc184308062"/>
      <w:bookmarkEnd w:id="235"/>
      <w:bookmarkStart w:id="236" w:name="_Toc184314435"/>
      <w:bookmarkEnd w:id="236"/>
      <w:bookmarkStart w:id="237" w:name="_Toc184312105"/>
      <w:bookmarkEnd w:id="237"/>
      <w:bookmarkStart w:id="238" w:name="_Toc184308086"/>
      <w:bookmarkEnd w:id="238"/>
      <w:bookmarkStart w:id="239" w:name="_Toc184308057"/>
      <w:bookmarkEnd w:id="239"/>
      <w:bookmarkStart w:id="240" w:name="_Toc184313298"/>
      <w:bookmarkEnd w:id="240"/>
      <w:bookmarkStart w:id="241" w:name="_Toc184308069"/>
      <w:bookmarkEnd w:id="241"/>
      <w:bookmarkStart w:id="242" w:name="_Toc184308084"/>
      <w:bookmarkEnd w:id="242"/>
      <w:bookmarkStart w:id="243" w:name="_Toc184314429"/>
      <w:bookmarkEnd w:id="243"/>
      <w:bookmarkStart w:id="244" w:name="_Toc184310332"/>
      <w:bookmarkEnd w:id="244"/>
      <w:bookmarkStart w:id="245" w:name="_Toc184314478"/>
      <w:bookmarkEnd w:id="245"/>
      <w:bookmarkStart w:id="246" w:name="_Toc184314442"/>
      <w:bookmarkEnd w:id="246"/>
      <w:bookmarkStart w:id="247" w:name="_Toc184310333"/>
      <w:bookmarkEnd w:id="247"/>
      <w:bookmarkStart w:id="248" w:name="_Toc184313281"/>
      <w:bookmarkEnd w:id="248"/>
      <w:bookmarkStart w:id="249" w:name="_Toc184312084"/>
      <w:bookmarkEnd w:id="249"/>
      <w:bookmarkStart w:id="250" w:name="_Toc184314452"/>
      <w:bookmarkEnd w:id="250"/>
      <w:bookmarkStart w:id="251" w:name="_Toc184313260"/>
      <w:bookmarkEnd w:id="251"/>
      <w:bookmarkStart w:id="252" w:name="_Toc184310292"/>
      <w:bookmarkEnd w:id="252"/>
      <w:bookmarkStart w:id="253" w:name="_Toc184313252"/>
      <w:bookmarkEnd w:id="253"/>
      <w:bookmarkStart w:id="254" w:name="_Toc184313254"/>
      <w:bookmarkEnd w:id="254"/>
      <w:bookmarkStart w:id="255" w:name="_Toc184313246"/>
      <w:bookmarkEnd w:id="255"/>
      <w:bookmarkStart w:id="256" w:name="_Toc184312096"/>
      <w:bookmarkEnd w:id="256"/>
      <w:bookmarkStart w:id="257" w:name="_Toc184310307"/>
      <w:bookmarkEnd w:id="257"/>
      <w:bookmarkStart w:id="258" w:name="_Toc184310290"/>
      <w:bookmarkEnd w:id="258"/>
      <w:bookmarkStart w:id="259" w:name="_Toc184310300"/>
      <w:bookmarkEnd w:id="259"/>
      <w:bookmarkStart w:id="260" w:name="_Toc184314426"/>
      <w:bookmarkEnd w:id="260"/>
      <w:bookmarkStart w:id="261" w:name="_Toc184313291"/>
      <w:bookmarkEnd w:id="261"/>
      <w:bookmarkStart w:id="262" w:name="_Toc184314459"/>
      <w:bookmarkEnd w:id="262"/>
      <w:bookmarkStart w:id="263" w:name="_Toc184313243"/>
      <w:bookmarkEnd w:id="263"/>
      <w:bookmarkStart w:id="264" w:name="_Toc184314419"/>
      <w:bookmarkEnd w:id="264"/>
      <w:bookmarkStart w:id="265" w:name="_Toc184312117"/>
      <w:bookmarkEnd w:id="265"/>
      <w:bookmarkStart w:id="266" w:name="_Toc184310323"/>
      <w:bookmarkEnd w:id="266"/>
      <w:bookmarkStart w:id="267" w:name="_Toc184314475"/>
      <w:bookmarkEnd w:id="267"/>
      <w:bookmarkStart w:id="268" w:name="_Toc184310305"/>
      <w:bookmarkEnd w:id="268"/>
      <w:bookmarkStart w:id="269" w:name="_Toc184308046"/>
      <w:bookmarkEnd w:id="269"/>
      <w:bookmarkStart w:id="270" w:name="_Toc184314468"/>
      <w:bookmarkEnd w:id="270"/>
      <w:bookmarkStart w:id="271" w:name="_Toc184312108"/>
      <w:bookmarkEnd w:id="271"/>
      <w:bookmarkStart w:id="272" w:name="_Toc184310309"/>
      <w:bookmarkEnd w:id="272"/>
      <w:bookmarkStart w:id="273" w:name="_Toc184313272"/>
      <w:bookmarkEnd w:id="273"/>
      <w:bookmarkStart w:id="274" w:name="_Toc184312124"/>
      <w:bookmarkEnd w:id="274"/>
      <w:bookmarkStart w:id="275" w:name="_Toc184310277"/>
      <w:bookmarkEnd w:id="275"/>
      <w:bookmarkStart w:id="276" w:name="_Toc184313277"/>
      <w:bookmarkEnd w:id="276"/>
      <w:bookmarkStart w:id="277" w:name="_Toc184312091"/>
      <w:bookmarkEnd w:id="277"/>
      <w:bookmarkStart w:id="278" w:name="_Toc184314411"/>
      <w:bookmarkEnd w:id="278"/>
      <w:bookmarkStart w:id="279" w:name="_Toc184312088"/>
      <w:bookmarkEnd w:id="279"/>
      <w:bookmarkStart w:id="280" w:name="_Toc184312079"/>
      <w:bookmarkEnd w:id="280"/>
      <w:bookmarkStart w:id="281" w:name="_Toc184313263"/>
      <w:bookmarkEnd w:id="281"/>
      <w:bookmarkStart w:id="282" w:name="_Toc184312098"/>
      <w:bookmarkEnd w:id="282"/>
      <w:bookmarkStart w:id="283" w:name="_Toc184312129"/>
      <w:bookmarkEnd w:id="283"/>
      <w:bookmarkStart w:id="284" w:name="_Toc184313240"/>
      <w:bookmarkEnd w:id="284"/>
      <w:bookmarkStart w:id="285" w:name="_Toc184313247"/>
      <w:bookmarkEnd w:id="285"/>
      <w:bookmarkStart w:id="286" w:name="_Toc184314433"/>
      <w:bookmarkEnd w:id="286"/>
      <w:bookmarkStart w:id="287" w:name="_Toc184310315"/>
      <w:bookmarkEnd w:id="287"/>
      <w:bookmarkStart w:id="288" w:name="_Toc184310341"/>
      <w:bookmarkEnd w:id="288"/>
      <w:bookmarkStart w:id="289" w:name="_Toc184313267"/>
      <w:bookmarkEnd w:id="289"/>
      <w:bookmarkStart w:id="290" w:name="_Toc184308079"/>
      <w:bookmarkEnd w:id="290"/>
      <w:bookmarkStart w:id="291" w:name="_Toc184308078"/>
      <w:bookmarkEnd w:id="291"/>
      <w:bookmarkStart w:id="292" w:name="_Toc184310288"/>
      <w:bookmarkEnd w:id="292"/>
      <w:bookmarkStart w:id="293" w:name="_Toc184313255"/>
      <w:bookmarkEnd w:id="293"/>
      <w:bookmarkStart w:id="294" w:name="_Toc184312136"/>
      <w:bookmarkEnd w:id="294"/>
      <w:bookmarkStart w:id="295" w:name="_Toc184312070"/>
      <w:bookmarkEnd w:id="295"/>
      <w:bookmarkStart w:id="296" w:name="_Toc184312068"/>
      <w:bookmarkEnd w:id="296"/>
      <w:bookmarkStart w:id="297" w:name="_Toc184308075"/>
      <w:bookmarkEnd w:id="297"/>
      <w:bookmarkStart w:id="298" w:name="_Toc184314480"/>
      <w:bookmarkEnd w:id="298"/>
      <w:bookmarkStart w:id="299" w:name="_Toc184314417"/>
      <w:bookmarkEnd w:id="299"/>
      <w:bookmarkStart w:id="300" w:name="_Toc184310289"/>
      <w:bookmarkEnd w:id="300"/>
      <w:bookmarkStart w:id="301" w:name="_Toc184312081"/>
      <w:bookmarkEnd w:id="301"/>
      <w:bookmarkStart w:id="302" w:name="_Toc184308095"/>
      <w:bookmarkEnd w:id="302"/>
      <w:bookmarkStart w:id="303" w:name="_Toc184313269"/>
      <w:bookmarkEnd w:id="303"/>
      <w:bookmarkStart w:id="304" w:name="_Toc184312085"/>
      <w:bookmarkEnd w:id="304"/>
      <w:bookmarkStart w:id="305" w:name="_Toc184308061"/>
      <w:bookmarkEnd w:id="305"/>
      <w:bookmarkStart w:id="306" w:name="_Toc184312106"/>
      <w:bookmarkEnd w:id="306"/>
      <w:bookmarkStart w:id="307" w:name="_Toc184312125"/>
      <w:bookmarkEnd w:id="307"/>
      <w:bookmarkStart w:id="308" w:name="_Toc184314477"/>
      <w:bookmarkEnd w:id="308"/>
      <w:bookmarkStart w:id="309" w:name="_Toc184314471"/>
      <w:bookmarkEnd w:id="309"/>
      <w:bookmarkStart w:id="310" w:name="_Toc184308045"/>
      <w:bookmarkEnd w:id="310"/>
      <w:bookmarkStart w:id="311" w:name="_Toc184313265"/>
      <w:bookmarkEnd w:id="311"/>
      <w:bookmarkStart w:id="312" w:name="_Toc184308099"/>
      <w:bookmarkEnd w:id="312"/>
      <w:bookmarkStart w:id="313" w:name="_Toc184310273"/>
      <w:bookmarkEnd w:id="313"/>
      <w:bookmarkStart w:id="314" w:name="_Toc184313282"/>
      <w:bookmarkEnd w:id="314"/>
      <w:bookmarkStart w:id="315" w:name="_Toc184314470"/>
      <w:bookmarkEnd w:id="315"/>
      <w:bookmarkStart w:id="316" w:name="_Toc184314427"/>
      <w:bookmarkEnd w:id="316"/>
      <w:bookmarkStart w:id="317" w:name="_Toc184312120"/>
      <w:bookmarkEnd w:id="317"/>
      <w:bookmarkStart w:id="318" w:name="_Toc184312135"/>
      <w:bookmarkEnd w:id="318"/>
      <w:bookmarkStart w:id="319" w:name="_Toc184314449"/>
      <w:bookmarkEnd w:id="319"/>
      <w:bookmarkStart w:id="320" w:name="_Toc184308092"/>
      <w:bookmarkEnd w:id="320"/>
      <w:bookmarkStart w:id="321" w:name="_Toc184314469"/>
      <w:bookmarkEnd w:id="321"/>
      <w:bookmarkStart w:id="322" w:name="_Toc184313283"/>
      <w:bookmarkEnd w:id="322"/>
      <w:bookmarkStart w:id="323" w:name="_Toc184308070"/>
      <w:bookmarkEnd w:id="323"/>
      <w:bookmarkStart w:id="324" w:name="_Toc184312137"/>
      <w:bookmarkEnd w:id="324"/>
      <w:bookmarkStart w:id="325" w:name="_Toc184313280"/>
      <w:bookmarkEnd w:id="325"/>
      <w:bookmarkStart w:id="326" w:name="_Toc184312092"/>
      <w:bookmarkEnd w:id="326"/>
      <w:bookmarkStart w:id="327" w:name="_Toc184313290"/>
      <w:bookmarkEnd w:id="327"/>
      <w:bookmarkStart w:id="328" w:name="_Toc184308058"/>
      <w:bookmarkEnd w:id="328"/>
      <w:bookmarkStart w:id="329" w:name="_Toc184310298"/>
      <w:bookmarkEnd w:id="329"/>
      <w:bookmarkStart w:id="330" w:name="_Toc184313270"/>
      <w:bookmarkEnd w:id="330"/>
      <w:bookmarkStart w:id="331" w:name="_Toc184308080"/>
      <w:bookmarkEnd w:id="331"/>
      <w:bookmarkStart w:id="332" w:name="_Toc184310322"/>
      <w:bookmarkEnd w:id="332"/>
      <w:bookmarkStart w:id="333" w:name="_Toc184314415"/>
      <w:bookmarkEnd w:id="333"/>
      <w:bookmarkStart w:id="334" w:name="_Toc184310276"/>
      <w:bookmarkEnd w:id="334"/>
      <w:bookmarkStart w:id="335" w:name="_Toc184314439"/>
      <w:bookmarkEnd w:id="335"/>
      <w:bookmarkStart w:id="336" w:name="_Toc184308060"/>
      <w:bookmarkEnd w:id="336"/>
      <w:bookmarkStart w:id="337" w:name="_Toc184314423"/>
      <w:bookmarkEnd w:id="337"/>
      <w:bookmarkStart w:id="338" w:name="_Toc184314434"/>
      <w:bookmarkEnd w:id="338"/>
      <w:bookmarkStart w:id="339" w:name="_Toc184312082"/>
      <w:bookmarkEnd w:id="339"/>
      <w:bookmarkStart w:id="340" w:name="_Toc184312093"/>
      <w:bookmarkEnd w:id="340"/>
      <w:bookmarkStart w:id="341" w:name="_Toc184312078"/>
      <w:bookmarkEnd w:id="341"/>
      <w:bookmarkStart w:id="342" w:name="_Toc184312115"/>
      <w:bookmarkEnd w:id="342"/>
      <w:bookmarkStart w:id="343" w:name="_Toc184310301"/>
      <w:bookmarkEnd w:id="343"/>
      <w:bookmarkStart w:id="344" w:name="_Toc184313286"/>
      <w:bookmarkEnd w:id="344"/>
      <w:bookmarkStart w:id="345" w:name="_Toc184308037"/>
      <w:bookmarkEnd w:id="345"/>
      <w:bookmarkStart w:id="346" w:name="_Toc184312134"/>
      <w:bookmarkEnd w:id="346"/>
      <w:bookmarkStart w:id="347" w:name="_Toc184308050"/>
      <w:bookmarkEnd w:id="347"/>
      <w:bookmarkStart w:id="348" w:name="_Toc184312097"/>
      <w:bookmarkEnd w:id="348"/>
      <w:bookmarkStart w:id="349" w:name="_Toc184308085"/>
      <w:bookmarkEnd w:id="349"/>
      <w:bookmarkStart w:id="350" w:name="_Toc184312100"/>
      <w:bookmarkEnd w:id="350"/>
      <w:bookmarkStart w:id="351" w:name="_Toc184313249"/>
      <w:bookmarkEnd w:id="351"/>
      <w:bookmarkStart w:id="352" w:name="_Toc184310283"/>
      <w:bookmarkEnd w:id="352"/>
      <w:bookmarkStart w:id="353" w:name="_Toc184312074"/>
      <w:bookmarkEnd w:id="353"/>
      <w:bookmarkStart w:id="354" w:name="_Toc184314420"/>
      <w:bookmarkEnd w:id="354"/>
      <w:bookmarkStart w:id="355" w:name="_Toc184310339"/>
      <w:bookmarkEnd w:id="355"/>
      <w:bookmarkStart w:id="356" w:name="_Toc184310287"/>
      <w:bookmarkEnd w:id="356"/>
      <w:bookmarkStart w:id="357" w:name="_Toc184310334"/>
      <w:bookmarkEnd w:id="357"/>
      <w:bookmarkStart w:id="358" w:name="_Toc184310313"/>
      <w:bookmarkEnd w:id="358"/>
      <w:bookmarkStart w:id="359" w:name="_Toc184310303"/>
      <w:bookmarkEnd w:id="359"/>
      <w:bookmarkStart w:id="360" w:name="_Toc184308064"/>
      <w:bookmarkEnd w:id="360"/>
      <w:bookmarkStart w:id="361" w:name="_Toc184308052"/>
      <w:bookmarkEnd w:id="361"/>
      <w:bookmarkStart w:id="362" w:name="_Toc184312071"/>
      <w:bookmarkEnd w:id="362"/>
      <w:bookmarkStart w:id="363" w:name="_Toc184312095"/>
      <w:bookmarkEnd w:id="363"/>
      <w:bookmarkStart w:id="364" w:name="_Toc184314413"/>
      <w:bookmarkEnd w:id="364"/>
      <w:bookmarkStart w:id="365" w:name="_Toc184312131"/>
      <w:bookmarkEnd w:id="365"/>
      <w:bookmarkStart w:id="366" w:name="_Toc184313289"/>
      <w:bookmarkEnd w:id="366"/>
      <w:bookmarkStart w:id="367" w:name="_Toc184313250"/>
      <w:bookmarkEnd w:id="367"/>
      <w:bookmarkStart w:id="368" w:name="_Toc184313304"/>
      <w:bookmarkEnd w:id="368"/>
      <w:bookmarkStart w:id="369" w:name="_Toc184308077"/>
      <w:bookmarkEnd w:id="369"/>
      <w:bookmarkStart w:id="370" w:name="_Toc184313303"/>
      <w:bookmarkEnd w:id="370"/>
      <w:bookmarkStart w:id="371" w:name="_Toc184314474"/>
      <w:bookmarkEnd w:id="371"/>
      <w:bookmarkStart w:id="372" w:name="_Toc184313273"/>
      <w:bookmarkEnd w:id="372"/>
      <w:bookmarkStart w:id="373" w:name="_Toc184314465"/>
      <w:bookmarkEnd w:id="373"/>
      <w:bookmarkStart w:id="374" w:name="_Toc184313271"/>
      <w:bookmarkEnd w:id="374"/>
      <w:bookmarkStart w:id="375" w:name="_Toc184314416"/>
      <w:bookmarkEnd w:id="375"/>
      <w:bookmarkStart w:id="376" w:name="_Toc184313297"/>
      <w:bookmarkEnd w:id="376"/>
      <w:bookmarkStart w:id="377" w:name="_Toc184312104"/>
      <w:bookmarkEnd w:id="377"/>
      <w:bookmarkStart w:id="378" w:name="_Toc184308067"/>
      <w:bookmarkEnd w:id="378"/>
      <w:bookmarkStart w:id="379" w:name="_Toc184313309"/>
      <w:bookmarkEnd w:id="379"/>
      <w:bookmarkStart w:id="380" w:name="_Toc184313279"/>
      <w:bookmarkEnd w:id="380"/>
      <w:bookmarkStart w:id="381" w:name="_Toc184312133"/>
      <w:bookmarkEnd w:id="381"/>
      <w:bookmarkStart w:id="382" w:name="_Toc184308091"/>
      <w:bookmarkEnd w:id="382"/>
      <w:bookmarkStart w:id="383" w:name="_Toc184312121"/>
      <w:bookmarkEnd w:id="383"/>
      <w:bookmarkStart w:id="384" w:name="_Toc184310291"/>
      <w:bookmarkEnd w:id="384"/>
      <w:bookmarkStart w:id="385" w:name="_Toc184314441"/>
      <w:bookmarkEnd w:id="385"/>
      <w:bookmarkStart w:id="386" w:name="_Toc184308081"/>
      <w:bookmarkEnd w:id="386"/>
      <w:bookmarkStart w:id="387" w:name="_Toc184308096"/>
      <w:bookmarkEnd w:id="387"/>
      <w:bookmarkStart w:id="388" w:name="_Toc184313306"/>
      <w:bookmarkEnd w:id="388"/>
      <w:bookmarkStart w:id="389" w:name="_Toc184308072"/>
      <w:bookmarkEnd w:id="389"/>
      <w:bookmarkStart w:id="390" w:name="_Toc184308100"/>
      <w:bookmarkEnd w:id="390"/>
      <w:bookmarkStart w:id="391" w:name="_Toc184310327"/>
      <w:bookmarkEnd w:id="391"/>
      <w:bookmarkStart w:id="392" w:name="_Toc184310296"/>
      <w:bookmarkEnd w:id="392"/>
      <w:bookmarkStart w:id="393" w:name="_Toc184314473"/>
      <w:bookmarkEnd w:id="393"/>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pPr w:leftFromText="180" w:rightFromText="180" w:vertAnchor="text" w:horzAnchor="page" w:tblpX="1229" w:tblpY="275"/>
        <w:tblOverlap w:val="never"/>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49"/>
        <w:gridCol w:w="1187"/>
        <w:gridCol w:w="5300"/>
        <w:gridCol w:w="77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7036" w:type="dxa"/>
            <w:gridSpan w:val="3"/>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评分内容和标准</w:t>
            </w:r>
          </w:p>
        </w:tc>
        <w:tc>
          <w:tcPr>
            <w:tcW w:w="775"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权值</w:t>
            </w:r>
          </w:p>
        </w:tc>
        <w:tc>
          <w:tcPr>
            <w:tcW w:w="99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restart"/>
            <w:tcBorders>
              <w:top w:val="nil"/>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商务资信分（</w:t>
            </w:r>
            <w:r>
              <w:rPr>
                <w:rFonts w:hint="eastAsia" w:ascii="仿宋" w:hAnsi="仿宋" w:eastAsia="仿宋" w:cs="仿宋"/>
                <w:color w:val="auto"/>
                <w:sz w:val="24"/>
                <w:szCs w:val="24"/>
                <w:highlight w:val="none"/>
                <w:lang w:val="en-US" w:eastAsia="zh-CN"/>
              </w:rPr>
              <w:t>18</w:t>
            </w:r>
            <w:r>
              <w:rPr>
                <w:rFonts w:hint="eastAsia" w:ascii="仿宋" w:hAnsi="仿宋" w:eastAsia="仿宋" w:cs="仿宋"/>
                <w:color w:val="auto"/>
                <w:sz w:val="24"/>
                <w:szCs w:val="24"/>
                <w:highlight w:val="none"/>
              </w:rPr>
              <w:t>分）</w:t>
            </w:r>
          </w:p>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6487"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投标人提供20</w:t>
            </w:r>
            <w:r>
              <w:rPr>
                <w:rFonts w:hint="eastAsia" w:ascii="仿宋" w:hAnsi="仿宋" w:eastAsia="仿宋" w:cs="仿宋"/>
                <w:color w:val="auto"/>
                <w:sz w:val="24"/>
                <w:szCs w:val="24"/>
                <w:highlight w:val="none"/>
                <w:lang w:val="en-US" w:eastAsia="zh-CN"/>
              </w:rPr>
              <w:t>2</w:t>
            </w:r>
            <w:r>
              <w:rPr>
                <w:rFonts w:hint="default" w:ascii="仿宋" w:hAnsi="仿宋" w:eastAsia="仿宋" w:cs="仿宋"/>
                <w:color w:val="auto"/>
                <w:sz w:val="24"/>
                <w:szCs w:val="24"/>
                <w:highlight w:val="none"/>
                <w:lang w:eastAsia="zh-CN"/>
              </w:rPr>
              <w:t>1</w:t>
            </w:r>
            <w:r>
              <w:rPr>
                <w:rFonts w:hint="eastAsia" w:ascii="仿宋" w:hAnsi="仿宋" w:eastAsia="仿宋" w:cs="仿宋"/>
                <w:color w:val="auto"/>
                <w:sz w:val="24"/>
                <w:szCs w:val="24"/>
                <w:highlight w:val="none"/>
                <w:lang w:eastAsia="zh-CN"/>
              </w:rPr>
              <w:t>年</w:t>
            </w:r>
            <w:r>
              <w:rPr>
                <w:rFonts w:hint="default" w:ascii="仿宋" w:hAnsi="仿宋" w:eastAsia="仿宋" w:cs="仿宋"/>
                <w:color w:val="auto"/>
                <w:sz w:val="24"/>
                <w:szCs w:val="24"/>
                <w:highlight w:val="none"/>
                <w:lang w:eastAsia="zh-CN"/>
              </w:rPr>
              <w:t>0</w:t>
            </w:r>
            <w:r>
              <w:rPr>
                <w:rFonts w:hint="eastAsia" w:ascii="仿宋" w:hAnsi="仿宋" w:eastAsia="仿宋" w:cs="仿宋"/>
                <w:color w:val="auto"/>
                <w:sz w:val="24"/>
                <w:szCs w:val="24"/>
                <w:highlight w:val="none"/>
                <w:lang w:eastAsia="zh-CN"/>
              </w:rPr>
              <w:t>1月</w:t>
            </w:r>
            <w:r>
              <w:rPr>
                <w:rFonts w:hint="default" w:ascii="仿宋" w:hAnsi="仿宋" w:eastAsia="仿宋" w:cs="仿宋"/>
                <w:color w:val="auto"/>
                <w:sz w:val="24"/>
                <w:szCs w:val="24"/>
                <w:highlight w:val="none"/>
                <w:lang w:eastAsia="zh-CN"/>
              </w:rPr>
              <w:t>0</w:t>
            </w:r>
            <w:r>
              <w:rPr>
                <w:rFonts w:hint="eastAsia" w:ascii="仿宋" w:hAnsi="仿宋" w:eastAsia="仿宋" w:cs="仿宋"/>
                <w:color w:val="auto"/>
                <w:sz w:val="24"/>
                <w:szCs w:val="24"/>
                <w:highlight w:val="none"/>
                <w:lang w:eastAsia="zh-CN"/>
              </w:rPr>
              <w:t>1日以来（以合同签订时间为准）同类食堂运营（</w:t>
            </w:r>
            <w:r>
              <w:rPr>
                <w:rFonts w:hint="eastAsia" w:ascii="仿宋" w:hAnsi="仿宋" w:eastAsia="仿宋" w:cs="仿宋"/>
                <w:color w:val="auto"/>
                <w:sz w:val="24"/>
                <w:szCs w:val="24"/>
                <w:highlight w:val="none"/>
                <w:lang w:val="en-US" w:eastAsia="zh-CN"/>
              </w:rPr>
              <w:t>国有企业、行政事业单位、部队、学校</w:t>
            </w:r>
            <w:r>
              <w:rPr>
                <w:rFonts w:hint="eastAsia" w:ascii="仿宋" w:hAnsi="仿宋" w:eastAsia="仿宋" w:cs="仿宋"/>
                <w:color w:val="auto"/>
                <w:sz w:val="24"/>
                <w:szCs w:val="24"/>
                <w:highlight w:val="none"/>
                <w:lang w:eastAsia="zh-CN"/>
              </w:rPr>
              <w:t>）业绩，每个业绩得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lang w:eastAsia="zh-CN"/>
              </w:rPr>
              <w:t>分，最高得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分。</w:t>
            </w:r>
            <w:r>
              <w:rPr>
                <w:rFonts w:hint="eastAsia" w:ascii="仿宋" w:hAnsi="仿宋" w:eastAsia="仿宋" w:cs="仿宋"/>
                <w:b/>
                <w:bCs/>
                <w:color w:val="auto"/>
                <w:sz w:val="24"/>
                <w:szCs w:val="24"/>
                <w:highlight w:val="none"/>
                <w:lang w:eastAsia="zh-CN"/>
              </w:rPr>
              <w:t>（投标文件中提供合同</w:t>
            </w:r>
            <w:r>
              <w:rPr>
                <w:rFonts w:hint="eastAsia" w:ascii="仿宋" w:hAnsi="仿宋" w:eastAsia="仿宋" w:cs="仿宋"/>
                <w:b/>
                <w:bCs/>
                <w:color w:val="auto"/>
                <w:sz w:val="24"/>
                <w:szCs w:val="24"/>
                <w:highlight w:val="none"/>
                <w:lang w:val="en-US" w:eastAsia="zh-CN"/>
              </w:rPr>
              <w:t>扫描件</w:t>
            </w:r>
            <w:r>
              <w:rPr>
                <w:rFonts w:hint="eastAsia" w:ascii="仿宋" w:hAnsi="仿宋" w:eastAsia="仿宋" w:cs="仿宋"/>
                <w:b/>
                <w:bCs/>
                <w:color w:val="auto"/>
                <w:sz w:val="24"/>
                <w:szCs w:val="24"/>
                <w:highlight w:val="none"/>
                <w:lang w:val="en-US" w:eastAsia="zh-Hans"/>
              </w:rPr>
              <w:t>并</w:t>
            </w:r>
            <w:r>
              <w:rPr>
                <w:rFonts w:hint="eastAsia" w:ascii="仿宋" w:hAnsi="仿宋" w:eastAsia="仿宋" w:cs="仿宋"/>
                <w:b/>
                <w:bCs/>
                <w:color w:val="auto"/>
                <w:sz w:val="24"/>
                <w:szCs w:val="24"/>
                <w:highlight w:val="none"/>
                <w:lang w:eastAsia="zh-CN"/>
              </w:rPr>
              <w:t>加盖</w:t>
            </w:r>
            <w:r>
              <w:rPr>
                <w:rFonts w:hint="eastAsia" w:ascii="仿宋" w:hAnsi="仿宋" w:eastAsia="仿宋" w:cs="仿宋"/>
                <w:b/>
                <w:bCs/>
                <w:color w:val="auto"/>
                <w:sz w:val="24"/>
                <w:szCs w:val="24"/>
                <w:highlight w:val="none"/>
                <w:lang w:val="en-US" w:eastAsia="zh-CN"/>
              </w:rPr>
              <w:t>投标人</w:t>
            </w:r>
            <w:r>
              <w:rPr>
                <w:rFonts w:hint="eastAsia" w:ascii="仿宋" w:hAnsi="仿宋" w:eastAsia="仿宋" w:cs="仿宋"/>
                <w:b/>
                <w:bCs/>
                <w:color w:val="auto"/>
                <w:sz w:val="24"/>
                <w:szCs w:val="24"/>
                <w:highlight w:val="none"/>
                <w:lang w:eastAsia="zh-CN"/>
              </w:rPr>
              <w:t>公章，不提供不得分。）</w:t>
            </w:r>
          </w:p>
        </w:tc>
        <w:tc>
          <w:tcPr>
            <w:tcW w:w="775"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996"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850" w:type="dxa"/>
            <w:vMerge w:val="continue"/>
            <w:tcBorders>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6487"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投标人具备在有效期内的质量管理体系认证</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lang w:eastAsia="zh-CN"/>
              </w:rPr>
              <w:t>、环境管理体系认证</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lang w:eastAsia="zh-CN"/>
              </w:rPr>
              <w:t>、职业健康体系认证</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lang w:eastAsia="zh-CN"/>
              </w:rPr>
              <w:t>、食品安全管理体系</w:t>
            </w:r>
            <w:r>
              <w:rPr>
                <w:rFonts w:hint="eastAsia" w:ascii="仿宋" w:hAnsi="仿宋" w:eastAsia="仿宋" w:cs="仿宋"/>
                <w:color w:val="auto"/>
                <w:sz w:val="24"/>
                <w:szCs w:val="24"/>
                <w:highlight w:val="none"/>
                <w:lang w:val="en-US" w:eastAsia="zh-CN"/>
              </w:rPr>
              <w:t>认证证书</w:t>
            </w:r>
            <w:r>
              <w:rPr>
                <w:rFonts w:hint="eastAsia" w:ascii="仿宋" w:hAnsi="仿宋" w:eastAsia="仿宋" w:cs="仿宋"/>
                <w:color w:val="auto"/>
                <w:sz w:val="24"/>
                <w:szCs w:val="24"/>
                <w:highlight w:val="none"/>
                <w:lang w:eastAsia="zh-CN"/>
              </w:rPr>
              <w:t>、HACCP体系</w:t>
            </w:r>
            <w:r>
              <w:rPr>
                <w:rFonts w:hint="eastAsia" w:ascii="仿宋" w:hAnsi="仿宋" w:eastAsia="仿宋" w:cs="仿宋"/>
                <w:color w:val="auto"/>
                <w:sz w:val="24"/>
                <w:szCs w:val="24"/>
                <w:highlight w:val="none"/>
                <w:lang w:val="en-US" w:eastAsia="zh-CN"/>
              </w:rPr>
              <w:t>认证证书</w:t>
            </w:r>
            <w:r>
              <w:rPr>
                <w:rFonts w:hint="eastAsia" w:ascii="仿宋" w:hAnsi="仿宋" w:eastAsia="仿宋" w:cs="仿宋"/>
                <w:color w:val="auto"/>
                <w:sz w:val="24"/>
                <w:szCs w:val="24"/>
                <w:highlight w:val="none"/>
                <w:lang w:eastAsia="zh-CN"/>
              </w:rPr>
              <w:t>，每个得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lang w:eastAsia="zh-CN"/>
              </w:rPr>
              <w:t>分，最高得</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lang w:eastAsia="zh-CN"/>
              </w:rPr>
              <w:t>分。</w:t>
            </w:r>
            <w:r>
              <w:rPr>
                <w:rFonts w:hint="eastAsia" w:ascii="仿宋" w:hAnsi="仿宋" w:eastAsia="仿宋" w:cs="仿宋"/>
                <w:b/>
                <w:bCs/>
                <w:color w:val="auto"/>
                <w:sz w:val="24"/>
                <w:szCs w:val="24"/>
                <w:highlight w:val="none"/>
                <w:lang w:eastAsia="zh-CN"/>
              </w:rPr>
              <w:t>（提供</w:t>
            </w:r>
            <w:r>
              <w:rPr>
                <w:rFonts w:hint="eastAsia" w:ascii="仿宋" w:hAnsi="仿宋" w:eastAsia="仿宋" w:cs="仿宋"/>
                <w:b/>
                <w:bCs/>
                <w:color w:val="auto"/>
                <w:sz w:val="24"/>
                <w:szCs w:val="24"/>
                <w:highlight w:val="none"/>
                <w:lang w:val="en-US" w:eastAsia="zh-CN"/>
              </w:rPr>
              <w:t>有效期内</w:t>
            </w:r>
            <w:r>
              <w:rPr>
                <w:rFonts w:hint="eastAsia" w:ascii="仿宋" w:hAnsi="仿宋" w:eastAsia="仿宋" w:cs="仿宋"/>
                <w:b/>
                <w:bCs/>
                <w:color w:val="auto"/>
                <w:sz w:val="24"/>
                <w:szCs w:val="24"/>
                <w:highlight w:val="none"/>
                <w:lang w:eastAsia="zh-CN"/>
              </w:rPr>
              <w:t>证书</w:t>
            </w:r>
            <w:r>
              <w:rPr>
                <w:rFonts w:hint="eastAsia" w:ascii="仿宋" w:hAnsi="仿宋" w:eastAsia="仿宋" w:cs="仿宋"/>
                <w:b/>
                <w:bCs/>
                <w:color w:val="auto"/>
                <w:sz w:val="24"/>
                <w:szCs w:val="24"/>
                <w:highlight w:val="none"/>
                <w:lang w:val="en-US" w:eastAsia="zh-CN"/>
              </w:rPr>
              <w:t>扫描件并加盖投标人公章</w:t>
            </w:r>
            <w:r>
              <w:rPr>
                <w:rFonts w:hint="eastAsia" w:ascii="仿宋" w:hAnsi="仿宋" w:eastAsia="仿宋" w:cs="仿宋"/>
                <w:b/>
                <w:bCs/>
                <w:sz w:val="24"/>
                <w:highlight w:val="none"/>
              </w:rPr>
              <w:t>，不提供不得分</w:t>
            </w:r>
            <w:r>
              <w:rPr>
                <w:rFonts w:hint="eastAsia" w:ascii="仿宋" w:hAnsi="仿宋" w:eastAsia="仿宋" w:cs="仿宋"/>
                <w:b/>
                <w:bCs/>
                <w:color w:val="auto"/>
                <w:sz w:val="24"/>
                <w:szCs w:val="24"/>
                <w:highlight w:val="none"/>
                <w:lang w:eastAsia="zh-CN"/>
              </w:rPr>
              <w:t>。）</w:t>
            </w:r>
          </w:p>
        </w:tc>
        <w:tc>
          <w:tcPr>
            <w:tcW w:w="775"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w:t>
            </w:r>
          </w:p>
        </w:tc>
        <w:tc>
          <w:tcPr>
            <w:tcW w:w="996"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tcBorders>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487"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拟</w:t>
            </w:r>
            <w:r>
              <w:rPr>
                <w:rFonts w:hint="eastAsia" w:ascii="仿宋" w:hAnsi="仿宋" w:eastAsia="仿宋" w:cs="仿宋"/>
                <w:sz w:val="24"/>
                <w:highlight w:val="none"/>
              </w:rPr>
              <w:t>投入本项目的</w:t>
            </w:r>
            <w:r>
              <w:rPr>
                <w:rFonts w:hint="eastAsia" w:ascii="仿宋" w:hAnsi="仿宋" w:eastAsia="仿宋" w:cs="仿宋"/>
                <w:sz w:val="24"/>
                <w:szCs w:val="24"/>
                <w:highlight w:val="none"/>
                <w:lang w:val="en-US" w:eastAsia="zh-CN"/>
              </w:rPr>
              <w:t>总负责人在</w:t>
            </w:r>
            <w:r>
              <w:rPr>
                <w:rFonts w:hint="eastAsia" w:ascii="仿宋" w:hAnsi="仿宋" w:eastAsia="仿宋" w:cs="仿宋"/>
                <w:sz w:val="24"/>
                <w:highlight w:val="none"/>
                <w:lang w:val="en-US" w:eastAsia="zh-CN"/>
              </w:rPr>
              <w:t>满足</w:t>
            </w:r>
            <w:r>
              <w:rPr>
                <w:rFonts w:hint="eastAsia" w:ascii="仿宋" w:hAnsi="仿宋" w:eastAsia="仿宋" w:cs="仿宋"/>
                <w:sz w:val="24"/>
                <w:highlight w:val="none"/>
              </w:rPr>
              <w:t>大专及以上学历</w:t>
            </w:r>
            <w:r>
              <w:rPr>
                <w:rFonts w:hint="eastAsia" w:ascii="仿宋" w:hAnsi="仿宋" w:eastAsia="仿宋" w:cs="仿宋"/>
                <w:sz w:val="24"/>
                <w:highlight w:val="none"/>
                <w:lang w:val="en-US" w:eastAsia="zh-CN"/>
              </w:rPr>
              <w:t>的基础上</w:t>
            </w:r>
            <w:r>
              <w:rPr>
                <w:rFonts w:hint="eastAsia" w:ascii="仿宋" w:hAnsi="仿宋" w:eastAsia="仿宋" w:cs="仿宋"/>
                <w:sz w:val="24"/>
                <w:highlight w:val="none"/>
                <w:lang w:eastAsia="zh-CN"/>
              </w:rPr>
              <w:t>，具有</w:t>
            </w:r>
            <w:r>
              <w:rPr>
                <w:rFonts w:hint="eastAsia" w:ascii="仿宋" w:hAnsi="仿宋" w:eastAsia="仿宋" w:cs="仿宋"/>
                <w:sz w:val="24"/>
                <w:highlight w:val="none"/>
              </w:rPr>
              <w:t>餐饮职业经理人高级证书、健康管理师高级证书、食品安全管理师高级</w:t>
            </w:r>
            <w:r>
              <w:rPr>
                <w:rFonts w:hint="eastAsia" w:ascii="仿宋" w:hAnsi="仿宋" w:eastAsia="仿宋" w:cs="仿宋"/>
                <w:sz w:val="24"/>
                <w:highlight w:val="none"/>
                <w:lang w:val="en-US" w:eastAsia="zh-CN"/>
              </w:rPr>
              <w:t>证书</w:t>
            </w:r>
            <w:r>
              <w:rPr>
                <w:rFonts w:hint="eastAsia" w:ascii="仿宋" w:hAnsi="仿宋" w:eastAsia="仿宋" w:cs="仿宋"/>
                <w:sz w:val="24"/>
                <w:highlight w:val="none"/>
              </w:rPr>
              <w:t>的，每提供1个得</w:t>
            </w:r>
            <w:r>
              <w:rPr>
                <w:rFonts w:hint="eastAsia" w:ascii="仿宋" w:hAnsi="仿宋" w:eastAsia="仿宋" w:cs="仿宋"/>
                <w:sz w:val="24"/>
                <w:highlight w:val="none"/>
                <w:lang w:val="en-US" w:eastAsia="zh-CN"/>
              </w:rPr>
              <w:t>0.5</w:t>
            </w:r>
            <w:r>
              <w:rPr>
                <w:rFonts w:hint="eastAsia" w:ascii="仿宋" w:hAnsi="仿宋" w:eastAsia="仿宋" w:cs="仿宋"/>
                <w:sz w:val="24"/>
                <w:highlight w:val="none"/>
              </w:rPr>
              <w:t>分，最高得</w:t>
            </w:r>
            <w:r>
              <w:rPr>
                <w:rFonts w:hint="eastAsia" w:ascii="仿宋" w:hAnsi="仿宋" w:eastAsia="仿宋" w:cs="仿宋"/>
                <w:sz w:val="24"/>
                <w:highlight w:val="none"/>
                <w:lang w:val="en-US" w:eastAsia="zh-CN"/>
              </w:rPr>
              <w:t>1.5</w:t>
            </w:r>
            <w:r>
              <w:rPr>
                <w:rFonts w:hint="eastAsia" w:ascii="仿宋" w:hAnsi="仿宋" w:eastAsia="仿宋" w:cs="仿宋"/>
                <w:sz w:val="24"/>
                <w:highlight w:val="none"/>
              </w:rPr>
              <w:t>分。</w:t>
            </w:r>
            <w:r>
              <w:rPr>
                <w:rFonts w:hint="eastAsia" w:ascii="仿宋" w:hAnsi="仿宋" w:eastAsia="仿宋" w:cs="仿宋"/>
                <w:b/>
                <w:bCs/>
                <w:sz w:val="24"/>
                <w:highlight w:val="none"/>
              </w:rPr>
              <w:t>（</w:t>
            </w:r>
            <w:r>
              <w:rPr>
                <w:rFonts w:hint="eastAsia" w:ascii="仿宋" w:hAnsi="仿宋" w:eastAsia="仿宋" w:cs="仿宋"/>
                <w:b/>
                <w:bCs/>
                <w:color w:val="auto"/>
                <w:sz w:val="24"/>
                <w:szCs w:val="24"/>
                <w:highlight w:val="none"/>
                <w:lang w:eastAsia="zh-CN"/>
              </w:rPr>
              <w:t>提供证书</w:t>
            </w:r>
            <w:r>
              <w:rPr>
                <w:rFonts w:hint="eastAsia" w:ascii="仿宋" w:hAnsi="仿宋" w:eastAsia="仿宋" w:cs="仿宋"/>
                <w:b/>
                <w:bCs/>
                <w:color w:val="auto"/>
                <w:sz w:val="24"/>
                <w:szCs w:val="24"/>
                <w:highlight w:val="none"/>
                <w:lang w:val="en-US" w:eastAsia="zh-CN"/>
              </w:rPr>
              <w:t>扫描件及</w:t>
            </w:r>
            <w:r>
              <w:rPr>
                <w:rFonts w:hint="eastAsia" w:ascii="仿宋" w:hAnsi="仿宋" w:eastAsia="仿宋" w:cs="仿宋"/>
                <w:b/>
                <w:bCs/>
                <w:sz w:val="24"/>
                <w:highlight w:val="none"/>
              </w:rPr>
              <w:t>投标人为其缴纳的近3个月</w:t>
            </w:r>
            <w:r>
              <w:rPr>
                <w:rFonts w:hint="eastAsia" w:ascii="仿宋" w:hAnsi="仿宋" w:eastAsia="仿宋" w:cs="仿宋"/>
                <w:b/>
                <w:bCs/>
                <w:sz w:val="24"/>
                <w:highlight w:val="none"/>
                <w:lang w:val="en-US" w:eastAsia="zh-Hans"/>
              </w:rPr>
              <w:t>内</w:t>
            </w:r>
            <w:r>
              <w:rPr>
                <w:rFonts w:hint="eastAsia" w:ascii="仿宋" w:hAnsi="仿宋" w:eastAsia="仿宋" w:cs="仿宋"/>
                <w:b/>
                <w:bCs/>
                <w:sz w:val="24"/>
                <w:highlight w:val="none"/>
              </w:rPr>
              <w:t>（202</w:t>
            </w:r>
            <w:r>
              <w:rPr>
                <w:rFonts w:hint="default" w:ascii="仿宋" w:hAnsi="仿宋" w:eastAsia="仿宋" w:cs="仿宋"/>
                <w:b/>
                <w:bCs/>
                <w:sz w:val="24"/>
                <w:highlight w:val="none"/>
              </w:rPr>
              <w:t>4</w:t>
            </w:r>
            <w:r>
              <w:rPr>
                <w:rFonts w:hint="eastAsia" w:ascii="仿宋" w:hAnsi="仿宋" w:eastAsia="仿宋" w:cs="仿宋"/>
                <w:b/>
                <w:bCs/>
                <w:sz w:val="24"/>
                <w:highlight w:val="none"/>
              </w:rPr>
              <w:t>年</w:t>
            </w:r>
            <w:r>
              <w:rPr>
                <w:rFonts w:hint="eastAsia" w:ascii="仿宋" w:hAnsi="仿宋" w:eastAsia="仿宋" w:cs="仿宋"/>
                <w:b/>
                <w:bCs/>
                <w:sz w:val="24"/>
                <w:highlight w:val="none"/>
                <w:lang w:eastAsia="zh-CN"/>
              </w:rPr>
              <w:t>4</w:t>
            </w:r>
            <w:r>
              <w:rPr>
                <w:rFonts w:hint="eastAsia" w:ascii="仿宋" w:hAnsi="仿宋" w:eastAsia="仿宋" w:cs="仿宋"/>
                <w:b/>
                <w:bCs/>
                <w:sz w:val="24"/>
                <w:highlight w:val="none"/>
              </w:rPr>
              <w:t>月、</w:t>
            </w:r>
            <w:r>
              <w:rPr>
                <w:rFonts w:hint="eastAsia" w:ascii="仿宋" w:hAnsi="仿宋" w:eastAsia="仿宋" w:cs="仿宋"/>
                <w:b/>
                <w:bCs/>
                <w:sz w:val="24"/>
                <w:highlight w:val="none"/>
                <w:lang w:eastAsia="zh-CN"/>
              </w:rPr>
              <w:t>5</w:t>
            </w:r>
            <w:r>
              <w:rPr>
                <w:rFonts w:hint="eastAsia" w:ascii="仿宋" w:hAnsi="仿宋" w:eastAsia="仿宋" w:cs="仿宋"/>
                <w:b/>
                <w:bCs/>
                <w:sz w:val="24"/>
                <w:highlight w:val="none"/>
              </w:rPr>
              <w:t>月、</w:t>
            </w:r>
            <w:r>
              <w:rPr>
                <w:rFonts w:hint="eastAsia" w:ascii="仿宋" w:hAnsi="仿宋" w:eastAsia="仿宋" w:cs="仿宋"/>
                <w:b/>
                <w:bCs/>
                <w:sz w:val="24"/>
                <w:highlight w:val="none"/>
                <w:lang w:eastAsia="zh-CN"/>
              </w:rPr>
              <w:t>6</w:t>
            </w:r>
            <w:r>
              <w:rPr>
                <w:rFonts w:hint="eastAsia" w:ascii="仿宋" w:hAnsi="仿宋" w:eastAsia="仿宋" w:cs="仿宋"/>
                <w:b/>
                <w:bCs/>
                <w:sz w:val="24"/>
                <w:highlight w:val="none"/>
              </w:rPr>
              <w:t>月）</w:t>
            </w:r>
            <w:r>
              <w:rPr>
                <w:rFonts w:hint="eastAsia" w:ascii="仿宋" w:hAnsi="仿宋" w:eastAsia="仿宋" w:cs="仿宋"/>
                <w:b/>
                <w:bCs/>
                <w:sz w:val="24"/>
                <w:highlight w:val="none"/>
                <w:lang w:val="en-US" w:eastAsia="zh-CN"/>
              </w:rPr>
              <w:t>的</w:t>
            </w:r>
            <w:r>
              <w:rPr>
                <w:rFonts w:hint="eastAsia" w:ascii="仿宋" w:hAnsi="仿宋" w:eastAsia="仿宋" w:cs="仿宋"/>
                <w:b/>
                <w:bCs/>
                <w:sz w:val="24"/>
                <w:highlight w:val="none"/>
              </w:rPr>
              <w:t>社保证明</w:t>
            </w:r>
            <w:r>
              <w:rPr>
                <w:rFonts w:hint="eastAsia" w:ascii="仿宋" w:hAnsi="仿宋" w:eastAsia="仿宋" w:cs="仿宋"/>
                <w:b/>
                <w:bCs/>
                <w:sz w:val="24"/>
                <w:highlight w:val="none"/>
                <w:lang w:eastAsia="zh-CN"/>
              </w:rPr>
              <w:t>，</w:t>
            </w:r>
            <w:r>
              <w:rPr>
                <w:rFonts w:hint="eastAsia" w:ascii="仿宋" w:hAnsi="仿宋" w:eastAsia="仿宋" w:cs="仿宋"/>
                <w:b/>
                <w:bCs/>
                <w:color w:val="auto"/>
                <w:sz w:val="24"/>
                <w:szCs w:val="24"/>
                <w:highlight w:val="none"/>
                <w:lang w:val="en-US" w:eastAsia="zh-CN"/>
              </w:rPr>
              <w:t>并加盖投标人公章</w:t>
            </w:r>
            <w:r>
              <w:rPr>
                <w:rFonts w:hint="eastAsia" w:ascii="仿宋" w:hAnsi="仿宋" w:eastAsia="仿宋" w:cs="仿宋"/>
                <w:b/>
                <w:bCs/>
                <w:sz w:val="24"/>
                <w:highlight w:val="none"/>
              </w:rPr>
              <w:t>，不提供不得分。）</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4"/>
                <w:highlight w:val="none"/>
              </w:rPr>
            </w:pPr>
            <w:r>
              <w:rPr>
                <w:rFonts w:hint="eastAsia" w:ascii="仿宋" w:hAnsi="仿宋" w:eastAsia="仿宋" w:cs="仿宋"/>
                <w:sz w:val="24"/>
                <w:highlight w:val="none"/>
              </w:rPr>
              <w:t>2、拟派厨师长</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每</w:t>
            </w:r>
            <w:r>
              <w:rPr>
                <w:rFonts w:hint="eastAsia" w:ascii="仿宋" w:hAnsi="仿宋" w:eastAsia="仿宋" w:cs="仿宋"/>
                <w:sz w:val="24"/>
                <w:highlight w:val="none"/>
              </w:rPr>
              <w:t>具有</w:t>
            </w:r>
            <w:r>
              <w:rPr>
                <w:rFonts w:hint="eastAsia" w:ascii="仿宋" w:hAnsi="仿宋" w:eastAsia="仿宋" w:cs="仿宋"/>
                <w:sz w:val="24"/>
                <w:highlight w:val="none"/>
                <w:lang w:eastAsia="zh-CN"/>
              </w:rPr>
              <w:t>一个</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年及以上食堂或餐饮管理</w:t>
            </w:r>
            <w:r>
              <w:rPr>
                <w:rFonts w:hint="eastAsia" w:ascii="仿宋" w:hAnsi="仿宋" w:eastAsia="仿宋" w:cs="仿宋"/>
                <w:sz w:val="24"/>
                <w:highlight w:val="none"/>
                <w:lang w:val="en-US" w:eastAsia="zh-CN"/>
              </w:rPr>
              <w:t>业绩且具备</w:t>
            </w:r>
            <w:r>
              <w:rPr>
                <w:rFonts w:hint="eastAsia" w:ascii="仿宋" w:hAnsi="仿宋" w:eastAsia="仿宋" w:cs="仿宋"/>
                <w:sz w:val="24"/>
                <w:highlight w:val="none"/>
              </w:rPr>
              <w:t>中式烹调师</w:t>
            </w:r>
            <w:r>
              <w:rPr>
                <w:rFonts w:hint="eastAsia" w:ascii="仿宋" w:hAnsi="仿宋" w:eastAsia="仿宋" w:cs="仿宋"/>
                <w:sz w:val="24"/>
                <w:highlight w:val="none"/>
                <w:lang w:val="en-US" w:eastAsia="zh-CN"/>
              </w:rPr>
              <w:t>一级证书的得1.5分</w:t>
            </w:r>
            <w:r>
              <w:rPr>
                <w:rFonts w:hint="eastAsia" w:ascii="仿宋" w:hAnsi="仿宋" w:eastAsia="仿宋" w:cs="仿宋"/>
                <w:sz w:val="24"/>
                <w:highlight w:val="none"/>
              </w:rPr>
              <w:t>，</w:t>
            </w:r>
            <w:r>
              <w:rPr>
                <w:rFonts w:hint="eastAsia" w:ascii="仿宋" w:hAnsi="仿宋" w:eastAsia="仿宋" w:cs="仿宋"/>
                <w:sz w:val="24"/>
                <w:highlight w:val="none"/>
                <w:lang w:eastAsia="zh-CN"/>
              </w:rPr>
              <w:t>每具有一个</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年及以上食堂或餐饮管理</w:t>
            </w:r>
            <w:r>
              <w:rPr>
                <w:rFonts w:hint="eastAsia" w:ascii="仿宋" w:hAnsi="仿宋" w:eastAsia="仿宋" w:cs="仿宋"/>
                <w:sz w:val="24"/>
                <w:highlight w:val="none"/>
                <w:lang w:val="en-US" w:eastAsia="zh-CN"/>
              </w:rPr>
              <w:t>业绩且具备</w:t>
            </w:r>
            <w:r>
              <w:rPr>
                <w:rFonts w:hint="eastAsia" w:ascii="仿宋" w:hAnsi="仿宋" w:eastAsia="仿宋" w:cs="仿宋"/>
                <w:sz w:val="24"/>
                <w:highlight w:val="none"/>
              </w:rPr>
              <w:t>中式烹调师</w:t>
            </w:r>
            <w:r>
              <w:rPr>
                <w:rFonts w:hint="eastAsia" w:ascii="仿宋" w:hAnsi="仿宋" w:eastAsia="仿宋" w:cs="仿宋"/>
                <w:sz w:val="24"/>
                <w:highlight w:val="none"/>
                <w:lang w:val="en-US" w:eastAsia="zh-CN"/>
              </w:rPr>
              <w:t>二级证书的得1分，</w:t>
            </w:r>
            <w:r>
              <w:rPr>
                <w:rFonts w:hint="eastAsia" w:ascii="仿宋" w:hAnsi="仿宋" w:eastAsia="仿宋" w:cs="仿宋"/>
                <w:sz w:val="24"/>
                <w:highlight w:val="none"/>
                <w:lang w:eastAsia="zh-CN"/>
              </w:rPr>
              <w:t>每具有一个</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年及以上食堂或餐饮管理</w:t>
            </w:r>
            <w:r>
              <w:rPr>
                <w:rFonts w:hint="eastAsia" w:ascii="仿宋" w:hAnsi="仿宋" w:eastAsia="仿宋" w:cs="仿宋"/>
                <w:sz w:val="24"/>
                <w:highlight w:val="none"/>
                <w:lang w:val="en-US" w:eastAsia="zh-CN"/>
              </w:rPr>
              <w:t>业绩且具备</w:t>
            </w:r>
            <w:r>
              <w:rPr>
                <w:rFonts w:hint="eastAsia" w:ascii="仿宋" w:hAnsi="仿宋" w:eastAsia="仿宋" w:cs="仿宋"/>
                <w:sz w:val="24"/>
                <w:highlight w:val="none"/>
              </w:rPr>
              <w:t>中式烹调师</w:t>
            </w:r>
            <w:r>
              <w:rPr>
                <w:rFonts w:hint="eastAsia" w:ascii="仿宋" w:hAnsi="仿宋" w:eastAsia="仿宋" w:cs="仿宋"/>
                <w:sz w:val="24"/>
                <w:highlight w:val="none"/>
                <w:lang w:val="en-US" w:eastAsia="zh-CN"/>
              </w:rPr>
              <w:t>三级证书的得0.5分。本项最多提供8名拟派厨师长，本项最高得8分，</w:t>
            </w:r>
            <w:r>
              <w:rPr>
                <w:rFonts w:hint="eastAsia" w:ascii="仿宋" w:hAnsi="仿宋" w:eastAsia="仿宋" w:cs="仿宋"/>
                <w:sz w:val="24"/>
                <w:highlight w:val="none"/>
              </w:rPr>
              <w:t>不</w:t>
            </w:r>
            <w:r>
              <w:rPr>
                <w:rFonts w:hint="eastAsia" w:ascii="仿宋" w:hAnsi="仿宋" w:eastAsia="仿宋" w:cs="仿宋"/>
                <w:sz w:val="24"/>
                <w:highlight w:val="none"/>
                <w:lang w:eastAsia="zh-CN"/>
              </w:rPr>
              <w:t>提供或提供人员不符合的</w:t>
            </w:r>
            <w:r>
              <w:rPr>
                <w:rFonts w:hint="eastAsia" w:ascii="仿宋" w:hAnsi="仿宋" w:eastAsia="仿宋" w:cs="仿宋"/>
                <w:sz w:val="24"/>
                <w:highlight w:val="none"/>
              </w:rPr>
              <w:t>不得分。</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4"/>
                <w:highlight w:val="none"/>
              </w:rPr>
            </w:pPr>
            <w:r>
              <w:rPr>
                <w:rFonts w:hint="eastAsia" w:ascii="仿宋" w:hAnsi="仿宋" w:eastAsia="仿宋" w:cs="仿宋"/>
                <w:sz w:val="24"/>
                <w:highlight w:val="none"/>
              </w:rPr>
              <w:t>3、拟派面点师：</w:t>
            </w:r>
            <w:r>
              <w:rPr>
                <w:rFonts w:hint="eastAsia" w:ascii="仿宋" w:hAnsi="仿宋" w:eastAsia="仿宋" w:cs="仿宋"/>
                <w:sz w:val="24"/>
                <w:highlight w:val="none"/>
                <w:lang w:val="en-US" w:eastAsia="zh-CN"/>
              </w:rPr>
              <w:t>每</w:t>
            </w:r>
            <w:r>
              <w:rPr>
                <w:rFonts w:hint="eastAsia" w:ascii="仿宋" w:hAnsi="仿宋" w:eastAsia="仿宋" w:cs="仿宋"/>
                <w:sz w:val="24"/>
                <w:highlight w:val="none"/>
              </w:rPr>
              <w:t>具有</w:t>
            </w:r>
            <w:r>
              <w:rPr>
                <w:rFonts w:hint="eastAsia" w:ascii="仿宋" w:hAnsi="仿宋" w:eastAsia="仿宋" w:cs="仿宋"/>
                <w:sz w:val="24"/>
                <w:highlight w:val="none"/>
                <w:lang w:eastAsia="zh-CN"/>
              </w:rPr>
              <w:t>一个</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年及以上食堂或餐饮</w:t>
            </w:r>
            <w:r>
              <w:rPr>
                <w:rFonts w:hint="eastAsia" w:ascii="仿宋" w:hAnsi="仿宋" w:eastAsia="仿宋" w:cs="仿宋"/>
                <w:sz w:val="24"/>
                <w:highlight w:val="none"/>
                <w:lang w:val="en-US" w:eastAsia="zh-CN"/>
              </w:rPr>
              <w:t>业绩且具备一级或二级</w:t>
            </w:r>
            <w:r>
              <w:rPr>
                <w:rFonts w:hint="eastAsia" w:ascii="仿宋" w:hAnsi="仿宋" w:eastAsia="仿宋" w:cs="仿宋"/>
                <w:sz w:val="24"/>
                <w:highlight w:val="none"/>
              </w:rPr>
              <w:t>中式</w:t>
            </w:r>
            <w:r>
              <w:rPr>
                <w:rFonts w:hint="eastAsia" w:ascii="仿宋" w:hAnsi="仿宋" w:eastAsia="仿宋" w:cs="仿宋"/>
                <w:sz w:val="24"/>
                <w:highlight w:val="none"/>
                <w:lang w:val="en-US" w:eastAsia="zh-CN"/>
              </w:rPr>
              <w:t>面点师证书的得1分</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每</w:t>
            </w:r>
            <w:r>
              <w:rPr>
                <w:rFonts w:hint="eastAsia" w:ascii="仿宋" w:hAnsi="仿宋" w:eastAsia="仿宋" w:cs="仿宋"/>
                <w:sz w:val="24"/>
                <w:highlight w:val="none"/>
              </w:rPr>
              <w:t>具有</w:t>
            </w:r>
            <w:r>
              <w:rPr>
                <w:rFonts w:hint="eastAsia" w:ascii="仿宋" w:hAnsi="仿宋" w:eastAsia="仿宋" w:cs="仿宋"/>
                <w:sz w:val="24"/>
                <w:highlight w:val="none"/>
                <w:lang w:eastAsia="zh-CN"/>
              </w:rPr>
              <w:t>一个</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年及以上食堂或餐饮</w:t>
            </w:r>
            <w:r>
              <w:rPr>
                <w:rFonts w:hint="eastAsia" w:ascii="仿宋" w:hAnsi="仿宋" w:eastAsia="仿宋" w:cs="仿宋"/>
                <w:sz w:val="24"/>
                <w:highlight w:val="none"/>
                <w:lang w:val="en-US" w:eastAsia="zh-CN"/>
              </w:rPr>
              <w:t>业绩且具备三级或四级</w:t>
            </w:r>
            <w:r>
              <w:rPr>
                <w:rFonts w:hint="eastAsia" w:ascii="仿宋" w:hAnsi="仿宋" w:eastAsia="仿宋" w:cs="仿宋"/>
                <w:sz w:val="24"/>
                <w:highlight w:val="none"/>
              </w:rPr>
              <w:t>中式</w:t>
            </w:r>
            <w:r>
              <w:rPr>
                <w:rFonts w:hint="eastAsia" w:ascii="仿宋" w:hAnsi="仿宋" w:eastAsia="仿宋" w:cs="仿宋"/>
                <w:sz w:val="24"/>
                <w:highlight w:val="none"/>
                <w:lang w:val="en-US" w:eastAsia="zh-CN"/>
              </w:rPr>
              <w:t>面点师证书的得0.5分</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本项最多提供8名拟派面点师，本项最高得4分，</w:t>
            </w:r>
            <w:r>
              <w:rPr>
                <w:rFonts w:hint="eastAsia" w:ascii="仿宋" w:hAnsi="仿宋" w:eastAsia="仿宋" w:cs="仿宋"/>
                <w:sz w:val="24"/>
                <w:highlight w:val="none"/>
              </w:rPr>
              <w:t>不</w:t>
            </w:r>
            <w:r>
              <w:rPr>
                <w:rFonts w:hint="eastAsia" w:ascii="仿宋" w:hAnsi="仿宋" w:eastAsia="仿宋" w:cs="仿宋"/>
                <w:sz w:val="24"/>
                <w:highlight w:val="none"/>
                <w:lang w:eastAsia="zh-CN"/>
              </w:rPr>
              <w:t>提供或提供人员不符合的</w:t>
            </w:r>
            <w:r>
              <w:rPr>
                <w:rFonts w:hint="eastAsia" w:ascii="仿宋" w:hAnsi="仿宋" w:eastAsia="仿宋" w:cs="仿宋"/>
                <w:sz w:val="24"/>
                <w:highlight w:val="none"/>
              </w:rPr>
              <w:t>不得分。</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sz w:val="24"/>
                <w:highlight w:val="none"/>
              </w:rPr>
              <w:t>（</w:t>
            </w:r>
            <w:r>
              <w:rPr>
                <w:rFonts w:hint="eastAsia" w:ascii="仿宋" w:hAnsi="仿宋" w:eastAsia="仿宋" w:cs="仿宋"/>
                <w:b/>
                <w:bCs/>
                <w:sz w:val="24"/>
                <w:highlight w:val="none"/>
                <w:lang w:val="en-US" w:eastAsia="zh-CN"/>
              </w:rPr>
              <w:t>以上2、3项需</w:t>
            </w:r>
            <w:r>
              <w:rPr>
                <w:rFonts w:hint="eastAsia" w:ascii="仿宋" w:hAnsi="仿宋" w:eastAsia="仿宋" w:cs="仿宋"/>
                <w:b/>
                <w:bCs/>
                <w:sz w:val="24"/>
                <w:highlight w:val="none"/>
              </w:rPr>
              <w:t>提供证书</w:t>
            </w:r>
            <w:r>
              <w:rPr>
                <w:rFonts w:hint="eastAsia" w:ascii="仿宋" w:hAnsi="仿宋" w:eastAsia="仿宋" w:cs="仿宋"/>
                <w:b/>
                <w:bCs/>
                <w:sz w:val="24"/>
                <w:highlight w:val="none"/>
                <w:lang w:val="en-US" w:eastAsia="zh-CN"/>
              </w:rPr>
              <w:t>扫描件</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lang w:val="en-US" w:eastAsia="zh-CN"/>
              </w:rPr>
              <w:t>业绩证明材料、</w:t>
            </w:r>
            <w:r>
              <w:rPr>
                <w:rFonts w:hint="eastAsia" w:ascii="仿宋" w:hAnsi="仿宋" w:eastAsia="仿宋" w:cs="仿宋"/>
                <w:b/>
                <w:bCs/>
                <w:sz w:val="24"/>
                <w:highlight w:val="none"/>
              </w:rPr>
              <w:t>投标人为其缴纳的近3个月</w:t>
            </w:r>
            <w:r>
              <w:rPr>
                <w:rFonts w:hint="eastAsia" w:ascii="仿宋" w:hAnsi="仿宋" w:eastAsia="仿宋" w:cs="仿宋"/>
                <w:b/>
                <w:bCs/>
                <w:sz w:val="24"/>
                <w:highlight w:val="none"/>
                <w:lang w:val="en-US" w:eastAsia="zh-Hans"/>
              </w:rPr>
              <w:t>内</w:t>
            </w:r>
            <w:r>
              <w:rPr>
                <w:rFonts w:hint="eastAsia" w:ascii="仿宋" w:hAnsi="仿宋" w:eastAsia="仿宋" w:cs="仿宋"/>
                <w:b/>
                <w:bCs/>
                <w:sz w:val="24"/>
                <w:highlight w:val="none"/>
              </w:rPr>
              <w:t>（202</w:t>
            </w:r>
            <w:r>
              <w:rPr>
                <w:rFonts w:hint="default" w:ascii="仿宋" w:hAnsi="仿宋" w:eastAsia="仿宋" w:cs="仿宋"/>
                <w:b/>
                <w:bCs/>
                <w:sz w:val="24"/>
                <w:highlight w:val="none"/>
              </w:rPr>
              <w:t>4</w:t>
            </w:r>
            <w:r>
              <w:rPr>
                <w:rFonts w:hint="eastAsia" w:ascii="仿宋" w:hAnsi="仿宋" w:eastAsia="仿宋" w:cs="仿宋"/>
                <w:b/>
                <w:bCs/>
                <w:sz w:val="24"/>
                <w:highlight w:val="none"/>
              </w:rPr>
              <w:t>年</w:t>
            </w:r>
            <w:r>
              <w:rPr>
                <w:rFonts w:hint="eastAsia" w:ascii="仿宋" w:hAnsi="仿宋" w:eastAsia="仿宋" w:cs="仿宋"/>
                <w:b/>
                <w:bCs/>
                <w:sz w:val="24"/>
                <w:highlight w:val="none"/>
                <w:lang w:eastAsia="zh-CN"/>
              </w:rPr>
              <w:t>4</w:t>
            </w:r>
            <w:r>
              <w:rPr>
                <w:rFonts w:hint="eastAsia" w:ascii="仿宋" w:hAnsi="仿宋" w:eastAsia="仿宋" w:cs="仿宋"/>
                <w:b/>
                <w:bCs/>
                <w:sz w:val="24"/>
                <w:highlight w:val="none"/>
              </w:rPr>
              <w:t>月、</w:t>
            </w:r>
            <w:r>
              <w:rPr>
                <w:rFonts w:hint="eastAsia" w:ascii="仿宋" w:hAnsi="仿宋" w:eastAsia="仿宋" w:cs="仿宋"/>
                <w:b/>
                <w:bCs/>
                <w:sz w:val="24"/>
                <w:highlight w:val="none"/>
                <w:lang w:eastAsia="zh-CN"/>
              </w:rPr>
              <w:t>5</w:t>
            </w:r>
            <w:r>
              <w:rPr>
                <w:rFonts w:hint="eastAsia" w:ascii="仿宋" w:hAnsi="仿宋" w:eastAsia="仿宋" w:cs="仿宋"/>
                <w:b/>
                <w:bCs/>
                <w:sz w:val="24"/>
                <w:highlight w:val="none"/>
              </w:rPr>
              <w:t>月、</w:t>
            </w:r>
            <w:r>
              <w:rPr>
                <w:rFonts w:hint="eastAsia" w:ascii="仿宋" w:hAnsi="仿宋" w:eastAsia="仿宋" w:cs="仿宋"/>
                <w:b/>
                <w:bCs/>
                <w:sz w:val="24"/>
                <w:highlight w:val="none"/>
                <w:lang w:eastAsia="zh-CN"/>
              </w:rPr>
              <w:t>6</w:t>
            </w:r>
            <w:r>
              <w:rPr>
                <w:rFonts w:hint="eastAsia" w:ascii="仿宋" w:hAnsi="仿宋" w:eastAsia="仿宋" w:cs="仿宋"/>
                <w:b/>
                <w:bCs/>
                <w:sz w:val="24"/>
                <w:highlight w:val="none"/>
              </w:rPr>
              <w:t>月）</w:t>
            </w:r>
            <w:r>
              <w:rPr>
                <w:rFonts w:hint="eastAsia" w:ascii="仿宋" w:hAnsi="仿宋" w:eastAsia="仿宋" w:cs="仿宋"/>
                <w:b/>
                <w:bCs/>
                <w:sz w:val="24"/>
                <w:highlight w:val="none"/>
                <w:lang w:val="en-US" w:eastAsia="zh-CN"/>
              </w:rPr>
              <w:t>的</w:t>
            </w:r>
            <w:r>
              <w:rPr>
                <w:rFonts w:hint="eastAsia" w:ascii="仿宋" w:hAnsi="仿宋" w:eastAsia="仿宋" w:cs="仿宋"/>
                <w:b/>
                <w:bCs/>
                <w:sz w:val="24"/>
                <w:highlight w:val="none"/>
              </w:rPr>
              <w:t>社保证明</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lang w:val="en-US" w:eastAsia="zh-CN"/>
              </w:rPr>
              <w:t>并</w:t>
            </w:r>
            <w:r>
              <w:rPr>
                <w:rFonts w:hint="eastAsia" w:ascii="仿宋" w:hAnsi="仿宋" w:eastAsia="仿宋" w:cs="仿宋"/>
                <w:b/>
                <w:bCs/>
                <w:sz w:val="24"/>
                <w:highlight w:val="none"/>
              </w:rPr>
              <w:t>加盖</w:t>
            </w:r>
            <w:r>
              <w:rPr>
                <w:rFonts w:hint="eastAsia" w:ascii="仿宋" w:hAnsi="仿宋" w:eastAsia="仿宋" w:cs="仿宋"/>
                <w:b/>
                <w:bCs/>
                <w:color w:val="auto"/>
                <w:sz w:val="24"/>
                <w:szCs w:val="24"/>
                <w:highlight w:val="none"/>
                <w:lang w:val="en-US" w:eastAsia="zh-CN"/>
              </w:rPr>
              <w:t>投标人</w:t>
            </w:r>
            <w:r>
              <w:rPr>
                <w:rFonts w:hint="eastAsia" w:ascii="仿宋" w:hAnsi="仿宋" w:eastAsia="仿宋" w:cs="仿宋"/>
                <w:b/>
                <w:bCs/>
                <w:sz w:val="24"/>
                <w:highlight w:val="none"/>
              </w:rPr>
              <w:t>公章，不提供不得分。）</w:t>
            </w:r>
          </w:p>
        </w:tc>
        <w:tc>
          <w:tcPr>
            <w:tcW w:w="775"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13.5</w:t>
            </w:r>
          </w:p>
        </w:tc>
        <w:tc>
          <w:tcPr>
            <w:tcW w:w="996"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50" w:type="dxa"/>
            <w:vMerge w:val="restart"/>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技术分（</w:t>
            </w:r>
            <w:r>
              <w:rPr>
                <w:rFonts w:hint="eastAsia" w:ascii="仿宋" w:hAnsi="仿宋" w:eastAsia="仿宋" w:cs="仿宋"/>
                <w:color w:val="auto"/>
                <w:sz w:val="24"/>
                <w:szCs w:val="24"/>
                <w:highlight w:val="none"/>
                <w:lang w:val="en-US" w:eastAsia="zh-CN"/>
              </w:rPr>
              <w:t>62</w:t>
            </w:r>
            <w:r>
              <w:rPr>
                <w:rFonts w:hint="eastAsia" w:ascii="仿宋" w:hAnsi="仿宋" w:eastAsia="仿宋" w:cs="仿宋"/>
                <w:color w:val="auto"/>
                <w:sz w:val="24"/>
                <w:szCs w:val="24"/>
                <w:highlight w:val="none"/>
              </w:rPr>
              <w:t>分）</w:t>
            </w: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根据投标人提供的服务时间、窗口开设率方案进行</w:t>
            </w:r>
            <w:r>
              <w:rPr>
                <w:rFonts w:hint="eastAsia" w:ascii="仿宋" w:hAnsi="仿宋" w:eastAsia="仿宋" w:cs="仿宋"/>
                <w:color w:val="auto"/>
                <w:sz w:val="24"/>
                <w:szCs w:val="24"/>
                <w:highlight w:val="none"/>
                <w:lang w:eastAsia="zh-CN"/>
              </w:rPr>
              <w:t>综合评定</w:t>
            </w:r>
            <w:r>
              <w:rPr>
                <w:rFonts w:hint="eastAsia" w:ascii="仿宋" w:hAnsi="仿宋" w:eastAsia="仿宋" w:cs="仿宋"/>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方案完整性且针对该食堂服务需求的把握程度到位的得</w:t>
            </w:r>
            <w:r>
              <w:rPr>
                <w:rFonts w:hint="default" w:ascii="仿宋" w:hAnsi="仿宋" w:eastAsia="仿宋" w:cs="仿宋"/>
                <w:color w:val="auto"/>
                <w:sz w:val="24"/>
                <w:szCs w:val="24"/>
                <w:highlight w:val="none"/>
                <w:lang w:eastAsia="zh-CN"/>
              </w:rPr>
              <w:t>4-</w:t>
            </w:r>
            <w:r>
              <w:rPr>
                <w:rFonts w:hint="eastAsia" w:ascii="仿宋" w:hAnsi="仿宋" w:eastAsia="仿宋" w:cs="仿宋"/>
                <w:color w:val="auto"/>
                <w:sz w:val="24"/>
                <w:szCs w:val="24"/>
                <w:highlight w:val="none"/>
                <w:lang w:val="en-US" w:eastAsia="zh-CN"/>
              </w:rPr>
              <w:t>5分；方案基本完整、到位的得</w:t>
            </w:r>
            <w:r>
              <w:rPr>
                <w:rFonts w:hint="default" w:ascii="仿宋" w:hAnsi="仿宋" w:eastAsia="仿宋" w:cs="仿宋"/>
                <w:color w:val="auto"/>
                <w:sz w:val="24"/>
                <w:szCs w:val="24"/>
                <w:highlight w:val="none"/>
                <w:lang w:eastAsia="zh-CN"/>
              </w:rPr>
              <w:t>2-3</w:t>
            </w:r>
            <w:r>
              <w:rPr>
                <w:rFonts w:hint="eastAsia" w:ascii="仿宋" w:hAnsi="仿宋" w:eastAsia="仿宋" w:cs="仿宋"/>
                <w:color w:val="auto"/>
                <w:sz w:val="24"/>
                <w:szCs w:val="24"/>
                <w:highlight w:val="none"/>
                <w:lang w:val="en-US" w:eastAsia="zh-CN"/>
              </w:rPr>
              <w:t>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的得1分；不提供的不得分。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根据投标人提供特色服务方案</w:t>
            </w:r>
            <w:r>
              <w:rPr>
                <w:rFonts w:hint="eastAsia" w:ascii="仿宋" w:hAnsi="仿宋" w:eastAsia="仿宋" w:cs="仿宋"/>
                <w:color w:val="auto"/>
                <w:sz w:val="24"/>
                <w:szCs w:val="24"/>
                <w:highlight w:val="none"/>
                <w:lang w:eastAsia="zh-CN"/>
              </w:rPr>
              <w:t>及</w:t>
            </w:r>
            <w:r>
              <w:rPr>
                <w:rFonts w:hint="eastAsia" w:ascii="仿宋" w:hAnsi="仿宋" w:eastAsia="仿宋" w:cs="仿宋"/>
                <w:color w:val="auto"/>
                <w:sz w:val="24"/>
                <w:szCs w:val="24"/>
                <w:highlight w:val="none"/>
                <w:lang w:val="en-US" w:eastAsia="zh-CN"/>
              </w:rPr>
              <w:t>菜色品种</w:t>
            </w:r>
            <w:r>
              <w:rPr>
                <w:rFonts w:hint="eastAsia" w:ascii="仿宋" w:hAnsi="仿宋" w:eastAsia="仿宋" w:cs="仿宋"/>
                <w:color w:val="auto"/>
                <w:sz w:val="24"/>
                <w:szCs w:val="24"/>
                <w:highlight w:val="none"/>
                <w:lang w:eastAsia="zh-CN"/>
              </w:rPr>
              <w:t>搭配综合评定</w:t>
            </w:r>
            <w:r>
              <w:rPr>
                <w:rFonts w:hint="eastAsia" w:ascii="仿宋" w:hAnsi="仿宋" w:eastAsia="仿宋" w:cs="仿宋"/>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菜色品种及特色服务方案全面、合理、科学的得</w:t>
            </w:r>
            <w:r>
              <w:rPr>
                <w:rFonts w:hint="default" w:ascii="仿宋" w:hAnsi="仿宋" w:eastAsia="仿宋" w:cs="仿宋"/>
                <w:color w:val="auto"/>
                <w:sz w:val="24"/>
                <w:szCs w:val="24"/>
                <w:highlight w:val="none"/>
                <w:lang w:eastAsia="zh-CN"/>
              </w:rPr>
              <w:t>4-</w:t>
            </w:r>
            <w:r>
              <w:rPr>
                <w:rFonts w:hint="eastAsia" w:ascii="仿宋" w:hAnsi="仿宋" w:eastAsia="仿宋" w:cs="仿宋"/>
                <w:color w:val="auto"/>
                <w:sz w:val="24"/>
                <w:szCs w:val="24"/>
                <w:highlight w:val="none"/>
                <w:lang w:val="en-US" w:eastAsia="zh-CN"/>
              </w:rPr>
              <w:t>5分；方案基本全面、合理、科学的得</w:t>
            </w:r>
            <w:r>
              <w:rPr>
                <w:rFonts w:hint="default" w:ascii="仿宋" w:hAnsi="仿宋" w:eastAsia="仿宋" w:cs="仿宋"/>
                <w:color w:val="auto"/>
                <w:sz w:val="24"/>
                <w:szCs w:val="24"/>
                <w:highlight w:val="none"/>
                <w:lang w:eastAsia="zh-CN"/>
              </w:rPr>
              <w:t>2-3</w:t>
            </w:r>
            <w:r>
              <w:rPr>
                <w:rFonts w:hint="eastAsia" w:ascii="仿宋" w:hAnsi="仿宋" w:eastAsia="仿宋" w:cs="仿宋"/>
                <w:color w:val="auto"/>
                <w:sz w:val="24"/>
                <w:szCs w:val="24"/>
                <w:highlight w:val="none"/>
                <w:lang w:val="en-US" w:eastAsia="zh-CN"/>
              </w:rPr>
              <w:t>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的得1分；不提供的不得分。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根据投标人服务和质量保证措施具有可操作性等情况综合评定（包括日常工作餐、有需要时的桌餐接待）。</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质量保证措施详尽、准确、针对性强且合理可行的得</w:t>
            </w:r>
            <w:r>
              <w:rPr>
                <w:rFonts w:hint="default" w:ascii="仿宋" w:hAnsi="仿宋" w:eastAsia="仿宋" w:cs="仿宋"/>
                <w:color w:val="auto"/>
                <w:sz w:val="24"/>
                <w:szCs w:val="24"/>
                <w:highlight w:val="none"/>
                <w:lang w:eastAsia="zh-CN"/>
              </w:rPr>
              <w:t>4-</w:t>
            </w:r>
            <w:r>
              <w:rPr>
                <w:rFonts w:hint="eastAsia" w:ascii="仿宋" w:hAnsi="仿宋" w:eastAsia="仿宋" w:cs="仿宋"/>
                <w:color w:val="auto"/>
                <w:sz w:val="24"/>
                <w:szCs w:val="24"/>
                <w:highlight w:val="none"/>
                <w:lang w:val="en-US" w:eastAsia="zh-CN"/>
              </w:rPr>
              <w:t>5分；内容基本合理可行的得</w:t>
            </w: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3分；方案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的得1分；未提供的不得分。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根据投标人食堂运作管理制度及管理方案综合评定。</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方案全面、合理的得3分；方案基本全面、合理的得2分；方案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的得1分；未提供方案不得分。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根据投标人人员岗位配备、岗位责任制度、员工考核制度等综合评定。</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方案全面、合理的得</w:t>
            </w:r>
            <w:r>
              <w:rPr>
                <w:rFonts w:hint="default" w:ascii="仿宋" w:hAnsi="仿宋" w:eastAsia="仿宋" w:cs="仿宋"/>
                <w:color w:val="auto"/>
                <w:sz w:val="24"/>
                <w:szCs w:val="24"/>
                <w:highlight w:val="none"/>
                <w:lang w:eastAsia="zh-CN"/>
              </w:rPr>
              <w:t>4-</w:t>
            </w:r>
            <w:r>
              <w:rPr>
                <w:rFonts w:hint="eastAsia" w:ascii="仿宋" w:hAnsi="仿宋" w:eastAsia="仿宋" w:cs="仿宋"/>
                <w:color w:val="auto"/>
                <w:sz w:val="24"/>
                <w:szCs w:val="24"/>
                <w:highlight w:val="none"/>
                <w:lang w:val="en-US" w:eastAsia="zh-CN"/>
              </w:rPr>
              <w:t>5分；方案基本合理的得</w:t>
            </w: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3分；方案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的得1分；未提供方案不得分。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根据投标人</w:t>
            </w:r>
            <w:r>
              <w:rPr>
                <w:rFonts w:hint="eastAsia" w:ascii="仿宋" w:hAnsi="仿宋" w:eastAsia="仿宋" w:cs="仿宋"/>
                <w:color w:val="auto"/>
                <w:sz w:val="24"/>
                <w:szCs w:val="24"/>
                <w:highlight w:val="none"/>
              </w:rPr>
              <w:t>在食品卫生、人员卫生、环境卫生、垃圾处理这几方面制定方案</w:t>
            </w:r>
            <w:r>
              <w:rPr>
                <w:rFonts w:hint="eastAsia" w:ascii="仿宋" w:hAnsi="仿宋" w:eastAsia="仿宋" w:cs="仿宋"/>
                <w:color w:val="auto"/>
                <w:sz w:val="24"/>
                <w:szCs w:val="24"/>
                <w:highlight w:val="none"/>
                <w:lang w:val="en-US" w:eastAsia="zh-CN"/>
              </w:rPr>
              <w:t>综合评定</w:t>
            </w:r>
            <w:r>
              <w:rPr>
                <w:rFonts w:hint="eastAsia" w:ascii="仿宋" w:hAnsi="仿宋" w:eastAsia="仿宋" w:cs="仿宋"/>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完全满足采购需求的得3分；基本满足的得2分；</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w:t>
            </w:r>
            <w:r>
              <w:rPr>
                <w:rFonts w:hint="eastAsia" w:ascii="仿宋" w:hAnsi="仿宋" w:eastAsia="仿宋" w:cs="仿宋"/>
                <w:b w:val="0"/>
                <w:bCs w:val="0"/>
                <w:color w:val="auto"/>
                <w:kern w:val="2"/>
                <w:sz w:val="24"/>
                <w:szCs w:val="24"/>
                <w:highlight w:val="none"/>
                <w:lang w:val="en-US" w:eastAsia="zh-CN" w:bidi="ar-SA"/>
              </w:rPr>
              <w:t>未提供不得分。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根据投标人对原材料使用方案的可行性、完整性、合理性综合评定。</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使用方案完整，合理的得</w:t>
            </w:r>
            <w:r>
              <w:rPr>
                <w:rFonts w:hint="default" w:ascii="仿宋" w:hAnsi="仿宋" w:eastAsia="仿宋" w:cs="仿宋"/>
                <w:color w:val="auto"/>
                <w:sz w:val="24"/>
                <w:szCs w:val="24"/>
                <w:highlight w:val="none"/>
                <w:lang w:eastAsia="zh-CN"/>
              </w:rPr>
              <w:t>4-</w:t>
            </w:r>
            <w:r>
              <w:rPr>
                <w:rFonts w:hint="eastAsia" w:ascii="仿宋" w:hAnsi="仿宋" w:eastAsia="仿宋" w:cs="仿宋"/>
                <w:color w:val="auto"/>
                <w:sz w:val="24"/>
                <w:szCs w:val="24"/>
                <w:highlight w:val="none"/>
                <w:lang w:val="en-US" w:eastAsia="zh-CN"/>
              </w:rPr>
              <w:t>5分；方案一般，较为合理的得</w:t>
            </w: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3分；方案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的得1分；未提供方案不得分。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根据投标人制订食品保存管理方案综合评定。</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管理方案完整，科学，合理的得3分；方案一般，较为合理的得</w:t>
            </w: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的得1分；未提供方案不得分。</w:t>
            </w:r>
          </w:p>
        </w:tc>
        <w:tc>
          <w:tcPr>
            <w:tcW w:w="77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jc w:val="center"/>
              <w:textAlignment w:val="auto"/>
              <w:rPr>
                <w:rFonts w:hint="default" w:ascii="仿宋" w:hAnsi="仿宋" w:eastAsia="仿宋" w:cs="仿宋"/>
                <w:color w:val="auto"/>
                <w:kern w:val="0"/>
                <w:sz w:val="24"/>
                <w:szCs w:val="24"/>
                <w:highlight w:val="none"/>
                <w:lang w:eastAsia="zh-CN" w:bidi="ar-SA"/>
              </w:rPr>
            </w:pPr>
            <w:r>
              <w:rPr>
                <w:rFonts w:hint="eastAsia" w:ascii="仿宋" w:hAnsi="仿宋" w:eastAsia="仿宋" w:cs="仿宋"/>
                <w:color w:val="auto"/>
                <w:kern w:val="0"/>
                <w:sz w:val="24"/>
                <w:szCs w:val="24"/>
                <w:highlight w:val="none"/>
                <w:lang w:val="en-US" w:eastAsia="zh-CN" w:bidi="ar-SA"/>
              </w:rPr>
              <w:t>3</w:t>
            </w:r>
          </w:p>
        </w:tc>
        <w:tc>
          <w:tcPr>
            <w:tcW w:w="996"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6487" w:type="dxa"/>
            <w:gridSpan w:val="2"/>
            <w:noWrap/>
            <w:vAlign w:val="center"/>
          </w:tcPr>
          <w:p>
            <w:pPr>
              <w:keepNext w:val="0"/>
              <w:keepLines w:val="0"/>
              <w:pageBreakBefore w:val="0"/>
              <w:widowControl/>
              <w:tabs>
                <w:tab w:val="left" w:pos="741"/>
              </w:tabs>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针对本项目的具体情况，科学合理预测市场化经营食堂的营业收入及相关成本，并制定相对应的经营方案</w:t>
            </w:r>
            <w:r>
              <w:rPr>
                <w:rFonts w:hint="eastAsia" w:ascii="仿宋" w:hAnsi="仿宋" w:eastAsia="仿宋" w:cs="仿宋"/>
                <w:b w:val="0"/>
                <w:bCs w:val="0"/>
                <w:color w:val="auto"/>
                <w:kern w:val="2"/>
                <w:sz w:val="24"/>
                <w:szCs w:val="24"/>
                <w:highlight w:val="none"/>
                <w:lang w:val="en-US" w:eastAsia="zh-CN" w:bidi="ar-SA"/>
              </w:rPr>
              <w:t>。</w:t>
            </w:r>
          </w:p>
          <w:p>
            <w:pPr>
              <w:keepNext w:val="0"/>
              <w:keepLines w:val="0"/>
              <w:pageBreakBefore w:val="0"/>
              <w:widowControl/>
              <w:tabs>
                <w:tab w:val="left" w:pos="741"/>
              </w:tabs>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营收及成本预测合理，且经营方案完整合理的得</w:t>
            </w:r>
            <w:r>
              <w:rPr>
                <w:rFonts w:hint="default" w:ascii="仿宋" w:hAnsi="仿宋" w:eastAsia="仿宋" w:cs="仿宋"/>
                <w:b w:val="0"/>
                <w:bCs w:val="0"/>
                <w:color w:val="auto"/>
                <w:kern w:val="2"/>
                <w:sz w:val="24"/>
                <w:szCs w:val="24"/>
                <w:highlight w:val="none"/>
                <w:lang w:eastAsia="zh-CN" w:bidi="ar-SA"/>
              </w:rPr>
              <w:t>4-</w:t>
            </w:r>
            <w:r>
              <w:rPr>
                <w:rFonts w:hint="eastAsia" w:ascii="仿宋" w:hAnsi="仿宋" w:eastAsia="仿宋" w:cs="仿宋"/>
                <w:b w:val="0"/>
                <w:bCs w:val="0"/>
                <w:color w:val="auto"/>
                <w:kern w:val="2"/>
                <w:sz w:val="24"/>
                <w:szCs w:val="24"/>
                <w:highlight w:val="none"/>
                <w:lang w:val="en-US" w:eastAsia="zh-CN" w:bidi="ar-SA"/>
              </w:rPr>
              <w:t>5分；方案一般的得</w:t>
            </w:r>
            <w:r>
              <w:rPr>
                <w:rFonts w:hint="default" w:ascii="仿宋" w:hAnsi="仿宋" w:eastAsia="仿宋" w:cs="仿宋"/>
                <w:b w:val="0"/>
                <w:bCs w:val="0"/>
                <w:color w:val="auto"/>
                <w:kern w:val="2"/>
                <w:sz w:val="24"/>
                <w:szCs w:val="24"/>
                <w:highlight w:val="none"/>
                <w:lang w:eastAsia="zh-CN" w:bidi="ar-SA"/>
              </w:rPr>
              <w:t>2-</w:t>
            </w:r>
            <w:r>
              <w:rPr>
                <w:rFonts w:hint="eastAsia" w:ascii="仿宋" w:hAnsi="仿宋" w:eastAsia="仿宋" w:cs="仿宋"/>
                <w:b w:val="0"/>
                <w:bCs w:val="0"/>
                <w:color w:val="auto"/>
                <w:kern w:val="2"/>
                <w:sz w:val="24"/>
                <w:szCs w:val="24"/>
                <w:highlight w:val="none"/>
                <w:lang w:val="en-US" w:eastAsia="zh-CN" w:bidi="ar-SA"/>
              </w:rPr>
              <w:t>3分；</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w:t>
            </w:r>
            <w:r>
              <w:rPr>
                <w:rFonts w:hint="eastAsia" w:ascii="仿宋" w:hAnsi="仿宋" w:eastAsia="仿宋" w:cs="仿宋"/>
                <w:b w:val="0"/>
                <w:bCs w:val="0"/>
                <w:color w:val="auto"/>
                <w:kern w:val="2"/>
                <w:sz w:val="24"/>
                <w:szCs w:val="24"/>
                <w:highlight w:val="none"/>
                <w:lang w:val="en-US" w:eastAsia="zh-CN" w:bidi="ar-SA"/>
              </w:rPr>
              <w:t>未提供不得分。</w:t>
            </w:r>
          </w:p>
        </w:tc>
        <w:tc>
          <w:tcPr>
            <w:tcW w:w="77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996"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w:t>
            </w:r>
            <w:r>
              <w:rPr>
                <w:rFonts w:hint="eastAsia" w:ascii="仿宋" w:hAnsi="仿宋" w:eastAsia="仿宋" w:cs="仿宋"/>
                <w:color w:val="auto"/>
                <w:sz w:val="24"/>
                <w:szCs w:val="24"/>
                <w:highlight w:val="none"/>
                <w:lang w:val="zh-TW" w:eastAsia="zh-CN"/>
              </w:rPr>
              <w:t>提供全年、半年、季度等不同形式专业</w:t>
            </w:r>
            <w:r>
              <w:rPr>
                <w:rFonts w:hint="eastAsia" w:ascii="仿宋" w:hAnsi="仿宋" w:eastAsia="仿宋" w:cs="仿宋"/>
                <w:color w:val="auto"/>
                <w:sz w:val="24"/>
                <w:szCs w:val="24"/>
                <w:highlight w:val="none"/>
                <w:lang w:val="zh-TW" w:eastAsia="zh-TW"/>
              </w:rPr>
              <w:t>培训计划</w:t>
            </w:r>
            <w:r>
              <w:rPr>
                <w:rFonts w:hint="eastAsia" w:ascii="仿宋" w:hAnsi="仿宋" w:eastAsia="仿宋" w:cs="仿宋"/>
                <w:color w:val="auto"/>
                <w:sz w:val="24"/>
                <w:szCs w:val="24"/>
                <w:highlight w:val="none"/>
                <w:lang w:val="zh-TW" w:eastAsia="zh-CN"/>
              </w:rPr>
              <w:t>及培训内容，培训的内容包括法律法规、操作流程、服务标准、岗位技能等</w:t>
            </w:r>
            <w:r>
              <w:rPr>
                <w:rFonts w:hint="eastAsia" w:ascii="仿宋" w:hAnsi="仿宋" w:eastAsia="仿宋" w:cs="仿宋"/>
                <w:color w:val="auto"/>
                <w:sz w:val="24"/>
                <w:szCs w:val="24"/>
                <w:highlight w:val="none"/>
                <w:lang w:val="en-US" w:eastAsia="zh-CN"/>
              </w:rPr>
              <w:t>综合评定。</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培训计划详细、全面、可行的得</w:t>
            </w:r>
            <w:r>
              <w:rPr>
                <w:rFonts w:hint="default" w:ascii="仿宋" w:hAnsi="仿宋" w:eastAsia="仿宋" w:cs="仿宋"/>
                <w:color w:val="auto"/>
                <w:sz w:val="24"/>
                <w:szCs w:val="24"/>
                <w:highlight w:val="none"/>
                <w:lang w:eastAsia="zh-CN"/>
              </w:rPr>
              <w:t>3</w:t>
            </w:r>
            <w:r>
              <w:rPr>
                <w:rFonts w:hint="eastAsia" w:ascii="仿宋" w:hAnsi="仿宋" w:eastAsia="仿宋" w:cs="仿宋"/>
                <w:color w:val="auto"/>
                <w:sz w:val="24"/>
                <w:szCs w:val="24"/>
                <w:highlight w:val="none"/>
                <w:lang w:val="en-US" w:eastAsia="zh-CN"/>
              </w:rPr>
              <w:t>分；培训计划一般，</w:t>
            </w:r>
            <w:r>
              <w:rPr>
                <w:rFonts w:hint="eastAsia" w:ascii="仿宋" w:hAnsi="仿宋" w:eastAsia="仿宋" w:cs="仿宋"/>
                <w:color w:val="auto"/>
                <w:sz w:val="24"/>
                <w:szCs w:val="24"/>
                <w:highlight w:val="none"/>
                <w:lang w:eastAsia="zh-CN"/>
              </w:rPr>
              <w:t>不齐全、</w:t>
            </w:r>
            <w:r>
              <w:rPr>
                <w:rFonts w:hint="eastAsia" w:ascii="仿宋" w:hAnsi="仿宋" w:eastAsia="仿宋" w:cs="仿宋"/>
                <w:color w:val="auto"/>
                <w:sz w:val="24"/>
                <w:szCs w:val="24"/>
                <w:highlight w:val="none"/>
                <w:lang w:val="en-US" w:eastAsia="zh-CN"/>
              </w:rPr>
              <w:t>措施基本可行的得</w:t>
            </w: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分；方案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w:t>
            </w:r>
            <w:r>
              <w:rPr>
                <w:rFonts w:hint="eastAsia" w:ascii="仿宋" w:hAnsi="仿宋" w:eastAsia="仿宋" w:cs="仿宋"/>
                <w:color w:val="auto"/>
                <w:sz w:val="24"/>
                <w:szCs w:val="24"/>
                <w:highlight w:val="none"/>
                <w:lang w:eastAsia="zh-CN"/>
              </w:rPr>
              <w:t>未提供</w:t>
            </w:r>
            <w:r>
              <w:rPr>
                <w:rFonts w:hint="eastAsia" w:ascii="仿宋" w:hAnsi="仿宋" w:eastAsia="仿宋" w:cs="仿宋"/>
                <w:color w:val="auto"/>
                <w:sz w:val="24"/>
                <w:szCs w:val="24"/>
                <w:highlight w:val="none"/>
                <w:lang w:val="en-US" w:eastAsia="zh-CN"/>
              </w:rPr>
              <w:t>不得分。</w:t>
            </w:r>
          </w:p>
        </w:tc>
        <w:tc>
          <w:tcPr>
            <w:tcW w:w="77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jc w:val="center"/>
              <w:textAlignment w:val="auto"/>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3</w:t>
            </w:r>
          </w:p>
        </w:tc>
        <w:tc>
          <w:tcPr>
            <w:tcW w:w="996"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zh-TW" w:eastAsia="zh-CN"/>
              </w:rPr>
            </w:pPr>
            <w:r>
              <w:rPr>
                <w:rFonts w:hint="eastAsia" w:ascii="仿宋" w:hAnsi="仿宋" w:eastAsia="仿宋" w:cs="仿宋"/>
                <w:color w:val="auto"/>
                <w:sz w:val="24"/>
                <w:szCs w:val="24"/>
                <w:highlight w:val="none"/>
                <w:lang w:val="en-US" w:eastAsia="zh-CN"/>
              </w:rPr>
              <w:t>根据投标人</w:t>
            </w:r>
            <w:r>
              <w:rPr>
                <w:rFonts w:hint="eastAsia" w:ascii="仿宋" w:hAnsi="仿宋" w:eastAsia="仿宋" w:cs="仿宋"/>
                <w:color w:val="auto"/>
                <w:sz w:val="24"/>
                <w:szCs w:val="24"/>
                <w:highlight w:val="none"/>
                <w:lang w:val="zh-TW" w:eastAsia="zh-CN"/>
              </w:rPr>
              <w:t>对食堂服务区域内出现的各类事故的紧急预案（如烧烫伤、割伤、跌伤等）进行</w:t>
            </w:r>
            <w:r>
              <w:rPr>
                <w:rFonts w:hint="eastAsia" w:ascii="仿宋" w:hAnsi="仿宋" w:eastAsia="仿宋" w:cs="仿宋"/>
                <w:color w:val="auto"/>
                <w:sz w:val="24"/>
                <w:szCs w:val="24"/>
                <w:highlight w:val="none"/>
                <w:lang w:val="en-US" w:eastAsia="zh-CN"/>
              </w:rPr>
              <w:t>综合评定</w:t>
            </w:r>
            <w:r>
              <w:rPr>
                <w:rFonts w:hint="eastAsia" w:ascii="仿宋" w:hAnsi="仿宋" w:eastAsia="仿宋" w:cs="仿宋"/>
                <w:color w:val="auto"/>
                <w:sz w:val="24"/>
                <w:szCs w:val="24"/>
                <w:highlight w:val="none"/>
                <w:lang w:val="zh-TW"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zh-TW" w:eastAsia="zh-CN"/>
              </w:rPr>
            </w:pPr>
            <w:r>
              <w:rPr>
                <w:rFonts w:hint="eastAsia" w:ascii="仿宋" w:hAnsi="仿宋" w:eastAsia="仿宋" w:cs="仿宋"/>
                <w:color w:val="auto"/>
                <w:sz w:val="24"/>
                <w:szCs w:val="24"/>
                <w:highlight w:val="none"/>
                <w:lang w:val="en-US" w:eastAsia="zh-CN"/>
              </w:rPr>
              <w:t>方案全面、合理的得</w:t>
            </w:r>
            <w:r>
              <w:rPr>
                <w:rFonts w:hint="default" w:ascii="仿宋" w:hAnsi="仿宋" w:eastAsia="仿宋" w:cs="仿宋"/>
                <w:color w:val="auto"/>
                <w:sz w:val="24"/>
                <w:szCs w:val="24"/>
                <w:highlight w:val="none"/>
                <w:lang w:eastAsia="zh-CN"/>
              </w:rPr>
              <w:t>3</w:t>
            </w:r>
            <w:r>
              <w:rPr>
                <w:rFonts w:hint="eastAsia" w:ascii="仿宋" w:hAnsi="仿宋" w:eastAsia="仿宋" w:cs="仿宋"/>
                <w:color w:val="auto"/>
                <w:sz w:val="24"/>
                <w:szCs w:val="24"/>
                <w:highlight w:val="none"/>
                <w:lang w:val="en-US" w:eastAsia="zh-CN"/>
              </w:rPr>
              <w:t>分；方案基本全面、合理的得</w:t>
            </w: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分；</w:t>
            </w:r>
            <w:r>
              <w:rPr>
                <w:rFonts w:hint="eastAsia" w:ascii="仿宋" w:hAnsi="仿宋" w:eastAsia="仿宋" w:cs="仿宋"/>
                <w:color w:val="auto"/>
                <w:sz w:val="24"/>
                <w:szCs w:val="24"/>
                <w:highlight w:val="none"/>
                <w:lang w:eastAsia="zh-CN"/>
              </w:rPr>
              <w:t>不全面</w:t>
            </w:r>
            <w:r>
              <w:rPr>
                <w:rFonts w:hint="eastAsia" w:ascii="仿宋" w:hAnsi="仿宋" w:eastAsia="仿宋" w:cs="仿宋"/>
                <w:color w:val="auto"/>
                <w:sz w:val="24"/>
                <w:szCs w:val="24"/>
                <w:highlight w:val="none"/>
                <w:lang w:val="en-US" w:eastAsia="zh-CN"/>
              </w:rPr>
              <w:t>的得1分；未提供的不得分。</w:t>
            </w:r>
          </w:p>
        </w:tc>
        <w:tc>
          <w:tcPr>
            <w:tcW w:w="77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jc w:val="center"/>
              <w:textAlignment w:val="auto"/>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3</w:t>
            </w:r>
          </w:p>
        </w:tc>
        <w:tc>
          <w:tcPr>
            <w:tcW w:w="996"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6487" w:type="dxa"/>
            <w:gridSpan w:val="2"/>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zh-TW" w:eastAsia="zh-CN"/>
              </w:rPr>
            </w:pPr>
            <w:r>
              <w:rPr>
                <w:rFonts w:hint="eastAsia" w:ascii="仿宋" w:hAnsi="仿宋" w:eastAsia="仿宋" w:cs="仿宋"/>
                <w:color w:val="auto"/>
                <w:sz w:val="24"/>
                <w:szCs w:val="24"/>
                <w:highlight w:val="none"/>
                <w:lang w:val="zh-TW" w:eastAsia="zh-CN"/>
              </w:rPr>
              <w:t>对食堂管理区域内的防盗、防火的安全防范巡查</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lang w:val="zh-TW" w:eastAsia="zh-CN"/>
              </w:rPr>
              <w:t>等进行</w:t>
            </w:r>
            <w:r>
              <w:rPr>
                <w:rFonts w:hint="eastAsia" w:ascii="仿宋" w:hAnsi="仿宋" w:eastAsia="仿宋" w:cs="仿宋"/>
                <w:color w:val="auto"/>
                <w:sz w:val="24"/>
                <w:szCs w:val="24"/>
                <w:highlight w:val="none"/>
                <w:lang w:val="en-US" w:eastAsia="zh-CN"/>
              </w:rPr>
              <w:t>综合评定</w:t>
            </w:r>
            <w:r>
              <w:rPr>
                <w:rFonts w:hint="eastAsia" w:ascii="仿宋" w:hAnsi="仿宋" w:eastAsia="仿宋" w:cs="仿宋"/>
                <w:color w:val="auto"/>
                <w:sz w:val="24"/>
                <w:szCs w:val="24"/>
                <w:highlight w:val="none"/>
                <w:lang w:val="zh-TW"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zh-TW" w:eastAsia="zh-CN"/>
              </w:rPr>
            </w:pPr>
            <w:r>
              <w:rPr>
                <w:rFonts w:hint="eastAsia" w:ascii="仿宋" w:hAnsi="仿宋" w:eastAsia="仿宋" w:cs="仿宋"/>
                <w:color w:val="auto"/>
                <w:sz w:val="24"/>
                <w:szCs w:val="24"/>
                <w:highlight w:val="none"/>
                <w:lang w:val="en-US" w:eastAsia="zh-CN"/>
              </w:rPr>
              <w:t>方案全面、合理的得3分；方案基本全面、合理的得2分；</w:t>
            </w:r>
            <w:r>
              <w:rPr>
                <w:rFonts w:hint="eastAsia" w:ascii="仿宋" w:hAnsi="仿宋" w:eastAsia="仿宋" w:cs="仿宋"/>
                <w:color w:val="auto"/>
                <w:sz w:val="24"/>
                <w:szCs w:val="24"/>
                <w:highlight w:val="none"/>
                <w:lang w:eastAsia="zh-CN"/>
              </w:rPr>
              <w:t>不全面</w:t>
            </w:r>
            <w:r>
              <w:rPr>
                <w:rFonts w:hint="eastAsia" w:ascii="仿宋" w:hAnsi="仿宋" w:eastAsia="仿宋" w:cs="仿宋"/>
                <w:color w:val="auto"/>
                <w:sz w:val="24"/>
                <w:szCs w:val="24"/>
                <w:highlight w:val="none"/>
                <w:lang w:val="en-US" w:eastAsia="zh-CN"/>
              </w:rPr>
              <w:t>的得1分；未提供的不得分。</w:t>
            </w:r>
          </w:p>
        </w:tc>
        <w:tc>
          <w:tcPr>
            <w:tcW w:w="775"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996" w:type="dxa"/>
            <w:noWrap/>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6487" w:type="dxa"/>
            <w:gridSpan w:val="2"/>
            <w:noWrap/>
            <w:vAlign w:val="center"/>
          </w:tcPr>
          <w:p>
            <w:pPr>
              <w:pStyle w:val="79"/>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zh-TW" w:eastAsia="zh-CN"/>
              </w:rPr>
            </w:pPr>
            <w:r>
              <w:rPr>
                <w:rFonts w:hint="eastAsia" w:ascii="仿宋" w:hAnsi="仿宋" w:eastAsia="仿宋" w:cs="仿宋"/>
                <w:color w:val="auto"/>
                <w:sz w:val="24"/>
                <w:szCs w:val="24"/>
                <w:highlight w:val="none"/>
                <w:lang w:val="en-US" w:eastAsia="zh-CN"/>
              </w:rPr>
              <w:t>投标人对于突发事件的措施以及大型活动、法定节假日食堂工作人员安排情况</w:t>
            </w:r>
            <w:r>
              <w:rPr>
                <w:rFonts w:hint="eastAsia" w:ascii="仿宋" w:hAnsi="仿宋" w:eastAsia="仿宋" w:cs="仿宋"/>
                <w:color w:val="auto"/>
                <w:sz w:val="24"/>
                <w:szCs w:val="24"/>
                <w:highlight w:val="none"/>
                <w:lang w:val="zh-TW" w:eastAsia="zh-CN"/>
              </w:rPr>
              <w:t>等进行</w:t>
            </w:r>
            <w:r>
              <w:rPr>
                <w:rFonts w:hint="eastAsia" w:ascii="仿宋" w:hAnsi="仿宋" w:eastAsia="仿宋" w:cs="仿宋"/>
                <w:color w:val="auto"/>
                <w:sz w:val="24"/>
                <w:szCs w:val="24"/>
                <w:highlight w:val="none"/>
                <w:lang w:val="en-US" w:eastAsia="zh-CN"/>
              </w:rPr>
              <w:t>综合评定</w:t>
            </w:r>
            <w:r>
              <w:rPr>
                <w:rFonts w:hint="eastAsia" w:ascii="仿宋" w:hAnsi="仿宋" w:eastAsia="仿宋" w:cs="仿宋"/>
                <w:color w:val="auto"/>
                <w:sz w:val="24"/>
                <w:szCs w:val="24"/>
                <w:highlight w:val="none"/>
                <w:lang w:val="zh-TW" w:eastAsia="zh-CN"/>
              </w:rPr>
              <w:t>。</w:t>
            </w:r>
          </w:p>
          <w:p>
            <w:pPr>
              <w:pStyle w:val="79"/>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方案全面、合理的</w:t>
            </w:r>
            <w:r>
              <w:rPr>
                <w:rFonts w:hint="default" w:ascii="仿宋" w:hAnsi="仿宋" w:eastAsia="仿宋" w:cs="仿宋"/>
                <w:color w:val="auto"/>
                <w:sz w:val="24"/>
                <w:szCs w:val="24"/>
                <w:highlight w:val="none"/>
                <w:lang w:eastAsia="zh-CN"/>
              </w:rPr>
              <w:t>3</w:t>
            </w:r>
            <w:r>
              <w:rPr>
                <w:rFonts w:hint="eastAsia" w:ascii="仿宋" w:hAnsi="仿宋" w:eastAsia="仿宋" w:cs="仿宋"/>
                <w:color w:val="auto"/>
                <w:sz w:val="24"/>
                <w:szCs w:val="24"/>
                <w:highlight w:val="none"/>
                <w:lang w:val="en-US" w:eastAsia="zh-CN"/>
              </w:rPr>
              <w:t>分；方案基本全面、合理的得</w:t>
            </w: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分；</w:t>
            </w:r>
            <w:r>
              <w:rPr>
                <w:rFonts w:hint="eastAsia" w:ascii="仿宋" w:hAnsi="仿宋" w:eastAsia="仿宋" w:cs="仿宋"/>
                <w:color w:val="auto"/>
                <w:sz w:val="24"/>
                <w:szCs w:val="24"/>
                <w:highlight w:val="none"/>
                <w:lang w:eastAsia="zh-CN"/>
              </w:rPr>
              <w:t>不全面</w:t>
            </w:r>
            <w:r>
              <w:rPr>
                <w:rFonts w:hint="eastAsia" w:ascii="仿宋" w:hAnsi="仿宋" w:eastAsia="仿宋" w:cs="仿宋"/>
                <w:color w:val="auto"/>
                <w:sz w:val="24"/>
                <w:szCs w:val="24"/>
                <w:highlight w:val="none"/>
                <w:lang w:val="en-US" w:eastAsia="zh-CN"/>
              </w:rPr>
              <w:t>的得1分；未提供的不得分。</w:t>
            </w:r>
          </w:p>
        </w:tc>
        <w:tc>
          <w:tcPr>
            <w:tcW w:w="775"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3</w:t>
            </w:r>
          </w:p>
        </w:tc>
        <w:tc>
          <w:tcPr>
            <w:tcW w:w="996"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6487" w:type="dxa"/>
            <w:gridSpan w:val="2"/>
            <w:noWrap/>
            <w:vAlign w:val="center"/>
          </w:tcPr>
          <w:p>
            <w:pPr>
              <w:pageBreakBefore w:val="0"/>
              <w:kinsoku/>
              <w:wordWrap/>
              <w:overflowPunct/>
              <w:topLinePunct w:val="0"/>
              <w:bidi w:val="0"/>
              <w:snapToGrid/>
              <w:spacing w:line="360" w:lineRule="auto"/>
              <w:ind w:left="0" w:firstLine="0"/>
              <w:contextualSpacing/>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根据投标人提供的节能方案，从节约能源、资源、原材料、生产耗材等方面进行综合评</w:t>
            </w:r>
            <w:r>
              <w:rPr>
                <w:rFonts w:hint="eastAsia" w:ascii="仿宋" w:hAnsi="仿宋" w:eastAsia="仿宋" w:cs="仿宋"/>
                <w:color w:val="auto"/>
                <w:sz w:val="24"/>
                <w:szCs w:val="24"/>
                <w:highlight w:val="none"/>
                <w:lang w:eastAsia="zh-CN"/>
              </w:rPr>
              <w:t>定。</w:t>
            </w:r>
          </w:p>
          <w:p>
            <w:pPr>
              <w:pageBreakBefore w:val="0"/>
              <w:kinsoku/>
              <w:wordWrap/>
              <w:overflowPunct/>
              <w:topLinePunct w:val="0"/>
              <w:bidi w:val="0"/>
              <w:snapToGrid/>
              <w:spacing w:line="360" w:lineRule="auto"/>
              <w:ind w:left="0" w:firstLine="0"/>
              <w:contextualSpacing/>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方案详细、完善、</w:t>
            </w:r>
            <w:r>
              <w:rPr>
                <w:rFonts w:hint="eastAsia" w:ascii="仿宋" w:hAnsi="仿宋" w:eastAsia="仿宋" w:cs="仿宋"/>
                <w:color w:val="auto"/>
                <w:sz w:val="24"/>
                <w:szCs w:val="24"/>
                <w:highlight w:val="none"/>
                <w:lang w:val="en-US" w:eastAsia="zh-CN"/>
              </w:rPr>
              <w:t>有效</w:t>
            </w:r>
            <w:r>
              <w:rPr>
                <w:rFonts w:hint="eastAsia" w:ascii="仿宋" w:hAnsi="仿宋" w:eastAsia="仿宋" w:cs="仿宋"/>
                <w:color w:val="auto"/>
                <w:sz w:val="24"/>
                <w:szCs w:val="24"/>
                <w:highlight w:val="none"/>
                <w:lang w:eastAsia="zh-CN"/>
              </w:rPr>
              <w:t>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分；方案基本详细、完善、</w:t>
            </w:r>
            <w:r>
              <w:rPr>
                <w:rFonts w:hint="eastAsia" w:ascii="仿宋" w:hAnsi="仿宋" w:eastAsia="仿宋" w:cs="仿宋"/>
                <w:color w:val="auto"/>
                <w:sz w:val="24"/>
                <w:szCs w:val="24"/>
                <w:highlight w:val="none"/>
                <w:lang w:val="en-US" w:eastAsia="zh-CN"/>
              </w:rPr>
              <w:t>有效</w:t>
            </w:r>
            <w:r>
              <w:rPr>
                <w:rFonts w:hint="eastAsia" w:ascii="仿宋" w:hAnsi="仿宋" w:eastAsia="仿宋" w:cs="仿宋"/>
                <w:color w:val="auto"/>
                <w:sz w:val="24"/>
                <w:szCs w:val="24"/>
                <w:highlight w:val="none"/>
                <w:lang w:eastAsia="zh-CN"/>
              </w:rPr>
              <w:t>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的得1分；未提供的不得分。</w:t>
            </w:r>
          </w:p>
        </w:tc>
        <w:tc>
          <w:tcPr>
            <w:tcW w:w="775" w:type="dxa"/>
            <w:noWrap/>
            <w:vAlign w:val="center"/>
          </w:tcPr>
          <w:p>
            <w:pPr>
              <w:pageBreakBefore w:val="0"/>
              <w:kinsoku/>
              <w:wordWrap/>
              <w:overflowPunct/>
              <w:topLinePunct w:val="0"/>
              <w:bidi w:val="0"/>
              <w:snapToGrid/>
              <w:spacing w:line="360" w:lineRule="auto"/>
              <w:ind w:left="0" w:firstLine="0"/>
              <w:contextualSpacing/>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996"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6487" w:type="dxa"/>
            <w:gridSpan w:val="2"/>
            <w:noWrap/>
            <w:vAlign w:val="center"/>
          </w:tcPr>
          <w:p>
            <w:pPr>
              <w:pageBreakBefore w:val="0"/>
              <w:kinsoku/>
              <w:wordWrap/>
              <w:overflowPunct/>
              <w:topLinePunct w:val="0"/>
              <w:bidi w:val="0"/>
              <w:snapToGrid/>
              <w:spacing w:line="360" w:lineRule="auto"/>
              <w:ind w:left="0" w:firstLine="0"/>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针对本项目服务的相关承诺、支持力度、其他餐饮延伸服务方案等进行综合</w:t>
            </w:r>
            <w:r>
              <w:rPr>
                <w:rFonts w:hint="eastAsia" w:ascii="仿宋" w:hAnsi="仿宋" w:eastAsia="仿宋" w:cs="仿宋"/>
                <w:color w:val="auto"/>
                <w:sz w:val="24"/>
                <w:szCs w:val="24"/>
                <w:highlight w:val="none"/>
                <w:lang w:eastAsia="zh-CN"/>
              </w:rPr>
              <w:t>定</w:t>
            </w:r>
            <w:r>
              <w:rPr>
                <w:rFonts w:hint="eastAsia" w:ascii="仿宋" w:hAnsi="仿宋" w:eastAsia="仿宋" w:cs="仿宋"/>
                <w:color w:val="auto"/>
                <w:sz w:val="24"/>
                <w:szCs w:val="24"/>
                <w:highlight w:val="none"/>
              </w:rPr>
              <w:t>。</w:t>
            </w:r>
          </w:p>
          <w:p>
            <w:pPr>
              <w:pageBreakBefore w:val="0"/>
              <w:kinsoku/>
              <w:wordWrap/>
              <w:overflowPunct/>
              <w:topLinePunct w:val="0"/>
              <w:bidi w:val="0"/>
              <w:snapToGrid/>
              <w:spacing w:line="360" w:lineRule="auto"/>
              <w:ind w:left="0" w:firstLine="0"/>
              <w:contextualSpacing/>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方案详细、完善的得</w:t>
            </w:r>
            <w:r>
              <w:rPr>
                <w:rFonts w:hint="default" w:ascii="仿宋" w:hAnsi="仿宋" w:eastAsia="仿宋" w:cs="仿宋"/>
                <w:color w:val="auto"/>
                <w:sz w:val="24"/>
                <w:szCs w:val="24"/>
                <w:highlight w:val="none"/>
              </w:rPr>
              <w:t>3</w:t>
            </w:r>
            <w:r>
              <w:rPr>
                <w:rFonts w:hint="eastAsia" w:ascii="仿宋" w:hAnsi="仿宋" w:eastAsia="仿宋" w:cs="仿宋"/>
                <w:color w:val="auto"/>
                <w:sz w:val="24"/>
                <w:szCs w:val="24"/>
                <w:highlight w:val="none"/>
              </w:rPr>
              <w:t>分；方案基本详细、完善的得</w:t>
            </w:r>
            <w:r>
              <w:rPr>
                <w:rFonts w:hint="default" w:ascii="仿宋" w:hAnsi="仿宋" w:eastAsia="仿宋" w:cs="仿宋"/>
                <w:color w:val="auto"/>
                <w:sz w:val="24"/>
                <w:szCs w:val="24"/>
                <w:highlight w:val="none"/>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lang w:val="en-US" w:eastAsia="zh-Hans"/>
              </w:rPr>
              <w:t>存在重大缺陷</w:t>
            </w:r>
            <w:r>
              <w:rPr>
                <w:rFonts w:hint="eastAsia" w:ascii="仿宋" w:hAnsi="仿宋" w:eastAsia="仿宋" w:cs="仿宋"/>
                <w:color w:val="auto"/>
                <w:sz w:val="24"/>
                <w:szCs w:val="24"/>
                <w:highlight w:val="none"/>
                <w:lang w:val="en-US" w:eastAsia="zh-CN"/>
              </w:rPr>
              <w:t>的得1分；未提供的不得分。</w:t>
            </w:r>
          </w:p>
        </w:tc>
        <w:tc>
          <w:tcPr>
            <w:tcW w:w="775" w:type="dxa"/>
            <w:noWrap/>
            <w:vAlign w:val="center"/>
          </w:tcPr>
          <w:p>
            <w:pPr>
              <w:pageBreakBefore w:val="0"/>
              <w:kinsoku/>
              <w:wordWrap/>
              <w:overflowPunct/>
              <w:topLinePunct w:val="0"/>
              <w:bidi w:val="0"/>
              <w:snapToGrid/>
              <w:spacing w:line="360" w:lineRule="auto"/>
              <w:ind w:left="0" w:firstLine="0"/>
              <w:contextualSpacing/>
              <w:jc w:val="center"/>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3</w:t>
            </w:r>
          </w:p>
        </w:tc>
        <w:tc>
          <w:tcPr>
            <w:tcW w:w="996"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6487" w:type="dxa"/>
            <w:gridSpan w:val="2"/>
            <w:noWrap/>
            <w:vAlign w:val="center"/>
          </w:tcPr>
          <w:p>
            <w:pPr>
              <w:pageBreakBefore w:val="0"/>
              <w:kinsoku/>
              <w:wordWrap/>
              <w:overflowPunct/>
              <w:topLinePunct w:val="0"/>
              <w:bidi w:val="0"/>
              <w:snapToGrid/>
              <w:spacing w:line="360" w:lineRule="auto"/>
              <w:ind w:left="0" w:firstLine="0"/>
              <w:contextualSpacing/>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根据投标人提供的对各设备与设施的维护、使用计划进行</w:t>
            </w:r>
            <w:r>
              <w:rPr>
                <w:rFonts w:hint="eastAsia" w:ascii="仿宋" w:hAnsi="仿宋" w:eastAsia="仿宋" w:cs="仿宋"/>
                <w:color w:val="auto"/>
                <w:sz w:val="24"/>
                <w:szCs w:val="24"/>
                <w:highlight w:val="none"/>
                <w:lang w:val="en-US" w:eastAsia="zh-CN"/>
              </w:rPr>
              <w:t>综合评定。</w:t>
            </w:r>
          </w:p>
          <w:p>
            <w:pPr>
              <w:pStyle w:val="3"/>
              <w:keepNext/>
              <w:keepLines/>
              <w:pageBreakBefore w:val="0"/>
              <w:widowControl w:val="0"/>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4"/>
                <w:szCs w:val="24"/>
              </w:rPr>
            </w:pPr>
            <w:r>
              <w:rPr>
                <w:rFonts w:hint="eastAsia" w:ascii="仿宋" w:hAnsi="仿宋" w:eastAsia="仿宋" w:cs="仿宋"/>
                <w:b w:val="0"/>
                <w:bCs w:val="0"/>
                <w:color w:val="auto"/>
                <w:sz w:val="24"/>
                <w:szCs w:val="24"/>
                <w:highlight w:val="none"/>
                <w:lang w:eastAsia="zh-CN"/>
              </w:rPr>
              <w:t>方案详细、完善、</w:t>
            </w:r>
            <w:r>
              <w:rPr>
                <w:rFonts w:hint="eastAsia" w:ascii="仿宋" w:hAnsi="仿宋" w:eastAsia="仿宋" w:cs="仿宋"/>
                <w:b w:val="0"/>
                <w:bCs w:val="0"/>
                <w:color w:val="auto"/>
                <w:sz w:val="24"/>
                <w:szCs w:val="24"/>
                <w:highlight w:val="none"/>
                <w:lang w:val="en-US" w:eastAsia="zh-CN"/>
              </w:rPr>
              <w:t>有效</w:t>
            </w:r>
            <w:r>
              <w:rPr>
                <w:rFonts w:hint="eastAsia" w:ascii="仿宋" w:hAnsi="仿宋" w:eastAsia="仿宋" w:cs="仿宋"/>
                <w:b w:val="0"/>
                <w:bCs w:val="0"/>
                <w:color w:val="auto"/>
                <w:sz w:val="24"/>
                <w:szCs w:val="24"/>
                <w:highlight w:val="none"/>
                <w:lang w:eastAsia="zh-CN"/>
              </w:rPr>
              <w:t>的得</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eastAsia="zh-CN"/>
              </w:rPr>
              <w:t>分；方案基本详细、完善、</w:t>
            </w:r>
            <w:r>
              <w:rPr>
                <w:rFonts w:hint="eastAsia" w:ascii="仿宋" w:hAnsi="仿宋" w:eastAsia="仿宋" w:cs="仿宋"/>
                <w:b w:val="0"/>
                <w:bCs w:val="0"/>
                <w:color w:val="auto"/>
                <w:sz w:val="24"/>
                <w:szCs w:val="24"/>
                <w:highlight w:val="none"/>
                <w:lang w:val="en-US" w:eastAsia="zh-CN"/>
              </w:rPr>
              <w:t>有效</w:t>
            </w:r>
            <w:r>
              <w:rPr>
                <w:rFonts w:hint="eastAsia" w:ascii="仿宋" w:hAnsi="仿宋" w:eastAsia="仿宋" w:cs="仿宋"/>
                <w:b w:val="0"/>
                <w:bCs w:val="0"/>
                <w:color w:val="auto"/>
                <w:sz w:val="24"/>
                <w:szCs w:val="24"/>
                <w:highlight w:val="none"/>
                <w:lang w:eastAsia="zh-CN"/>
              </w:rPr>
              <w:t>的得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eastAsia="zh-CN"/>
              </w:rPr>
              <w:t>分；方案存在重大缺陷的得1分；</w:t>
            </w:r>
            <w:r>
              <w:rPr>
                <w:rFonts w:hint="eastAsia" w:ascii="仿宋" w:hAnsi="仿宋" w:eastAsia="仿宋" w:cs="仿宋"/>
                <w:b w:val="0"/>
                <w:bCs w:val="0"/>
                <w:color w:val="auto"/>
                <w:sz w:val="24"/>
                <w:szCs w:val="24"/>
                <w:highlight w:val="none"/>
                <w:lang w:val="en-US" w:eastAsia="zh-CN"/>
              </w:rPr>
              <w:t>未提供的不得分。</w:t>
            </w:r>
          </w:p>
        </w:tc>
        <w:tc>
          <w:tcPr>
            <w:tcW w:w="775" w:type="dxa"/>
            <w:noWrap/>
            <w:vAlign w:val="center"/>
          </w:tcPr>
          <w:p>
            <w:pPr>
              <w:pageBreakBefore w:val="0"/>
              <w:kinsoku/>
              <w:wordWrap/>
              <w:overflowPunct/>
              <w:topLinePunct w:val="0"/>
              <w:bidi w:val="0"/>
              <w:snapToGrid/>
              <w:spacing w:line="360" w:lineRule="auto"/>
              <w:ind w:left="0" w:firstLine="0"/>
              <w:contextualSpacing/>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996"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0" w:type="dxa"/>
            <w:vMerge w:val="continue"/>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rPr>
            </w:pPr>
          </w:p>
        </w:tc>
        <w:tc>
          <w:tcPr>
            <w:tcW w:w="549" w:type="dxa"/>
            <w:noWrap/>
            <w:vAlign w:val="center"/>
          </w:tcPr>
          <w:p>
            <w:pPr>
              <w:pageBreakBefore w:val="0"/>
              <w:kinsoku/>
              <w:wordWrap/>
              <w:overflowPunct/>
              <w:topLinePunct w:val="0"/>
              <w:bidi w:val="0"/>
              <w:snapToGrid/>
              <w:spacing w:line="360" w:lineRule="auto"/>
              <w:ind w:left="0" w:firstLine="0"/>
              <w:jc w:val="center"/>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0</w:t>
            </w:r>
          </w:p>
        </w:tc>
        <w:tc>
          <w:tcPr>
            <w:tcW w:w="6487" w:type="dxa"/>
            <w:gridSpan w:val="2"/>
            <w:noWrap/>
            <w:vAlign w:val="center"/>
          </w:tcPr>
          <w:p>
            <w:pPr>
              <w:pStyle w:val="3"/>
              <w:keepNext/>
              <w:keepLines/>
              <w:pageBreakBefore w:val="0"/>
              <w:widowControl w:val="0"/>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对本项目的合理化建议综合评定。</w:t>
            </w:r>
          </w:p>
        </w:tc>
        <w:tc>
          <w:tcPr>
            <w:tcW w:w="775" w:type="dxa"/>
            <w:noWrap/>
            <w:vAlign w:val="center"/>
          </w:tcPr>
          <w:p>
            <w:pPr>
              <w:pageBreakBefore w:val="0"/>
              <w:kinsoku/>
              <w:wordWrap/>
              <w:overflowPunct/>
              <w:topLinePunct w:val="0"/>
              <w:bidi w:val="0"/>
              <w:snapToGrid/>
              <w:spacing w:line="360" w:lineRule="auto"/>
              <w:ind w:left="0" w:firstLine="0"/>
              <w:contextualSpacing/>
              <w:jc w:val="center"/>
              <w:rPr>
                <w:rFonts w:hint="default"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996" w:type="dxa"/>
            <w:noWrap/>
            <w:vAlign w:val="center"/>
          </w:tcPr>
          <w:p>
            <w:pPr>
              <w:pageBreakBefore w:val="0"/>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0" w:type="dxa"/>
            <w:noWrap/>
            <w:vAlign w:val="center"/>
          </w:tcPr>
          <w:p>
            <w:pPr>
              <w:pageBreakBefore w:val="0"/>
              <w:kinsoku/>
              <w:wordWrap/>
              <w:overflowPunct/>
              <w:topLinePunct w:val="0"/>
              <w:bidi w:val="0"/>
              <w:snapToGrid/>
              <w:spacing w:line="360" w:lineRule="auto"/>
              <w:ind w:left="0" w:firstLine="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价格分（2</w:t>
            </w:r>
            <w:r>
              <w:rPr>
                <w:rFonts w:hint="default" w:ascii="仿宋" w:hAnsi="仿宋" w:eastAsia="仿宋" w:cs="仿宋"/>
                <w:color w:val="auto"/>
                <w:sz w:val="24"/>
                <w:szCs w:val="24"/>
                <w:highlight w:val="none"/>
                <w:lang w:eastAsia="zh-CN"/>
              </w:rPr>
              <w:t>0</w:t>
            </w:r>
            <w:r>
              <w:rPr>
                <w:rFonts w:hint="eastAsia" w:ascii="仿宋" w:hAnsi="仿宋" w:eastAsia="仿宋" w:cs="仿宋"/>
                <w:color w:val="auto"/>
                <w:sz w:val="24"/>
                <w:szCs w:val="24"/>
                <w:highlight w:val="none"/>
                <w:lang w:val="en-US" w:eastAsia="zh-CN"/>
              </w:rPr>
              <w:t>分）</w:t>
            </w:r>
          </w:p>
          <w:p>
            <w:pPr>
              <w:pageBreakBefore w:val="0"/>
              <w:widowControl/>
              <w:kinsoku/>
              <w:wordWrap/>
              <w:overflowPunct/>
              <w:topLinePunct w:val="0"/>
              <w:bidi w:val="0"/>
              <w:snapToGrid/>
              <w:spacing w:line="360" w:lineRule="auto"/>
              <w:ind w:left="0" w:firstLine="0"/>
              <w:jc w:val="left"/>
              <w:rPr>
                <w:rFonts w:hint="eastAsia" w:ascii="仿宋" w:hAnsi="仿宋" w:eastAsia="仿宋" w:cs="仿宋"/>
                <w:color w:val="auto"/>
                <w:kern w:val="0"/>
                <w:sz w:val="24"/>
                <w:szCs w:val="24"/>
                <w:highlight w:val="none"/>
                <w:lang w:val="en-US" w:eastAsia="zh-CN" w:bidi="ar-SA"/>
              </w:rPr>
            </w:pPr>
          </w:p>
        </w:tc>
        <w:tc>
          <w:tcPr>
            <w:tcW w:w="549" w:type="dxa"/>
            <w:noWrap/>
            <w:vAlign w:val="center"/>
          </w:tcPr>
          <w:p>
            <w:pPr>
              <w:pageBreakBefore w:val="0"/>
              <w:widowControl/>
              <w:kinsoku/>
              <w:wordWrap/>
              <w:overflowPunct/>
              <w:topLinePunct w:val="0"/>
              <w:bidi w:val="0"/>
              <w:snapToGrid/>
              <w:spacing w:line="360" w:lineRule="auto"/>
              <w:ind w:left="0" w:leftChars="0" w:firstLine="0" w:firstLineChars="0"/>
              <w:jc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w:t>
            </w:r>
          </w:p>
        </w:tc>
        <w:tc>
          <w:tcPr>
            <w:tcW w:w="1187" w:type="dxa"/>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价格权值=0.</w:t>
            </w:r>
            <w:r>
              <w:rPr>
                <w:rFonts w:hint="eastAsia" w:ascii="仿宋" w:hAnsi="仿宋" w:eastAsia="仿宋" w:cs="仿宋"/>
                <w:color w:val="auto"/>
                <w:sz w:val="24"/>
                <w:highlight w:val="none"/>
                <w:lang w:val="en-US" w:eastAsia="zh-CN"/>
              </w:rPr>
              <w:t>20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（运营服务费）</w:t>
            </w:r>
          </w:p>
        </w:tc>
        <w:tc>
          <w:tcPr>
            <w:tcW w:w="5300" w:type="dxa"/>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最低有效投标</w:t>
            </w:r>
            <w:r>
              <w:rPr>
                <w:rFonts w:hint="eastAsia" w:ascii="仿宋" w:hAnsi="仿宋" w:eastAsia="仿宋" w:cs="仿宋"/>
                <w:color w:val="auto"/>
                <w:sz w:val="24"/>
                <w:szCs w:val="24"/>
                <w:highlight w:val="none"/>
                <w:lang w:val="en-US" w:eastAsia="zh-CN"/>
              </w:rPr>
              <w:t>运营服务费</w:t>
            </w:r>
            <w:r>
              <w:rPr>
                <w:rFonts w:hint="eastAsia" w:ascii="仿宋" w:hAnsi="仿宋" w:eastAsia="仿宋" w:cs="仿宋"/>
                <w:color w:val="auto"/>
                <w:kern w:val="2"/>
                <w:sz w:val="24"/>
                <w:szCs w:val="24"/>
                <w:highlight w:val="none"/>
              </w:rPr>
              <w:t>为评标基准价，其最低报价为满分；</w:t>
            </w:r>
            <w:r>
              <w:rPr>
                <w:rFonts w:hint="eastAsia" w:ascii="仿宋" w:hAnsi="仿宋" w:eastAsia="仿宋" w:cs="仿宋"/>
                <w:color w:val="auto"/>
                <w:kern w:val="2"/>
                <w:sz w:val="24"/>
                <w:szCs w:val="24"/>
                <w:highlight w:val="none"/>
                <w:lang w:eastAsia="zh-CN"/>
              </w:rPr>
              <w:t>运营服务费须包含总价和每个食堂的单独运营服务费，最终按照总价计算得分。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eastAsia="zh-CN"/>
              </w:rPr>
              <w:t>运营</w:t>
            </w:r>
            <w:r>
              <w:rPr>
                <w:rFonts w:hint="eastAsia" w:ascii="仿宋" w:hAnsi="仿宋" w:eastAsia="仿宋" w:cs="仿宋"/>
                <w:color w:val="auto"/>
                <w:sz w:val="24"/>
                <w:szCs w:val="24"/>
                <w:highlight w:val="none"/>
                <w:lang w:val="en-US" w:eastAsia="zh-CN"/>
              </w:rPr>
              <w:t>服务费</w:t>
            </w:r>
            <w:r>
              <w:rPr>
                <w:rFonts w:hint="eastAsia" w:ascii="仿宋" w:hAnsi="仿宋" w:eastAsia="仿宋" w:cs="仿宋"/>
                <w:color w:val="auto"/>
                <w:kern w:val="2"/>
                <w:sz w:val="24"/>
                <w:szCs w:val="24"/>
                <w:highlight w:val="none"/>
              </w:rPr>
              <w:t>得分=(评标基准价／投标</w:t>
            </w:r>
            <w:r>
              <w:rPr>
                <w:rFonts w:hint="eastAsia" w:ascii="仿宋" w:hAnsi="仿宋" w:eastAsia="仿宋" w:cs="仿宋"/>
                <w:color w:val="auto"/>
                <w:sz w:val="24"/>
                <w:szCs w:val="24"/>
                <w:highlight w:val="none"/>
                <w:lang w:val="en-US" w:eastAsia="zh-CN"/>
              </w:rPr>
              <w:t>运营服务费</w:t>
            </w:r>
            <w:r>
              <w:rPr>
                <w:rFonts w:hint="eastAsia" w:ascii="仿宋" w:hAnsi="仿宋" w:eastAsia="仿宋" w:cs="仿宋"/>
                <w:color w:val="auto"/>
                <w:kern w:val="2"/>
                <w:sz w:val="24"/>
                <w:szCs w:val="24"/>
                <w:highlight w:val="none"/>
              </w:rPr>
              <w:t>)×价格权值×100</w:t>
            </w:r>
            <w:r>
              <w:rPr>
                <w:rFonts w:hint="eastAsia" w:ascii="仿宋" w:hAnsi="仿宋" w:eastAsia="仿宋" w:cs="仿宋"/>
                <w:color w:val="auto"/>
                <w:kern w:val="2"/>
                <w:sz w:val="24"/>
                <w:szCs w:val="24"/>
                <w:highlight w:val="none"/>
                <w:lang w:val="en-US"/>
              </w:rPr>
              <w:t xml:space="preserve"> </w:t>
            </w:r>
            <w:r>
              <w:rPr>
                <w:rFonts w:hint="eastAsia" w:ascii="仿宋" w:hAnsi="仿宋" w:eastAsia="仿宋" w:cs="仿宋"/>
                <w:color w:val="auto"/>
                <w:kern w:val="2"/>
                <w:sz w:val="24"/>
                <w:szCs w:val="24"/>
                <w:highlight w:val="none"/>
              </w:rPr>
              <w:t>（计算得分保留小数点后2位）</w:t>
            </w:r>
          </w:p>
        </w:tc>
        <w:tc>
          <w:tcPr>
            <w:tcW w:w="775" w:type="dxa"/>
            <w:noWrap/>
            <w:vAlign w:val="center"/>
          </w:tcPr>
          <w:p>
            <w:pPr>
              <w:pageBreakBefore w:val="0"/>
              <w:widowControl/>
              <w:kinsoku/>
              <w:wordWrap/>
              <w:overflowPunct/>
              <w:topLinePunct w:val="0"/>
              <w:bidi w:val="0"/>
              <w:snapToGrid/>
              <w:spacing w:line="360" w:lineRule="auto"/>
              <w:ind w:left="0" w:firstLine="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996" w:type="dxa"/>
            <w:noWrap/>
            <w:vAlign w:val="center"/>
          </w:tcPr>
          <w:p>
            <w:pPr>
              <w:pageBreakBefore w:val="0"/>
              <w:widowControl/>
              <w:kinsoku/>
              <w:wordWrap/>
              <w:overflowPunct/>
              <w:topLinePunct w:val="0"/>
              <w:bidi w:val="0"/>
              <w:snapToGrid/>
              <w:spacing w:line="360" w:lineRule="auto"/>
              <w:ind w:left="0" w:firstLine="0"/>
              <w:jc w:val="center"/>
              <w:rPr>
                <w:rFonts w:hint="eastAsia" w:ascii="仿宋" w:hAnsi="仿宋" w:eastAsia="仿宋" w:cs="仿宋"/>
                <w:color w:val="auto"/>
                <w:sz w:val="24"/>
                <w:szCs w:val="24"/>
                <w:highlight w:val="none"/>
              </w:rPr>
            </w:pPr>
          </w:p>
          <w:p>
            <w:pPr>
              <w:pStyle w:val="2"/>
              <w:pageBreakBefore w:val="0"/>
              <w:kinsoku/>
              <w:wordWrap/>
              <w:overflowPunct/>
              <w:topLinePunct w:val="0"/>
              <w:bidi w:val="0"/>
              <w:snapToGrid/>
              <w:spacing w:before="0" w:after="0" w:line="360" w:lineRule="auto"/>
              <w:ind w:left="0" w:leftChars="0" w:firstLine="0" w:firstLineChars="0"/>
              <w:jc w:val="center"/>
              <w:rPr>
                <w:rFonts w:hint="eastAsia" w:ascii="仿宋" w:hAnsi="仿宋" w:eastAsia="仿宋" w:cs="仿宋"/>
                <w:b/>
                <w:bCs/>
                <w:color w:val="auto"/>
                <w:kern w:val="44"/>
                <w:sz w:val="24"/>
                <w:szCs w:val="24"/>
                <w:highlight w:val="none"/>
                <w:lang w:val="en-US" w:eastAsia="zh-CN" w:bidi="ar-SA"/>
              </w:rPr>
            </w:pPr>
            <w:r>
              <w:rPr>
                <w:rFonts w:hint="eastAsia" w:ascii="仿宋" w:hAnsi="仿宋" w:eastAsia="仿宋" w:cs="仿宋"/>
                <w:color w:val="auto"/>
                <w:sz w:val="24"/>
                <w:szCs w:val="24"/>
                <w:highlight w:val="none"/>
                <w:lang w:val="en-US" w:eastAsia="zh-CN"/>
              </w:rPr>
              <w:t>/</w:t>
            </w:r>
          </w:p>
        </w:tc>
      </w:tr>
    </w:tbl>
    <w:p>
      <w:pPr>
        <w:widowControl/>
        <w:spacing w:line="360" w:lineRule="auto"/>
        <w:jc w:val="left"/>
        <w:rPr>
          <w:rFonts w:hint="eastAsia" w:ascii="仿宋" w:hAnsi="仿宋" w:eastAsia="仿宋" w:cs="仿宋"/>
          <w:b w:val="0"/>
          <w:bCs w:val="0"/>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b w:val="0"/>
          <w:bCs w:val="0"/>
          <w:sz w:val="24"/>
        </w:rPr>
        <w:t xml:space="preserve">1、投标人编制投标文件（商务技术文件部分）时，建议按此目录（序号和内容）提供评标标准相应的商务技术资料。 </w:t>
      </w:r>
    </w:p>
    <w:p>
      <w:pPr>
        <w:spacing w:line="360" w:lineRule="auto"/>
        <w:rPr>
          <w:rFonts w:hint="eastAsia" w:ascii="仿宋" w:hAnsi="仿宋" w:eastAsia="仿宋" w:cs="仿宋"/>
          <w:b w:val="0"/>
          <w:bCs w:val="0"/>
          <w:sz w:val="24"/>
        </w:rPr>
      </w:pPr>
      <w:r>
        <w:rPr>
          <w:rFonts w:hint="eastAsia" w:ascii="仿宋" w:hAnsi="仿宋" w:eastAsia="仿宋" w:cs="仿宋"/>
          <w:b w:val="0"/>
          <w:bCs w:val="0"/>
          <w:sz w:val="24"/>
        </w:rPr>
        <w:t>2、评分条款中涉及的业绩、荣誉、人员、社保等分公司均有效。涉及社保、劳动关系证明关系的，如人员为法人代表，则无需提供相关证明，提供营业执照及身份证即可。</w:t>
      </w:r>
    </w:p>
    <w:p>
      <w:pPr>
        <w:spacing w:line="360" w:lineRule="auto"/>
        <w:rPr>
          <w:rFonts w:hint="eastAsia" w:ascii="仿宋" w:hAnsi="仿宋" w:eastAsia="仿宋" w:cs="仿宋"/>
          <w:b w:val="0"/>
          <w:bCs w:val="0"/>
          <w:sz w:val="24"/>
        </w:rPr>
      </w:pPr>
      <w:r>
        <w:rPr>
          <w:rFonts w:hint="eastAsia" w:ascii="仿宋" w:hAnsi="仿宋" w:eastAsia="仿宋" w:cs="仿宋"/>
          <w:b w:val="0"/>
          <w:bCs w:val="0"/>
          <w:sz w:val="24"/>
        </w:rPr>
        <w:t>3、投标文件中如附有外文资料，必须逐一对应翻译成中文并加盖投标人公章后附在相关外文资料后面，否则外文资料不予认可。</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31"/>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31"/>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31"/>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1"/>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1"/>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1"/>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31"/>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31"/>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w:t>
      </w:r>
      <w:r>
        <w:rPr>
          <w:rFonts w:hint="eastAsia" w:ascii="仿宋" w:hAnsi="仿宋" w:eastAsia="仿宋" w:cs="仿宋"/>
          <w:kern w:val="0"/>
          <w:sz w:val="24"/>
          <w:lang w:val="en-US" w:eastAsia="zh-CN"/>
        </w:rPr>
        <w:t>3</w:t>
      </w:r>
      <w:r>
        <w:rPr>
          <w:rFonts w:hint="eastAsia" w:ascii="仿宋" w:hAnsi="仿宋" w:eastAsia="仿宋" w:cs="仿宋"/>
          <w:kern w:val="0"/>
          <w:sz w:val="24"/>
        </w:rPr>
        <w:t>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w:t>
      </w:r>
      <w:r>
        <w:rPr>
          <w:rFonts w:hint="eastAsia" w:ascii="仿宋" w:hAnsi="仿宋" w:eastAsia="仿宋" w:cs="仿宋"/>
          <w:kern w:val="0"/>
          <w:sz w:val="24"/>
          <w:lang w:val="en-US" w:eastAsia="zh-CN"/>
        </w:rPr>
        <w:t>4</w:t>
      </w:r>
      <w:r>
        <w:rPr>
          <w:rFonts w:hint="eastAsia" w:ascii="仿宋" w:hAnsi="仿宋" w:eastAsia="仿宋" w:cs="仿宋"/>
          <w:kern w:val="0"/>
          <w:sz w:val="24"/>
        </w:rPr>
        <w:t>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w:t>
      </w:r>
      <w:r>
        <w:rPr>
          <w:rFonts w:hint="eastAsia" w:ascii="仿宋" w:hAnsi="仿宋" w:eastAsia="仿宋" w:cs="仿宋"/>
          <w:kern w:val="0"/>
          <w:sz w:val="24"/>
          <w:lang w:val="en-US" w:eastAsia="zh-CN"/>
        </w:rPr>
        <w:t>5</w:t>
      </w:r>
      <w:r>
        <w:rPr>
          <w:rFonts w:hint="eastAsia" w:ascii="仿宋" w:hAnsi="仿宋" w:eastAsia="仿宋" w:cs="仿宋"/>
          <w:kern w:val="0"/>
          <w:sz w:val="24"/>
        </w:rPr>
        <w:t>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w:t>
      </w:r>
      <w:r>
        <w:rPr>
          <w:rFonts w:hint="eastAsia" w:ascii="仿宋" w:hAnsi="仿宋" w:eastAsia="仿宋" w:cs="仿宋"/>
          <w:kern w:val="0"/>
          <w:sz w:val="24"/>
          <w:lang w:val="en-US" w:eastAsia="zh-CN"/>
        </w:rPr>
        <w:t>6</w:t>
      </w:r>
      <w:r>
        <w:rPr>
          <w:rFonts w:hint="eastAsia" w:ascii="仿宋" w:hAnsi="仿宋" w:eastAsia="仿宋" w:cs="仿宋"/>
          <w:kern w:val="0"/>
          <w:sz w:val="24"/>
        </w:rPr>
        <w:t>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w:t>
      </w:r>
      <w:r>
        <w:rPr>
          <w:rFonts w:hint="eastAsia" w:ascii="仿宋" w:hAnsi="仿宋" w:eastAsia="仿宋" w:cs="仿宋"/>
          <w:kern w:val="0"/>
          <w:sz w:val="24"/>
          <w:lang w:val="en-US" w:eastAsia="zh-CN"/>
        </w:rPr>
        <w:t>7</w:t>
      </w:r>
      <w:r>
        <w:rPr>
          <w:rFonts w:hint="eastAsia" w:ascii="仿宋" w:hAnsi="仿宋" w:eastAsia="仿宋" w:cs="仿宋"/>
          <w:kern w:val="0"/>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w:t>
      </w:r>
      <w:r>
        <w:rPr>
          <w:rFonts w:hint="eastAsia" w:ascii="仿宋" w:hAnsi="仿宋" w:eastAsia="仿宋" w:cs="仿宋"/>
          <w:kern w:val="0"/>
          <w:sz w:val="24"/>
          <w:lang w:val="en-US" w:eastAsia="zh-CN"/>
        </w:rPr>
        <w:t>8</w:t>
      </w:r>
      <w:r>
        <w:rPr>
          <w:rFonts w:hint="eastAsia" w:ascii="仿宋" w:hAnsi="仿宋" w:eastAsia="仿宋" w:cs="仿宋"/>
          <w:kern w:val="0"/>
          <w:sz w:val="24"/>
        </w:rPr>
        <w:t>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w:t>
      </w:r>
      <w:r>
        <w:rPr>
          <w:rFonts w:hint="eastAsia" w:ascii="仿宋" w:hAnsi="仿宋" w:eastAsia="仿宋" w:cs="仿宋"/>
          <w:kern w:val="0"/>
          <w:sz w:val="24"/>
          <w:lang w:val="en-US" w:eastAsia="zh-CN"/>
        </w:rPr>
        <w:t>9</w:t>
      </w:r>
      <w:r>
        <w:rPr>
          <w:rFonts w:hint="eastAsia" w:ascii="仿宋" w:hAnsi="仿宋" w:eastAsia="仿宋" w:cs="仿宋"/>
          <w:kern w:val="0"/>
          <w:sz w:val="24"/>
        </w:rPr>
        <w:t>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w:t>
      </w:r>
      <w:r>
        <w:rPr>
          <w:rFonts w:hint="eastAsia" w:ascii="仿宋" w:hAnsi="仿宋" w:eastAsia="仿宋" w:cs="仿宋"/>
          <w:kern w:val="0"/>
          <w:sz w:val="24"/>
          <w:lang w:val="en-US" w:eastAsia="zh-CN"/>
        </w:rPr>
        <w:t>0</w:t>
      </w:r>
      <w:r>
        <w:rPr>
          <w:rFonts w:hint="eastAsia" w:ascii="仿宋" w:hAnsi="仿宋" w:eastAsia="仿宋" w:cs="仿宋"/>
          <w:kern w:val="0"/>
          <w:sz w:val="24"/>
        </w:rPr>
        <w:t>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rPr>
        <w:t>4.2.1</w:t>
      </w:r>
      <w:r>
        <w:rPr>
          <w:rFonts w:hint="eastAsia" w:ascii="仿宋" w:hAnsi="仿宋" w:eastAsia="仿宋" w:cs="仿宋"/>
          <w:kern w:val="0"/>
          <w:sz w:val="24"/>
          <w:lang w:val="en-US" w:eastAsia="zh-CN"/>
        </w:rPr>
        <w:t>1</w:t>
      </w:r>
      <w:r>
        <w:rPr>
          <w:rFonts w:hint="eastAsia" w:ascii="仿宋" w:hAnsi="仿宋" w:eastAsia="仿宋" w:cs="仿宋"/>
          <w:kern w:val="0"/>
          <w:sz w:val="24"/>
        </w:rPr>
        <w:t>投标人仅提交备份投标文件，未在电子交易平台传输递交投标文件的，投标无效；</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投标人未提供样品或提供的样品不满足采购需求实质性条件的，投标无效；</w:t>
      </w:r>
    </w:p>
    <w:p>
      <w:pPr>
        <w:pStyle w:val="3"/>
        <w:ind w:left="862" w:leftChars="205"/>
        <w:rPr>
          <w:rFonts w:hint="eastAsia" w:ascii="仿宋" w:hAnsi="仿宋" w:eastAsia="仿宋" w:cs="仿宋"/>
          <w:highlight w:val="none"/>
        </w:rPr>
      </w:pPr>
      <w:r>
        <w:rPr>
          <w:rFonts w:hint="eastAsia" w:ascii="仿宋" w:hAnsi="仿宋" w:eastAsia="仿宋" w:cs="仿宋"/>
          <w:b w:val="0"/>
          <w:bCs w:val="0"/>
          <w:kern w:val="0"/>
          <w:sz w:val="24"/>
          <w:szCs w:val="24"/>
          <w:highlight w:val="none"/>
          <w:lang w:val="en-US"/>
        </w:rPr>
        <w:t>4.2.1</w:t>
      </w:r>
      <w:r>
        <w:rPr>
          <w:rFonts w:hint="eastAsia" w:ascii="仿宋" w:eastAsia="仿宋" w:cs="仿宋"/>
          <w:b w:val="0"/>
          <w:bCs w:val="0"/>
          <w:kern w:val="0"/>
          <w:sz w:val="24"/>
          <w:szCs w:val="24"/>
          <w:highlight w:val="none"/>
          <w:lang w:val="en-US" w:eastAsia="zh-CN"/>
        </w:rPr>
        <w:t>3</w:t>
      </w:r>
      <w:r>
        <w:rPr>
          <w:rFonts w:hint="eastAsia" w:ascii="仿宋" w:hAnsi="仿宋" w:eastAsia="仿宋" w:cs="仿宋"/>
          <w:b w:val="0"/>
          <w:bCs w:val="0"/>
          <w:kern w:val="0"/>
          <w:sz w:val="24"/>
          <w:szCs w:val="24"/>
          <w:highlight w:val="none"/>
          <w:lang w:val="en-US"/>
        </w:rPr>
        <w:t>投标文件不满足招标文件的实质性要求的；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highlight w:val="none"/>
        </w:rPr>
        <w:t>4.2.1</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法律、法规、规章（适用本市的）及省级以上规范性文件</w:t>
      </w:r>
      <w:r>
        <w:rPr>
          <w:rFonts w:hint="eastAsia" w:ascii="仿宋" w:hAnsi="仿宋" w:eastAsia="仿宋" w:cs="仿宋"/>
          <w:kern w:val="0"/>
          <w:sz w:val="24"/>
        </w:rPr>
        <w:t>（适用本市的）规定的其他无效情形。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hint="eastAsia" w:ascii="仿宋" w:hAnsi="仿宋" w:eastAsia="仿宋" w:cs="仿宋"/>
        </w:rPr>
      </w:pPr>
      <w:r>
        <w:rPr>
          <w:rFonts w:hint="eastAsia" w:ascii="仿宋" w:hAnsi="仿宋" w:eastAsia="仿宋" w:cs="仿宋"/>
        </w:rPr>
        <w:t>废标后，</w:t>
      </w:r>
      <w:r>
        <w:rPr>
          <w:rFonts w:hint="eastAsia" w:ascii="仿宋" w:hAnsi="仿宋" w:eastAsia="仿宋" w:cs="仿宋"/>
          <w:lang w:eastAsia="zh-CN"/>
        </w:rPr>
        <w:t>采购代理机构</w:t>
      </w:r>
      <w:r>
        <w:rPr>
          <w:rFonts w:hint="eastAsia" w:ascii="仿宋" w:hAnsi="仿宋" w:eastAsia="仿宋" w:cs="仿宋"/>
        </w:rPr>
        <w:t>应当将废标理由通知所有投标人。</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lang w:eastAsia="zh-CN"/>
        </w:rPr>
        <w:t>采购代理机构</w:t>
      </w:r>
      <w:r>
        <w:rPr>
          <w:rFonts w:hint="eastAsia" w:ascii="仿宋" w:hAnsi="仿宋" w:eastAsia="仿宋" w:cs="仿宋"/>
        </w:rPr>
        <w:t>沟通并作书面记录。采购人、</w:t>
      </w:r>
      <w:r>
        <w:rPr>
          <w:rFonts w:hint="eastAsia" w:ascii="仿宋" w:hAnsi="仿宋" w:eastAsia="仿宋" w:cs="仿宋"/>
          <w:lang w:eastAsia="zh-CN"/>
        </w:rPr>
        <w:t>采购代理机构</w:t>
      </w:r>
      <w:r>
        <w:rPr>
          <w:rFonts w:hint="eastAsia" w:ascii="仿宋" w:hAnsi="仿宋" w:eastAsia="仿宋" w:cs="仿宋"/>
        </w:rPr>
        <w:t>确认后，将修改招标文件，重新组织采购活动。</w:t>
      </w:r>
    </w:p>
    <w:p>
      <w:pPr>
        <w:pStyle w:val="25"/>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5"/>
        <w:snapToGrid w:val="0"/>
        <w:spacing w:line="360" w:lineRule="auto"/>
        <w:rPr>
          <w:rFonts w:hint="eastAsia" w:ascii="仿宋" w:hAnsi="仿宋" w:eastAsia="仿宋" w:cs="仿宋"/>
        </w:rPr>
      </w:pPr>
      <w:r>
        <w:rPr>
          <w:rFonts w:hint="eastAsia" w:ascii="仿宋" w:hAnsi="仿宋" w:eastAsia="仿宋" w:cs="仿宋"/>
        </w:rPr>
        <w:t>7.1未确定中标供应商的，终止本次采购活动，重新开展采购活动。</w:t>
      </w:r>
    </w:p>
    <w:p>
      <w:pPr>
        <w:pStyle w:val="25"/>
        <w:snapToGrid w:val="0"/>
        <w:spacing w:line="360" w:lineRule="auto"/>
        <w:rPr>
          <w:rFonts w:hint="eastAsia" w:ascii="仿宋" w:hAnsi="仿宋" w:eastAsia="仿宋" w:cs="仿宋"/>
        </w:rPr>
      </w:pPr>
      <w:r>
        <w:rPr>
          <w:rFonts w:hint="eastAsia" w:ascii="仿宋" w:hAnsi="仿宋" w:eastAsia="仿宋" w:cs="仿宋"/>
        </w:rPr>
        <w:t>7.2已确定中标供应商但尚未签订采购合同的，中标结果无效，从合格的中标候选人中另行确定中标供应商；没有合格的中标候选人的，重新开展采购活动。</w:t>
      </w:r>
    </w:p>
    <w:p>
      <w:pPr>
        <w:pStyle w:val="25"/>
        <w:snapToGrid w:val="0"/>
        <w:spacing w:line="360" w:lineRule="auto"/>
        <w:rPr>
          <w:rFonts w:hint="eastAsia" w:ascii="仿宋" w:hAnsi="仿宋" w:eastAsia="仿宋" w:cs="仿宋"/>
        </w:rPr>
      </w:pPr>
      <w:r>
        <w:rPr>
          <w:rFonts w:hint="eastAsia" w:ascii="仿宋" w:hAnsi="仿宋" w:eastAsia="仿宋" w:cs="仿宋"/>
        </w:rPr>
        <w:t>7.3采购合同已签订但尚未履行的，撤销合同，从合格的中标候选人中另行确定中标供应商；没有合格的中标候选人的，重新开展采购活动。</w:t>
      </w:r>
    </w:p>
    <w:p>
      <w:pPr>
        <w:pStyle w:val="25"/>
        <w:snapToGrid w:val="0"/>
        <w:spacing w:line="360" w:lineRule="auto"/>
        <w:rPr>
          <w:rFonts w:hint="eastAsia" w:ascii="仿宋" w:hAnsi="仿宋" w:eastAsia="仿宋" w:cs="仿宋"/>
        </w:rPr>
      </w:pPr>
      <w:r>
        <w:rPr>
          <w:rFonts w:hint="eastAsia" w:ascii="仿宋" w:hAnsi="仿宋" w:eastAsia="仿宋" w:cs="仿宋"/>
        </w:rPr>
        <w:t>7.4采购合同已经履行，给采购人、供应商造成损失的，由责任人承担赔偿责任。</w:t>
      </w:r>
    </w:p>
    <w:p>
      <w:pPr>
        <w:pStyle w:val="25"/>
        <w:snapToGrid w:val="0"/>
        <w:spacing w:line="360" w:lineRule="auto"/>
        <w:rPr>
          <w:rFonts w:hint="eastAsia" w:ascii="仿宋" w:hAnsi="仿宋" w:eastAsia="仿宋" w:cs="仿宋"/>
        </w:rPr>
      </w:pPr>
      <w:r>
        <w:rPr>
          <w:rFonts w:hint="eastAsia" w:ascii="仿宋" w:hAnsi="仿宋" w:eastAsia="仿宋" w:cs="仿宋"/>
        </w:rPr>
        <w:t>7.5采购当事人有其他违反政府采购法或者政府采购法实施条例等法律法规规定的行为，经改正后仍然影响或者可能影响中标结果或者依法被认定为中标无效的，依照7.1-7.4规定处理。</w:t>
      </w:r>
    </w:p>
    <w:bookmarkEnd w:id="27"/>
    <w:p>
      <w:pPr>
        <w:rPr>
          <w:rFonts w:hint="eastAsia" w:ascii="仿宋" w:hAnsi="仿宋" w:eastAsia="仿宋" w:cs="仿宋"/>
          <w:b/>
          <w:sz w:val="36"/>
          <w:szCs w:val="36"/>
        </w:rPr>
      </w:pPr>
      <w:bookmarkStart w:id="394" w:name="第五部分"/>
      <w:bookmarkStart w:id="395" w:name="_Toc86217003"/>
      <w:r>
        <w:rPr>
          <w:rFonts w:hint="eastAsia" w:ascii="仿宋" w:hAnsi="仿宋" w:eastAsia="仿宋" w:cs="仿宋"/>
          <w:b/>
          <w:sz w:val="36"/>
          <w:szCs w:val="36"/>
        </w:rPr>
        <w:br w:type="page"/>
      </w: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highlight w:val="yellow"/>
        </w:rPr>
      </w:pPr>
      <w:r>
        <w:rPr>
          <w:rFonts w:hint="eastAsia" w:ascii="仿宋" w:hAnsi="仿宋" w:eastAsia="仿宋" w:cs="仿宋"/>
          <w:b/>
          <w:sz w:val="36"/>
          <w:szCs w:val="36"/>
        </w:rPr>
        <w:t>采</w:t>
      </w:r>
      <w:r>
        <w:rPr>
          <w:rFonts w:hint="eastAsia" w:ascii="仿宋" w:hAnsi="仿宋" w:eastAsia="仿宋" w:cs="仿宋"/>
          <w:b/>
          <w:sz w:val="36"/>
          <w:szCs w:val="36"/>
          <w:highlight w:val="none"/>
        </w:rPr>
        <w:t>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（服务类）</w:t>
      </w:r>
    </w:p>
    <w:p>
      <w:pPr>
        <w:pStyle w:val="701"/>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hint="eastAsia" w:ascii="仿宋" w:hAnsi="仿宋" w:eastAsia="仿宋" w:cs="仿宋"/>
          <w:sz w:val="24"/>
        </w:rPr>
      </w:pPr>
    </w:p>
    <w:p>
      <w:pPr>
        <w:pStyle w:val="3"/>
        <w:rPr>
          <w:rFonts w:hint="eastAsia" w:ascii="仿宋" w:hAnsi="仿宋" w:eastAsia="仿宋" w:cs="仿宋"/>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8"/>
        <w:spacing w:before="120" w:line="22" w:lineRule="atLeast"/>
        <w:rPr>
          <w:rFonts w:hint="eastAsia" w:ascii="仿宋" w:hAnsi="仿宋" w:eastAsia="仿宋" w:cs="仿宋"/>
          <w:szCs w:val="24"/>
        </w:rPr>
      </w:pPr>
    </w:p>
    <w:p>
      <w:pPr>
        <w:pStyle w:val="598"/>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cols w:space="720" w:num="1"/>
        </w:sectPr>
      </w:pPr>
    </w:p>
    <w:p>
      <w:pPr>
        <w:rPr>
          <w:rFonts w:hint="eastAsia" w:ascii="仿宋" w:hAnsi="仿宋" w:eastAsia="仿宋" w:cs="仿宋"/>
          <w:b/>
          <w:sz w:val="24"/>
        </w:r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（采购方式）  </w:t>
      </w:r>
      <w:r>
        <w:rPr>
          <w:rFonts w:hint="eastAsia" w:ascii="仿宋" w:hAnsi="仿宋" w:eastAsia="仿宋" w:cs="仿宋"/>
          <w:sz w:val="24"/>
        </w:rPr>
        <w:t>对</w:t>
      </w:r>
      <w:r>
        <w:rPr>
          <w:rFonts w:hint="eastAsia" w:ascii="仿宋" w:hAnsi="仿宋" w:eastAsia="仿宋" w:cs="仿宋"/>
          <w:sz w:val="24"/>
          <w:u w:val="single"/>
        </w:rPr>
        <w:t xml:space="preserve">  （项目名称）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sz w:val="24"/>
        </w:rPr>
      </w:pPr>
      <w:bookmarkStart w:id="396" w:name="_Toc28855"/>
      <w:bookmarkStart w:id="397" w:name="_Toc20421"/>
      <w:bookmarkStart w:id="398" w:name="_Toc19273"/>
      <w:bookmarkStart w:id="399" w:name="_Toc15367"/>
      <w:bookmarkStart w:id="400" w:name="_Toc22967"/>
      <w:r>
        <w:rPr>
          <w:rFonts w:hint="eastAsia" w:ascii="仿宋" w:hAnsi="仿宋" w:eastAsia="仿宋" w:cs="仿宋"/>
          <w:b/>
          <w:sz w:val="24"/>
        </w:rPr>
        <w:t>1.1 合同组成部分</w:t>
      </w:r>
      <w:bookmarkEnd w:id="396"/>
      <w:bookmarkEnd w:id="397"/>
      <w:bookmarkEnd w:id="398"/>
      <w:bookmarkEnd w:id="399"/>
      <w:bookmarkEnd w:id="40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401" w:name="_Toc22185"/>
      <w:bookmarkStart w:id="402" w:name="_Toc18585"/>
      <w:bookmarkStart w:id="403" w:name="_Toc6311"/>
      <w:bookmarkStart w:id="404" w:name="_Toc6773"/>
      <w:bookmarkStart w:id="405" w:name="_Toc2918"/>
      <w:r>
        <w:rPr>
          <w:rFonts w:hint="eastAsia" w:ascii="仿宋" w:hAnsi="仿宋" w:eastAsia="仿宋" w:cs="仿宋"/>
          <w:b/>
          <w:sz w:val="24"/>
        </w:rPr>
        <w:t>1.2 标的</w:t>
      </w:r>
      <w:bookmarkEnd w:id="401"/>
      <w:bookmarkEnd w:id="402"/>
      <w:bookmarkEnd w:id="403"/>
      <w:bookmarkEnd w:id="404"/>
      <w:bookmarkEnd w:id="405"/>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95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hint="eastAsia" w:ascii="仿宋" w:hAnsi="仿宋" w:eastAsia="仿宋" w:cs="仿宋"/>
          <w:sz w:val="24"/>
          <w:u w:val="single"/>
        </w:rPr>
      </w:pPr>
      <w:bookmarkStart w:id="406" w:name="_Toc1386"/>
      <w:bookmarkStart w:id="407" w:name="_Toc21124"/>
      <w:bookmarkStart w:id="408" w:name="_Toc13918"/>
      <w:bookmarkStart w:id="409" w:name="_Toc5635"/>
      <w:bookmarkStart w:id="410" w:name="_Toc4929"/>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1.3 价款</w:t>
      </w:r>
      <w:bookmarkEnd w:id="406"/>
      <w:bookmarkEnd w:id="407"/>
      <w:bookmarkEnd w:id="408"/>
      <w:bookmarkEnd w:id="409"/>
      <w:bookmarkEnd w:id="41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319"/>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319"/>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sz w:val="24"/>
                <w:szCs w:val="24"/>
              </w:rPr>
            </w:pPr>
          </w:p>
        </w:tc>
        <w:tc>
          <w:tcPr>
            <w:tcW w:w="3402" w:type="dxa"/>
            <w:vAlign w:val="center"/>
          </w:tcPr>
          <w:p>
            <w:pPr>
              <w:pStyle w:val="319"/>
              <w:spacing w:line="560" w:lineRule="exact"/>
              <w:ind w:firstLine="200"/>
              <w:jc w:val="center"/>
              <w:rPr>
                <w:rFonts w:hint="eastAsia" w:ascii="仿宋" w:hAnsi="仿宋" w:eastAsia="仿宋" w:cs="仿宋"/>
                <w:sz w:val="24"/>
                <w:szCs w:val="24"/>
              </w:rPr>
            </w:pP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319"/>
              <w:spacing w:line="560" w:lineRule="exact"/>
              <w:ind w:firstLine="200"/>
              <w:jc w:val="center"/>
              <w:rPr>
                <w:rFonts w:hint="eastAsia" w:ascii="仿宋" w:hAnsi="仿宋" w:eastAsia="仿宋" w:cs="仿宋"/>
                <w:sz w:val="24"/>
                <w:szCs w:val="24"/>
              </w:rPr>
            </w:pPr>
          </w:p>
        </w:tc>
      </w:tr>
    </w:tbl>
    <w:p>
      <w:pPr>
        <w:spacing w:line="560" w:lineRule="exact"/>
        <w:ind w:firstLine="480" w:firstLineChars="200"/>
        <w:rPr>
          <w:rFonts w:hint="eastAsia" w:ascii="仿宋" w:hAnsi="仿宋" w:eastAsia="仿宋" w:cs="仿宋"/>
          <w:sz w:val="24"/>
        </w:rPr>
      </w:pPr>
      <w:bookmarkStart w:id="411" w:name="_Toc30506"/>
      <w:bookmarkStart w:id="412" w:name="_Toc3654"/>
      <w:bookmarkStart w:id="413" w:name="_Toc26916"/>
      <w:bookmarkStart w:id="414" w:name="_Toc30158"/>
      <w:bookmarkStart w:id="415" w:name="_Toc14993"/>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3"/>
        <w:rPr>
          <w:rFonts w:hint="eastAsia" w:ascii="仿宋" w:hAnsi="仿宋" w:eastAsia="仿宋" w:cs="仿宋"/>
          <w:lang w:val="en-US"/>
        </w:rPr>
      </w:pPr>
      <w:r>
        <w:rPr>
          <w:rFonts w:hint="eastAsia" w:ascii="仿宋" w:hAnsi="仿宋" w:eastAsia="仿宋" w:cs="仿宋"/>
          <w:sz w:val="24"/>
          <w:lang w:val="en-US"/>
        </w:rPr>
        <w:t xml:space="preserve">    </w:t>
      </w:r>
      <w:r>
        <w:rPr>
          <w:rFonts w:hint="eastAsia" w:ascii="仿宋" w:hAnsi="仿宋" w:eastAsia="仿宋" w:cs="仿宋"/>
          <w:b w:val="0"/>
          <w:bCs w:val="0"/>
          <w:sz w:val="24"/>
          <w:lang w:val="en-US"/>
        </w:rPr>
        <w:t>1.3.3其他计价方式：</w:t>
      </w:r>
      <w:r>
        <w:rPr>
          <w:rFonts w:hint="eastAsia" w:ascii="仿宋" w:hAnsi="仿宋" w:eastAsia="仿宋" w:cs="仿宋"/>
          <w:b w:val="0"/>
          <w:bCs w:val="0"/>
          <w:sz w:val="24"/>
          <w:u w:val="single"/>
          <w:lang w:val="en-US"/>
        </w:rPr>
        <w:t xml:space="preserve">                   </w:t>
      </w:r>
      <w:r>
        <w:rPr>
          <w:rFonts w:hint="eastAsia" w:ascii="仿宋" w:hAnsi="仿宋" w:eastAsia="仿宋" w:cs="仿宋"/>
          <w:b w:val="0"/>
          <w:bCs w:val="0"/>
          <w:sz w:val="24"/>
        </w:rPr>
        <w:t>。</w:t>
      </w:r>
    </w:p>
    <w:bookmarkEnd w:id="411"/>
    <w:bookmarkEnd w:id="412"/>
    <w:bookmarkEnd w:id="413"/>
    <w:bookmarkEnd w:id="414"/>
    <w:bookmarkEnd w:id="415"/>
    <w:p>
      <w:pPr>
        <w:pStyle w:val="959"/>
        <w:spacing w:before="0" w:beforeAutospacing="0" w:after="0" w:afterAutospacing="0" w:line="360" w:lineRule="auto"/>
        <w:ind w:firstLine="480"/>
        <w:rPr>
          <w:rFonts w:hint="eastAsia" w:ascii="仿宋" w:hAnsi="仿宋" w:eastAsia="仿宋" w:cs="仿宋"/>
          <w:b/>
        </w:rPr>
      </w:pPr>
      <w:bookmarkStart w:id="416" w:name="_Toc10340"/>
      <w:bookmarkStart w:id="417" w:name="_Toc1814"/>
      <w:bookmarkStart w:id="418" w:name="_Toc22618"/>
      <w:bookmarkStart w:id="419" w:name="_Toc11108"/>
      <w:bookmarkStart w:id="420" w:name="_Toc3625"/>
      <w:bookmarkStart w:id="421" w:name="_Toc31421"/>
      <w:bookmarkStart w:id="422" w:name="_Toc4760"/>
      <w:bookmarkStart w:id="423" w:name="_Toc8772"/>
      <w:r>
        <w:rPr>
          <w:rFonts w:hint="eastAsia" w:ascii="仿宋" w:hAnsi="仿宋" w:eastAsia="仿宋" w:cs="仿宋"/>
          <w:b/>
        </w:rPr>
        <w:t>1.4履约保证金</w:t>
      </w:r>
    </w:p>
    <w:p>
      <w:pPr>
        <w:pStyle w:val="95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3"/>
        <w:tabs>
          <w:tab w:val="left" w:pos="0"/>
        </w:tabs>
        <w:spacing w:line="560" w:lineRule="exact"/>
        <w:ind w:left="0" w:firstLine="480" w:firstLineChars="200"/>
        <w:rPr>
          <w:rFonts w:hint="eastAsia" w:ascii="仿宋" w:hAnsi="仿宋" w:eastAsia="仿宋" w:cs="仿宋"/>
          <w:lang w:val="en-US"/>
        </w:rPr>
      </w:pPr>
      <w:r>
        <w:rPr>
          <w:rFonts w:hint="eastAsia" w:ascii="仿宋" w:hAns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1.5</w:t>
      </w:r>
      <w:bookmarkEnd w:id="416"/>
      <w:bookmarkEnd w:id="417"/>
      <w:bookmarkEnd w:id="418"/>
      <w:r>
        <w:rPr>
          <w:rFonts w:hint="eastAsia" w:ascii="仿宋" w:hAnsi="仿宋" w:eastAsia="仿宋" w:cs="仿宋"/>
          <w:b/>
          <w:sz w:val="24"/>
        </w:rPr>
        <w:t>预付款</w:t>
      </w:r>
    </w:p>
    <w:p>
      <w:pPr>
        <w:pStyle w:val="95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95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9"/>
        <w:spacing w:before="0" w:beforeAutospacing="0" w:after="0" w:afterAutospacing="0" w:line="360" w:lineRule="auto"/>
        <w:ind w:firstLine="480"/>
        <w:rPr>
          <w:rFonts w:hint="eastAsia"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9"/>
        <w:spacing w:before="0" w:beforeAutospacing="0" w:after="0" w:afterAutospacing="0" w:line="360" w:lineRule="auto"/>
        <w:ind w:firstLine="480"/>
        <w:rPr>
          <w:rFonts w:hint="eastAsia" w:ascii="仿宋" w:hAnsi="仿宋" w:eastAsia="仿宋" w:cs="仿宋"/>
          <w:b/>
          <w:bCs/>
        </w:rPr>
      </w:pPr>
      <w:r>
        <w:rPr>
          <w:rFonts w:hint="eastAsia" w:ascii="仿宋" w:hAnsi="仿宋" w:eastAsia="仿宋" w:cs="仿宋"/>
          <w:b/>
          <w:bCs/>
        </w:rPr>
        <w:t>1.6资金支付</w:t>
      </w:r>
    </w:p>
    <w:p>
      <w:pPr>
        <w:pStyle w:val="95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1.7 履行期限、地点和方式</w:t>
      </w:r>
      <w:bookmarkEnd w:id="419"/>
      <w:bookmarkEnd w:id="420"/>
      <w:bookmarkEnd w:id="421"/>
      <w:bookmarkEnd w:id="422"/>
      <w:bookmarkEnd w:id="423"/>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bCs/>
          <w:sz w:val="24"/>
        </w:rPr>
      </w:pPr>
      <w:bookmarkStart w:id="424" w:name="_Toc24662"/>
      <w:bookmarkStart w:id="425" w:name="_Toc2375"/>
      <w:bookmarkStart w:id="426" w:name="_Toc5698"/>
      <w:bookmarkStart w:id="427" w:name="_Toc8586"/>
      <w:bookmarkStart w:id="428" w:name="_Toc3079"/>
      <w:r>
        <w:rPr>
          <w:rFonts w:hint="eastAsia" w:ascii="仿宋" w:hAnsi="仿宋" w:eastAsia="仿宋" w:cs="仿宋"/>
          <w:bCs/>
          <w:sz w:val="24"/>
        </w:rPr>
        <w:t>1.7.4若服务涉及货物的，则货物的：</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sz w:val="24"/>
          <w:u w:val="single"/>
        </w:rPr>
      </w:pPr>
      <w:r>
        <w:rPr>
          <w:rFonts w:hint="eastAsia" w:ascii="仿宋" w:hAnsi="仿宋" w:eastAsia="仿宋" w:cs="仿宋"/>
          <w:b/>
          <w:sz w:val="24"/>
        </w:rPr>
        <w:t>1.8违约责任</w:t>
      </w:r>
      <w:bookmarkEnd w:id="424"/>
      <w:bookmarkEnd w:id="425"/>
      <w:bookmarkEnd w:id="426"/>
      <w:bookmarkEnd w:id="427"/>
      <w:bookmarkEnd w:id="428"/>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%；违约金达到限额后甲方有权解除合同时间较长，建议直接修改为“迟延履行超过【</w:t>
      </w:r>
      <w:r>
        <w:rPr>
          <w:rFonts w:hint="eastAsia" w:ascii="仿宋" w:hAnsi="仿宋" w:eastAsia="仿宋" w:cs="仿宋"/>
          <w:sz w:val="24"/>
          <w:lang w:val="en-US" w:eastAsia="zh-CN"/>
        </w:rPr>
        <w:t>7</w:t>
      </w:r>
      <w:r>
        <w:rPr>
          <w:rFonts w:hint="eastAsia" w:ascii="仿宋" w:hAnsi="仿宋" w:eastAsia="仿宋" w:cs="仿宋"/>
          <w:sz w:val="24"/>
        </w:rPr>
        <w:t>】日的，甲方有权解除合同并要求乙方承担合同总价【】%的违约金”；</w:t>
      </w:r>
    </w:p>
    <w:p>
      <w:pPr>
        <w:pStyle w:val="3"/>
        <w:ind w:left="0" w:firstLine="480" w:firstLineChars="2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sz w:val="24"/>
          <w:szCs w:val="24"/>
          <w:u w:val="single"/>
          <w:lang w:val="en-US"/>
        </w:rPr>
        <w:t xml:space="preserve">  0.0</w:t>
      </w:r>
      <w:r>
        <w:rPr>
          <w:rFonts w:hint="eastAsia" w:ascii="仿宋" w:hAnsi="仿宋" w:eastAsia="仿宋" w:cs="仿宋"/>
          <w:b w:val="0"/>
          <w:bCs w:val="0"/>
          <w:sz w:val="24"/>
          <w:szCs w:val="24"/>
          <w:lang w:val="en-US"/>
        </w:rPr>
        <w:t xml:space="preserve">5（可根据情况修改） </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%计算，最高限额为本合同总价的</w:t>
      </w:r>
      <w:r>
        <w:rPr>
          <w:rFonts w:hint="eastAsia" w:ascii="仿宋" w:hAnsi="仿宋" w:eastAsia="仿宋" w:cs="仿宋"/>
          <w:b w:val="0"/>
          <w:bCs w:val="0"/>
          <w:sz w:val="24"/>
          <w:szCs w:val="24"/>
          <w:u w:val="single"/>
          <w:lang w:val="en-US"/>
        </w:rPr>
        <w:t xml:space="preserve">  20  </w:t>
      </w:r>
      <w:r>
        <w:rPr>
          <w:rFonts w:hint="eastAsia" w:ascii="仿宋" w:hAns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bookmarkStart w:id="429" w:name="_Toc30329"/>
      <w:bookmarkStart w:id="430" w:name="_Toc18683"/>
      <w:bookmarkStart w:id="431" w:name="_Toc9497"/>
      <w:bookmarkStart w:id="432" w:name="_Toc26807"/>
      <w:bookmarkStart w:id="433" w:name="_Toc32454"/>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1.8.6如果出现采购监督管理部门在处理投诉事项期间，书面通知甲方暂停采购活动的情形，或者询问或质疑事项可能影响中标或者成交结果的，导致甲方中止履行合同的情形，均不视为甲方违约。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sz w:val="24"/>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right="-420" w:rightChars="-200" w:firstLine="480" w:firstLineChars="200"/>
        <w:rPr>
          <w:rFonts w:hint="eastAsia" w:ascii="仿宋" w:hAnsi="仿宋" w:eastAsia="仿宋" w:cs="仿宋"/>
          <w:sz w:val="24"/>
        </w:rPr>
      </w:pPr>
      <w:r>
        <w:rPr>
          <w:rFonts w:hint="eastAsia" w:ascii="仿宋" w:hAnsi="仿宋" w:eastAsia="仿宋" w:cs="仿宋"/>
          <w:sz w:val="24"/>
          <w:lang w:val="en-US" w:eastAsia="zh-CN"/>
        </w:rPr>
        <w:t>①</w:t>
      </w:r>
      <w:r>
        <w:rPr>
          <w:rFonts w:hint="eastAsia" w:ascii="仿宋" w:hAnsi="仿宋" w:eastAsia="仿宋" w:cs="仿宋"/>
          <w:sz w:val="24"/>
        </w:rPr>
        <w:t>、乙方必须按照甲方规定的营业时间开展营业，非经甲方同意，不得擅自提前营业或提前结束营业，不得无故歇业停业。无故歇业停业超过5天的，甲方可以无条件取消该食堂的合同，并要求乙方承担【】元违约金。如甲方确须增加或减少餐厅营业时间（单个餐厅原则上增加和减少不超过一餐），乙方不得拒绝。</w:t>
      </w:r>
    </w:p>
    <w:p>
      <w:pPr>
        <w:spacing w:line="560" w:lineRule="exact"/>
        <w:ind w:right="-420" w:rightChars="-200" w:firstLine="480" w:firstLineChars="200"/>
        <w:rPr>
          <w:rFonts w:hint="eastAsia" w:ascii="仿宋" w:hAnsi="仿宋" w:eastAsia="仿宋" w:cs="仿宋"/>
          <w:sz w:val="24"/>
        </w:rPr>
      </w:pPr>
      <w:r>
        <w:rPr>
          <w:rFonts w:hint="eastAsia" w:ascii="仿宋" w:hAnsi="仿宋" w:eastAsia="仿宋" w:cs="仿宋"/>
          <w:sz w:val="24"/>
          <w:lang w:val="en-US" w:eastAsia="zh-CN"/>
        </w:rPr>
        <w:t>②</w:t>
      </w:r>
      <w:r>
        <w:rPr>
          <w:rFonts w:hint="eastAsia" w:ascii="仿宋" w:hAnsi="仿宋" w:eastAsia="仿宋" w:cs="仿宋"/>
          <w:sz w:val="24"/>
        </w:rPr>
        <w:t>、若乙方供应饭菜成本价格高于市场菜价成本价格，甲方有权要求乙方整改。乙方不同意整改的，甲方有权单方面终止合同。</w:t>
      </w:r>
    </w:p>
    <w:p>
      <w:pPr>
        <w:spacing w:line="560" w:lineRule="exact"/>
        <w:ind w:right="-420" w:rightChars="-200" w:firstLine="480" w:firstLineChars="200"/>
        <w:rPr>
          <w:rFonts w:hint="eastAsia" w:ascii="仿宋" w:hAnsi="仿宋" w:eastAsia="仿宋" w:cs="仿宋"/>
          <w:sz w:val="24"/>
        </w:rPr>
      </w:pPr>
      <w:r>
        <w:rPr>
          <w:rFonts w:hint="eastAsia" w:ascii="仿宋" w:hAnsi="仿宋" w:eastAsia="仿宋" w:cs="仿宋"/>
          <w:sz w:val="24"/>
          <w:lang w:val="en-US" w:eastAsia="zh-CN"/>
        </w:rPr>
        <w:t>③</w:t>
      </w:r>
      <w:r>
        <w:rPr>
          <w:rFonts w:hint="eastAsia" w:ascii="仿宋" w:hAnsi="仿宋" w:eastAsia="仿宋" w:cs="仿宋"/>
          <w:sz w:val="24"/>
        </w:rPr>
        <w:t>、乙方每个食堂正式运营后，食堂配备人员数量低于合同要求的，甲方有权要求乙方整改。乙方不同意整改的，甲方有权单方面终止合同。</w:t>
      </w:r>
    </w:p>
    <w:p>
      <w:pPr>
        <w:spacing w:line="560" w:lineRule="exact"/>
        <w:ind w:right="-420" w:rightChars="-200" w:firstLine="480" w:firstLineChars="200"/>
        <w:rPr>
          <w:rFonts w:hint="eastAsia" w:ascii="仿宋" w:hAnsi="仿宋" w:eastAsia="仿宋" w:cs="仿宋"/>
          <w:sz w:val="24"/>
        </w:rPr>
      </w:pPr>
      <w:r>
        <w:rPr>
          <w:rFonts w:hint="eastAsia" w:ascii="仿宋" w:hAnsi="仿宋" w:eastAsia="仿宋" w:cs="仿宋"/>
          <w:sz w:val="24"/>
          <w:lang w:val="en-US" w:eastAsia="zh-CN"/>
        </w:rPr>
        <w:t>④</w:t>
      </w:r>
      <w:r>
        <w:rPr>
          <w:rFonts w:hint="eastAsia" w:ascii="仿宋" w:hAnsi="仿宋" w:eastAsia="仿宋" w:cs="仿宋"/>
          <w:sz w:val="24"/>
        </w:rPr>
        <w:t>、单个食堂合同解除后，乙方须在5个工作日内完成食堂交接手续，清点并交接食堂设施设备及用具，有人为损坏或遗失的，乙方须赔偿相应损失。逾期交接的，逾期时间内的运营费不再支付，营业额不再返还，逾期每超过一天，从履约保证金中扣除5000元，并依法追究乙方相应的经济和法律责任。</w:t>
      </w:r>
    </w:p>
    <w:bookmarkEnd w:id="429"/>
    <w:bookmarkEnd w:id="430"/>
    <w:bookmarkEnd w:id="431"/>
    <w:bookmarkEnd w:id="432"/>
    <w:bookmarkEnd w:id="433"/>
    <w:p>
      <w:pPr>
        <w:spacing w:line="560" w:lineRule="exact"/>
        <w:ind w:firstLine="482" w:firstLineChars="200"/>
        <w:outlineLvl w:val="0"/>
        <w:rPr>
          <w:rFonts w:hint="eastAsia" w:ascii="仿宋" w:hAnsi="仿宋" w:eastAsia="仿宋" w:cs="仿宋"/>
          <w:b/>
          <w:sz w:val="24"/>
        </w:rPr>
      </w:pPr>
      <w:bookmarkStart w:id="434" w:name="_Toc16021"/>
      <w:bookmarkStart w:id="435" w:name="_Toc15583"/>
      <w:bookmarkStart w:id="436" w:name="_Toc28375"/>
      <w:r>
        <w:rPr>
          <w:rFonts w:hint="eastAsia" w:ascii="仿宋" w:hAnsi="仿宋" w:eastAsia="仿宋" w:cs="仿宋"/>
          <w:b/>
          <w:sz w:val="24"/>
        </w:rPr>
        <w:t>1.9合同争议的解决</w:t>
      </w:r>
      <w:bookmarkEnd w:id="434"/>
      <w:bookmarkEnd w:id="435"/>
      <w:bookmarkEnd w:id="436"/>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437" w:name="_Toc15322"/>
      <w:bookmarkStart w:id="438" w:name="_Toc7245"/>
      <w:bookmarkStart w:id="439" w:name="_Toc11173"/>
      <w:r>
        <w:rPr>
          <w:rFonts w:hint="eastAsia" w:ascii="仿宋" w:hAnsi="仿宋" w:eastAsia="仿宋" w:cs="仿宋"/>
          <w:b/>
          <w:sz w:val="24"/>
        </w:rPr>
        <w:t>2.0 合同生效</w:t>
      </w:r>
      <w:bookmarkEnd w:id="437"/>
      <w:bookmarkEnd w:id="438"/>
      <w:bookmarkEnd w:id="439"/>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rPr>
        <w:br w:type="page"/>
      </w:r>
    </w:p>
    <w:p>
      <w:pPr>
        <w:pStyle w:val="701"/>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hint="eastAsia" w:ascii="仿宋" w:hAnsi="仿宋" w:eastAsia="仿宋" w:cs="仿宋"/>
          <w:b/>
          <w:sz w:val="24"/>
        </w:rPr>
      </w:pPr>
      <w:bookmarkStart w:id="440" w:name="_Toc25079"/>
      <w:bookmarkStart w:id="441" w:name="_Toc5228"/>
      <w:bookmarkStart w:id="442" w:name="_Toc31297"/>
      <w:bookmarkStart w:id="443" w:name="_Toc19680"/>
      <w:bookmarkStart w:id="444" w:name="_Toc14021"/>
      <w:r>
        <w:rPr>
          <w:rFonts w:hint="eastAsia" w:ascii="仿宋" w:hAnsi="仿宋" w:eastAsia="仿宋" w:cs="仿宋"/>
          <w:b/>
          <w:sz w:val="24"/>
        </w:rPr>
        <w:t>2.1 定义</w:t>
      </w:r>
      <w:bookmarkEnd w:id="440"/>
      <w:bookmarkEnd w:id="441"/>
      <w:bookmarkEnd w:id="442"/>
      <w:bookmarkEnd w:id="443"/>
      <w:bookmarkEnd w:id="44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“服务”系指中标或成交供应商根据合同约定应向采购人履行的除货物和工程以外的其他采购对象，包括采购人自身需要的服务和向社会公众提供的公共服务。</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hint="eastAsia" w:ascii="仿宋" w:hAnsi="仿宋" w:eastAsia="仿宋" w:cs="仿宋"/>
          <w:b/>
          <w:sz w:val="24"/>
        </w:rPr>
      </w:pPr>
      <w:bookmarkStart w:id="445" w:name="_Toc3769"/>
      <w:bookmarkStart w:id="446" w:name="_Toc23289"/>
      <w:bookmarkStart w:id="447" w:name="_Toc31402"/>
      <w:bookmarkStart w:id="448" w:name="_Toc16752"/>
      <w:bookmarkStart w:id="449" w:name="_Toc19539"/>
      <w:r>
        <w:rPr>
          <w:rFonts w:hint="eastAsia" w:ascii="仿宋" w:hAnsi="仿宋" w:eastAsia="仿宋" w:cs="仿宋"/>
          <w:b/>
          <w:sz w:val="24"/>
        </w:rPr>
        <w:t>2.2 技术规范</w:t>
      </w:r>
      <w:bookmarkEnd w:id="445"/>
      <w:bookmarkEnd w:id="446"/>
      <w:bookmarkEnd w:id="447"/>
      <w:bookmarkEnd w:id="448"/>
      <w:bookmarkEnd w:id="44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50" w:name="_Toc9161"/>
      <w:bookmarkStart w:id="451" w:name="_Toc13673"/>
      <w:bookmarkStart w:id="452" w:name="_Toc4133"/>
      <w:bookmarkStart w:id="453" w:name="_Toc27945"/>
      <w:bookmarkStart w:id="454" w:name="_Toc12412"/>
      <w:r>
        <w:rPr>
          <w:rFonts w:hint="eastAsia" w:ascii="仿宋" w:hAnsi="仿宋" w:eastAsia="仿宋" w:cs="仿宋"/>
          <w:b/>
          <w:sz w:val="24"/>
        </w:rPr>
        <w:t>2.3 知识产权</w:t>
      </w:r>
      <w:bookmarkEnd w:id="450"/>
      <w:bookmarkEnd w:id="451"/>
      <w:bookmarkEnd w:id="452"/>
      <w:bookmarkEnd w:id="453"/>
      <w:bookmarkEnd w:id="45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sz w:val="24"/>
        </w:rPr>
      </w:pPr>
      <w:bookmarkStart w:id="455" w:name="_Toc31233"/>
      <w:bookmarkStart w:id="456" w:name="_Toc22011"/>
      <w:bookmarkStart w:id="457" w:name="_Toc15447"/>
      <w:bookmarkStart w:id="458" w:name="_Toc32670"/>
      <w:bookmarkStart w:id="459" w:name="_Toc26555"/>
      <w:r>
        <w:rPr>
          <w:rFonts w:hint="eastAsia" w:ascii="仿宋" w:hAnsi="仿宋" w:eastAsia="仿宋" w:cs="仿宋"/>
          <w:b/>
          <w:sz w:val="24"/>
        </w:rPr>
        <w:t>2.5 结算方式和付款条件</w:t>
      </w:r>
      <w:bookmarkEnd w:id="455"/>
      <w:bookmarkEnd w:id="456"/>
      <w:bookmarkEnd w:id="457"/>
      <w:bookmarkEnd w:id="458"/>
      <w:bookmarkEnd w:id="45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60" w:name="_Toc30507"/>
      <w:bookmarkStart w:id="461" w:name="_Toc13467"/>
      <w:bookmarkStart w:id="462" w:name="_Toc16163"/>
      <w:bookmarkStart w:id="463" w:name="_Toc18990"/>
      <w:bookmarkStart w:id="464" w:name="_Toc13154"/>
      <w:r>
        <w:rPr>
          <w:rFonts w:hint="eastAsia" w:ascii="仿宋" w:hAnsi="仿宋" w:eastAsia="仿宋" w:cs="仿宋"/>
          <w:b/>
          <w:sz w:val="24"/>
        </w:rPr>
        <w:t>2.6 技术资料和保密义务</w:t>
      </w:r>
      <w:bookmarkEnd w:id="460"/>
      <w:bookmarkEnd w:id="461"/>
      <w:bookmarkEnd w:id="462"/>
      <w:bookmarkEnd w:id="463"/>
      <w:bookmarkEnd w:id="46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65" w:name="_Toc19069"/>
      <w:r>
        <w:rPr>
          <w:rFonts w:hint="eastAsia" w:ascii="仿宋" w:hAnsi="仿宋" w:eastAsia="仿宋" w:cs="仿宋"/>
          <w:b/>
          <w:sz w:val="24"/>
        </w:rPr>
        <w:t>2.7 质量保证</w:t>
      </w:r>
      <w:bookmarkEnd w:id="46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66" w:name="_Toc22267"/>
      <w:r>
        <w:rPr>
          <w:rFonts w:hint="eastAsia" w:ascii="仿宋" w:hAnsi="仿宋" w:eastAsia="仿宋" w:cs="仿宋"/>
          <w:b/>
          <w:sz w:val="24"/>
        </w:rPr>
        <w:t>2.8 延迟履行</w:t>
      </w:r>
      <w:bookmarkEnd w:id="46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sz w:val="24"/>
        </w:rPr>
      </w:pPr>
      <w:bookmarkStart w:id="467" w:name="_Toc10611"/>
      <w:r>
        <w:rPr>
          <w:rFonts w:hint="eastAsia" w:ascii="仿宋" w:hAnsi="仿宋" w:eastAsia="仿宋" w:cs="仿宋"/>
          <w:b/>
          <w:sz w:val="24"/>
        </w:rPr>
        <w:t>2.9 合同变更</w:t>
      </w:r>
      <w:bookmarkEnd w:id="46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68" w:name="_Toc10663"/>
      <w:bookmarkStart w:id="469" w:name="_Toc26689"/>
      <w:bookmarkStart w:id="470" w:name="_Toc42"/>
      <w:bookmarkStart w:id="471" w:name="_Toc21830"/>
      <w:bookmarkStart w:id="472" w:name="_Toc23368"/>
      <w:r>
        <w:rPr>
          <w:rFonts w:hint="eastAsia" w:ascii="仿宋" w:hAnsi="仿宋" w:eastAsia="仿宋" w:cs="仿宋"/>
          <w:b/>
          <w:sz w:val="24"/>
        </w:rPr>
        <w:t>2.10 合同转让和分包</w:t>
      </w:r>
      <w:bookmarkEnd w:id="468"/>
      <w:bookmarkEnd w:id="469"/>
      <w:bookmarkEnd w:id="470"/>
      <w:bookmarkEnd w:id="471"/>
      <w:bookmarkEnd w:id="47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sz w:val="24"/>
        </w:rPr>
      </w:pPr>
      <w:bookmarkStart w:id="473" w:name="_Toc32494"/>
      <w:bookmarkStart w:id="474" w:name="_Toc14371"/>
      <w:bookmarkStart w:id="475" w:name="_Toc4720"/>
      <w:bookmarkStart w:id="476" w:name="_Toc26633"/>
      <w:bookmarkStart w:id="477" w:name="_Toc25571"/>
      <w:r>
        <w:rPr>
          <w:rFonts w:hint="eastAsia" w:ascii="仿宋" w:hAnsi="仿宋" w:eastAsia="仿宋" w:cs="仿宋"/>
          <w:b/>
          <w:sz w:val="24"/>
        </w:rPr>
        <w:t>2.11 不可抗力</w:t>
      </w:r>
      <w:bookmarkEnd w:id="473"/>
      <w:bookmarkEnd w:id="474"/>
      <w:bookmarkEnd w:id="475"/>
      <w:bookmarkEnd w:id="476"/>
      <w:bookmarkEnd w:id="47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478" w:name="_Toc25783"/>
      <w:bookmarkStart w:id="479" w:name="_Toc14115"/>
      <w:bookmarkStart w:id="480" w:name="_Toc3638"/>
      <w:bookmarkStart w:id="481" w:name="_Toc24465"/>
      <w:bookmarkStart w:id="482" w:name="_Toc23854"/>
      <w:r>
        <w:rPr>
          <w:rFonts w:hint="eastAsia" w:ascii="仿宋" w:hAnsi="仿宋" w:eastAsia="仿宋" w:cs="仿宋"/>
          <w:b/>
          <w:sz w:val="24"/>
        </w:rPr>
        <w:t>2.12 税费</w:t>
      </w:r>
      <w:bookmarkEnd w:id="478"/>
      <w:bookmarkEnd w:id="479"/>
      <w:bookmarkEnd w:id="480"/>
      <w:bookmarkEnd w:id="481"/>
      <w:bookmarkEnd w:id="48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sz w:val="24"/>
        </w:rPr>
      </w:pPr>
      <w:bookmarkStart w:id="483" w:name="_Toc26883"/>
      <w:bookmarkStart w:id="484" w:name="_Toc7315"/>
      <w:bookmarkStart w:id="485" w:name="_Toc25525"/>
      <w:bookmarkStart w:id="486" w:name="_Toc30105"/>
      <w:bookmarkStart w:id="487" w:name="_Toc14814"/>
      <w:r>
        <w:rPr>
          <w:rFonts w:hint="eastAsia" w:ascii="仿宋" w:hAnsi="仿宋" w:eastAsia="仿宋" w:cs="仿宋"/>
          <w:b/>
          <w:sz w:val="24"/>
        </w:rPr>
        <w:t>2.13 乙方破产</w:t>
      </w:r>
      <w:bookmarkEnd w:id="483"/>
      <w:bookmarkEnd w:id="484"/>
      <w:bookmarkEnd w:id="485"/>
      <w:bookmarkEnd w:id="486"/>
      <w:bookmarkEnd w:id="48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488" w:name="_Toc23323"/>
      <w:bookmarkStart w:id="489" w:name="_Toc1123"/>
      <w:bookmarkStart w:id="490" w:name="_Toc2016"/>
      <w:r>
        <w:rPr>
          <w:rFonts w:hint="eastAsia" w:ascii="仿宋" w:hAnsi="仿宋" w:eastAsia="仿宋" w:cs="仿宋"/>
          <w:b/>
          <w:sz w:val="24"/>
        </w:rPr>
        <w:t>2.14 合同中止、终止</w:t>
      </w:r>
      <w:bookmarkEnd w:id="488"/>
      <w:bookmarkEnd w:id="489"/>
      <w:bookmarkEnd w:id="49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91" w:name="_Toc14525"/>
      <w:bookmarkStart w:id="492" w:name="_Toc17363"/>
      <w:bookmarkStart w:id="493" w:name="_Toc1969"/>
      <w:r>
        <w:rPr>
          <w:rFonts w:hint="eastAsia" w:ascii="仿宋" w:hAnsi="仿宋" w:eastAsia="仿宋" w:cs="仿宋"/>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hint="eastAsia" w:ascii="仿宋" w:hAnsi="仿宋" w:eastAsia="仿宋" w:cs="仿宋"/>
          <w:b/>
          <w:sz w:val="24"/>
        </w:rPr>
      </w:pPr>
      <w:bookmarkStart w:id="494" w:name="_Toc2308"/>
      <w:bookmarkStart w:id="495" w:name="_Toc9808"/>
      <w:bookmarkStart w:id="496" w:name="_Toc12666"/>
      <w:bookmarkStart w:id="497" w:name="_Toc31892"/>
      <w:bookmarkStart w:id="498" w:name="_Toc25198"/>
      <w:r>
        <w:rPr>
          <w:rFonts w:hint="eastAsia" w:ascii="仿宋" w:hAnsi="仿宋" w:eastAsia="仿宋" w:cs="仿宋"/>
          <w:b/>
          <w:sz w:val="24"/>
        </w:rPr>
        <w:t>2.16 通知和送达</w:t>
      </w:r>
      <w:bookmarkEnd w:id="494"/>
      <w:bookmarkEnd w:id="495"/>
      <w:bookmarkEnd w:id="496"/>
      <w:bookmarkEnd w:id="497"/>
      <w:bookmarkEnd w:id="498"/>
    </w:p>
    <w:p>
      <w:pPr>
        <w:spacing w:line="560" w:lineRule="exact"/>
        <w:ind w:firstLine="480" w:firstLineChars="200"/>
        <w:rPr>
          <w:rFonts w:hint="eastAsia" w:ascii="仿宋" w:hAnsi="仿宋" w:eastAsia="仿宋" w:cs="仿宋"/>
          <w:sz w:val="24"/>
        </w:rPr>
      </w:pPr>
      <w:bookmarkStart w:id="499" w:name="_Toc27674"/>
      <w:bookmarkStart w:id="500" w:name="_Toc1840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9"/>
      <w:bookmarkEnd w:id="500"/>
    </w:p>
    <w:p>
      <w:pPr>
        <w:spacing w:line="560" w:lineRule="exact"/>
        <w:ind w:firstLine="482" w:firstLineChars="200"/>
        <w:outlineLvl w:val="0"/>
        <w:rPr>
          <w:rFonts w:hint="eastAsia" w:ascii="仿宋" w:hAnsi="仿宋" w:eastAsia="仿宋" w:cs="仿宋"/>
          <w:b/>
          <w:sz w:val="24"/>
        </w:rPr>
      </w:pPr>
      <w:bookmarkStart w:id="501" w:name="_Toc5063"/>
      <w:bookmarkStart w:id="502" w:name="_Toc27644"/>
      <w:bookmarkStart w:id="503" w:name="_Toc28906"/>
      <w:bookmarkStart w:id="504" w:name="_Toc12254"/>
      <w:bookmarkStart w:id="505" w:name="_Toc20808"/>
      <w:r>
        <w:rPr>
          <w:rFonts w:hint="eastAsia" w:ascii="仿宋" w:hAnsi="仿宋" w:eastAsia="仿宋" w:cs="仿宋"/>
          <w:b/>
          <w:sz w:val="24"/>
        </w:rPr>
        <w:t>2.17 合同使用的文字和适用的法律</w:t>
      </w:r>
      <w:bookmarkEnd w:id="501"/>
      <w:bookmarkEnd w:id="502"/>
      <w:bookmarkEnd w:id="503"/>
      <w:bookmarkEnd w:id="504"/>
      <w:bookmarkEnd w:id="50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hint="eastAsia" w:ascii="仿宋" w:hAnsi="仿宋" w:eastAsia="仿宋" w:cs="仿宋"/>
          <w:b/>
          <w:sz w:val="24"/>
        </w:rPr>
      </w:pPr>
      <w:bookmarkStart w:id="506" w:name="_Toc4355"/>
      <w:bookmarkStart w:id="507" w:name="_Toc30599"/>
      <w:bookmarkStart w:id="508" w:name="_Toc18540"/>
      <w:r>
        <w:rPr>
          <w:rFonts w:hint="eastAsia" w:ascii="仿宋" w:hAnsi="仿宋" w:eastAsia="仿宋" w:cs="仿宋"/>
          <w:b/>
          <w:sz w:val="24"/>
        </w:rPr>
        <w:t>2.18 计量单位</w:t>
      </w:r>
      <w:bookmarkEnd w:id="506"/>
      <w:bookmarkEnd w:id="507"/>
      <w:bookmarkEnd w:id="50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hint="eastAsia" w:ascii="仿宋" w:hAnsi="仿宋" w:eastAsia="仿宋" w:cs="仿宋"/>
          <w:b/>
          <w:sz w:val="24"/>
        </w:rPr>
      </w:pPr>
      <w:r>
        <w:rPr>
          <w:rFonts w:hint="eastAsia" w:ascii="仿宋" w:hAnsi="仿宋" w:eastAsia="仿宋" w:cs="仿宋"/>
          <w:kern w:val="0"/>
        </w:rPr>
        <w:br w:type="page"/>
      </w:r>
      <w:bookmarkStart w:id="509" w:name="_Toc331685784"/>
      <w:r>
        <w:rPr>
          <w:rFonts w:hint="eastAsia" w:ascii="仿宋" w:hAnsi="仿宋" w:eastAsia="仿宋" w:cs="仿宋"/>
          <w:b/>
          <w:sz w:val="24"/>
        </w:rPr>
        <w:t xml:space="preserve"> </w:t>
      </w:r>
      <w:bookmarkEnd w:id="509"/>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46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1.3.2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1.5.1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1.5.2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1.5.3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1.6.2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1.7.1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1.7.2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1.7.3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1.7.4.1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1.7.4.2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1.7.4.3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1.8.7</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1.9.1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1.9.2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2.11.3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2.11.4</w:t>
            </w:r>
          </w:p>
        </w:tc>
        <w:tc>
          <w:tcPr>
            <w:tcW w:w="4464" w:type="pct"/>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2.15.1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2.15.3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2.19</w:t>
            </w:r>
          </w:p>
        </w:tc>
        <w:tc>
          <w:tcPr>
            <w:tcW w:w="4464" w:type="pct"/>
          </w:tcPr>
          <w:p>
            <w:pPr>
              <w:spacing w:line="360" w:lineRule="auto"/>
              <w:rPr>
                <w:rFonts w:hint="eastAsia" w:ascii="仿宋" w:hAnsi="仿宋" w:eastAsia="仿宋" w:cs="仿宋"/>
                <w:sz w:val="24"/>
              </w:rPr>
            </w:pPr>
          </w:p>
        </w:tc>
      </w:tr>
    </w:tbl>
    <w:p>
      <w:pPr>
        <w:spacing w:line="360" w:lineRule="auto"/>
        <w:ind w:left="720" w:leftChars="343" w:firstLine="1084" w:firstLineChars="300"/>
        <w:outlineLvl w:val="0"/>
        <w:rPr>
          <w:rFonts w:hint="eastAsia" w:ascii="仿宋" w:hAnsi="仿宋" w:eastAsia="仿宋" w:cs="仿宋"/>
          <w:b/>
          <w:sz w:val="36"/>
          <w:szCs w:val="36"/>
        </w:rPr>
      </w:pPr>
    </w:p>
    <w:p>
      <w:pPr>
        <w:widowControl/>
        <w:adjustRightInd/>
        <w:jc w:val="center"/>
        <w:rPr>
          <w:rFonts w:hint="eastAsia" w:ascii="仿宋" w:hAnsi="仿宋" w:eastAsia="仿宋" w:cs="仿宋"/>
          <w:b/>
          <w:sz w:val="36"/>
          <w:szCs w:val="20"/>
        </w:rPr>
      </w:pPr>
      <w:r>
        <w:rPr>
          <w:rFonts w:hint="eastAsia" w:ascii="仿宋" w:hAnsi="仿宋" w:eastAsia="仿宋" w:cs="仿宋"/>
          <w:b/>
          <w:sz w:val="36"/>
          <w:szCs w:val="20"/>
        </w:rPr>
        <w:t>第六部分</w:t>
      </w:r>
      <w:bookmarkEnd w:id="394"/>
      <w:r>
        <w:rPr>
          <w:rFonts w:hint="eastAsia" w:ascii="仿宋" w:hAnsi="仿宋" w:eastAsia="仿宋" w:cs="仿宋"/>
          <w:b/>
          <w:sz w:val="36"/>
          <w:szCs w:val="20"/>
        </w:rPr>
        <w:t xml:space="preserve"> </w:t>
      </w:r>
      <w:bookmarkEnd w:id="395"/>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（1）符合参加采购活动应当具备的一般条件的承诺函…………………（页码）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color w:val="0000FF"/>
          <w:sz w:val="24"/>
        </w:rPr>
        <w:t>（采购人</w:t>
      </w:r>
      <w:r>
        <w:rPr>
          <w:rFonts w:hint="eastAsia" w:ascii="仿宋" w:hAnsi="仿宋" w:eastAsia="仿宋" w:cs="仿宋"/>
          <w:color w:val="0000FF"/>
          <w:sz w:val="24"/>
          <w:lang w:eastAsia="zh-CN"/>
        </w:rPr>
        <w:t>）</w:t>
      </w:r>
      <w:r>
        <w:rPr>
          <w:rFonts w:hint="eastAsia" w:ascii="仿宋" w:hAnsi="仿宋" w:eastAsia="仿宋" w:cs="仿宋"/>
          <w:sz w:val="24"/>
        </w:rPr>
        <w:t>（采购代理机构）：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b/>
          <w:kern w:val="0"/>
          <w:sz w:val="32"/>
          <w:szCs w:val="32"/>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firstLine="559" w:firstLineChars="233"/>
        <w:jc w:val="left"/>
        <w:rPr>
          <w:rFonts w:hint="eastAsia" w:ascii="仿宋" w:hAnsi="仿宋" w:eastAsia="仿宋" w:cs="仿宋"/>
          <w:b/>
          <w:kern w:val="0"/>
          <w:sz w:val="32"/>
          <w:szCs w:val="32"/>
          <w:highlight w:val="none"/>
        </w:rPr>
      </w:pPr>
      <w:r>
        <w:rPr>
          <w:rFonts w:hint="eastAsia" w:ascii="仿宋" w:hAnsi="仿宋" w:eastAsia="仿宋" w:cs="仿宋"/>
          <w:sz w:val="24"/>
          <w:highlight w:val="none"/>
        </w:rPr>
        <w:t>注：根据《关于规范采购供应商资格设定及资格审查的通知》（浙财采监[2013]24号）的相关规定，金融、保险、通讯等特定行业的全国性企业所设立的区域性分支机构，以及个体工商户、个人独资企业、合伙企业，参与采购活动，如果已经依法办理了工商、税务和社保登记手续，</w:t>
      </w:r>
      <w:r>
        <w:rPr>
          <w:rFonts w:hint="eastAsia" w:ascii="仿宋" w:hAnsi="仿宋" w:eastAsia="仿宋" w:cs="仿宋"/>
          <w:b/>
          <w:sz w:val="24"/>
          <w:highlight w:val="none"/>
          <w:u w:val="single"/>
        </w:rPr>
        <w:t>除提供上述《符合参加采购活动应当具备的一般条件的承诺函》外，还需提供下列材料：总公司（总机构）的授权书或提供房产权证或其他有效财产证明材料，证明其具备实际承担责任的能力和法定的缔结合同能力，可以独立参加采购活动，由单位负责人签署相关文件材料。</w:t>
      </w:r>
    </w:p>
    <w:p>
      <w:pPr>
        <w:rPr>
          <w:rFonts w:hint="eastAsia" w:ascii="仿宋" w:hAnsi="仿宋" w:eastAsia="仿宋" w:cs="仿宋"/>
        </w:rPr>
      </w:pPr>
    </w:p>
    <w:p>
      <w:pPr>
        <w:widowControl/>
        <w:adjustRightInd/>
        <w:jc w:val="left"/>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color w:val="0000FF"/>
          <w:sz w:val="24"/>
        </w:rPr>
        <w:t>（采购人</w:t>
      </w:r>
      <w:r>
        <w:rPr>
          <w:rFonts w:hint="eastAsia" w:ascii="仿宋" w:hAnsi="仿宋" w:eastAsia="仿宋" w:cs="仿宋"/>
          <w:color w:val="0000FF"/>
          <w:sz w:val="24"/>
          <w:lang w:eastAsia="zh-CN"/>
        </w:rPr>
        <w:t>）</w:t>
      </w:r>
      <w:r>
        <w:rPr>
          <w:rFonts w:hint="eastAsia" w:ascii="仿宋" w:hAnsi="仿宋" w:eastAsia="仿宋" w:cs="仿宋"/>
          <w:sz w:val="24"/>
        </w:rPr>
        <w:t>（采购代理机构）：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3</w:t>
      </w:r>
      <w:r>
        <w:rPr>
          <w:rFonts w:hint="eastAsia" w:ascii="仿宋" w:hAnsi="仿宋" w:eastAsia="仿宋" w:cs="仿宋"/>
          <w:sz w:val="24"/>
        </w:rPr>
        <w:t>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5</w:t>
      </w:r>
      <w:r>
        <w:rPr>
          <w:rFonts w:hint="eastAsia" w:ascii="仿宋" w:hAnsi="仿宋" w:eastAsia="仿宋" w:cs="仿宋"/>
          <w:sz w:val="24"/>
        </w:rPr>
        <w:t>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6</w:t>
      </w:r>
      <w:r>
        <w:rPr>
          <w:rFonts w:hint="eastAsia" w:ascii="仿宋" w:hAnsi="仿宋" w:eastAsia="仿宋" w:cs="仿宋"/>
          <w:sz w:val="24"/>
        </w:rPr>
        <w:t>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3"/>
        <w:rPr>
          <w:rFonts w:hint="eastAsia" w:ascii="仿宋" w:hAnsi="仿宋" w:eastAsia="仿宋" w:cs="仿宋"/>
          <w:lang w:val="en-US"/>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仿宋" w:hAnsi="仿宋" w:eastAsia="仿宋" w:cs="仿宋"/>
          <w:sz w:val="24"/>
        </w:rPr>
      </w:pP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color w:val="0000FF"/>
          <w:sz w:val="24"/>
          <w:lang w:eastAsia="zh-CN"/>
        </w:rPr>
        <w:t>）</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color w:val="0000FF"/>
          <w:sz w:val="24"/>
          <w:lang w:eastAsia="zh-CN"/>
        </w:rPr>
        <w:t>）</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both"/>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9"/>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9"/>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三</w:t>
      </w:r>
      <w:r>
        <w:rPr>
          <w:rFonts w:hint="eastAsia" w:ascii="仿宋" w:hAnsi="仿宋" w:eastAsia="仿宋" w:cs="仿宋"/>
          <w:b/>
          <w:kern w:val="0"/>
          <w:sz w:val="32"/>
          <w:szCs w:val="32"/>
        </w:rPr>
        <w:t>、符合性审查资料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jc w:val="cente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both"/>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lang w:val="en-US" w:eastAsia="zh-CN"/>
        </w:rPr>
        <w:t>四</w:t>
      </w:r>
      <w:r>
        <w:rPr>
          <w:rFonts w:hint="eastAsia" w:ascii="仿宋" w:hAnsi="仿宋" w:eastAsia="仿宋" w:cs="仿宋"/>
          <w:b/>
          <w:kern w:val="0"/>
          <w:sz w:val="32"/>
          <w:szCs w:val="32"/>
        </w:rPr>
        <w:t>、评标标准相应的商务技术资料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五</w:t>
      </w:r>
      <w:r>
        <w:rPr>
          <w:rFonts w:hint="eastAsia" w:ascii="仿宋" w:hAnsi="仿宋" w:eastAsia="仿宋" w:cs="仿宋"/>
          <w:b/>
          <w:kern w:val="0"/>
          <w:sz w:val="32"/>
          <w:szCs w:val="32"/>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六</w:t>
      </w:r>
      <w:r>
        <w:rPr>
          <w:rFonts w:hint="eastAsia" w:ascii="仿宋" w:hAnsi="仿宋" w:eastAsia="仿宋" w:cs="仿宋"/>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widowControl/>
        <w:adjustRightInd/>
        <w:jc w:val="left"/>
        <w:rPr>
          <w:rFonts w:hint="eastAsia" w:ascii="仿宋" w:hAnsi="仿宋" w:eastAsia="仿宋" w:cs="仿宋"/>
          <w:b/>
          <w:bCs/>
          <w:sz w:val="32"/>
          <w:szCs w:val="32"/>
        </w:rPr>
      </w:pPr>
      <w:r>
        <w:rPr>
          <w:rFonts w:hint="eastAsia" w:ascii="仿宋" w:hAnsi="仿宋" w:eastAsia="仿宋" w:cs="仿宋"/>
          <w:b/>
          <w:bCs/>
          <w:sz w:val="32"/>
          <w:szCs w:val="32"/>
        </w:rPr>
        <w:br w:type="page"/>
      </w: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七</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color w:val="0000FF"/>
          <w:sz w:val="24"/>
          <w:lang w:eastAsia="zh-CN"/>
        </w:rPr>
        <w:t>）</w:t>
      </w:r>
      <w:r>
        <w:rPr>
          <w:rFonts w:hint="eastAsia" w:ascii="仿宋" w:hAnsi="仿宋" w:eastAsia="仿宋" w:cs="仿宋"/>
          <w:sz w:val="24"/>
        </w:rPr>
        <w:t>（采购代理机构）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color w:val="0000FF"/>
          <w:sz w:val="24"/>
          <w:lang w:eastAsia="zh-CN"/>
        </w:rPr>
        <w:t>）</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FF"/>
          <w:sz w:val="24"/>
        </w:rPr>
        <w:t>（项目名称）</w:t>
      </w:r>
      <w:r>
        <w:rPr>
          <w:rFonts w:hint="eastAsia" w:ascii="仿宋" w:hAnsi="仿宋" w:eastAsia="仿宋" w:cs="仿宋"/>
          <w:kern w:val="0"/>
          <w:sz w:val="24"/>
          <w:lang w:val="zh-CN"/>
        </w:rPr>
        <w:t>【招标编号：</w:t>
      </w:r>
      <w:r>
        <w:rPr>
          <w:rFonts w:hint="eastAsia" w:ascii="仿宋" w:hAnsi="仿宋" w:eastAsia="仿宋" w:cs="仿宋"/>
          <w:color w:val="FF0000"/>
          <w:sz w:val="24"/>
        </w:rPr>
        <w:t>（采购编号）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46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596"/>
        <w:gridCol w:w="2037"/>
        <w:gridCol w:w="1876"/>
        <w:gridCol w:w="1760"/>
        <w:gridCol w:w="1553"/>
        <w:gridCol w:w="1988"/>
        <w:gridCol w:w="1964"/>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4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59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757"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698"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655"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578" w:type="pct"/>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服务人数</w:t>
            </w:r>
          </w:p>
        </w:tc>
        <w:tc>
          <w:tcPr>
            <w:tcW w:w="739" w:type="pct"/>
            <w:vAlign w:val="center"/>
          </w:tcPr>
          <w:p>
            <w:pPr>
              <w:spacing w:line="360" w:lineRule="auto"/>
              <w:jc w:val="center"/>
              <w:rPr>
                <w:rFonts w:hint="default" w:ascii="仿宋" w:hAnsi="仿宋" w:eastAsia="仿宋" w:cs="仿宋"/>
                <w:b/>
                <w:sz w:val="24"/>
                <w:lang w:eastAsia="zh-Hans"/>
              </w:rPr>
            </w:pPr>
            <w:r>
              <w:rPr>
                <w:rFonts w:hint="eastAsia" w:ascii="仿宋" w:hAnsi="仿宋" w:eastAsia="仿宋" w:cs="仿宋"/>
                <w:b/>
                <w:sz w:val="24"/>
                <w:lang w:val="en-US" w:eastAsia="zh-Hans"/>
              </w:rPr>
              <w:t>投标报价</w:t>
            </w:r>
            <w:r>
              <w:rPr>
                <w:rFonts w:hint="default" w:ascii="仿宋" w:hAnsi="仿宋" w:eastAsia="仿宋" w:cs="仿宋"/>
                <w:b/>
                <w:sz w:val="24"/>
                <w:lang w:eastAsia="zh-Hans"/>
              </w:rPr>
              <w:t>（</w:t>
            </w:r>
            <w:r>
              <w:rPr>
                <w:rFonts w:hint="eastAsia" w:ascii="仿宋" w:hAnsi="仿宋" w:eastAsia="仿宋" w:cs="仿宋"/>
                <w:b/>
                <w:sz w:val="24"/>
                <w:lang w:val="en-US" w:eastAsia="zh-Hans"/>
              </w:rPr>
              <w:t>元</w:t>
            </w:r>
            <w:r>
              <w:rPr>
                <w:rFonts w:hint="default" w:ascii="仿宋" w:hAnsi="仿宋" w:eastAsia="仿宋" w:cs="仿宋"/>
                <w:b/>
                <w:sz w:val="24"/>
                <w:lang w:eastAsia="zh-Hans"/>
              </w:rPr>
              <w:t>）</w:t>
            </w:r>
          </w:p>
        </w:tc>
        <w:tc>
          <w:tcPr>
            <w:tcW w:w="732" w:type="pct"/>
            <w:gridSpan w:val="2"/>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lang w:eastAsia="zh-CN"/>
              </w:rPr>
            </w:pPr>
            <w:r>
              <w:rPr>
                <w:rFonts w:hint="eastAsia" w:ascii="仿宋" w:hAnsi="仿宋" w:eastAsia="仿宋" w:cs="仿宋"/>
                <w:b/>
                <w:color w:val="FF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44" w:type="pct"/>
            <w:vAlign w:val="center"/>
          </w:tcPr>
          <w:p>
            <w:pPr>
              <w:spacing w:line="360" w:lineRule="auto"/>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1</w:t>
            </w:r>
          </w:p>
        </w:tc>
        <w:tc>
          <w:tcPr>
            <w:tcW w:w="594" w:type="pct"/>
            <w:vAlign w:val="center"/>
          </w:tcPr>
          <w:p>
            <w:pPr>
              <w:spacing w:line="360" w:lineRule="auto"/>
              <w:jc w:val="both"/>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经开国控集团食堂</w:t>
            </w:r>
          </w:p>
        </w:tc>
        <w:tc>
          <w:tcPr>
            <w:tcW w:w="757" w:type="pct"/>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内部食堂</w:t>
            </w:r>
          </w:p>
        </w:tc>
        <w:tc>
          <w:tcPr>
            <w:tcW w:w="698" w:type="pct"/>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default" w:ascii="仿宋" w:hAnsi="仿宋" w:eastAsia="仿宋" w:cs="仿宋"/>
                <w:sz w:val="24"/>
                <w:lang w:val="en-US" w:eastAsia="zh-CN"/>
              </w:rPr>
            </w:pPr>
            <w:r>
              <w:rPr>
                <w:rFonts w:hint="eastAsia" w:ascii="仿宋" w:hAnsi="仿宋" w:eastAsia="仿宋" w:cs="仿宋"/>
                <w:sz w:val="24"/>
                <w:lang w:eastAsia="zh-CN"/>
              </w:rPr>
              <w:t>不低于</w:t>
            </w:r>
            <w:r>
              <w:rPr>
                <w:rFonts w:hint="eastAsia" w:ascii="仿宋" w:hAnsi="仿宋" w:eastAsia="仿宋" w:cs="仿宋"/>
                <w:sz w:val="24"/>
                <w:lang w:val="en-US" w:eastAsia="zh-CN"/>
              </w:rPr>
              <w:t>6人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4" w:type="pct"/>
            <w:vAlign w:val="center"/>
          </w:tcPr>
          <w:p>
            <w:pPr>
              <w:spacing w:line="360" w:lineRule="auto"/>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2</w:t>
            </w:r>
          </w:p>
        </w:tc>
        <w:tc>
          <w:tcPr>
            <w:tcW w:w="594" w:type="pct"/>
            <w:vAlign w:val="center"/>
          </w:tcPr>
          <w:p>
            <w:pPr>
              <w:spacing w:line="360" w:lineRule="auto"/>
              <w:jc w:val="both"/>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绿发公司食堂</w:t>
            </w:r>
          </w:p>
        </w:tc>
        <w:tc>
          <w:tcPr>
            <w:tcW w:w="757"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eastAsia="zh-CN"/>
              </w:rPr>
              <w:t>内部食堂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3人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4" w:type="pct"/>
            <w:vAlign w:val="center"/>
          </w:tcPr>
          <w:p>
            <w:pPr>
              <w:spacing w:line="360" w:lineRule="auto"/>
              <w:ind w:firstLine="0" w:firstLineChars="0"/>
              <w:jc w:val="center"/>
              <w:rPr>
                <w:rFonts w:hint="default" w:ascii="仿宋" w:hAnsi="仿宋" w:eastAsia="仿宋" w:cs="仿宋"/>
                <w:b w:val="0"/>
                <w:bCs w:val="0"/>
                <w:color w:val="auto"/>
                <w:sz w:val="24"/>
              </w:rPr>
            </w:pPr>
            <w:r>
              <w:rPr>
                <w:rFonts w:hint="default" w:ascii="仿宋" w:hAnsi="仿宋" w:eastAsia="仿宋" w:cs="仿宋"/>
                <w:b w:val="0"/>
                <w:bCs w:val="0"/>
                <w:color w:val="auto"/>
                <w:sz w:val="24"/>
              </w:rPr>
              <w:t>3</w:t>
            </w:r>
          </w:p>
        </w:tc>
        <w:tc>
          <w:tcPr>
            <w:tcW w:w="594" w:type="pct"/>
            <w:vAlign w:val="center"/>
          </w:tcPr>
          <w:p>
            <w:pPr>
              <w:spacing w:line="360" w:lineRule="auto"/>
              <w:jc w:val="both"/>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创业谷一期食堂</w:t>
            </w:r>
          </w:p>
        </w:tc>
        <w:tc>
          <w:tcPr>
            <w:tcW w:w="757" w:type="pct"/>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市场化食堂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8人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244" w:type="pct"/>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p>
        </w:tc>
        <w:tc>
          <w:tcPr>
            <w:tcW w:w="594" w:type="pct"/>
            <w:vAlign w:val="center"/>
          </w:tcPr>
          <w:p>
            <w:pPr>
              <w:snapToGrid w:val="0"/>
              <w:spacing w:line="360" w:lineRule="auto"/>
              <w:jc w:val="both"/>
              <w:rPr>
                <w:rFonts w:hint="eastAsia" w:ascii="仿宋" w:hAnsi="仿宋" w:eastAsia="仿宋" w:cs="仿宋"/>
                <w:color w:val="auto"/>
                <w:sz w:val="24"/>
              </w:rPr>
            </w:pPr>
            <w:r>
              <w:rPr>
                <w:rFonts w:hint="eastAsia" w:ascii="仿宋" w:hAnsi="仿宋" w:eastAsia="仿宋" w:cs="仿宋"/>
                <w:b w:val="0"/>
                <w:bCs w:val="0"/>
                <w:color w:val="auto"/>
                <w:sz w:val="24"/>
                <w:lang w:eastAsia="zh-CN"/>
              </w:rPr>
              <w:t>信息港七期食堂</w:t>
            </w:r>
          </w:p>
        </w:tc>
        <w:tc>
          <w:tcPr>
            <w:tcW w:w="757"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市场化食堂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24人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4" w:type="pct"/>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594" w:type="pct"/>
            <w:vAlign w:val="center"/>
          </w:tcPr>
          <w:p>
            <w:pPr>
              <w:snapToGrid w:val="0"/>
              <w:spacing w:line="360" w:lineRule="auto"/>
              <w:jc w:val="both"/>
              <w:rPr>
                <w:rFonts w:hint="eastAsia" w:ascii="仿宋" w:hAnsi="仿宋" w:eastAsia="仿宋" w:cs="仿宋"/>
                <w:color w:val="auto"/>
                <w:sz w:val="24"/>
              </w:rPr>
            </w:pPr>
            <w:r>
              <w:rPr>
                <w:rFonts w:hint="eastAsia" w:ascii="仿宋" w:hAnsi="仿宋" w:eastAsia="仿宋" w:cs="仿宋"/>
                <w:b w:val="0"/>
                <w:bCs w:val="0"/>
                <w:color w:val="auto"/>
                <w:sz w:val="24"/>
                <w:lang w:eastAsia="zh-CN"/>
              </w:rPr>
              <w:t>机器人小镇博展中心食堂</w:t>
            </w:r>
          </w:p>
        </w:tc>
        <w:tc>
          <w:tcPr>
            <w:tcW w:w="757"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市场化食堂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6人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4" w:type="pct"/>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p>
        </w:tc>
        <w:tc>
          <w:tcPr>
            <w:tcW w:w="594" w:type="pct"/>
            <w:vAlign w:val="center"/>
          </w:tcPr>
          <w:p>
            <w:pPr>
              <w:snapToGrid w:val="0"/>
              <w:spacing w:line="360" w:lineRule="auto"/>
              <w:jc w:val="both"/>
              <w:rPr>
                <w:rFonts w:hint="eastAsia" w:ascii="仿宋" w:hAnsi="仿宋" w:eastAsia="仿宋" w:cs="仿宋"/>
                <w:color w:val="auto"/>
                <w:sz w:val="24"/>
              </w:rPr>
            </w:pPr>
            <w:r>
              <w:rPr>
                <w:rFonts w:hint="eastAsia" w:ascii="仿宋" w:hAnsi="仿宋" w:eastAsia="仿宋" w:cs="仿宋"/>
                <w:b w:val="0"/>
                <w:bCs w:val="0"/>
                <w:color w:val="auto"/>
                <w:sz w:val="24"/>
                <w:lang w:eastAsia="zh-CN"/>
              </w:rPr>
              <w:t>机器人小镇硬科技中心食堂</w:t>
            </w:r>
          </w:p>
        </w:tc>
        <w:tc>
          <w:tcPr>
            <w:tcW w:w="757"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市场化食堂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10人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4" w:type="pct"/>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w:t>
            </w:r>
          </w:p>
        </w:tc>
        <w:tc>
          <w:tcPr>
            <w:tcW w:w="594" w:type="pct"/>
            <w:vAlign w:val="center"/>
          </w:tcPr>
          <w:p>
            <w:pPr>
              <w:snapToGrid w:val="0"/>
              <w:spacing w:line="360" w:lineRule="auto"/>
              <w:jc w:val="both"/>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金珺澜庭邻里食堂</w:t>
            </w:r>
          </w:p>
        </w:tc>
        <w:tc>
          <w:tcPr>
            <w:tcW w:w="757"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市场化食堂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10人</w:t>
            </w:r>
          </w:p>
        </w:tc>
        <w:tc>
          <w:tcPr>
            <w:tcW w:w="739" w:type="pct"/>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32" w:type="pct"/>
            <w:gridSpan w:val="2"/>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val="en-US" w:eastAsia="zh-CN"/>
              </w:rPr>
              <w:t>此项报价为0元，不得更改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4" w:type="pct"/>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w:t>
            </w:r>
          </w:p>
        </w:tc>
        <w:tc>
          <w:tcPr>
            <w:tcW w:w="594" w:type="pct"/>
            <w:vAlign w:val="center"/>
          </w:tcPr>
          <w:p>
            <w:pPr>
              <w:snapToGrid w:val="0"/>
              <w:spacing w:line="360" w:lineRule="auto"/>
              <w:jc w:val="both"/>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钱湾生物港一期食堂</w:t>
            </w:r>
          </w:p>
        </w:tc>
        <w:tc>
          <w:tcPr>
            <w:tcW w:w="757"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市场化食堂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16人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4" w:type="pct"/>
            <w:vAlign w:val="center"/>
          </w:tcPr>
          <w:p>
            <w:pPr>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w:t>
            </w:r>
          </w:p>
        </w:tc>
        <w:tc>
          <w:tcPr>
            <w:tcW w:w="594" w:type="pct"/>
            <w:vAlign w:val="center"/>
          </w:tcPr>
          <w:p>
            <w:pPr>
              <w:snapToGrid w:val="0"/>
              <w:spacing w:line="360" w:lineRule="auto"/>
              <w:jc w:val="both"/>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灵康大厦无忧共享食堂</w:t>
            </w:r>
          </w:p>
        </w:tc>
        <w:tc>
          <w:tcPr>
            <w:tcW w:w="757"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市场化食堂</w:t>
            </w:r>
          </w:p>
        </w:tc>
        <w:tc>
          <w:tcPr>
            <w:tcW w:w="698" w:type="pct"/>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lang w:val="en-US" w:eastAsia="zh-CN"/>
              </w:rPr>
              <w:t>5年</w:t>
            </w:r>
          </w:p>
        </w:tc>
        <w:tc>
          <w:tcPr>
            <w:tcW w:w="655" w:type="pct"/>
            <w:vAlign w:val="center"/>
          </w:tcPr>
          <w:p>
            <w:pPr>
              <w:spacing w:line="360" w:lineRule="auto"/>
              <w:jc w:val="center"/>
              <w:rPr>
                <w:rFonts w:hint="eastAsia" w:ascii="仿宋" w:hAnsi="仿宋" w:eastAsia="仿宋" w:cs="仿宋"/>
                <w:sz w:val="24"/>
              </w:rPr>
            </w:pPr>
          </w:p>
        </w:tc>
        <w:tc>
          <w:tcPr>
            <w:tcW w:w="578" w:type="pct"/>
          </w:tcPr>
          <w:p>
            <w:pPr>
              <w:spacing w:line="360" w:lineRule="auto"/>
              <w:jc w:val="both"/>
              <w:rPr>
                <w:rFonts w:hint="eastAsia" w:ascii="仿宋" w:hAnsi="仿宋" w:eastAsia="仿宋" w:cs="仿宋"/>
                <w:sz w:val="24"/>
              </w:rPr>
            </w:pPr>
            <w:r>
              <w:rPr>
                <w:rFonts w:hint="eastAsia" w:ascii="仿宋" w:hAnsi="仿宋" w:eastAsia="仿宋" w:cs="仿宋"/>
                <w:sz w:val="24"/>
                <w:lang w:eastAsia="zh-CN"/>
              </w:rPr>
              <w:t>不低于</w:t>
            </w:r>
            <w:r>
              <w:rPr>
                <w:rFonts w:hint="eastAsia" w:ascii="仿宋" w:hAnsi="仿宋" w:eastAsia="仿宋" w:cs="仿宋"/>
                <w:sz w:val="24"/>
                <w:lang w:val="en-US" w:eastAsia="zh-CN"/>
              </w:rPr>
              <w:t>9人</w:t>
            </w:r>
          </w:p>
        </w:tc>
        <w:tc>
          <w:tcPr>
            <w:tcW w:w="739" w:type="pct"/>
            <w:vAlign w:val="center"/>
          </w:tcPr>
          <w:p>
            <w:pPr>
              <w:spacing w:line="360" w:lineRule="auto"/>
              <w:jc w:val="center"/>
              <w:rPr>
                <w:rFonts w:hint="eastAsia" w:ascii="仿宋" w:hAnsi="仿宋" w:eastAsia="仿宋" w:cs="仿宋"/>
                <w:sz w:val="24"/>
              </w:rPr>
            </w:pPr>
          </w:p>
        </w:tc>
        <w:tc>
          <w:tcPr>
            <w:tcW w:w="732" w:type="pct"/>
            <w:gridSpan w:val="2"/>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659" w:hRule="atLeast"/>
        </w:trPr>
        <w:tc>
          <w:tcPr>
            <w:tcW w:w="1596"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2671" w:type="pct"/>
            <w:gridSpan w:val="4"/>
          </w:tcPr>
          <w:p>
            <w:pPr>
              <w:spacing w:line="360" w:lineRule="auto"/>
              <w:jc w:val="center"/>
              <w:rPr>
                <w:rFonts w:hint="eastAsia" w:ascii="仿宋" w:hAnsi="仿宋" w:eastAsia="仿宋" w:cs="仿宋"/>
                <w:sz w:val="24"/>
              </w:rPr>
            </w:pPr>
          </w:p>
        </w:tc>
        <w:tc>
          <w:tcPr>
            <w:tcW w:w="731" w:type="pct"/>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597" w:hRule="atLeast"/>
        </w:trPr>
        <w:tc>
          <w:tcPr>
            <w:tcW w:w="1596" w:type="pct"/>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2671" w:type="pct"/>
            <w:gridSpan w:val="4"/>
          </w:tcPr>
          <w:p>
            <w:pPr>
              <w:spacing w:line="360" w:lineRule="auto"/>
              <w:jc w:val="center"/>
              <w:rPr>
                <w:rFonts w:hint="eastAsia" w:ascii="仿宋" w:hAnsi="仿宋" w:eastAsia="仿宋" w:cs="仿宋"/>
                <w:sz w:val="24"/>
              </w:rPr>
            </w:pPr>
          </w:p>
        </w:tc>
        <w:tc>
          <w:tcPr>
            <w:tcW w:w="731" w:type="pct"/>
          </w:tcPr>
          <w:p>
            <w:pPr>
              <w:spacing w:line="360" w:lineRule="auto"/>
              <w:jc w:val="center"/>
              <w:rPr>
                <w:rFonts w:hint="eastAsia" w:ascii="仿宋" w:hAnsi="仿宋" w:eastAsia="仿宋" w:cs="仿宋"/>
                <w:sz w:val="24"/>
              </w:rPr>
            </w:pPr>
          </w:p>
        </w:tc>
      </w:tr>
    </w:tbl>
    <w:p>
      <w:pPr>
        <w:snapToGrid w:val="0"/>
        <w:spacing w:line="360" w:lineRule="auto"/>
        <w:ind w:left="480"/>
        <w:rPr>
          <w:rFonts w:hint="default" w:ascii="仿宋" w:hAnsi="仿宋" w:eastAsia="仿宋" w:cs="仿宋"/>
          <w:b/>
          <w:kern w:val="0"/>
          <w:sz w:val="24"/>
          <w:lang w:eastAsia="zh-Hans"/>
        </w:rPr>
      </w:pPr>
      <w:r>
        <w:rPr>
          <w:rFonts w:hint="eastAsia" w:ascii="仿宋" w:hAnsi="仿宋" w:eastAsia="仿宋" w:cs="仿宋"/>
          <w:b/>
          <w:kern w:val="0"/>
          <w:sz w:val="24"/>
          <w:lang w:val="en-US" w:eastAsia="zh-Hans"/>
        </w:rPr>
        <w:t>注</w:t>
      </w:r>
      <w:r>
        <w:rPr>
          <w:rFonts w:hint="default" w:ascii="仿宋" w:hAnsi="仿宋" w:eastAsia="仿宋" w:cs="仿宋"/>
          <w:b/>
          <w:kern w:val="0"/>
          <w:sz w:val="24"/>
          <w:lang w:eastAsia="zh-Hans"/>
        </w:rPr>
        <w:t>：</w:t>
      </w:r>
    </w:p>
    <w:p>
      <w:pPr>
        <w:spacing w:line="360" w:lineRule="auto"/>
        <w:ind w:left="-2" w:leftChars="-1"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1、投标人需按本表格式填写</w:t>
      </w:r>
      <w:r>
        <w:rPr>
          <w:rFonts w:hint="eastAsia" w:ascii="仿宋" w:hAnsi="仿宋" w:eastAsia="仿宋" w:cs="仿宋"/>
          <w:b/>
          <w:kern w:val="0"/>
          <w:sz w:val="24"/>
          <w:highlight w:val="none"/>
          <w:lang w:val="zh-CN"/>
        </w:rPr>
        <w:t>，</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投标文件含有采购人不能接受的附加条件，投标无效</w:t>
      </w:r>
      <w:r>
        <w:rPr>
          <w:rFonts w:hint="eastAsia" w:ascii="仿宋" w:hAnsi="仿宋" w:eastAsia="仿宋" w:cs="仿宋"/>
          <w:b/>
          <w:kern w:val="0"/>
          <w:sz w:val="24"/>
          <w:highlight w:val="none"/>
          <w:lang w:val="zh-CN"/>
        </w:rPr>
        <w:t>；</w:t>
      </w:r>
      <w:r>
        <w:rPr>
          <w:rFonts w:hint="eastAsia" w:ascii="仿宋" w:hAnsi="仿宋" w:eastAsia="仿宋" w:cs="仿宋"/>
          <w:kern w:val="0"/>
          <w:sz w:val="24"/>
          <w:highlight w:val="none"/>
          <w:lang w:val="zh-CN"/>
        </w:rPr>
        <w:t>。</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kern w:val="0"/>
          <w:sz w:val="24"/>
          <w:highlight w:val="none"/>
          <w:lang w:val="zh-CN"/>
        </w:rPr>
        <w:t>2、有关本项目实施所涉及的一切费用均计入报价。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highlight w:val="none"/>
        </w:rPr>
        <w:t>视为</w:t>
      </w:r>
      <w:r>
        <w:rPr>
          <w:rFonts w:hint="eastAsia" w:ascii="仿宋" w:hAnsi="仿宋" w:eastAsia="仿宋" w:cs="仿宋"/>
          <w:b/>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b/>
          <w:sz w:val="24"/>
          <w:highlight w:val="none"/>
        </w:rPr>
        <w:t>5、特别说明：▲供应商报价低于项目预算50%的，应当在报价文件中详细阐述</w:t>
      </w:r>
      <w:r>
        <w:rPr>
          <w:rFonts w:hint="eastAsia" w:ascii="仿宋" w:hAnsi="仿宋" w:eastAsia="仿宋" w:cs="仿宋"/>
          <w:b/>
          <w:sz w:val="24"/>
          <w:highlight w:val="none"/>
          <w:lang w:eastAsia="zh-CN"/>
        </w:rPr>
        <w:t>食堂人员工资标准、食材及配送成本、市场化经营食堂的营收及成本预测、市场化经营手段、综合年利润预测及</w:t>
      </w:r>
      <w:r>
        <w:rPr>
          <w:rFonts w:hint="eastAsia" w:ascii="仿宋" w:hAnsi="仿宋" w:eastAsia="仿宋" w:cs="仿宋"/>
          <w:b/>
          <w:sz w:val="24"/>
          <w:highlight w:val="none"/>
        </w:rPr>
        <w:t>不影响</w:t>
      </w:r>
      <w:r>
        <w:rPr>
          <w:rFonts w:hint="eastAsia" w:ascii="仿宋" w:hAnsi="仿宋" w:eastAsia="仿宋" w:cs="仿宋"/>
          <w:b/>
          <w:sz w:val="24"/>
          <w:highlight w:val="none"/>
          <w:lang w:eastAsia="zh-CN"/>
        </w:rPr>
        <w:t>食堂运营质量</w:t>
      </w:r>
      <w:r>
        <w:rPr>
          <w:rFonts w:hint="eastAsia" w:ascii="仿宋" w:hAnsi="仿宋" w:eastAsia="仿宋" w:cs="仿宋"/>
          <w:b/>
          <w:sz w:val="24"/>
          <w:highlight w:val="none"/>
        </w:rPr>
        <w:t>或者诚信履约的具体原因</w:t>
      </w:r>
      <w:r>
        <w:rPr>
          <w:rFonts w:hint="eastAsia" w:ascii="仿宋" w:hAnsi="仿宋" w:eastAsia="仿宋" w:cs="仿宋"/>
          <w:b/>
          <w:sz w:val="24"/>
          <w:highlight w:val="none"/>
          <w:lang w:eastAsia="zh-CN"/>
        </w:rPr>
        <w:t>，</w:t>
      </w:r>
      <w:r>
        <w:rPr>
          <w:rFonts w:hint="eastAsia" w:ascii="仿宋" w:hAnsi="仿宋" w:eastAsia="仿宋" w:cs="仿宋"/>
          <w:b/>
          <w:sz w:val="24"/>
          <w:highlight w:val="none"/>
          <w:lang w:val="en-US" w:eastAsia="zh-CN"/>
        </w:rPr>
        <w:t>未做详细阐述或者阐述说明与采购人实际调研相差太大的，投标无效。</w:t>
      </w:r>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10" w:name="OLE_LINK14"/>
      <w:bookmarkStart w:id="511" w:name="OLE_LINK13"/>
      <w:r>
        <w:rPr>
          <w:rFonts w:hint="eastAsia" w:ascii="仿宋" w:hAnsi="仿宋" w:eastAsia="仿宋" w:cs="仿宋"/>
          <w:b/>
          <w:spacing w:val="6"/>
          <w:sz w:val="32"/>
          <w:szCs w:val="32"/>
        </w:rPr>
        <w:t>残疾人福利性单位声明函</w:t>
      </w:r>
    </w:p>
    <w:bookmarkEnd w:id="510"/>
    <w:bookmarkEnd w:id="511"/>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0000FF"/>
          <w:sz w:val="24"/>
          <w:u w:val="single"/>
        </w:rPr>
        <w:t>(采购人)</w:t>
      </w:r>
      <w:r>
        <w:rPr>
          <w:rFonts w:hint="eastAsia" w:ascii="仿宋" w:hAnsi="仿宋" w:eastAsia="仿宋" w:cs="仿宋"/>
          <w:sz w:val="24"/>
        </w:rPr>
        <w:t>_单位的_</w:t>
      </w:r>
      <w:r>
        <w:rPr>
          <w:rFonts w:hint="eastAsia" w:ascii="仿宋" w:hAnsi="仿宋" w:eastAsia="仿宋" w:cs="仿宋"/>
          <w:color w:val="0000FF"/>
          <w:sz w:val="24"/>
          <w:u w:val="single"/>
        </w:rPr>
        <w:t>（项目名称）</w:t>
      </w:r>
      <w:r>
        <w:rPr>
          <w:rFonts w:hint="eastAsia" w:ascii="仿宋" w:hAnsi="仿宋" w:eastAsia="仿宋" w:cs="仿宋"/>
          <w:color w:val="0000FF"/>
          <w:sz w:val="24"/>
        </w:rPr>
        <w:t>_</w:t>
      </w:r>
      <w:r>
        <w:rPr>
          <w:rFonts w:hint="eastAsia" w:ascii="仿宋" w:hAnsi="仿宋" w:eastAsia="仿宋" w:cs="仿宋"/>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b/>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color w:val="0000FF"/>
          <w:sz w:val="24"/>
          <w:u w:val="single"/>
        </w:rPr>
        <w:t>（采购人</w:t>
      </w:r>
      <w:r>
        <w:rPr>
          <w:rFonts w:hint="eastAsia" w:ascii="仿宋" w:hAnsi="仿宋" w:eastAsia="仿宋" w:cs="仿宋"/>
          <w:color w:val="0000FF"/>
          <w:sz w:val="24"/>
          <w:u w:val="single"/>
          <w:lang w:eastAsia="zh-CN"/>
        </w:rPr>
        <w:t>）</w:t>
      </w:r>
      <w:r>
        <w:rPr>
          <w:rFonts w:hint="eastAsia" w:ascii="仿宋" w:hAnsi="仿宋" w:eastAsia="仿宋" w:cs="仿宋"/>
          <w:sz w:val="24"/>
          <w:u w:val="single"/>
        </w:rPr>
        <w:t>（采购代理机构）：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both"/>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pStyle w:val="3"/>
        <w:jc w:val="left"/>
        <w:rPr>
          <w:rFonts w:hint="eastAsia" w:ascii="仿宋" w:hAnsi="仿宋" w:eastAsia="仿宋" w:cs="仿宋"/>
          <w:sz w:val="24"/>
          <w:highlight w:val="none"/>
        </w:rPr>
      </w:pPr>
      <w:r>
        <w:rPr>
          <w:rFonts w:hint="eastAsia" w:ascii="仿宋" w:hAnsi="仿宋" w:eastAsia="仿宋" w:cs="仿宋"/>
          <w:highlight w:val="none"/>
        </w:rPr>
        <w:t>附件</w:t>
      </w:r>
      <w:r>
        <w:rPr>
          <w:rFonts w:hint="eastAsia" w:ascii="仿宋" w:eastAsia="仿宋" w:cs="仿宋"/>
          <w:highlight w:val="none"/>
          <w:lang w:val="en-US" w:eastAsia="zh-CN"/>
        </w:rPr>
        <w:t>5</w:t>
      </w:r>
      <w:r>
        <w:rPr>
          <w:rFonts w:hint="eastAsia" w:ascii="仿宋" w:hAnsi="仿宋" w:eastAsia="仿宋" w:cs="仿宋"/>
          <w:highlight w:val="none"/>
        </w:rPr>
        <w:t>样品（演示）授权委托书</w:t>
      </w:r>
    </w:p>
    <w:p>
      <w:pPr>
        <w:jc w:val="center"/>
        <w:rPr>
          <w:rFonts w:hint="eastAsia" w:ascii="仿宋" w:hAnsi="仿宋" w:eastAsia="仿宋" w:cs="仿宋"/>
          <w:sz w:val="40"/>
          <w:highlight w:val="none"/>
        </w:rPr>
      </w:pPr>
      <w:r>
        <w:rPr>
          <w:rFonts w:hint="eastAsia" w:ascii="仿宋" w:hAnsi="仿宋" w:eastAsia="仿宋" w:cs="仿宋"/>
          <w:sz w:val="40"/>
          <w:highlight w:val="none"/>
        </w:rPr>
        <w:t>样品（演示）授权委托书</w:t>
      </w:r>
    </w:p>
    <w:p>
      <w:pPr>
        <w:jc w:val="center"/>
        <w:rPr>
          <w:rFonts w:hint="eastAsia" w:ascii="仿宋" w:hAnsi="仿宋" w:eastAsia="仿宋" w:cs="仿宋"/>
          <w:sz w:val="40"/>
        </w:rPr>
      </w:pP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XXX（单位名称或采购机构名称）</w:t>
      </w:r>
      <w:r>
        <w:rPr>
          <w:rFonts w:hint="eastAsia" w:ascii="仿宋" w:hAnsi="仿宋" w:eastAsia="仿宋" w:cs="仿宋"/>
          <w:color w:val="000000"/>
          <w:sz w:val="24"/>
          <w:szCs w:val="24"/>
          <w:lang w:val="zh-CN"/>
        </w:rPr>
        <w:t>：</w:t>
      </w:r>
    </w:p>
    <w:p>
      <w:pPr>
        <w:snapToGrid w:val="0"/>
        <w:spacing w:line="360" w:lineRule="auto"/>
        <w:ind w:left="254" w:leftChars="121" w:firstLine="480" w:firstLineChars="200"/>
        <w:rPr>
          <w:rFonts w:hint="eastAsia" w:ascii="仿宋" w:hAnsi="仿宋" w:eastAsia="仿宋" w:cs="仿宋"/>
          <w:color w:val="000000"/>
          <w:sz w:val="24"/>
          <w:szCs w:val="24"/>
          <w:u w:val="single"/>
          <w:lang w:val="zh-CN"/>
        </w:rPr>
      </w:pPr>
      <w:r>
        <w:rPr>
          <w:rFonts w:hint="eastAsia" w:ascii="仿宋" w:hAnsi="仿宋" w:eastAsia="仿宋" w:cs="仿宋"/>
          <w:color w:val="000000"/>
          <w:sz w:val="24"/>
          <w:szCs w:val="24"/>
          <w:lang w:val="zh-CN"/>
        </w:rPr>
        <w:t>兹委派</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lang w:val="zh-CN"/>
        </w:rPr>
        <w:t>先生/女士，身份证号：</w:t>
      </w:r>
      <w:r>
        <w:rPr>
          <w:rFonts w:hint="eastAsia" w:ascii="仿宋" w:hAnsi="仿宋" w:eastAsia="仿宋" w:cs="仿宋"/>
          <w:color w:val="000000"/>
          <w:sz w:val="24"/>
          <w:szCs w:val="24"/>
          <w:u w:val="single"/>
          <w:lang w:val="zh-CN"/>
        </w:rPr>
        <w:t xml:space="preserve">                   </w:t>
      </w:r>
    </w:p>
    <w:p>
      <w:pPr>
        <w:snapToGrid w:val="0"/>
        <w:spacing w:line="360" w:lineRule="auto"/>
        <w:ind w:left="254" w:leftChars="121"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zh-CN"/>
        </w:rPr>
        <w:t>手机：</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lang w:val="zh-CN"/>
        </w:rPr>
        <w:t>，代表我公司前来递交</w:t>
      </w:r>
      <w:r>
        <w:rPr>
          <w:rFonts w:hint="eastAsia" w:ascii="仿宋" w:hAnsi="仿宋" w:eastAsia="仿宋" w:cs="仿宋"/>
          <w:color w:val="000000"/>
          <w:sz w:val="24"/>
          <w:szCs w:val="24"/>
          <w:u w:val="single"/>
          <w:lang w:val="zh-CN"/>
        </w:rPr>
        <w:t xml:space="preserve">                           采购项目</w:t>
      </w:r>
      <w:r>
        <w:rPr>
          <w:rFonts w:hint="eastAsia" w:ascii="仿宋" w:hAnsi="仿宋" w:eastAsia="仿宋" w:cs="仿宋"/>
          <w:color w:val="000000"/>
          <w:sz w:val="24"/>
          <w:szCs w:val="24"/>
          <w:lang w:val="zh-CN"/>
        </w:rPr>
        <w:t xml:space="preserve">【项目编号：              】（标项号：  </w:t>
      </w:r>
      <w:r>
        <w:rPr>
          <w:rFonts w:hint="eastAsia" w:ascii="仿宋" w:hAnsi="仿宋" w:eastAsia="仿宋" w:cs="仿宋"/>
          <w:color w:val="auto"/>
          <w:sz w:val="24"/>
          <w:szCs w:val="24"/>
          <w:lang w:val="zh-CN"/>
        </w:rPr>
        <w:t>）投标样品或参加演示，并全权负</w:t>
      </w:r>
      <w:r>
        <w:rPr>
          <w:rFonts w:hint="eastAsia" w:ascii="仿宋" w:hAnsi="仿宋" w:eastAsia="仿宋" w:cs="仿宋"/>
          <w:color w:val="000000"/>
          <w:sz w:val="24"/>
          <w:szCs w:val="24"/>
          <w:lang w:val="zh-CN"/>
        </w:rPr>
        <w:t>责标后取回样品等其他处理事宜。</w:t>
      </w:r>
    </w:p>
    <w:p>
      <w:pPr>
        <w:snapToGri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 xml:space="preserve">  </w:t>
      </w: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zh-CN"/>
        </w:rPr>
        <w:t xml:space="preserve">    特此告知。</w:t>
      </w: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zh-CN"/>
        </w:rPr>
        <w:t xml:space="preserve">                                                  投标人名称(公章)：</w:t>
      </w: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zh-CN"/>
        </w:rPr>
        <w:t xml:space="preserve">                                                  </w:t>
      </w:r>
    </w:p>
    <w:p>
      <w:pPr>
        <w:snapToGrid w:val="0"/>
        <w:spacing w:line="360" w:lineRule="auto"/>
        <w:ind w:right="240"/>
        <w:jc w:val="righ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签发日期：  年  月   日</w:t>
      </w:r>
    </w:p>
    <w:p>
      <w:pPr>
        <w:snapToGrid w:val="0"/>
        <w:spacing w:line="360" w:lineRule="auto"/>
        <w:ind w:right="240"/>
        <w:jc w:val="right"/>
        <w:rPr>
          <w:rFonts w:hint="eastAsia" w:ascii="仿宋" w:hAnsi="仿宋" w:eastAsia="仿宋" w:cs="仿宋"/>
          <w:color w:val="000000"/>
          <w:sz w:val="24"/>
          <w:szCs w:val="24"/>
          <w:lang w:val="zh-CN"/>
        </w:rPr>
      </w:pPr>
    </w:p>
    <w:p>
      <w:pPr>
        <w:snapToGrid w:val="0"/>
        <w:spacing w:line="360" w:lineRule="auto"/>
        <w:ind w:right="1920"/>
        <w:rPr>
          <w:rFonts w:hint="eastAsia" w:ascii="仿宋" w:hAnsi="仿宋" w:eastAsia="仿宋" w:cs="仿宋"/>
          <w:color w:val="000000"/>
          <w:sz w:val="24"/>
          <w:szCs w:val="24"/>
          <w:lang w:val="zh-CN"/>
        </w:rPr>
      </w:pPr>
    </w:p>
    <w:p>
      <w:pPr>
        <w:snapToGrid w:val="0"/>
        <w:spacing w:line="360" w:lineRule="auto"/>
        <w:ind w:right="240"/>
        <w:jc w:val="right"/>
        <w:rPr>
          <w:rFonts w:hint="eastAsia" w:ascii="仿宋" w:hAnsi="仿宋" w:eastAsia="仿宋" w:cs="仿宋"/>
          <w:color w:val="000000"/>
          <w:sz w:val="24"/>
          <w:szCs w:val="24"/>
          <w:lang w:val="zh-CN"/>
        </w:rPr>
      </w:pPr>
    </w:p>
    <w:p>
      <w:pPr>
        <w:snapToGrid w:val="0"/>
        <w:spacing w:line="360" w:lineRule="auto"/>
        <w:ind w:right="240"/>
        <w:rPr>
          <w:rFonts w:hint="eastAsia" w:ascii="仿宋" w:hAnsi="仿宋" w:eastAsia="仿宋" w:cs="仿宋"/>
          <w:color w:val="000000"/>
          <w:sz w:val="24"/>
          <w:szCs w:val="24"/>
          <w:lang w:val="zh-CN"/>
        </w:rPr>
      </w:pPr>
      <w:r>
        <w:rPr>
          <w:rFonts w:hint="eastAsia" w:ascii="仿宋" w:hAnsi="仿宋" w:eastAsia="仿宋" w:cs="仿宋"/>
          <w:color w:val="000000"/>
          <w:sz w:val="24"/>
          <w:szCs w:val="24"/>
        </w:rPr>
        <w:t>受委托人</w:t>
      </w:r>
      <w:r>
        <w:rPr>
          <w:rFonts w:hint="eastAsia" w:ascii="仿宋" w:hAnsi="仿宋" w:eastAsia="仿宋" w:cs="仿宋"/>
          <w:color w:val="000000"/>
          <w:sz w:val="24"/>
          <w:szCs w:val="24"/>
          <w:lang w:val="zh-CN"/>
        </w:rPr>
        <w:t>身份证复印件：</w:t>
      </w:r>
    </w:p>
    <w:p>
      <w:pPr>
        <w:snapToGrid w:val="0"/>
        <w:spacing w:line="360" w:lineRule="auto"/>
        <w:ind w:right="240"/>
        <w:rPr>
          <w:rFonts w:hint="eastAsia" w:ascii="仿宋" w:hAnsi="仿宋" w:eastAsia="仿宋" w:cs="仿宋"/>
          <w:color w:val="000000"/>
          <w:sz w:val="24"/>
          <w:szCs w:val="24"/>
          <w:lang w:val="zh-CN"/>
        </w:rPr>
      </w:pPr>
    </w:p>
    <w:p>
      <w:pPr>
        <w:snapToGrid w:val="0"/>
        <w:spacing w:line="360" w:lineRule="auto"/>
        <w:ind w:right="24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说明：本委托书在有样品或演示时由受委托人携带至指定地点。</w:t>
      </w:r>
    </w:p>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同时有样品和演示的，可委托不同人员。</w:t>
      </w:r>
    </w:p>
    <w:p>
      <w:pPr>
        <w:pStyle w:val="3"/>
        <w:rPr>
          <w:rFonts w:hint="eastAsia" w:ascii="仿宋" w:hAnsi="仿宋" w:eastAsia="仿宋" w:cs="仿宋"/>
        </w:rPr>
      </w:pPr>
    </w:p>
    <w:p>
      <w:pPr>
        <w:spacing w:line="360" w:lineRule="auto"/>
        <w:jc w:val="center"/>
        <w:rPr>
          <w:rFonts w:hint="eastAsia" w:ascii="仿宋" w:hAnsi="仿宋" w:eastAsia="仿宋" w:cs="仿宋"/>
          <w:b/>
          <w:sz w:val="32"/>
          <w:szCs w:val="32"/>
        </w:rPr>
      </w:pPr>
    </w:p>
    <w:p>
      <w:pPr>
        <w:pStyle w:val="3"/>
        <w:rPr>
          <w:rFonts w:hint="eastAsia" w:ascii="仿宋" w:hAnsi="仿宋" w:eastAsia="仿宋" w:cs="仿宋"/>
        </w:rPr>
      </w:pPr>
    </w:p>
    <w:p>
      <w:pPr>
        <w:pStyle w:val="3"/>
        <w:rPr>
          <w:rFonts w:hint="eastAsia" w:ascii="仿宋" w:hAnsi="仿宋" w:eastAsia="仿宋" w:cs="仿宋"/>
          <w:lang w:val="en-US"/>
        </w:rPr>
      </w:pPr>
    </w:p>
    <w:p>
      <w:pPr>
        <w:spacing w:line="360" w:lineRule="auto"/>
        <w:rPr>
          <w:rFonts w:hint="eastAsia"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Futura Bk B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wis721 WGL4 B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思源黑体 CN Normal"/>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00"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00" w:usb3="00000000" w:csb0="003E0000" w:csb1="00000000"/>
  </w:font>
  <w:font w:name="Helvetica">
    <w:altName w:val="Arial"/>
    <w:panose1 w:val="00000000000000000000"/>
    <w:charset w:val="00"/>
    <w:family w:val="swiss"/>
    <w:pitch w:val="default"/>
    <w:sig w:usb0="00000000" w:usb1="00000000" w:usb2="00000000" w:usb3="00000000" w:csb0="00000000" w:csb1="00000000"/>
  </w:font>
  <w:font w:name="Cumberland">
    <w:altName w:val="思源黑体 CN Normal"/>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Times New Roman"/>
    <w:panose1 w:val="02020603050405020304"/>
    <w:charset w:val="00"/>
    <w:family w:val="moder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Futura Bk BT">
    <w:panose1 w:val="020B0502020204020303"/>
    <w:charset w:val="00"/>
    <w:family w:val="auto"/>
    <w:pitch w:val="default"/>
    <w:sig w:usb0="800000AF" w:usb1="1000204A" w:usb2="00000000" w:usb3="00000000" w:csb0="00000011" w:csb1="00000000"/>
  </w:font>
  <w:font w:name="Swis721 WGL4 BT">
    <w:panose1 w:val="020B0504020202020204"/>
    <w:charset w:val="00"/>
    <w:family w:val="auto"/>
    <w:pitch w:val="default"/>
    <w:sig w:usb0="00000287" w:usb1="00000000" w:usb2="00000000" w:usb3="00000000" w:csb0="4000009F" w:csb1="DFD70000"/>
  </w:font>
  <w:font w:name="思源黑体 CN Normal">
    <w:panose1 w:val="020B0400000000000000"/>
    <w:charset w:val="86"/>
    <w:family w:val="auto"/>
    <w:pitch w:val="default"/>
    <w:sig w:usb0="20000003" w:usb1="2ADF3C10" w:usb2="00000016" w:usb3="00000000" w:csb0="60060107"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2" w:name="_Toc36110187"/>
    <w:bookmarkStart w:id="513" w:name="_Toc164085800"/>
    <w:bookmarkStart w:id="514" w:name="_Toc131845147"/>
    <w:bookmarkStart w:id="515" w:name="_Toc91899912"/>
    <w:r>
      <w:rPr>
        <w:rFonts w:hint="eastAsia" w:ascii="仿宋_GB2312" w:eastAsia="仿宋_GB2312"/>
        <w:kern w:val="0"/>
        <w:szCs w:val="21"/>
      </w:rPr>
      <w:t xml:space="preserve"> 页</w:t>
    </w:r>
    <w:bookmarkEnd w:id="512"/>
    <w:bookmarkEnd w:id="513"/>
    <w:bookmarkEnd w:id="514"/>
    <w:bookmarkEnd w:id="5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r>
      <w:t xml:space="preserve">             公开招标文件</w:t>
    </w:r>
  </w:p>
  <w:p>
    <w:pPr>
      <w:jc w:val="right"/>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jc w:val="right"/>
    </w:pPr>
    <w:r>
      <w:rPr>
        <w:rFonts w:hint="eastAsia"/>
      </w:rPr>
      <w:t xml:space="preserve">                                                                  </w:t>
    </w: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lang w:val="en-US" w:eastAsia="zh-CN"/>
      </w:rPr>
      <w:t xml:space="preserve">                       </w:t>
    </w:r>
    <w: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F0647"/>
    <w:multiLevelType w:val="singleLevel"/>
    <w:tmpl w:val="E4CF0647"/>
    <w:lvl w:ilvl="0" w:tentative="0">
      <w:start w:val="1"/>
      <w:numFmt w:val="decimal"/>
      <w:suff w:val="nothing"/>
      <w:lvlText w:val="%1、"/>
      <w:lvlJc w:val="left"/>
    </w:lvl>
  </w:abstractNum>
  <w:abstractNum w:abstractNumId="1">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0A7B"/>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413"/>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C06BC"/>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64859"/>
    <w:rsid w:val="04AA775C"/>
    <w:rsid w:val="04AF1889"/>
    <w:rsid w:val="04E863A6"/>
    <w:rsid w:val="04F66F48"/>
    <w:rsid w:val="04FF3EDA"/>
    <w:rsid w:val="05043453"/>
    <w:rsid w:val="05251E14"/>
    <w:rsid w:val="05263B5D"/>
    <w:rsid w:val="05A16594"/>
    <w:rsid w:val="05A7762D"/>
    <w:rsid w:val="060E5941"/>
    <w:rsid w:val="06110FAF"/>
    <w:rsid w:val="06493CA7"/>
    <w:rsid w:val="065A6178"/>
    <w:rsid w:val="066F1CF3"/>
    <w:rsid w:val="06930BB8"/>
    <w:rsid w:val="07245D42"/>
    <w:rsid w:val="07264C62"/>
    <w:rsid w:val="0764344E"/>
    <w:rsid w:val="07772563"/>
    <w:rsid w:val="0779354C"/>
    <w:rsid w:val="08061376"/>
    <w:rsid w:val="08452D77"/>
    <w:rsid w:val="086401F8"/>
    <w:rsid w:val="08751CAA"/>
    <w:rsid w:val="087E4C40"/>
    <w:rsid w:val="08805332"/>
    <w:rsid w:val="088210AA"/>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D42FA1"/>
    <w:rsid w:val="0BF6188C"/>
    <w:rsid w:val="0BF73C91"/>
    <w:rsid w:val="0C170175"/>
    <w:rsid w:val="0C571A41"/>
    <w:rsid w:val="0C5C1171"/>
    <w:rsid w:val="0C5E1CBC"/>
    <w:rsid w:val="0C615B50"/>
    <w:rsid w:val="0C8445DA"/>
    <w:rsid w:val="0C87121B"/>
    <w:rsid w:val="0C926E7B"/>
    <w:rsid w:val="0CAB1F45"/>
    <w:rsid w:val="0CC007F7"/>
    <w:rsid w:val="0CC617AC"/>
    <w:rsid w:val="0CE618DF"/>
    <w:rsid w:val="0CFE707A"/>
    <w:rsid w:val="0D063BDA"/>
    <w:rsid w:val="0D08375F"/>
    <w:rsid w:val="0D097FEC"/>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64E08"/>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A51F9"/>
    <w:rsid w:val="13BF3CE4"/>
    <w:rsid w:val="13CE7899"/>
    <w:rsid w:val="14000A5D"/>
    <w:rsid w:val="141008D8"/>
    <w:rsid w:val="14125FE6"/>
    <w:rsid w:val="146D271E"/>
    <w:rsid w:val="14982588"/>
    <w:rsid w:val="149A59CD"/>
    <w:rsid w:val="149A5AD9"/>
    <w:rsid w:val="14A7619D"/>
    <w:rsid w:val="14A85CBA"/>
    <w:rsid w:val="14AA0DAF"/>
    <w:rsid w:val="150536C3"/>
    <w:rsid w:val="150C1963"/>
    <w:rsid w:val="151447A0"/>
    <w:rsid w:val="154A6454"/>
    <w:rsid w:val="15762120"/>
    <w:rsid w:val="15C10692"/>
    <w:rsid w:val="1632430B"/>
    <w:rsid w:val="16A8729C"/>
    <w:rsid w:val="16B33777"/>
    <w:rsid w:val="16BC70A7"/>
    <w:rsid w:val="16C6339E"/>
    <w:rsid w:val="172F2D79"/>
    <w:rsid w:val="17557BEF"/>
    <w:rsid w:val="17742506"/>
    <w:rsid w:val="17D349C1"/>
    <w:rsid w:val="17EC660D"/>
    <w:rsid w:val="1830729E"/>
    <w:rsid w:val="1870062C"/>
    <w:rsid w:val="18817102"/>
    <w:rsid w:val="18830A15"/>
    <w:rsid w:val="18852B28"/>
    <w:rsid w:val="188B5321"/>
    <w:rsid w:val="189E35C3"/>
    <w:rsid w:val="18C748B7"/>
    <w:rsid w:val="19932372"/>
    <w:rsid w:val="19A20DD5"/>
    <w:rsid w:val="19AE03F1"/>
    <w:rsid w:val="1A071A03"/>
    <w:rsid w:val="1A1F16AE"/>
    <w:rsid w:val="1A3B5C77"/>
    <w:rsid w:val="1A65686A"/>
    <w:rsid w:val="1A984BAD"/>
    <w:rsid w:val="1AB8220E"/>
    <w:rsid w:val="1AD57CF3"/>
    <w:rsid w:val="1AE4166C"/>
    <w:rsid w:val="1AF06CFB"/>
    <w:rsid w:val="1AF11B8D"/>
    <w:rsid w:val="1B11359C"/>
    <w:rsid w:val="1B2A271F"/>
    <w:rsid w:val="1B530544"/>
    <w:rsid w:val="1B713184"/>
    <w:rsid w:val="1BA209CF"/>
    <w:rsid w:val="1BB4777D"/>
    <w:rsid w:val="1BD75AB8"/>
    <w:rsid w:val="1BDF3261"/>
    <w:rsid w:val="1C0459C2"/>
    <w:rsid w:val="1C1B3B4A"/>
    <w:rsid w:val="1C88086E"/>
    <w:rsid w:val="1D266CE1"/>
    <w:rsid w:val="1D3963AF"/>
    <w:rsid w:val="1D6A673C"/>
    <w:rsid w:val="1D7E2045"/>
    <w:rsid w:val="1D9247AE"/>
    <w:rsid w:val="1DB567EC"/>
    <w:rsid w:val="1DF51A98"/>
    <w:rsid w:val="1DFF3EF7"/>
    <w:rsid w:val="1E3D060F"/>
    <w:rsid w:val="1E3F7D2E"/>
    <w:rsid w:val="1E4134E4"/>
    <w:rsid w:val="1E4B1290"/>
    <w:rsid w:val="1E5062B3"/>
    <w:rsid w:val="1E523514"/>
    <w:rsid w:val="1E714A66"/>
    <w:rsid w:val="1E802593"/>
    <w:rsid w:val="1E8B6156"/>
    <w:rsid w:val="1EA703CC"/>
    <w:rsid w:val="1EB7330C"/>
    <w:rsid w:val="1F0A0FF3"/>
    <w:rsid w:val="1F5771FF"/>
    <w:rsid w:val="1FB91517"/>
    <w:rsid w:val="1FD52DD5"/>
    <w:rsid w:val="1FDC6E9A"/>
    <w:rsid w:val="1FE868A9"/>
    <w:rsid w:val="20034907"/>
    <w:rsid w:val="20173E4B"/>
    <w:rsid w:val="204E48BC"/>
    <w:rsid w:val="208921B3"/>
    <w:rsid w:val="20973DEB"/>
    <w:rsid w:val="20B26522"/>
    <w:rsid w:val="20B44310"/>
    <w:rsid w:val="20D62F78"/>
    <w:rsid w:val="211116EB"/>
    <w:rsid w:val="21585251"/>
    <w:rsid w:val="216133FC"/>
    <w:rsid w:val="218437F6"/>
    <w:rsid w:val="2185666F"/>
    <w:rsid w:val="21894E00"/>
    <w:rsid w:val="21D56769"/>
    <w:rsid w:val="21E52EF3"/>
    <w:rsid w:val="21FB5D7B"/>
    <w:rsid w:val="22015E94"/>
    <w:rsid w:val="220B1C3D"/>
    <w:rsid w:val="221D1D20"/>
    <w:rsid w:val="22334A87"/>
    <w:rsid w:val="22813D29"/>
    <w:rsid w:val="22BE6801"/>
    <w:rsid w:val="233500BF"/>
    <w:rsid w:val="23377FF7"/>
    <w:rsid w:val="236B425F"/>
    <w:rsid w:val="23767606"/>
    <w:rsid w:val="23836192"/>
    <w:rsid w:val="23901F29"/>
    <w:rsid w:val="239C0061"/>
    <w:rsid w:val="23B908A4"/>
    <w:rsid w:val="23C465C3"/>
    <w:rsid w:val="23E22ADC"/>
    <w:rsid w:val="23E95BEF"/>
    <w:rsid w:val="23FD0064"/>
    <w:rsid w:val="24465B9C"/>
    <w:rsid w:val="244B2840"/>
    <w:rsid w:val="245375B0"/>
    <w:rsid w:val="24642C0A"/>
    <w:rsid w:val="246B6A07"/>
    <w:rsid w:val="249608C6"/>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BE72FA"/>
    <w:rsid w:val="26E45127"/>
    <w:rsid w:val="27044A29"/>
    <w:rsid w:val="271D34C8"/>
    <w:rsid w:val="276142BF"/>
    <w:rsid w:val="27783712"/>
    <w:rsid w:val="27907362"/>
    <w:rsid w:val="28333E1D"/>
    <w:rsid w:val="28454BD6"/>
    <w:rsid w:val="28455253"/>
    <w:rsid w:val="28551971"/>
    <w:rsid w:val="285B1C53"/>
    <w:rsid w:val="289F7086"/>
    <w:rsid w:val="28C32028"/>
    <w:rsid w:val="28CC490F"/>
    <w:rsid w:val="28CD1A76"/>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447B2E"/>
    <w:rsid w:val="2CE82D6F"/>
    <w:rsid w:val="2D343236"/>
    <w:rsid w:val="2DD15014"/>
    <w:rsid w:val="2DF72DE4"/>
    <w:rsid w:val="2E0220AF"/>
    <w:rsid w:val="2E4B082A"/>
    <w:rsid w:val="2E5D4E86"/>
    <w:rsid w:val="2E5D790B"/>
    <w:rsid w:val="2E9A3C18"/>
    <w:rsid w:val="2E9C27CB"/>
    <w:rsid w:val="2EBB0FEE"/>
    <w:rsid w:val="2EC63002"/>
    <w:rsid w:val="2EFC43C3"/>
    <w:rsid w:val="2F0A6B38"/>
    <w:rsid w:val="2F155F25"/>
    <w:rsid w:val="2F33497E"/>
    <w:rsid w:val="2F946CCB"/>
    <w:rsid w:val="2FD25781"/>
    <w:rsid w:val="2FDC745C"/>
    <w:rsid w:val="2FFD7934"/>
    <w:rsid w:val="302F3016"/>
    <w:rsid w:val="306233EC"/>
    <w:rsid w:val="30733ACD"/>
    <w:rsid w:val="308C3862"/>
    <w:rsid w:val="309379D8"/>
    <w:rsid w:val="30A270F7"/>
    <w:rsid w:val="30DF1478"/>
    <w:rsid w:val="30EC586F"/>
    <w:rsid w:val="314550B7"/>
    <w:rsid w:val="319C6071"/>
    <w:rsid w:val="31AC537E"/>
    <w:rsid w:val="31E3679B"/>
    <w:rsid w:val="31E732FD"/>
    <w:rsid w:val="31F27B30"/>
    <w:rsid w:val="320D5506"/>
    <w:rsid w:val="32517576"/>
    <w:rsid w:val="32734F5E"/>
    <w:rsid w:val="32BE5C2C"/>
    <w:rsid w:val="32FB6478"/>
    <w:rsid w:val="33263B3F"/>
    <w:rsid w:val="336963EB"/>
    <w:rsid w:val="33816EEB"/>
    <w:rsid w:val="33EB55CD"/>
    <w:rsid w:val="33EC4C02"/>
    <w:rsid w:val="340D2360"/>
    <w:rsid w:val="3410665D"/>
    <w:rsid w:val="34211214"/>
    <w:rsid w:val="342E63AB"/>
    <w:rsid w:val="345117AD"/>
    <w:rsid w:val="345B5ACD"/>
    <w:rsid w:val="34950E68"/>
    <w:rsid w:val="34986E94"/>
    <w:rsid w:val="349E076A"/>
    <w:rsid w:val="34AF62C9"/>
    <w:rsid w:val="34CB4388"/>
    <w:rsid w:val="34FA6E12"/>
    <w:rsid w:val="354D7158"/>
    <w:rsid w:val="358D5588"/>
    <w:rsid w:val="363A3B40"/>
    <w:rsid w:val="365302AE"/>
    <w:rsid w:val="36607A0A"/>
    <w:rsid w:val="366E227C"/>
    <w:rsid w:val="366F2E0D"/>
    <w:rsid w:val="367B6A5C"/>
    <w:rsid w:val="36804D5B"/>
    <w:rsid w:val="36A74ADA"/>
    <w:rsid w:val="36AD60D5"/>
    <w:rsid w:val="36B224F9"/>
    <w:rsid w:val="36C3246B"/>
    <w:rsid w:val="36EC0CC9"/>
    <w:rsid w:val="36EF2ED8"/>
    <w:rsid w:val="373F410B"/>
    <w:rsid w:val="379F0A81"/>
    <w:rsid w:val="37E158B2"/>
    <w:rsid w:val="37EE7094"/>
    <w:rsid w:val="38296C89"/>
    <w:rsid w:val="383002EB"/>
    <w:rsid w:val="38586797"/>
    <w:rsid w:val="38BC0149"/>
    <w:rsid w:val="38D87D1C"/>
    <w:rsid w:val="39416E46"/>
    <w:rsid w:val="39535FC7"/>
    <w:rsid w:val="39636459"/>
    <w:rsid w:val="396B7F6C"/>
    <w:rsid w:val="396C0E37"/>
    <w:rsid w:val="39A959E1"/>
    <w:rsid w:val="39B417A9"/>
    <w:rsid w:val="39FC5695"/>
    <w:rsid w:val="3A006D8E"/>
    <w:rsid w:val="3A1C7922"/>
    <w:rsid w:val="3A3651E5"/>
    <w:rsid w:val="3A744481"/>
    <w:rsid w:val="3A8C7BEF"/>
    <w:rsid w:val="3A906246"/>
    <w:rsid w:val="3AF7E610"/>
    <w:rsid w:val="3B2349B7"/>
    <w:rsid w:val="3B36794F"/>
    <w:rsid w:val="3B616CFF"/>
    <w:rsid w:val="3B6259F6"/>
    <w:rsid w:val="3B976654"/>
    <w:rsid w:val="3BC01EFC"/>
    <w:rsid w:val="3BCA786A"/>
    <w:rsid w:val="3BD31E2F"/>
    <w:rsid w:val="3BF15831"/>
    <w:rsid w:val="3C0A6D1D"/>
    <w:rsid w:val="3C105946"/>
    <w:rsid w:val="3C471448"/>
    <w:rsid w:val="3C5F759A"/>
    <w:rsid w:val="3C6C525A"/>
    <w:rsid w:val="3C7F70D3"/>
    <w:rsid w:val="3CCE23CB"/>
    <w:rsid w:val="3CD17D17"/>
    <w:rsid w:val="3D107AC3"/>
    <w:rsid w:val="3D3C7F39"/>
    <w:rsid w:val="3D440F09"/>
    <w:rsid w:val="3D4504A0"/>
    <w:rsid w:val="3D8734BB"/>
    <w:rsid w:val="3D9A11D4"/>
    <w:rsid w:val="3DA16D89"/>
    <w:rsid w:val="3DA364BE"/>
    <w:rsid w:val="3DE041CB"/>
    <w:rsid w:val="3E0D48F6"/>
    <w:rsid w:val="3E1868B4"/>
    <w:rsid w:val="3E1E5E40"/>
    <w:rsid w:val="3E377251"/>
    <w:rsid w:val="3E42664B"/>
    <w:rsid w:val="3E4F008A"/>
    <w:rsid w:val="3E5A7334"/>
    <w:rsid w:val="3E7B5D6B"/>
    <w:rsid w:val="3E843E66"/>
    <w:rsid w:val="3E8A248B"/>
    <w:rsid w:val="3E8F51FE"/>
    <w:rsid w:val="3E926F87"/>
    <w:rsid w:val="3E9A59DE"/>
    <w:rsid w:val="3EAF4836"/>
    <w:rsid w:val="3EC33DFA"/>
    <w:rsid w:val="3EF9DF22"/>
    <w:rsid w:val="3F060E16"/>
    <w:rsid w:val="3F1D1096"/>
    <w:rsid w:val="3F1F0523"/>
    <w:rsid w:val="3F2F0234"/>
    <w:rsid w:val="3F6363FE"/>
    <w:rsid w:val="3F756B8F"/>
    <w:rsid w:val="3F77BA1B"/>
    <w:rsid w:val="3F7FCD44"/>
    <w:rsid w:val="3F95482B"/>
    <w:rsid w:val="3FF676AC"/>
    <w:rsid w:val="3FFE2F27"/>
    <w:rsid w:val="4019356B"/>
    <w:rsid w:val="40592157"/>
    <w:rsid w:val="406E1CAE"/>
    <w:rsid w:val="40A0133A"/>
    <w:rsid w:val="40C31A53"/>
    <w:rsid w:val="40EE23B5"/>
    <w:rsid w:val="40FF545D"/>
    <w:rsid w:val="410067C8"/>
    <w:rsid w:val="4182569C"/>
    <w:rsid w:val="418F0D2A"/>
    <w:rsid w:val="41D01505"/>
    <w:rsid w:val="42236963"/>
    <w:rsid w:val="42474939"/>
    <w:rsid w:val="424C3C57"/>
    <w:rsid w:val="42613FF3"/>
    <w:rsid w:val="42660D96"/>
    <w:rsid w:val="428667D2"/>
    <w:rsid w:val="42B54BC7"/>
    <w:rsid w:val="42CD1CE0"/>
    <w:rsid w:val="42DF6B1E"/>
    <w:rsid w:val="42E1381E"/>
    <w:rsid w:val="42ED6459"/>
    <w:rsid w:val="42FE58DD"/>
    <w:rsid w:val="43174B3D"/>
    <w:rsid w:val="434B790E"/>
    <w:rsid w:val="4360274F"/>
    <w:rsid w:val="43713C1A"/>
    <w:rsid w:val="43955DC0"/>
    <w:rsid w:val="43977AB6"/>
    <w:rsid w:val="43A3342B"/>
    <w:rsid w:val="43C77C27"/>
    <w:rsid w:val="43DE09EE"/>
    <w:rsid w:val="43EF9528"/>
    <w:rsid w:val="44002FAD"/>
    <w:rsid w:val="4439400C"/>
    <w:rsid w:val="449101DD"/>
    <w:rsid w:val="44CC06BB"/>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6210AD"/>
    <w:rsid w:val="487A3E25"/>
    <w:rsid w:val="488B5503"/>
    <w:rsid w:val="48937E21"/>
    <w:rsid w:val="489A0361"/>
    <w:rsid w:val="48B94FF3"/>
    <w:rsid w:val="48E37AAB"/>
    <w:rsid w:val="48FD4B4C"/>
    <w:rsid w:val="490A68E0"/>
    <w:rsid w:val="491055FE"/>
    <w:rsid w:val="495F5B3E"/>
    <w:rsid w:val="496E3E15"/>
    <w:rsid w:val="496F77D7"/>
    <w:rsid w:val="497654FD"/>
    <w:rsid w:val="49B64211"/>
    <w:rsid w:val="49E56AF9"/>
    <w:rsid w:val="49F6167F"/>
    <w:rsid w:val="4A064FA0"/>
    <w:rsid w:val="4A097613"/>
    <w:rsid w:val="4A16615C"/>
    <w:rsid w:val="4A4424D7"/>
    <w:rsid w:val="4AB82D0F"/>
    <w:rsid w:val="4AEB7664"/>
    <w:rsid w:val="4AFD7C19"/>
    <w:rsid w:val="4AFE45B1"/>
    <w:rsid w:val="4B0567D1"/>
    <w:rsid w:val="4B236AAE"/>
    <w:rsid w:val="4B363761"/>
    <w:rsid w:val="4B707271"/>
    <w:rsid w:val="4B9739F7"/>
    <w:rsid w:val="4BA2173C"/>
    <w:rsid w:val="4BCE6B74"/>
    <w:rsid w:val="4BEE2503"/>
    <w:rsid w:val="4C243746"/>
    <w:rsid w:val="4C245A30"/>
    <w:rsid w:val="4C997D3D"/>
    <w:rsid w:val="4C9E5354"/>
    <w:rsid w:val="4CB6685F"/>
    <w:rsid w:val="4CC367FE"/>
    <w:rsid w:val="4CE74F4D"/>
    <w:rsid w:val="4D077F3C"/>
    <w:rsid w:val="4D123355"/>
    <w:rsid w:val="4D2A3B31"/>
    <w:rsid w:val="4D312C52"/>
    <w:rsid w:val="4D905305"/>
    <w:rsid w:val="4D964A72"/>
    <w:rsid w:val="4D9C1254"/>
    <w:rsid w:val="4E793892"/>
    <w:rsid w:val="4E800872"/>
    <w:rsid w:val="4E8F764A"/>
    <w:rsid w:val="4EC569ED"/>
    <w:rsid w:val="4ED50EA1"/>
    <w:rsid w:val="4EEC050C"/>
    <w:rsid w:val="4F053468"/>
    <w:rsid w:val="4F104EC3"/>
    <w:rsid w:val="4F47354A"/>
    <w:rsid w:val="4F4A445E"/>
    <w:rsid w:val="4F911C54"/>
    <w:rsid w:val="4FE625E0"/>
    <w:rsid w:val="5021480F"/>
    <w:rsid w:val="502D4F8D"/>
    <w:rsid w:val="505726EE"/>
    <w:rsid w:val="50962ECB"/>
    <w:rsid w:val="50A42E38"/>
    <w:rsid w:val="50A4577F"/>
    <w:rsid w:val="50B73D1F"/>
    <w:rsid w:val="50BD5BC9"/>
    <w:rsid w:val="50C11EEE"/>
    <w:rsid w:val="50D46B2F"/>
    <w:rsid w:val="50E97CFC"/>
    <w:rsid w:val="50FA4028"/>
    <w:rsid w:val="510D65B7"/>
    <w:rsid w:val="511157AB"/>
    <w:rsid w:val="5142540C"/>
    <w:rsid w:val="518832C8"/>
    <w:rsid w:val="519D3C50"/>
    <w:rsid w:val="51A0432A"/>
    <w:rsid w:val="51A86090"/>
    <w:rsid w:val="51B7396D"/>
    <w:rsid w:val="522E4CC3"/>
    <w:rsid w:val="5244713B"/>
    <w:rsid w:val="52615633"/>
    <w:rsid w:val="526F4DE4"/>
    <w:rsid w:val="528A6AD3"/>
    <w:rsid w:val="52977FD4"/>
    <w:rsid w:val="52A25790"/>
    <w:rsid w:val="52A96B6F"/>
    <w:rsid w:val="52B45975"/>
    <w:rsid w:val="52D94AA4"/>
    <w:rsid w:val="52EA3A62"/>
    <w:rsid w:val="52F50BB8"/>
    <w:rsid w:val="53097272"/>
    <w:rsid w:val="53544462"/>
    <w:rsid w:val="5397158E"/>
    <w:rsid w:val="53E8662E"/>
    <w:rsid w:val="540006A2"/>
    <w:rsid w:val="54013861"/>
    <w:rsid w:val="54487265"/>
    <w:rsid w:val="544D6070"/>
    <w:rsid w:val="54605E1E"/>
    <w:rsid w:val="546F20CC"/>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67FAE"/>
    <w:rsid w:val="562C00C4"/>
    <w:rsid w:val="566B6D1E"/>
    <w:rsid w:val="5688401C"/>
    <w:rsid w:val="56A5710C"/>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976FA8"/>
    <w:rsid w:val="58AE4F0C"/>
    <w:rsid w:val="58B85899"/>
    <w:rsid w:val="58E363A9"/>
    <w:rsid w:val="594646D7"/>
    <w:rsid w:val="595E1678"/>
    <w:rsid w:val="596D5BD4"/>
    <w:rsid w:val="597E3DD8"/>
    <w:rsid w:val="599B3347"/>
    <w:rsid w:val="59D92186"/>
    <w:rsid w:val="59F80043"/>
    <w:rsid w:val="5A09252F"/>
    <w:rsid w:val="5A0B2778"/>
    <w:rsid w:val="5A1F5D26"/>
    <w:rsid w:val="5A2A7C7B"/>
    <w:rsid w:val="5A3E2560"/>
    <w:rsid w:val="5A5D3B6E"/>
    <w:rsid w:val="5A637A76"/>
    <w:rsid w:val="5A6D33BA"/>
    <w:rsid w:val="5A792B1F"/>
    <w:rsid w:val="5A874767"/>
    <w:rsid w:val="5AA85BE2"/>
    <w:rsid w:val="5AAD6F28"/>
    <w:rsid w:val="5AD63A24"/>
    <w:rsid w:val="5B2E1A1D"/>
    <w:rsid w:val="5B361B2C"/>
    <w:rsid w:val="5B3E4572"/>
    <w:rsid w:val="5B490B80"/>
    <w:rsid w:val="5B843A1C"/>
    <w:rsid w:val="5B873E3F"/>
    <w:rsid w:val="5C02690E"/>
    <w:rsid w:val="5C196DA7"/>
    <w:rsid w:val="5C2A048C"/>
    <w:rsid w:val="5C80234E"/>
    <w:rsid w:val="5C8A680C"/>
    <w:rsid w:val="5C91458D"/>
    <w:rsid w:val="5D0C4701"/>
    <w:rsid w:val="5D0F0395"/>
    <w:rsid w:val="5D221076"/>
    <w:rsid w:val="5D397964"/>
    <w:rsid w:val="5D4A3C6A"/>
    <w:rsid w:val="5D5A391C"/>
    <w:rsid w:val="5D5F10C0"/>
    <w:rsid w:val="5D891B7B"/>
    <w:rsid w:val="5DAD38EE"/>
    <w:rsid w:val="5DCB32B2"/>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1F7869"/>
    <w:rsid w:val="64240056"/>
    <w:rsid w:val="643A3D28"/>
    <w:rsid w:val="643E143A"/>
    <w:rsid w:val="64491666"/>
    <w:rsid w:val="648B6EEF"/>
    <w:rsid w:val="64BD6867"/>
    <w:rsid w:val="64C158BF"/>
    <w:rsid w:val="64CE2EAA"/>
    <w:rsid w:val="653C3090"/>
    <w:rsid w:val="65436640"/>
    <w:rsid w:val="6578453C"/>
    <w:rsid w:val="65854376"/>
    <w:rsid w:val="658767BE"/>
    <w:rsid w:val="65892531"/>
    <w:rsid w:val="66195831"/>
    <w:rsid w:val="662E75B1"/>
    <w:rsid w:val="66342C2E"/>
    <w:rsid w:val="663E784C"/>
    <w:rsid w:val="668B6A45"/>
    <w:rsid w:val="67011F07"/>
    <w:rsid w:val="672F3F24"/>
    <w:rsid w:val="673E055F"/>
    <w:rsid w:val="67551CE3"/>
    <w:rsid w:val="67717495"/>
    <w:rsid w:val="67A22552"/>
    <w:rsid w:val="67B22DCC"/>
    <w:rsid w:val="67BE71AA"/>
    <w:rsid w:val="67D90273"/>
    <w:rsid w:val="67DE5875"/>
    <w:rsid w:val="67E55852"/>
    <w:rsid w:val="67EB1AB4"/>
    <w:rsid w:val="67FA1285"/>
    <w:rsid w:val="68551F4F"/>
    <w:rsid w:val="686CE9E6"/>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303637"/>
    <w:rsid w:val="6A967C23"/>
    <w:rsid w:val="6ADE0BD1"/>
    <w:rsid w:val="6AE96859"/>
    <w:rsid w:val="6AF64881"/>
    <w:rsid w:val="6B0B7C00"/>
    <w:rsid w:val="6B147746"/>
    <w:rsid w:val="6B24787C"/>
    <w:rsid w:val="6B573233"/>
    <w:rsid w:val="6B5B6274"/>
    <w:rsid w:val="6B935D53"/>
    <w:rsid w:val="6BB43DF4"/>
    <w:rsid w:val="6BFB7BD7"/>
    <w:rsid w:val="6C196F71"/>
    <w:rsid w:val="6C226FCB"/>
    <w:rsid w:val="6C31226F"/>
    <w:rsid w:val="6C3F1202"/>
    <w:rsid w:val="6C552F0B"/>
    <w:rsid w:val="6C8C67B7"/>
    <w:rsid w:val="6C9D744C"/>
    <w:rsid w:val="6CD47E6C"/>
    <w:rsid w:val="6CFC1EF7"/>
    <w:rsid w:val="6D0E597B"/>
    <w:rsid w:val="6D167928"/>
    <w:rsid w:val="6D26299B"/>
    <w:rsid w:val="6D4772EC"/>
    <w:rsid w:val="6D706BE2"/>
    <w:rsid w:val="6D9078AF"/>
    <w:rsid w:val="6DAA3FEF"/>
    <w:rsid w:val="6DC0172B"/>
    <w:rsid w:val="6DCB690C"/>
    <w:rsid w:val="6DD41A5B"/>
    <w:rsid w:val="6DDD75AC"/>
    <w:rsid w:val="6DF43C2E"/>
    <w:rsid w:val="6DF51CA3"/>
    <w:rsid w:val="6E166FE8"/>
    <w:rsid w:val="6E66564D"/>
    <w:rsid w:val="6E8335BD"/>
    <w:rsid w:val="6E8C2415"/>
    <w:rsid w:val="6E8E12EF"/>
    <w:rsid w:val="6E972936"/>
    <w:rsid w:val="6ED446C5"/>
    <w:rsid w:val="6EF95CAD"/>
    <w:rsid w:val="6F1C418A"/>
    <w:rsid w:val="6F2A7D94"/>
    <w:rsid w:val="6F8331F1"/>
    <w:rsid w:val="6FAE1A09"/>
    <w:rsid w:val="6FD75BF8"/>
    <w:rsid w:val="707723D0"/>
    <w:rsid w:val="709B2B43"/>
    <w:rsid w:val="70F5661B"/>
    <w:rsid w:val="71360107"/>
    <w:rsid w:val="713B688E"/>
    <w:rsid w:val="71BD3894"/>
    <w:rsid w:val="71C1726B"/>
    <w:rsid w:val="71D43752"/>
    <w:rsid w:val="71F1796A"/>
    <w:rsid w:val="72154626"/>
    <w:rsid w:val="72262B5D"/>
    <w:rsid w:val="72283FF7"/>
    <w:rsid w:val="722E7212"/>
    <w:rsid w:val="723A0474"/>
    <w:rsid w:val="72485A07"/>
    <w:rsid w:val="725923E4"/>
    <w:rsid w:val="72864BF7"/>
    <w:rsid w:val="729023FC"/>
    <w:rsid w:val="72E56CDC"/>
    <w:rsid w:val="73C0646E"/>
    <w:rsid w:val="742222F5"/>
    <w:rsid w:val="74476126"/>
    <w:rsid w:val="74706664"/>
    <w:rsid w:val="747F3682"/>
    <w:rsid w:val="749C4185"/>
    <w:rsid w:val="75067759"/>
    <w:rsid w:val="752E6DCD"/>
    <w:rsid w:val="7551380D"/>
    <w:rsid w:val="75523859"/>
    <w:rsid w:val="75600BE5"/>
    <w:rsid w:val="75630CB2"/>
    <w:rsid w:val="7564475C"/>
    <w:rsid w:val="7583797F"/>
    <w:rsid w:val="75D20F1D"/>
    <w:rsid w:val="75DA2C18"/>
    <w:rsid w:val="75F54412"/>
    <w:rsid w:val="75FEF8E0"/>
    <w:rsid w:val="761A519B"/>
    <w:rsid w:val="761D08E0"/>
    <w:rsid w:val="765D347C"/>
    <w:rsid w:val="76826699"/>
    <w:rsid w:val="76B7120C"/>
    <w:rsid w:val="76C87133"/>
    <w:rsid w:val="76CD08D5"/>
    <w:rsid w:val="76DB4B92"/>
    <w:rsid w:val="77052AA4"/>
    <w:rsid w:val="770FEEE6"/>
    <w:rsid w:val="77136511"/>
    <w:rsid w:val="77186165"/>
    <w:rsid w:val="77340A39"/>
    <w:rsid w:val="77351FD0"/>
    <w:rsid w:val="77472422"/>
    <w:rsid w:val="77485D17"/>
    <w:rsid w:val="777F31F2"/>
    <w:rsid w:val="77C7427C"/>
    <w:rsid w:val="77D1700D"/>
    <w:rsid w:val="77EC04CC"/>
    <w:rsid w:val="77F54318"/>
    <w:rsid w:val="78775729"/>
    <w:rsid w:val="78A42DB0"/>
    <w:rsid w:val="78A656AB"/>
    <w:rsid w:val="78B2245C"/>
    <w:rsid w:val="78E172CC"/>
    <w:rsid w:val="78EA1D1F"/>
    <w:rsid w:val="78FD502C"/>
    <w:rsid w:val="78FE2B52"/>
    <w:rsid w:val="7904172F"/>
    <w:rsid w:val="790F7E27"/>
    <w:rsid w:val="792A231A"/>
    <w:rsid w:val="79316829"/>
    <w:rsid w:val="796A31B4"/>
    <w:rsid w:val="797E66A9"/>
    <w:rsid w:val="798518A4"/>
    <w:rsid w:val="799F60E4"/>
    <w:rsid w:val="79A97383"/>
    <w:rsid w:val="79BA4CCB"/>
    <w:rsid w:val="79DA711C"/>
    <w:rsid w:val="79E27E8B"/>
    <w:rsid w:val="79F850CE"/>
    <w:rsid w:val="79FD443C"/>
    <w:rsid w:val="7A0428E0"/>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2010D"/>
    <w:rsid w:val="7BEE0103"/>
    <w:rsid w:val="7C0A0FE4"/>
    <w:rsid w:val="7C254906"/>
    <w:rsid w:val="7C280AA5"/>
    <w:rsid w:val="7C590818"/>
    <w:rsid w:val="7C7C10F6"/>
    <w:rsid w:val="7C853BEA"/>
    <w:rsid w:val="7C881368"/>
    <w:rsid w:val="7CC7607D"/>
    <w:rsid w:val="7CE27788"/>
    <w:rsid w:val="7D0C32F1"/>
    <w:rsid w:val="7D0F408D"/>
    <w:rsid w:val="7D491C6C"/>
    <w:rsid w:val="7D5429C0"/>
    <w:rsid w:val="7D6E6D43"/>
    <w:rsid w:val="7D7CFC1E"/>
    <w:rsid w:val="7D9F4D5E"/>
    <w:rsid w:val="7DB57A34"/>
    <w:rsid w:val="7DE60973"/>
    <w:rsid w:val="7DEF0916"/>
    <w:rsid w:val="7E1E5218"/>
    <w:rsid w:val="7E241742"/>
    <w:rsid w:val="7E9A4E1F"/>
    <w:rsid w:val="7EA7723A"/>
    <w:rsid w:val="7EF56FBB"/>
    <w:rsid w:val="7F0768EB"/>
    <w:rsid w:val="7F143BEC"/>
    <w:rsid w:val="7F361298"/>
    <w:rsid w:val="7F57609B"/>
    <w:rsid w:val="7F715AF2"/>
    <w:rsid w:val="7F886E69"/>
    <w:rsid w:val="7FBA619F"/>
    <w:rsid w:val="7FCF0B3D"/>
    <w:rsid w:val="7FD20EB8"/>
    <w:rsid w:val="9BFD0F73"/>
    <w:rsid w:val="9F7F29B0"/>
    <w:rsid w:val="9FFBAE25"/>
    <w:rsid w:val="BB7FA927"/>
    <w:rsid w:val="C543CA59"/>
    <w:rsid w:val="DFDEDAD0"/>
    <w:rsid w:val="F1FFBFF6"/>
    <w:rsid w:val="F3BE9B1C"/>
    <w:rsid w:val="F5FFD31F"/>
    <w:rsid w:val="F7BF6056"/>
    <w:rsid w:val="F7D3E733"/>
    <w:rsid w:val="FB6F9D36"/>
    <w:rsid w:val="FDA76847"/>
    <w:rsid w:val="FDF70DC5"/>
    <w:rsid w:val="FDFB62DF"/>
    <w:rsid w:val="FE7C51FA"/>
    <w:rsid w:val="FEFFDFB3"/>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20"/>
    <w:qFormat/>
    <w:uiPriority w:val="0"/>
    <w:pPr>
      <w:ind w:firstLine="420"/>
    </w:pPr>
    <w:rPr>
      <w:rFonts w:hAnsi="Calibri" w:cs="Times New Roman"/>
      <w:snapToGrid/>
      <w:szCs w:val="20"/>
    </w:rPr>
  </w:style>
  <w:style w:type="paragraph" w:styleId="25">
    <w:name w:val="Body Text Indent"/>
    <w:basedOn w:val="1"/>
    <w:next w:val="26"/>
    <w:link w:val="264"/>
    <w:qFormat/>
    <w:uiPriority w:val="0"/>
    <w:pPr>
      <w:spacing w:line="480" w:lineRule="exact"/>
      <w:ind w:firstLine="480" w:firstLineChars="200"/>
    </w:pPr>
    <w:rPr>
      <w:rFonts w:ascii="宋体" w:hAnsi="宋体"/>
      <w:sz w:val="24"/>
    </w:rPr>
  </w:style>
  <w:style w:type="paragraph" w:styleId="26">
    <w:name w:val="Body Text First Indent 2"/>
    <w:basedOn w:val="25"/>
    <w:link w:val="121"/>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9">
    <w:name w:val="endnote text"/>
    <w:basedOn w:val="1"/>
    <w:link w:val="931"/>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09"/>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80"/>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1">
    <w:name w:val="_Style 2"/>
    <w:basedOn w:val="1"/>
    <w:qFormat/>
    <w:uiPriority w:val="0"/>
    <w:pPr>
      <w:ind w:firstLine="200" w:firstLineChars="200"/>
    </w:pPr>
    <w:rPr>
      <w:sz w:val="28"/>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6"/>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79"/>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2"/>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8"/>
    <w:qFormat/>
    <w:uiPriority w:val="0"/>
    <w:rPr>
      <w:b/>
      <w:bCs/>
      <w:kern w:val="2"/>
      <w:sz w:val="24"/>
      <w:szCs w:val="24"/>
    </w:rPr>
  </w:style>
  <w:style w:type="character" w:customStyle="1" w:styleId="307">
    <w:name w:val="正文文本缩进 2 Char"/>
    <w:link w:val="38"/>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1"/>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basedOn w:val="69"/>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basedOn w:val="69"/>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99"/>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79"/>
    <w:next w:val="79"/>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79"/>
    <w:next w:val="79"/>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9"/>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不明显强调1"/>
    <w:qFormat/>
    <w:uiPriority w:val="19"/>
    <w:rPr>
      <w:i/>
      <w:iCs/>
    </w:rPr>
  </w:style>
  <w:style w:type="paragraph" w:customStyle="1" w:styleId="965">
    <w:name w:val="reader-word-layer reader-word-s2-0"/>
    <w:basedOn w:val="1"/>
    <w:qFormat/>
    <w:uiPriority w:val="0"/>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87</Pages>
  <Words>44049</Words>
  <Characters>46234</Characters>
  <Lines>281</Lines>
  <Paragraphs>79</Paragraphs>
  <TotalTime>19</TotalTime>
  <ScaleCrop>false</ScaleCrop>
  <LinksUpToDate>false</LinksUpToDate>
  <CharactersWithSpaces>51096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2021-08-07T08:22:00Z</dcterms:created>
  <dc:creator>玥</dc:creator>
  <cp:lastModifiedBy>86183</cp:lastModifiedBy>
  <cp:lastPrinted>2024-07-04T01:53:00Z</cp:lastPrinted>
  <dcterms:modified xsi:type="dcterms:W3CDTF">2024-07-03T12:50:10Z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0EACB8E56FFB4E3EBA9F00AA0343DE99_13</vt:lpwstr>
  </property>
</Properties>
</file>