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9E16CF">
      <w:pPr>
        <w:jc w:val="center"/>
        <w:rPr>
          <w:rFonts w:ascii="宋体" w:hAnsi="宋体" w:cs="宋体"/>
          <w:b/>
          <w:bCs/>
          <w:color w:val="auto"/>
          <w:spacing w:val="40"/>
          <w:sz w:val="52"/>
          <w:szCs w:val="52"/>
          <w:highlight w:val="none"/>
        </w:rPr>
      </w:pPr>
      <w:r>
        <w:rPr>
          <w:rFonts w:hint="eastAsia" w:ascii="宋体" w:hAnsi="宋体" w:cs="宋体"/>
          <w:color w:val="auto"/>
          <w:spacing w:val="40"/>
          <w:sz w:val="84"/>
          <w:szCs w:val="84"/>
          <w:highlight w:val="none"/>
        </w:rPr>
        <w:t>温州医科大</w:t>
      </w:r>
      <w:bookmarkStart w:id="374" w:name="_GoBack"/>
      <w:bookmarkEnd w:id="374"/>
      <w:r>
        <w:rPr>
          <w:rFonts w:hint="eastAsia" w:ascii="宋体" w:hAnsi="宋体" w:cs="宋体"/>
          <w:color w:val="auto"/>
          <w:spacing w:val="40"/>
          <w:sz w:val="84"/>
          <w:szCs w:val="84"/>
          <w:highlight w:val="none"/>
        </w:rPr>
        <w:t>学政府采购</w:t>
      </w:r>
    </w:p>
    <w:p w14:paraId="6083F956">
      <w:pPr>
        <w:jc w:val="center"/>
        <w:rPr>
          <w:rFonts w:ascii="宋体" w:hAnsi="宋体" w:cs="宋体"/>
          <w:b/>
          <w:bCs/>
          <w:color w:val="auto"/>
          <w:spacing w:val="26"/>
          <w:sz w:val="52"/>
          <w:highlight w:val="none"/>
        </w:rPr>
      </w:pPr>
    </w:p>
    <w:p w14:paraId="6E09E5C7">
      <w:pPr>
        <w:rPr>
          <w:rFonts w:ascii="宋体" w:hAnsi="宋体" w:cs="宋体"/>
          <w:b/>
          <w:bCs/>
          <w:color w:val="auto"/>
          <w:spacing w:val="140"/>
          <w:sz w:val="72"/>
          <w:highlight w:val="none"/>
        </w:rPr>
      </w:pPr>
    </w:p>
    <w:p w14:paraId="143A5A1D">
      <w:pPr>
        <w:adjustRightInd w:val="0"/>
        <w:snapToGrid w:val="0"/>
        <w:spacing w:line="480" w:lineRule="auto"/>
        <w:ind w:right="361"/>
        <w:jc w:val="center"/>
        <w:rPr>
          <w:rFonts w:ascii="宋体" w:hAnsi="宋体" w:cs="宋体"/>
          <w:color w:val="auto"/>
          <w:highlight w:val="none"/>
        </w:rPr>
      </w:pPr>
      <w:r>
        <w:rPr>
          <w:rFonts w:hint="eastAsia" w:ascii="宋体" w:hAnsi="宋体" w:cs="宋体"/>
          <w:color w:val="auto"/>
          <w:sz w:val="84"/>
          <w:szCs w:val="84"/>
          <w:highlight w:val="none"/>
        </w:rPr>
        <w:t>招 标 文 件</w:t>
      </w:r>
    </w:p>
    <w:p w14:paraId="74DA5EB0">
      <w:pPr>
        <w:pStyle w:val="24"/>
        <w:rPr>
          <w:color w:val="auto"/>
          <w:highlight w:val="none"/>
        </w:rPr>
      </w:pPr>
    </w:p>
    <w:tbl>
      <w:tblPr>
        <w:tblStyle w:val="53"/>
        <w:tblW w:w="0" w:type="auto"/>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6812"/>
      </w:tblGrid>
      <w:tr w14:paraId="4502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nil"/>
              <w:left w:val="nil"/>
              <w:bottom w:val="nil"/>
              <w:right w:val="nil"/>
            </w:tcBorders>
          </w:tcPr>
          <w:p w14:paraId="233A6E6C">
            <w:pPr>
              <w:spacing w:line="600" w:lineRule="exact"/>
              <w:jc w:val="center"/>
              <w:rPr>
                <w:rFonts w:ascii="宋体" w:hAnsi="宋体" w:cs="宋体"/>
                <w:color w:val="auto"/>
                <w:spacing w:val="30"/>
                <w:sz w:val="30"/>
                <w:szCs w:val="30"/>
                <w:highlight w:val="none"/>
              </w:rPr>
            </w:pPr>
            <w:r>
              <w:rPr>
                <w:rFonts w:hint="eastAsia" w:ascii="宋体" w:hAnsi="宋体" w:cs="宋体"/>
                <w:color w:val="auto"/>
                <w:spacing w:val="40"/>
                <w:sz w:val="30"/>
                <w:szCs w:val="30"/>
                <w:highlight w:val="none"/>
              </w:rPr>
              <w:t>项 目 编 号：</w:t>
            </w:r>
          </w:p>
        </w:tc>
        <w:tc>
          <w:tcPr>
            <w:tcW w:w="6812" w:type="dxa"/>
            <w:tcBorders>
              <w:top w:val="nil"/>
              <w:left w:val="nil"/>
              <w:bottom w:val="nil"/>
              <w:right w:val="nil"/>
            </w:tcBorders>
          </w:tcPr>
          <w:p w14:paraId="11B004D5">
            <w:pPr>
              <w:spacing w:line="600" w:lineRule="exact"/>
              <w:jc w:val="center"/>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WMU-2024ZB936</w:t>
            </w:r>
          </w:p>
        </w:tc>
      </w:tr>
      <w:tr w14:paraId="284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8" w:type="dxa"/>
            <w:tcBorders>
              <w:top w:val="nil"/>
              <w:left w:val="nil"/>
              <w:bottom w:val="nil"/>
              <w:right w:val="nil"/>
            </w:tcBorders>
          </w:tcPr>
          <w:p w14:paraId="5BAEBA93">
            <w:pPr>
              <w:spacing w:line="600" w:lineRule="exact"/>
              <w:jc w:val="center"/>
              <w:rPr>
                <w:rFonts w:ascii="宋体" w:hAnsi="宋体" w:cs="宋体"/>
                <w:color w:val="auto"/>
                <w:spacing w:val="30"/>
                <w:sz w:val="30"/>
                <w:szCs w:val="30"/>
                <w:highlight w:val="none"/>
              </w:rPr>
            </w:pPr>
            <w:r>
              <w:rPr>
                <w:rFonts w:hint="eastAsia" w:ascii="宋体" w:hAnsi="宋体" w:cs="宋体"/>
                <w:color w:val="auto"/>
                <w:spacing w:val="40"/>
                <w:sz w:val="30"/>
                <w:szCs w:val="30"/>
                <w:highlight w:val="none"/>
              </w:rPr>
              <w:t>项 目 名 称：</w:t>
            </w:r>
          </w:p>
        </w:tc>
        <w:tc>
          <w:tcPr>
            <w:tcW w:w="6812" w:type="dxa"/>
            <w:tcBorders>
              <w:top w:val="nil"/>
              <w:left w:val="nil"/>
              <w:bottom w:val="nil"/>
              <w:right w:val="nil"/>
            </w:tcBorders>
          </w:tcPr>
          <w:p w14:paraId="4D357F21">
            <w:pPr>
              <w:spacing w:line="600" w:lineRule="exact"/>
              <w:jc w:val="center"/>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智慧教室(信息化设备一批)</w:t>
            </w:r>
          </w:p>
        </w:tc>
      </w:tr>
      <w:tr w14:paraId="374F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8" w:type="dxa"/>
            <w:tcBorders>
              <w:top w:val="nil"/>
              <w:left w:val="nil"/>
              <w:bottom w:val="nil"/>
              <w:right w:val="nil"/>
            </w:tcBorders>
          </w:tcPr>
          <w:p w14:paraId="5092AE80">
            <w:pPr>
              <w:spacing w:line="600" w:lineRule="exact"/>
              <w:jc w:val="center"/>
              <w:rPr>
                <w:rFonts w:ascii="宋体" w:hAnsi="宋体" w:cs="宋体"/>
                <w:color w:val="auto"/>
                <w:spacing w:val="30"/>
                <w:sz w:val="30"/>
                <w:szCs w:val="30"/>
                <w:highlight w:val="none"/>
              </w:rPr>
            </w:pPr>
            <w:r>
              <w:rPr>
                <w:rFonts w:hint="eastAsia" w:ascii="宋体" w:hAnsi="宋体" w:cs="宋体"/>
                <w:color w:val="auto"/>
                <w:spacing w:val="40"/>
                <w:sz w:val="30"/>
                <w:szCs w:val="30"/>
                <w:highlight w:val="none"/>
              </w:rPr>
              <w:t>采 购 方 式：</w:t>
            </w:r>
          </w:p>
        </w:tc>
        <w:tc>
          <w:tcPr>
            <w:tcW w:w="6812" w:type="dxa"/>
            <w:tcBorders>
              <w:top w:val="nil"/>
              <w:left w:val="nil"/>
              <w:bottom w:val="nil"/>
              <w:right w:val="nil"/>
            </w:tcBorders>
          </w:tcPr>
          <w:p w14:paraId="393A58DA">
            <w:pPr>
              <w:spacing w:line="600" w:lineRule="exact"/>
              <w:jc w:val="center"/>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公开招标</w:t>
            </w:r>
          </w:p>
        </w:tc>
      </w:tr>
      <w:tr w14:paraId="3FD7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nil"/>
              <w:left w:val="nil"/>
              <w:bottom w:val="nil"/>
              <w:right w:val="nil"/>
            </w:tcBorders>
          </w:tcPr>
          <w:p w14:paraId="158ABC98">
            <w:pPr>
              <w:spacing w:line="600" w:lineRule="exact"/>
              <w:jc w:val="center"/>
              <w:rPr>
                <w:rFonts w:ascii="宋体" w:hAnsi="宋体" w:cs="宋体"/>
                <w:color w:val="auto"/>
                <w:spacing w:val="30"/>
                <w:sz w:val="30"/>
                <w:szCs w:val="30"/>
                <w:highlight w:val="none"/>
              </w:rPr>
            </w:pPr>
            <w:r>
              <w:rPr>
                <w:rFonts w:hint="eastAsia" w:ascii="宋体" w:hAnsi="宋体" w:cs="宋体"/>
                <w:color w:val="auto"/>
                <w:spacing w:val="40"/>
                <w:sz w:val="30"/>
                <w:szCs w:val="30"/>
                <w:highlight w:val="none"/>
              </w:rPr>
              <w:t>评 审 方 式：</w:t>
            </w:r>
          </w:p>
        </w:tc>
        <w:tc>
          <w:tcPr>
            <w:tcW w:w="6812" w:type="dxa"/>
            <w:tcBorders>
              <w:top w:val="nil"/>
              <w:left w:val="nil"/>
              <w:bottom w:val="nil"/>
              <w:right w:val="nil"/>
            </w:tcBorders>
          </w:tcPr>
          <w:p w14:paraId="041CB678">
            <w:pPr>
              <w:spacing w:line="600" w:lineRule="exact"/>
              <w:jc w:val="center"/>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线上电子评审</w:t>
            </w:r>
          </w:p>
        </w:tc>
      </w:tr>
    </w:tbl>
    <w:p w14:paraId="2BE0A718">
      <w:pPr>
        <w:spacing w:line="600" w:lineRule="exact"/>
        <w:ind w:firstLine="1620" w:firstLineChars="450"/>
        <w:rPr>
          <w:rFonts w:ascii="宋体" w:hAnsi="宋体" w:cs="宋体"/>
          <w:color w:val="auto"/>
          <w:spacing w:val="30"/>
          <w:sz w:val="30"/>
          <w:highlight w:val="none"/>
        </w:rPr>
      </w:pPr>
    </w:p>
    <w:p w14:paraId="4604DA02">
      <w:pPr>
        <w:rPr>
          <w:rFonts w:ascii="宋体" w:hAnsi="宋体" w:cs="宋体"/>
          <w:color w:val="auto"/>
          <w:spacing w:val="30"/>
          <w:sz w:val="30"/>
          <w:highlight w:val="none"/>
        </w:rPr>
      </w:pPr>
    </w:p>
    <w:p w14:paraId="78DBEEF9">
      <w:pPr>
        <w:pStyle w:val="24"/>
        <w:rPr>
          <w:color w:val="auto"/>
          <w:highlight w:val="none"/>
        </w:rPr>
      </w:pPr>
    </w:p>
    <w:p w14:paraId="5BDA9F24">
      <w:pPr>
        <w:pStyle w:val="299"/>
        <w:rPr>
          <w:rFonts w:ascii="宋体" w:hAnsi="宋体" w:cs="宋体"/>
          <w:color w:val="auto"/>
          <w:highlight w:val="none"/>
        </w:rPr>
      </w:pPr>
    </w:p>
    <w:tbl>
      <w:tblPr>
        <w:tblStyle w:val="53"/>
        <w:tblW w:w="0" w:type="auto"/>
        <w:tblInd w:w="1047" w:type="dxa"/>
        <w:tblLayout w:type="fixed"/>
        <w:tblCellMar>
          <w:top w:w="0" w:type="dxa"/>
          <w:left w:w="108" w:type="dxa"/>
          <w:bottom w:w="0" w:type="dxa"/>
          <w:right w:w="108" w:type="dxa"/>
        </w:tblCellMar>
      </w:tblPr>
      <w:tblGrid>
        <w:gridCol w:w="3068"/>
        <w:gridCol w:w="5381"/>
      </w:tblGrid>
      <w:tr w14:paraId="38EADF56">
        <w:tblPrEx>
          <w:tblCellMar>
            <w:top w:w="0" w:type="dxa"/>
            <w:left w:w="108" w:type="dxa"/>
            <w:bottom w:w="0" w:type="dxa"/>
            <w:right w:w="108" w:type="dxa"/>
          </w:tblCellMar>
        </w:tblPrEx>
        <w:trPr>
          <w:trHeight w:val="537" w:hRule="atLeast"/>
        </w:trPr>
        <w:tc>
          <w:tcPr>
            <w:tcW w:w="3068" w:type="dxa"/>
          </w:tcPr>
          <w:p w14:paraId="12C39EDD">
            <w:pPr>
              <w:jc w:val="distribute"/>
              <w:rPr>
                <w:rFonts w:ascii="宋体" w:hAnsi="宋体" w:cs="宋体"/>
                <w:color w:val="auto"/>
                <w:spacing w:val="30"/>
                <w:sz w:val="30"/>
                <w:highlight w:val="none"/>
              </w:rPr>
            </w:pPr>
            <w:r>
              <w:rPr>
                <w:rFonts w:hint="eastAsia" w:ascii="宋体" w:hAnsi="宋体" w:cs="宋体"/>
                <w:color w:val="auto"/>
                <w:spacing w:val="30"/>
                <w:sz w:val="30"/>
                <w:highlight w:val="none"/>
              </w:rPr>
              <w:t>采购人：</w:t>
            </w:r>
          </w:p>
        </w:tc>
        <w:tc>
          <w:tcPr>
            <w:tcW w:w="5381" w:type="dxa"/>
          </w:tcPr>
          <w:p w14:paraId="5837311E">
            <w:pPr>
              <w:jc w:val="center"/>
              <w:rPr>
                <w:rFonts w:ascii="宋体" w:hAnsi="宋体" w:cs="宋体"/>
                <w:color w:val="auto"/>
                <w:spacing w:val="30"/>
                <w:sz w:val="30"/>
                <w:highlight w:val="none"/>
              </w:rPr>
            </w:pPr>
            <w:r>
              <w:rPr>
                <w:rFonts w:hint="eastAsia" w:ascii="宋体" w:hAnsi="宋体" w:cs="宋体"/>
                <w:color w:val="auto"/>
                <w:sz w:val="30"/>
                <w:highlight w:val="none"/>
              </w:rPr>
              <w:t>温州医科大学</w:t>
            </w:r>
          </w:p>
        </w:tc>
      </w:tr>
      <w:tr w14:paraId="12DECBF0">
        <w:tblPrEx>
          <w:tblCellMar>
            <w:top w:w="0" w:type="dxa"/>
            <w:left w:w="108" w:type="dxa"/>
            <w:bottom w:w="0" w:type="dxa"/>
            <w:right w:w="108" w:type="dxa"/>
          </w:tblCellMar>
        </w:tblPrEx>
        <w:trPr>
          <w:trHeight w:val="491" w:hRule="atLeast"/>
        </w:trPr>
        <w:tc>
          <w:tcPr>
            <w:tcW w:w="3068" w:type="dxa"/>
          </w:tcPr>
          <w:p w14:paraId="0A61EB6D">
            <w:pPr>
              <w:jc w:val="distribute"/>
              <w:rPr>
                <w:rFonts w:ascii="宋体" w:hAnsi="宋体" w:cs="宋体"/>
                <w:color w:val="auto"/>
                <w:spacing w:val="30"/>
                <w:sz w:val="30"/>
                <w:highlight w:val="none"/>
              </w:rPr>
            </w:pPr>
            <w:r>
              <w:rPr>
                <w:rFonts w:hint="eastAsia" w:ascii="宋体" w:hAnsi="宋体" w:cs="宋体"/>
                <w:color w:val="auto"/>
                <w:spacing w:val="30"/>
                <w:sz w:val="30"/>
                <w:highlight w:val="none"/>
              </w:rPr>
              <w:t>采购代理机构：</w:t>
            </w:r>
          </w:p>
        </w:tc>
        <w:tc>
          <w:tcPr>
            <w:tcW w:w="5381" w:type="dxa"/>
          </w:tcPr>
          <w:p w14:paraId="4E2F45FE">
            <w:pPr>
              <w:jc w:val="center"/>
              <w:rPr>
                <w:rFonts w:ascii="宋体" w:hAnsi="宋体" w:cs="宋体"/>
                <w:color w:val="auto"/>
                <w:spacing w:val="30"/>
                <w:sz w:val="30"/>
                <w:highlight w:val="none"/>
              </w:rPr>
            </w:pPr>
            <w:r>
              <w:rPr>
                <w:rFonts w:hint="eastAsia" w:ascii="宋体" w:hAnsi="宋体" w:cs="宋体"/>
                <w:color w:val="auto"/>
                <w:spacing w:val="30"/>
                <w:sz w:val="30"/>
                <w:highlight w:val="none"/>
              </w:rPr>
              <w:t>温州历程招标有限公司</w:t>
            </w:r>
          </w:p>
        </w:tc>
      </w:tr>
      <w:tr w14:paraId="6ABA6F9A">
        <w:tblPrEx>
          <w:tblCellMar>
            <w:top w:w="0" w:type="dxa"/>
            <w:left w:w="108" w:type="dxa"/>
            <w:bottom w:w="0" w:type="dxa"/>
            <w:right w:w="108" w:type="dxa"/>
          </w:tblCellMar>
        </w:tblPrEx>
        <w:tc>
          <w:tcPr>
            <w:tcW w:w="3068" w:type="dxa"/>
          </w:tcPr>
          <w:p w14:paraId="3BC2A545">
            <w:pPr>
              <w:jc w:val="distribute"/>
              <w:rPr>
                <w:rFonts w:ascii="宋体" w:hAnsi="宋体" w:cs="宋体"/>
                <w:color w:val="auto"/>
                <w:spacing w:val="30"/>
                <w:sz w:val="30"/>
                <w:highlight w:val="none"/>
              </w:rPr>
            </w:pPr>
            <w:r>
              <w:rPr>
                <w:rFonts w:hint="eastAsia" w:ascii="宋体" w:hAnsi="宋体" w:cs="宋体"/>
                <w:color w:val="auto"/>
                <w:spacing w:val="30"/>
                <w:sz w:val="30"/>
                <w:highlight w:val="none"/>
              </w:rPr>
              <w:t>日       期：</w:t>
            </w:r>
          </w:p>
        </w:tc>
        <w:tc>
          <w:tcPr>
            <w:tcW w:w="5381" w:type="dxa"/>
          </w:tcPr>
          <w:p w14:paraId="4A09B7D0">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二〇二四年六月</w:t>
            </w:r>
          </w:p>
        </w:tc>
      </w:tr>
    </w:tbl>
    <w:p w14:paraId="657AD30A">
      <w:pPr>
        <w:spacing w:line="360" w:lineRule="auto"/>
        <w:rPr>
          <w:rFonts w:ascii="宋体" w:hAnsi="宋体"/>
          <w:b/>
          <w:bCs/>
          <w:color w:val="auto"/>
          <w:sz w:val="28"/>
          <w:szCs w:val="36"/>
          <w:highlight w:val="none"/>
        </w:rPr>
      </w:pPr>
    </w:p>
    <w:p w14:paraId="77C76E9F">
      <w:pPr>
        <w:rPr>
          <w:color w:val="auto"/>
          <w:highlight w:val="none"/>
        </w:rPr>
      </w:pPr>
    </w:p>
    <w:p w14:paraId="030FE721">
      <w:pPr>
        <w:keepNext/>
        <w:spacing w:line="460" w:lineRule="exact"/>
        <w:jc w:val="center"/>
        <w:rPr>
          <w:rFonts w:ascii="宋体" w:hAnsi="宋体"/>
          <w:b/>
          <w:bCs/>
          <w:color w:val="auto"/>
          <w:sz w:val="28"/>
          <w:szCs w:val="36"/>
          <w:highlight w:val="none"/>
        </w:rPr>
      </w:pPr>
      <w:r>
        <w:rPr>
          <w:rFonts w:ascii="宋体" w:hAnsi="宋体"/>
          <w:b/>
          <w:bCs/>
          <w:color w:val="auto"/>
          <w:sz w:val="28"/>
          <w:szCs w:val="36"/>
          <w:highlight w:val="none"/>
        </w:rPr>
        <w:br w:type="page"/>
      </w:r>
      <w:r>
        <w:rPr>
          <w:rFonts w:ascii="宋体" w:hAnsi="宋体"/>
          <w:b/>
          <w:bCs/>
          <w:color w:val="auto"/>
          <w:sz w:val="28"/>
          <w:szCs w:val="36"/>
          <w:highlight w:val="none"/>
        </w:rPr>
        <w:t>目</w:t>
      </w:r>
      <w:r>
        <w:rPr>
          <w:rFonts w:hint="eastAsia" w:ascii="宋体" w:hAnsi="宋体"/>
          <w:b/>
          <w:bCs/>
          <w:color w:val="auto"/>
          <w:sz w:val="28"/>
          <w:szCs w:val="36"/>
          <w:highlight w:val="none"/>
        </w:rPr>
        <w:t xml:space="preserve">   </w:t>
      </w:r>
      <w:r>
        <w:rPr>
          <w:rFonts w:ascii="宋体" w:hAnsi="宋体"/>
          <w:b/>
          <w:bCs/>
          <w:color w:val="auto"/>
          <w:sz w:val="28"/>
          <w:szCs w:val="36"/>
          <w:highlight w:val="none"/>
        </w:rPr>
        <w:t>录</w:t>
      </w:r>
      <w:bookmarkStart w:id="0" w:name="_Toc27036"/>
      <w:bookmarkStart w:id="1" w:name="_Toc9283"/>
      <w:bookmarkStart w:id="2" w:name="_Toc17251"/>
      <w:bookmarkStart w:id="3" w:name="_Toc29826"/>
      <w:bookmarkStart w:id="4" w:name="_Toc35199976"/>
      <w:bookmarkStart w:id="5" w:name="_Toc118"/>
    </w:p>
    <w:p w14:paraId="027F4A74">
      <w:pPr>
        <w:pStyle w:val="46"/>
        <w:tabs>
          <w:tab w:val="right" w:leader="dot" w:pos="9638"/>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TOC \o "1-3" \h \u </w:instrText>
      </w:r>
      <w:r>
        <w:rPr>
          <w:rFonts w:hint="eastAsia" w:ascii="新宋体" w:hAnsi="新宋体" w:eastAsia="新宋体" w:cs="新宋体"/>
          <w:color w:val="auto"/>
          <w:sz w:val="22"/>
          <w:szCs w:val="22"/>
          <w:highlight w:val="none"/>
        </w:rPr>
        <w:fldChar w:fldCharType="separate"/>
      </w:r>
    </w:p>
    <w:p w14:paraId="063E4C65">
      <w:pPr>
        <w:pStyle w:val="39"/>
        <w:tabs>
          <w:tab w:val="right" w:leader="dot" w:pos="9638"/>
        </w:tabs>
        <w:spacing w:line="460" w:lineRule="exact"/>
        <w:rPr>
          <w:rFonts w:ascii="新宋体" w:hAnsi="新宋体" w:eastAsia="新宋体" w:cs="新宋体"/>
          <w:color w:val="auto"/>
          <w:sz w:val="22"/>
          <w:szCs w:val="22"/>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"_Toc4286" </w:instrText>
      </w:r>
      <w:r>
        <w:rPr>
          <w:color w:val="auto"/>
          <w:highlight w:val="none"/>
        </w:rPr>
        <w:fldChar w:fldCharType="separate"/>
      </w:r>
      <w:r>
        <w:rPr>
          <w:rFonts w:hint="eastAsia" w:ascii="新宋体" w:hAnsi="新宋体" w:eastAsia="新宋体" w:cs="新宋体"/>
          <w:color w:val="auto"/>
          <w:sz w:val="22"/>
          <w:szCs w:val="22"/>
          <w:highlight w:val="none"/>
        </w:rPr>
        <w:t>电子交易须知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_Toc4286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7E671A0">
      <w:pPr>
        <w:pStyle w:val="39"/>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"_Toc9239" </w:instrText>
      </w:r>
      <w:r>
        <w:rPr>
          <w:color w:val="auto"/>
          <w:highlight w:val="none"/>
        </w:rPr>
        <w:fldChar w:fldCharType="separate"/>
      </w:r>
      <w:r>
        <w:rPr>
          <w:rFonts w:hint="eastAsia" w:ascii="新宋体" w:hAnsi="新宋体" w:eastAsia="新宋体" w:cs="新宋体"/>
          <w:color w:val="auto"/>
          <w:sz w:val="22"/>
          <w:szCs w:val="22"/>
          <w:highlight w:val="none"/>
        </w:rPr>
        <w:t>招 标 公 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_Toc9239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46873BB">
      <w:pPr>
        <w:pStyle w:val="39"/>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"_Toc6453" </w:instrText>
      </w:r>
      <w:r>
        <w:rPr>
          <w:color w:val="auto"/>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_Toc6453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E176CC1">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"_Toc28942" </w:instrText>
      </w:r>
      <w:r>
        <w:rPr>
          <w:color w:val="auto"/>
          <w:highlight w:val="none"/>
        </w:rPr>
        <w:fldChar w:fldCharType="separate"/>
      </w:r>
      <w:r>
        <w:rPr>
          <w:rFonts w:hint="eastAsia" w:ascii="新宋体" w:hAnsi="新宋体" w:eastAsia="新宋体" w:cs="新宋体"/>
          <w:bCs/>
          <w:color w:val="auto"/>
          <w:sz w:val="22"/>
          <w:szCs w:val="22"/>
          <w:highlight w:val="none"/>
        </w:rPr>
        <w:t>投标人须知前附表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_Toc28942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310E57E">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"_Toc13785" </w:instrText>
      </w:r>
      <w:r>
        <w:rPr>
          <w:color w:val="auto"/>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_Toc13785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1B6A92C">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_Toc27817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ADC7D1C">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"_Toc14867" </w:instrText>
      </w:r>
      <w:r>
        <w:rPr>
          <w:color w:val="auto"/>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_Toc14867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B544B2C">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"_Toc14324" </w:instrText>
      </w:r>
      <w:r>
        <w:rPr>
          <w:color w:val="auto"/>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_Toc14324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EF6FCDB">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"_Toc6372" </w:instrText>
      </w:r>
      <w:r>
        <w:rPr>
          <w:color w:val="auto"/>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_Toc6372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F763B1A">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"_Toc32648" </w:instrText>
      </w:r>
      <w:r>
        <w:rPr>
          <w:color w:val="auto"/>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_Toc32648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D8B397E">
      <w:pPr>
        <w:pStyle w:val="39"/>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"_Toc9142" </w:instrText>
      </w:r>
      <w:r>
        <w:rPr>
          <w:color w:val="auto"/>
          <w:highlight w:val="none"/>
        </w:rPr>
        <w:fldChar w:fldCharType="separate"/>
      </w:r>
      <w:r>
        <w:rPr>
          <w:rFonts w:hint="eastAsia" w:ascii="新宋体" w:hAnsi="新宋体" w:eastAsia="新宋体" w:cs="新宋体"/>
          <w:color w:val="auto"/>
          <w:sz w:val="22"/>
          <w:szCs w:val="22"/>
          <w:highlight w:val="none"/>
        </w:rPr>
        <w:t>第二部分    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_Toc9142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FA5C3AC">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"_Toc4496" </w:instrText>
      </w:r>
      <w:r>
        <w:rPr>
          <w:color w:val="auto"/>
          <w:highlight w:val="none"/>
        </w:rPr>
        <w:fldChar w:fldCharType="separate"/>
      </w:r>
      <w:r>
        <w:rPr>
          <w:rFonts w:hint="eastAsia" w:ascii="新宋体" w:hAnsi="新宋体" w:eastAsia="新宋体" w:cs="新宋体"/>
          <w:bCs/>
          <w:color w:val="auto"/>
          <w:sz w:val="22"/>
          <w:szCs w:val="22"/>
          <w:highlight w:val="none"/>
        </w:rPr>
        <w:t>一、本合同签订依据</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_Toc4496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B927AE2">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"_Toc20675" </w:instrText>
      </w:r>
      <w:r>
        <w:rPr>
          <w:color w:val="auto"/>
          <w:highlight w:val="none"/>
        </w:rPr>
        <w:fldChar w:fldCharType="separate"/>
      </w:r>
      <w:r>
        <w:rPr>
          <w:rFonts w:hint="eastAsia" w:ascii="新宋体" w:hAnsi="新宋体" w:eastAsia="新宋体" w:cs="新宋体"/>
          <w:color w:val="auto"/>
          <w:sz w:val="22"/>
          <w:szCs w:val="22"/>
          <w:highlight w:val="none"/>
        </w:rPr>
        <w:t>二、合同文件的优先次序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_Toc20675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98D2C86">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"_Toc28953" </w:instrText>
      </w:r>
      <w:r>
        <w:rPr>
          <w:color w:val="auto"/>
          <w:highlight w:val="none"/>
        </w:rPr>
        <w:fldChar w:fldCharType="separate"/>
      </w:r>
      <w:r>
        <w:rPr>
          <w:rFonts w:hint="eastAsia" w:ascii="新宋体" w:hAnsi="新宋体" w:eastAsia="新宋体" w:cs="新宋体"/>
          <w:color w:val="auto"/>
          <w:sz w:val="22"/>
          <w:szCs w:val="22"/>
          <w:highlight w:val="none"/>
        </w:rPr>
        <w:t>三、采购内容</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_Toc28953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52E672B">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"_Toc19898" </w:instrText>
      </w:r>
      <w:r>
        <w:rPr>
          <w:color w:val="auto"/>
          <w:highlight w:val="none"/>
        </w:rPr>
        <w:fldChar w:fldCharType="separate"/>
      </w:r>
      <w:r>
        <w:rPr>
          <w:rFonts w:hint="eastAsia" w:ascii="新宋体" w:hAnsi="新宋体" w:eastAsia="新宋体" w:cs="新宋体"/>
          <w:color w:val="auto"/>
          <w:sz w:val="22"/>
          <w:szCs w:val="22"/>
          <w:highlight w:val="none"/>
        </w:rPr>
        <w:t>四、交货</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_Toc19898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A1118ED">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"_Toc14494" </w:instrText>
      </w:r>
      <w:r>
        <w:rPr>
          <w:color w:val="auto"/>
          <w:highlight w:val="none"/>
        </w:rPr>
        <w:fldChar w:fldCharType="separate"/>
      </w:r>
      <w:r>
        <w:rPr>
          <w:rFonts w:hint="eastAsia" w:ascii="新宋体" w:hAnsi="新宋体" w:eastAsia="新宋体" w:cs="新宋体"/>
          <w:color w:val="auto"/>
          <w:sz w:val="22"/>
          <w:szCs w:val="22"/>
          <w:highlight w:val="none"/>
        </w:rPr>
        <w:t>五、付款方式与结算</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_Toc14494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97C9EE0">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"_Toc2185" </w:instrText>
      </w:r>
      <w:r>
        <w:rPr>
          <w:color w:val="auto"/>
          <w:highlight w:val="none"/>
        </w:rPr>
        <w:fldChar w:fldCharType="separate"/>
      </w:r>
      <w:r>
        <w:rPr>
          <w:rFonts w:hint="eastAsia" w:ascii="新宋体" w:hAnsi="新宋体" w:eastAsia="新宋体" w:cs="新宋体"/>
          <w:color w:val="auto"/>
          <w:sz w:val="22"/>
          <w:szCs w:val="22"/>
          <w:highlight w:val="none"/>
        </w:rPr>
        <w:t>六、质量要求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_Toc2185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4C63FFF">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"_Toc28208" </w:instrText>
      </w:r>
      <w:r>
        <w:rPr>
          <w:color w:val="auto"/>
          <w:highlight w:val="none"/>
        </w:rPr>
        <w:fldChar w:fldCharType="separate"/>
      </w:r>
      <w:r>
        <w:rPr>
          <w:rFonts w:hint="eastAsia" w:ascii="新宋体" w:hAnsi="新宋体" w:eastAsia="新宋体" w:cs="新宋体"/>
          <w:color w:val="auto"/>
          <w:sz w:val="22"/>
          <w:szCs w:val="22"/>
          <w:highlight w:val="none"/>
        </w:rPr>
        <w:t>七、验收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_Toc28208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C9D2D86">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"_Toc26485" </w:instrText>
      </w:r>
      <w:r>
        <w:rPr>
          <w:color w:val="auto"/>
          <w:highlight w:val="none"/>
        </w:rPr>
        <w:fldChar w:fldCharType="separate"/>
      </w:r>
      <w:r>
        <w:rPr>
          <w:rFonts w:hint="eastAsia" w:ascii="新宋体" w:hAnsi="新宋体" w:eastAsia="新宋体" w:cs="新宋体"/>
          <w:color w:val="auto"/>
          <w:sz w:val="22"/>
          <w:szCs w:val="22"/>
          <w:highlight w:val="none"/>
        </w:rPr>
        <w:t>八、双方责任</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_Toc26485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A4464CC">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"_Toc15789" </w:instrText>
      </w:r>
      <w:r>
        <w:rPr>
          <w:color w:val="auto"/>
          <w:highlight w:val="none"/>
        </w:rPr>
        <w:fldChar w:fldCharType="separate"/>
      </w:r>
      <w:r>
        <w:rPr>
          <w:rFonts w:hint="eastAsia" w:ascii="新宋体" w:hAnsi="新宋体" w:eastAsia="新宋体" w:cs="新宋体"/>
          <w:color w:val="auto"/>
          <w:sz w:val="22"/>
          <w:szCs w:val="22"/>
          <w:highlight w:val="none"/>
        </w:rPr>
        <w:t>九、乙方履约延误</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_Toc15789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DDE2839">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"_Toc29409" </w:instrText>
      </w:r>
      <w:r>
        <w:rPr>
          <w:color w:val="auto"/>
          <w:highlight w:val="none"/>
        </w:rPr>
        <w:fldChar w:fldCharType="separate"/>
      </w:r>
      <w:r>
        <w:rPr>
          <w:rFonts w:hint="eastAsia" w:ascii="新宋体" w:hAnsi="新宋体" w:eastAsia="新宋体" w:cs="新宋体"/>
          <w:color w:val="auto"/>
          <w:sz w:val="22"/>
          <w:szCs w:val="22"/>
          <w:highlight w:val="none"/>
        </w:rPr>
        <w:t>十、误期赔偿费</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_Toc29409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A864045">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"_Toc29152" </w:instrText>
      </w:r>
      <w:r>
        <w:rPr>
          <w:color w:val="auto"/>
          <w:highlight w:val="none"/>
        </w:rPr>
        <w:fldChar w:fldCharType="separate"/>
      </w:r>
      <w:r>
        <w:rPr>
          <w:rFonts w:hint="eastAsia" w:ascii="新宋体" w:hAnsi="新宋体" w:eastAsia="新宋体" w:cs="新宋体"/>
          <w:color w:val="auto"/>
          <w:sz w:val="22"/>
          <w:szCs w:val="22"/>
          <w:highlight w:val="none"/>
        </w:rPr>
        <w:t>十一、不可抗力</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_Toc29152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B6D8C90">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"_Toc1660" </w:instrText>
      </w:r>
      <w:r>
        <w:rPr>
          <w:color w:val="auto"/>
          <w:highlight w:val="none"/>
        </w:rPr>
        <w:fldChar w:fldCharType="separate"/>
      </w:r>
      <w:r>
        <w:rPr>
          <w:rFonts w:hint="eastAsia" w:ascii="新宋体" w:hAnsi="新宋体" w:eastAsia="新宋体" w:cs="新宋体"/>
          <w:color w:val="auto"/>
          <w:sz w:val="22"/>
          <w:szCs w:val="22"/>
          <w:highlight w:val="none"/>
        </w:rPr>
        <w:t>十二、税费</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_Toc1660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9261F16">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"_Toc2954" </w:instrText>
      </w:r>
      <w:r>
        <w:rPr>
          <w:color w:val="auto"/>
          <w:highlight w:val="none"/>
        </w:rPr>
        <w:fldChar w:fldCharType="separate"/>
      </w:r>
      <w:r>
        <w:rPr>
          <w:rFonts w:hint="eastAsia" w:ascii="新宋体" w:hAnsi="新宋体" w:eastAsia="新宋体" w:cs="新宋体"/>
          <w:color w:val="auto"/>
          <w:sz w:val="22"/>
          <w:szCs w:val="22"/>
          <w:highlight w:val="none"/>
        </w:rPr>
        <w:t>十三、违约终止合同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_Toc2954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4B54C0B">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"_Toc3245" </w:instrText>
      </w:r>
      <w:r>
        <w:rPr>
          <w:color w:val="auto"/>
          <w:highlight w:val="none"/>
        </w:rPr>
        <w:fldChar w:fldCharType="separate"/>
      </w:r>
      <w:r>
        <w:rPr>
          <w:rFonts w:hint="eastAsia" w:ascii="新宋体" w:hAnsi="新宋体" w:eastAsia="新宋体" w:cs="新宋体"/>
          <w:color w:val="auto"/>
          <w:sz w:val="22"/>
          <w:szCs w:val="22"/>
          <w:highlight w:val="none"/>
        </w:rPr>
        <w:t>十四、履约保证金的罚没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_Toc3245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FF462FB">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"_Toc3474" </w:instrText>
      </w:r>
      <w:r>
        <w:rPr>
          <w:color w:val="auto"/>
          <w:highlight w:val="none"/>
        </w:rPr>
        <w:fldChar w:fldCharType="separate"/>
      </w:r>
      <w:r>
        <w:rPr>
          <w:rFonts w:hint="eastAsia" w:ascii="新宋体" w:hAnsi="新宋体" w:eastAsia="新宋体" w:cs="新宋体"/>
          <w:color w:val="auto"/>
          <w:sz w:val="22"/>
          <w:szCs w:val="22"/>
          <w:highlight w:val="none"/>
        </w:rPr>
        <w:t>十五、争端的解决</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_Toc3474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976B6A8">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"_Toc7785" </w:instrText>
      </w:r>
      <w:r>
        <w:rPr>
          <w:color w:val="auto"/>
          <w:highlight w:val="none"/>
        </w:rPr>
        <w:fldChar w:fldCharType="separate"/>
      </w:r>
      <w:r>
        <w:rPr>
          <w:rFonts w:hint="eastAsia" w:ascii="新宋体" w:hAnsi="新宋体" w:eastAsia="新宋体" w:cs="新宋体"/>
          <w:color w:val="auto"/>
          <w:sz w:val="22"/>
          <w:szCs w:val="22"/>
          <w:highlight w:val="none"/>
        </w:rPr>
        <w:t>十六、转让和分包及货物不可替代</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_Toc7785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A7F55F5">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"_Toc4092" </w:instrText>
      </w:r>
      <w:r>
        <w:rPr>
          <w:color w:val="auto"/>
          <w:highlight w:val="none"/>
        </w:rPr>
        <w:fldChar w:fldCharType="separate"/>
      </w:r>
      <w:r>
        <w:rPr>
          <w:rFonts w:hint="eastAsia" w:ascii="新宋体" w:hAnsi="新宋体" w:eastAsia="新宋体" w:cs="新宋体"/>
          <w:color w:val="auto"/>
          <w:sz w:val="22"/>
          <w:szCs w:val="22"/>
          <w:highlight w:val="none"/>
        </w:rPr>
        <w:t>十七、适用法律</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_Toc4092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85FB801">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"_Toc29420" </w:instrText>
      </w:r>
      <w:r>
        <w:rPr>
          <w:color w:val="auto"/>
          <w:highlight w:val="none"/>
        </w:rPr>
        <w:fldChar w:fldCharType="separate"/>
      </w:r>
      <w:r>
        <w:rPr>
          <w:rFonts w:hint="eastAsia" w:ascii="新宋体" w:hAnsi="新宋体" w:eastAsia="新宋体" w:cs="新宋体"/>
          <w:color w:val="auto"/>
          <w:sz w:val="22"/>
          <w:szCs w:val="22"/>
          <w:highlight w:val="none"/>
        </w:rPr>
        <w:t>十八、合同生效及其他</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_Toc29420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E76BC83">
      <w:pPr>
        <w:pStyle w:val="39"/>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"_Toc30549" </w:instrText>
      </w:r>
      <w:r>
        <w:rPr>
          <w:color w:val="auto"/>
          <w:highlight w:val="none"/>
        </w:rPr>
        <w:fldChar w:fldCharType="separate"/>
      </w:r>
      <w:r>
        <w:rPr>
          <w:rFonts w:hint="eastAsia" w:ascii="新宋体" w:hAnsi="新宋体" w:eastAsia="新宋体" w:cs="新宋体"/>
          <w:color w:val="auto"/>
          <w:sz w:val="22"/>
          <w:szCs w:val="22"/>
          <w:highlight w:val="none"/>
        </w:rPr>
        <w:t>第三部分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_Toc30549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30BB263">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"_Toc9692" </w:instrText>
      </w:r>
      <w:r>
        <w:rPr>
          <w:color w:val="auto"/>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_Toc9692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C6812C3">
      <w:pPr>
        <w:pStyle w:val="29"/>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"_Toc23729" </w:instrText>
      </w:r>
      <w:r>
        <w:rPr>
          <w:color w:val="auto"/>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_Toc23729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083D484">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"_Toc20449" </w:instrText>
      </w:r>
      <w:r>
        <w:rPr>
          <w:color w:val="auto"/>
          <w:highlight w:val="none"/>
        </w:rPr>
        <w:fldChar w:fldCharType="separate"/>
      </w:r>
      <w:r>
        <w:rPr>
          <w:rFonts w:hint="eastAsia" w:ascii="新宋体" w:hAnsi="新宋体" w:eastAsia="新宋体" w:cs="新宋体"/>
          <w:color w:val="auto"/>
          <w:sz w:val="22"/>
          <w:szCs w:val="22"/>
          <w:highlight w:val="none"/>
        </w:rPr>
        <w:t>附件二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_Toc20449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3E75820">
      <w:pPr>
        <w:pStyle w:val="29"/>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"_Toc21109" </w:instrText>
      </w:r>
      <w:r>
        <w:rPr>
          <w:color w:val="auto"/>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_Toc21109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37A7381">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"_Toc3264" </w:instrText>
      </w:r>
      <w:r>
        <w:rPr>
          <w:color w:val="auto"/>
          <w:highlight w:val="none"/>
        </w:rPr>
        <w:fldChar w:fldCharType="separate"/>
      </w:r>
      <w:r>
        <w:rPr>
          <w:rFonts w:hint="eastAsia" w:ascii="新宋体" w:hAnsi="新宋体" w:eastAsia="新宋体" w:cs="新宋体"/>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_Toc3264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5D3C6C1">
      <w:pPr>
        <w:pStyle w:val="29"/>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"_Toc21625" </w:instrText>
      </w:r>
      <w:r>
        <w:rPr>
          <w:color w:val="auto"/>
          <w:highlight w:val="none"/>
        </w:rPr>
        <w:fldChar w:fldCharType="separate"/>
      </w:r>
      <w:r>
        <w:rPr>
          <w:rFonts w:hint="eastAsia" w:ascii="新宋体" w:hAnsi="新宋体" w:eastAsia="新宋体" w:cs="新宋体"/>
          <w:bCs/>
          <w:color w:val="auto"/>
          <w:sz w:val="22"/>
          <w:szCs w:val="22"/>
          <w:highlight w:val="none"/>
          <w:lang w:val="zh-CN"/>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_Toc21625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B152E06">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"_Toc9074" </w:instrText>
      </w:r>
      <w:r>
        <w:rPr>
          <w:color w:val="auto"/>
          <w:highlight w:val="none"/>
        </w:rPr>
        <w:fldChar w:fldCharType="separate"/>
      </w:r>
      <w:r>
        <w:rPr>
          <w:rFonts w:hint="eastAsia" w:ascii="新宋体" w:hAnsi="新宋体" w:eastAsia="新宋体" w:cs="新宋体"/>
          <w:bCs/>
          <w:color w:val="auto"/>
          <w:sz w:val="22"/>
          <w:szCs w:val="22"/>
          <w:highlight w:val="none"/>
        </w:rPr>
        <w:t>附件四</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_Toc9074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277A57C">
      <w:pPr>
        <w:pStyle w:val="29"/>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"_Toc26191" </w:instrText>
      </w:r>
      <w:r>
        <w:rPr>
          <w:color w:val="auto"/>
          <w:highlight w:val="none"/>
        </w:rPr>
        <w:fldChar w:fldCharType="separate"/>
      </w:r>
      <w:r>
        <w:rPr>
          <w:rFonts w:hint="eastAsia" w:ascii="新宋体" w:hAnsi="新宋体" w:eastAsia="新宋体" w:cs="新宋体"/>
          <w:bCs/>
          <w:color w:val="auto"/>
          <w:sz w:val="22"/>
          <w:szCs w:val="22"/>
          <w:highlight w:val="none"/>
          <w:lang w:val="zh-CN"/>
        </w:rPr>
        <w:t>预付款保函示范文本</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_Toc26191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A297DC6">
      <w:pPr>
        <w:pStyle w:val="39"/>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"_Toc26576" </w:instrText>
      </w:r>
      <w:r>
        <w:rPr>
          <w:color w:val="auto"/>
          <w:highlight w:val="none"/>
        </w:rPr>
        <w:fldChar w:fldCharType="separate"/>
      </w:r>
      <w:r>
        <w:rPr>
          <w:rFonts w:hint="eastAsia" w:ascii="新宋体" w:hAnsi="新宋体" w:eastAsia="新宋体" w:cs="新宋体"/>
          <w:color w:val="auto"/>
          <w:sz w:val="22"/>
          <w:szCs w:val="22"/>
          <w:highlight w:val="none"/>
        </w:rPr>
        <w:t>第四部分   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_Toc26576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A172901">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"_Toc14514" </w:instrText>
      </w:r>
      <w:r>
        <w:rPr>
          <w:color w:val="auto"/>
          <w:highlight w:val="none"/>
        </w:rPr>
        <w:fldChar w:fldCharType="separate"/>
      </w:r>
      <w:r>
        <w:rPr>
          <w:rFonts w:hint="eastAsia" w:ascii="新宋体" w:hAnsi="新宋体" w:eastAsia="新宋体" w:cs="新宋体"/>
          <w:bCs/>
          <w:color w:val="auto"/>
          <w:sz w:val="22"/>
          <w:szCs w:val="22"/>
          <w:highlight w:val="none"/>
        </w:rPr>
        <w:t>一、项目概况</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_Toc14514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3B8DC01">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"_Toc27342" </w:instrText>
      </w:r>
      <w:r>
        <w:rPr>
          <w:color w:val="auto"/>
          <w:highlight w:val="none"/>
        </w:rPr>
        <w:fldChar w:fldCharType="separate"/>
      </w:r>
      <w:r>
        <w:rPr>
          <w:rFonts w:hint="eastAsia" w:ascii="新宋体" w:hAnsi="新宋体" w:eastAsia="新宋体" w:cs="新宋体"/>
          <w:bCs/>
          <w:color w:val="auto"/>
          <w:sz w:val="22"/>
          <w:szCs w:val="22"/>
          <w:highlight w:val="none"/>
        </w:rPr>
        <w:t>二、采购清单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_Toc27342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03DB4B4">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"_Toc14179" </w:instrText>
      </w:r>
      <w:r>
        <w:rPr>
          <w:color w:val="auto"/>
          <w:highlight w:val="none"/>
        </w:rPr>
        <w:fldChar w:fldCharType="separate"/>
      </w:r>
      <w:r>
        <w:rPr>
          <w:rFonts w:hint="eastAsia" w:ascii="新宋体" w:hAnsi="新宋体" w:eastAsia="新宋体" w:cs="新宋体"/>
          <w:bCs/>
          <w:color w:val="auto"/>
          <w:sz w:val="22"/>
          <w:szCs w:val="22"/>
          <w:highlight w:val="none"/>
        </w:rPr>
        <w:t>三、技术参数及配置</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_Toc14179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43945CA">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"_Toc30041" </w:instrText>
      </w:r>
      <w:r>
        <w:rPr>
          <w:color w:val="auto"/>
          <w:highlight w:val="none"/>
        </w:rPr>
        <w:fldChar w:fldCharType="separate"/>
      </w:r>
      <w:r>
        <w:rPr>
          <w:rFonts w:hint="eastAsia" w:ascii="新宋体" w:hAnsi="新宋体" w:eastAsia="新宋体" w:cs="新宋体"/>
          <w:bCs/>
          <w:color w:val="auto"/>
          <w:sz w:val="22"/>
          <w:szCs w:val="22"/>
          <w:highlight w:val="none"/>
        </w:rPr>
        <w:t>四、商务要求（技术参数里另有注明的以技术参数为准）</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_Toc30041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85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F2C5BE9">
      <w:pPr>
        <w:pStyle w:val="39"/>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"_Toc11011" </w:instrText>
      </w:r>
      <w:r>
        <w:rPr>
          <w:color w:val="auto"/>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_Toc11011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88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FE404BC">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"_Toc27474" </w:instrText>
      </w:r>
      <w:r>
        <w:rPr>
          <w:color w:val="auto"/>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_Toc27474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88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84D661B">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"_Toc13995" </w:instrText>
      </w:r>
      <w:r>
        <w:rPr>
          <w:color w:val="auto"/>
          <w:highlight w:val="none"/>
        </w:rPr>
        <w:fldChar w:fldCharType="separate"/>
      </w:r>
      <w:r>
        <w:rPr>
          <w:rFonts w:hint="eastAsia" w:ascii="新宋体" w:hAnsi="新宋体" w:eastAsia="新宋体" w:cs="新宋体"/>
          <w:color w:val="auto"/>
          <w:sz w:val="22"/>
          <w:szCs w:val="22"/>
          <w:highlight w:val="none"/>
        </w:rPr>
        <w:t>二、评标组织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_Toc13995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88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868CC3E">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"_Toc24385" </w:instrText>
      </w:r>
      <w:r>
        <w:rPr>
          <w:color w:val="auto"/>
          <w:highlight w:val="none"/>
        </w:rPr>
        <w:fldChar w:fldCharType="separate"/>
      </w:r>
      <w:r>
        <w:rPr>
          <w:rFonts w:hint="eastAsia" w:ascii="新宋体" w:hAnsi="新宋体" w:eastAsia="新宋体" w:cs="新宋体"/>
          <w:color w:val="auto"/>
          <w:sz w:val="22"/>
          <w:szCs w:val="22"/>
          <w:highlight w:val="none"/>
        </w:rPr>
        <w:t>三、评标程序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_Toc24385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88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931ABC5">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"_Toc30542" </w:instrText>
      </w:r>
      <w:r>
        <w:rPr>
          <w:color w:val="auto"/>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_Toc30542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88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21FDC4D">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"_Toc9390" </w:instrText>
      </w:r>
      <w:r>
        <w:rPr>
          <w:color w:val="auto"/>
          <w:highlight w:val="none"/>
        </w:rPr>
        <w:fldChar w:fldCharType="separate"/>
      </w:r>
      <w:r>
        <w:rPr>
          <w:rFonts w:hint="eastAsia" w:ascii="新宋体" w:hAnsi="新宋体" w:eastAsia="新宋体" w:cs="新宋体"/>
          <w:color w:val="auto"/>
          <w:sz w:val="22"/>
          <w:szCs w:val="22"/>
          <w:highlight w:val="none"/>
        </w:rPr>
        <w:t>五、 评分细则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_Toc9390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88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BF48CB7">
      <w:pPr>
        <w:pStyle w:val="46"/>
        <w:tabs>
          <w:tab w:val="right" w:leader="dot" w:pos="9638"/>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"_Toc31532" </w:instrText>
      </w:r>
      <w:r>
        <w:rPr>
          <w:color w:val="auto"/>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_Toc31532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91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367DFDF">
      <w:pPr>
        <w:pStyle w:val="46"/>
        <w:tabs>
          <w:tab w:val="right" w:leader="dot" w:pos="9638"/>
        </w:tabs>
        <w:spacing w:line="460" w:lineRule="exact"/>
        <w:rPr>
          <w:color w:val="auto"/>
          <w:highlight w:val="none"/>
        </w:rPr>
      </w:pPr>
      <w:r>
        <w:rPr>
          <w:color w:val="auto"/>
          <w:highlight w:val="none"/>
        </w:rPr>
        <w:fldChar w:fldCharType="begin"/>
      </w:r>
      <w:r>
        <w:rPr>
          <w:color w:val="auto"/>
          <w:highlight w:val="none"/>
        </w:rPr>
        <w:instrText xml:space="preserve"> HYPERLINK \l "_Toc24136" </w:instrText>
      </w:r>
      <w:r>
        <w:rPr>
          <w:color w:val="auto"/>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_Toc24136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91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137A584">
      <w:pPr>
        <w:rPr>
          <w:color w:val="auto"/>
          <w:highlight w:val="none"/>
        </w:rPr>
      </w:pPr>
      <w:r>
        <w:rPr>
          <w:rFonts w:hint="eastAsia"/>
          <w:color w:val="auto"/>
          <w:highlight w:val="none"/>
        </w:rPr>
        <w:fldChar w:fldCharType="end"/>
      </w:r>
    </w:p>
    <w:p w14:paraId="54B0A24C">
      <w:pPr>
        <w:spacing w:line="460" w:lineRule="exact"/>
        <w:rPr>
          <w:color w:val="auto"/>
          <w:highlight w:val="none"/>
        </w:rPr>
      </w:pPr>
      <w:r>
        <w:rPr>
          <w:rFonts w:hint="eastAsia" w:ascii="新宋体" w:hAnsi="新宋体" w:eastAsia="新宋体" w:cs="新宋体"/>
          <w:color w:val="auto"/>
          <w:sz w:val="22"/>
          <w:szCs w:val="22"/>
          <w:highlight w:val="none"/>
        </w:rPr>
        <w:fldChar w:fldCharType="end"/>
      </w:r>
    </w:p>
    <w:p w14:paraId="65823405">
      <w:pPr>
        <w:keepNext/>
        <w:spacing w:line="460" w:lineRule="exact"/>
        <w:jc w:val="center"/>
        <w:rPr>
          <w:rStyle w:val="65"/>
          <w:rFonts w:ascii="宋体" w:hAnsi="宋体" w:eastAsia="宋体" w:cs="宋体"/>
          <w:color w:val="auto"/>
          <w:highlight w:val="none"/>
        </w:rPr>
      </w:pPr>
      <w:r>
        <w:rPr>
          <w:rStyle w:val="65"/>
          <w:rFonts w:hint="eastAsia" w:ascii="宋体" w:hAnsi="宋体" w:eastAsia="宋体" w:cs="宋体"/>
          <w:color w:val="auto"/>
          <w:highlight w:val="none"/>
        </w:rPr>
        <w:br w:type="page"/>
      </w:r>
      <w:bookmarkStart w:id="6" w:name="_Toc4286"/>
      <w:bookmarkStart w:id="7" w:name="_Toc17202"/>
      <w:r>
        <w:rPr>
          <w:rStyle w:val="65"/>
          <w:rFonts w:hint="eastAsia" w:ascii="宋体" w:hAnsi="宋体" w:eastAsia="宋体" w:cs="宋体"/>
          <w:color w:val="auto"/>
          <w:highlight w:val="none"/>
        </w:rPr>
        <w:t>电子交易须知</w:t>
      </w:r>
      <w:bookmarkEnd w:id="0"/>
      <w:bookmarkEnd w:id="1"/>
      <w:bookmarkEnd w:id="2"/>
      <w:bookmarkEnd w:id="3"/>
      <w:bookmarkEnd w:id="4"/>
      <w:bookmarkEnd w:id="5"/>
    </w:p>
    <w:bookmarkEnd w:id="6"/>
    <w:bookmarkEnd w:id="7"/>
    <w:p w14:paraId="5AF6444E">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5A94E1CF">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供应商编制电子投标文件应安装“电子交易客户端”软件，并按照本招标文件和电子交易平台的要求编制并加密投标文件。未按规定加密的投标文件，将被电子交易平台拒收。“电子交易客户端”请供应商自行前往“浙江政府采购网（zfcg.czt.zj.gov.cn）— 下载专区 — 电子交易客户端”版块获取。</w:t>
      </w:r>
    </w:p>
    <w:p w14:paraId="59123209">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3、供应商应当在投标文件递交截止时间前，将“电子交易客户端”生成的“电子加密投标文件”上传电子交易平台。</w:t>
      </w:r>
    </w:p>
    <w:p w14:paraId="5D960433">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4、“电子备份投标文件”是指与“电子加密投标文件”同时生成的数据电文形式的投标文件。供应商在电子交易平台上传“电子加密投标文件”后，还可以邮寄或送达的方式在投标文件截止时间前提交以介质（U盘）存储的“电子备份投标文件”。“电子备份投标文件”应当密封包装并在包装上标注采购项目编号、项目名称、投标人名称等并加盖公章。</w:t>
      </w:r>
    </w:p>
    <w:p w14:paraId="4426FB7B">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5、开标时，通过“政府采购云平台”递交的“电子加密投标文件”如无法按时解密的，如供应商提交了“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供应商未按规定递交“电子备份投标文件”的，视为投标文件撤回。未上传“电子加密投标文件”，仅提交“电子备份投标文件”的，投标无效。</w:t>
      </w:r>
    </w:p>
    <w:p w14:paraId="648AFEB8">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6、供应商在参加电子交易过程中,可登录电子交易平台“帮助文档”版面获取《电子交易管理操作指南》，或致电平台400-881-7190获取相关服务支持。</w:t>
      </w:r>
    </w:p>
    <w:p w14:paraId="2C0DE0DD">
      <w:pPr>
        <w:pStyle w:val="24"/>
        <w:spacing w:line="460" w:lineRule="exact"/>
        <w:ind w:left="602" w:hanging="602"/>
        <w:jc w:val="center"/>
        <w:outlineLvl w:val="0"/>
        <w:rPr>
          <w:rFonts w:ascii="宋体" w:hAnsi="宋体" w:cs="宋体"/>
          <w:b/>
          <w:color w:val="auto"/>
          <w:sz w:val="30"/>
          <w:highlight w:val="none"/>
        </w:rPr>
      </w:pPr>
      <w:r>
        <w:rPr>
          <w:rFonts w:hint="eastAsia" w:ascii="宋体" w:hAnsi="宋体" w:cs="宋体"/>
          <w:b/>
          <w:color w:val="auto"/>
          <w:sz w:val="30"/>
          <w:highlight w:val="none"/>
        </w:rPr>
        <w:br w:type="page"/>
      </w:r>
      <w:bookmarkStart w:id="8" w:name="_Toc917"/>
      <w:bookmarkStart w:id="9" w:name="_Toc7336"/>
      <w:bookmarkStart w:id="10" w:name="_Toc17466"/>
      <w:bookmarkStart w:id="11" w:name="_Toc9239"/>
      <w:bookmarkStart w:id="12" w:name="_Toc31716"/>
      <w:r>
        <w:rPr>
          <w:rFonts w:hint="eastAsia" w:ascii="宋体" w:hAnsi="宋体" w:cs="宋体"/>
          <w:b/>
          <w:color w:val="auto"/>
          <w:sz w:val="30"/>
          <w:highlight w:val="none"/>
        </w:rPr>
        <w:t>招 标 公 告</w:t>
      </w:r>
      <w:bookmarkEnd w:id="8"/>
      <w:bookmarkEnd w:id="9"/>
      <w:bookmarkEnd w:id="10"/>
      <w:bookmarkEnd w:id="11"/>
      <w:bookmarkEnd w:id="12"/>
    </w:p>
    <w:p w14:paraId="018BD34B">
      <w:pPr>
        <w:pStyle w:val="24"/>
        <w:spacing w:line="460" w:lineRule="exact"/>
        <w:ind w:left="643" w:hanging="643"/>
        <w:jc w:val="center"/>
        <w:rPr>
          <w:rStyle w:val="65"/>
          <w:rFonts w:ascii="宋体" w:hAnsi="宋体" w:eastAsia="宋体" w:cs="宋体"/>
          <w:color w:val="auto"/>
          <w:highlight w:val="none"/>
        </w:rPr>
      </w:pPr>
    </w:p>
    <w:p w14:paraId="1307FAC1">
      <w:pPr>
        <w:tabs>
          <w:tab w:val="left" w:pos="360"/>
        </w:tabs>
        <w:spacing w:line="460" w:lineRule="exact"/>
        <w:rPr>
          <w:rFonts w:ascii="宋体" w:hAnsi="宋体" w:cs="宋体"/>
          <w:color w:val="auto"/>
          <w:sz w:val="22"/>
          <w:highlight w:val="none"/>
        </w:rPr>
      </w:pPr>
      <w:r>
        <w:rPr>
          <w:b/>
          <w:bCs/>
          <w:color w:val="auto"/>
          <w:sz w:val="22"/>
          <w:highlight w:val="none"/>
        </w:rPr>
        <mc:AlternateContent>
          <mc:Choice Requires="wps">
            <w:drawing>
              <wp:anchor distT="0" distB="0" distL="114300" distR="114300" simplePos="0" relativeHeight="251659264" behindDoc="0" locked="0" layoutInCell="1" allowOverlap="1">
                <wp:simplePos x="0" y="0"/>
                <wp:positionH relativeFrom="column">
                  <wp:posOffset>-125730</wp:posOffset>
                </wp:positionH>
                <wp:positionV relativeFrom="paragraph">
                  <wp:posOffset>19050</wp:posOffset>
                </wp:positionV>
                <wp:extent cx="6499225" cy="1194435"/>
                <wp:effectExtent l="6350" t="6350" r="9525" b="18415"/>
                <wp:wrapNone/>
                <wp:docPr id="1" name="矩形 1"/>
                <wp:cNvGraphicFramePr/>
                <a:graphic xmlns:a="http://schemas.openxmlformats.org/drawingml/2006/main">
                  <a:graphicData uri="http://schemas.microsoft.com/office/word/2010/wordprocessingShape">
                    <wps:wsp>
                      <wps:cNvSpPr/>
                      <wps:spPr>
                        <a:xfrm>
                          <a:off x="0" y="0"/>
                          <a:ext cx="6499225" cy="1194435"/>
                        </a:xfrm>
                        <a:prstGeom prst="rect">
                          <a:avLst/>
                        </a:prstGeom>
                        <a:noFill/>
                        <a:ln w="12700" cap="flat" cmpd="sng">
                          <a:solidFill>
                            <a:srgbClr val="000000"/>
                          </a:solidFill>
                          <a:prstDash val="solid"/>
                          <a:round/>
                          <a:headEnd type="none" w="med" len="med"/>
                          <a:tailEnd type="none" w="med" len="med"/>
                        </a:ln>
                      </wps:spPr>
                      <wps:bodyPr wrap="square" anchor="ctr" anchorCtr="0" upright="1"/>
                    </wps:wsp>
                  </a:graphicData>
                </a:graphic>
              </wp:anchor>
            </w:drawing>
          </mc:Choice>
          <mc:Fallback>
            <w:pict>
              <v:rect id="_x0000_s1026" o:spid="_x0000_s1026" o:spt="1" style="position:absolute;left:0pt;margin-left:-9.9pt;margin-top:1.5pt;height:94.05pt;width:511.75pt;z-index:251659264;v-text-anchor:middle;mso-width-relative:page;mso-height-relative:page;" filled="f" stroked="t" coordsize="21600,21600" o:gfxdata="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w6yCdgAAAAKAQAADwAAAAAAAAABACAA&#10;AAAiAAAAZHJzL2Rvd25yZXYueG1sUEsBAhQAFAAAAAgAh07iQPKAnF0NAgAAIAQAAA4AAAAAAAAA&#10;AQAgAAAAJwEAAGRycy9lMm9Eb2MueG1sUEsFBgAAAAAGAAYAWQEAAKYFAAAAAA==&#10;">
                <v:fill on="f" focussize="0,0"/>
                <v:stroke weight="1pt" color="#000000" joinstyle="round"/>
                <v:imagedata o:title=""/>
                <o:lock v:ext="edit" aspectratio="f"/>
              </v:rect>
            </w:pict>
          </mc:Fallback>
        </mc:AlternateContent>
      </w:r>
      <w:r>
        <w:rPr>
          <w:rFonts w:hint="eastAsia" w:ascii="宋体" w:hAnsi="宋体" w:cs="宋体"/>
          <w:b/>
          <w:bCs/>
          <w:color w:val="auto"/>
          <w:sz w:val="22"/>
          <w:highlight w:val="none"/>
        </w:rPr>
        <w:t>项目概况 </w:t>
      </w:r>
      <w:r>
        <w:rPr>
          <w:rFonts w:hint="eastAsia" w:ascii="宋体" w:hAnsi="宋体" w:cs="宋体"/>
          <w:color w:val="auto"/>
          <w:sz w:val="22"/>
          <w:highlight w:val="none"/>
        </w:rPr>
        <w:t>                                                   </w:t>
      </w:r>
    </w:p>
    <w:p w14:paraId="6F2D4376">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智慧教室(信息化设备一批)招标项目的潜在投标人应在政采云平台（https://www.zcygov.cn）获取（下载）招标文件，并于2024年07月22日09:30（北京时间）前递交（上传）投标文件。                             </w:t>
      </w:r>
    </w:p>
    <w:p w14:paraId="081D8192">
      <w:pPr>
        <w:tabs>
          <w:tab w:val="left" w:pos="360"/>
        </w:tabs>
        <w:spacing w:line="460" w:lineRule="exact"/>
        <w:rPr>
          <w:rFonts w:ascii="宋体" w:hAnsi="宋体" w:cs="宋体"/>
          <w:b/>
          <w:bCs/>
          <w:color w:val="auto"/>
          <w:sz w:val="22"/>
          <w:highlight w:val="none"/>
        </w:rPr>
      </w:pPr>
      <w:r>
        <w:rPr>
          <w:rFonts w:hint="eastAsia" w:ascii="宋体" w:hAnsi="宋体" w:cs="宋体"/>
          <w:b/>
          <w:bCs/>
          <w:color w:val="auto"/>
          <w:sz w:val="22"/>
          <w:highlight w:val="none"/>
        </w:rPr>
        <w:t>一、项目基本情况</w:t>
      </w:r>
    </w:p>
    <w:p w14:paraId="230D49E0">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项目编号：WMU-2024ZB936 </w:t>
      </w:r>
    </w:p>
    <w:p w14:paraId="4E8967A6">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项目名称：智慧教室(信息化设备一批)</w:t>
      </w:r>
    </w:p>
    <w:p w14:paraId="310DDEDA">
      <w:pPr>
        <w:pStyle w:val="49"/>
        <w:spacing w:before="0" w:beforeAutospacing="0" w:after="0" w:afterAutospacing="0" w:line="460" w:lineRule="exact"/>
        <w:ind w:firstLine="440" w:firstLineChars="200"/>
        <w:rPr>
          <w:rFonts w:hint="eastAsia" w:eastAsia="宋体"/>
          <w:color w:val="auto"/>
          <w:sz w:val="22"/>
          <w:szCs w:val="22"/>
          <w:highlight w:val="none"/>
          <w:lang w:eastAsia="zh-CN"/>
        </w:rPr>
      </w:pPr>
      <w:r>
        <w:rPr>
          <w:rFonts w:hint="eastAsia"/>
          <w:color w:val="auto"/>
          <w:sz w:val="22"/>
          <w:szCs w:val="22"/>
          <w:highlight w:val="none"/>
        </w:rPr>
        <w:t>预算金额（元）：</w:t>
      </w:r>
      <w:r>
        <w:rPr>
          <w:rFonts w:hint="eastAsia"/>
          <w:color w:val="auto"/>
          <w:sz w:val="22"/>
          <w:szCs w:val="22"/>
          <w:highlight w:val="none"/>
          <w:lang w:eastAsia="zh-CN"/>
        </w:rPr>
        <w:t>1400000</w:t>
      </w:r>
    </w:p>
    <w:p w14:paraId="017EFD12">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最高限价（元）：1159000 </w:t>
      </w:r>
    </w:p>
    <w:p w14:paraId="39261079">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采购需求：</w:t>
      </w:r>
    </w:p>
    <w:p w14:paraId="15631D21">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标项名称:</w:t>
      </w:r>
      <w:r>
        <w:rPr>
          <w:rFonts w:hint="eastAsia"/>
          <w:color w:val="auto"/>
          <w:sz w:val="22"/>
          <w:highlight w:val="none"/>
        </w:rPr>
        <w:t>智慧教室(信息化设备一批)</w:t>
      </w:r>
    </w:p>
    <w:p w14:paraId="76CE5673">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数量: 1                   </w:t>
      </w:r>
    </w:p>
    <w:p w14:paraId="5AB0529C">
      <w:pPr>
        <w:pStyle w:val="49"/>
        <w:spacing w:before="0" w:beforeAutospacing="0" w:after="0" w:afterAutospacing="0" w:line="460" w:lineRule="exact"/>
        <w:ind w:firstLine="440" w:firstLineChars="200"/>
        <w:rPr>
          <w:rFonts w:hint="eastAsia" w:eastAsia="宋体"/>
          <w:color w:val="auto"/>
          <w:sz w:val="22"/>
          <w:szCs w:val="22"/>
          <w:highlight w:val="none"/>
          <w:lang w:eastAsia="zh-CN"/>
        </w:rPr>
      </w:pPr>
      <w:r>
        <w:rPr>
          <w:rFonts w:hint="eastAsia"/>
          <w:color w:val="auto"/>
          <w:sz w:val="22"/>
          <w:szCs w:val="22"/>
          <w:highlight w:val="none"/>
        </w:rPr>
        <w:t>预算金额（元）:</w:t>
      </w:r>
      <w:r>
        <w:rPr>
          <w:rFonts w:hint="eastAsia"/>
          <w:color w:val="auto"/>
          <w:sz w:val="22"/>
          <w:szCs w:val="22"/>
          <w:highlight w:val="none"/>
          <w:lang w:eastAsia="zh-CN"/>
        </w:rPr>
        <w:t>1400000</w:t>
      </w:r>
    </w:p>
    <w:p w14:paraId="71B1A691">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单位：批</w:t>
      </w:r>
    </w:p>
    <w:p w14:paraId="353647B9">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 xml:space="preserve">简要规格描述：具体详见招标文件          </w:t>
      </w:r>
    </w:p>
    <w:p w14:paraId="67DF8653">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备注：</w:t>
      </w:r>
    </w:p>
    <w:p w14:paraId="24A5310E">
      <w:pPr>
        <w:pStyle w:val="49"/>
        <w:spacing w:before="0" w:beforeAutospacing="0" w:after="0" w:afterAutospacing="0" w:line="460" w:lineRule="exact"/>
        <w:ind w:firstLine="440" w:firstLineChars="200"/>
        <w:rPr>
          <w:b/>
          <w:color w:val="auto"/>
          <w:sz w:val="22"/>
          <w:szCs w:val="22"/>
          <w:highlight w:val="none"/>
        </w:rPr>
      </w:pPr>
      <w:r>
        <w:rPr>
          <w:rFonts w:hint="eastAsia"/>
          <w:color w:val="auto"/>
          <w:sz w:val="22"/>
          <w:szCs w:val="22"/>
          <w:highlight w:val="none"/>
        </w:rPr>
        <w:t>合同履约期限：标项 1，在合同签订后30天内交货并完成安装调试，交使用方验收</w:t>
      </w:r>
      <w:r>
        <w:rPr>
          <w:rFonts w:hint="eastAsia" w:ascii="新宋体" w:hAnsi="新宋体" w:eastAsia="新宋体" w:cs="新宋体"/>
          <w:b/>
          <w:color w:val="auto"/>
          <w:sz w:val="22"/>
          <w:szCs w:val="22"/>
          <w:highlight w:val="none"/>
        </w:rPr>
        <w:t>。</w:t>
      </w:r>
    </w:p>
    <w:p w14:paraId="3FB0BFD7">
      <w:pPr>
        <w:pStyle w:val="49"/>
        <w:spacing w:before="0" w:beforeAutospacing="0" w:after="0" w:afterAutospacing="0" w:line="460" w:lineRule="exact"/>
        <w:ind w:firstLine="440" w:firstLineChars="200"/>
        <w:rPr>
          <w:color w:val="auto"/>
          <w:sz w:val="22"/>
          <w:highlight w:val="none"/>
        </w:rPr>
      </w:pPr>
      <w:r>
        <w:rPr>
          <w:rFonts w:hint="eastAsia"/>
          <w:color w:val="auto"/>
          <w:sz w:val="22"/>
          <w:szCs w:val="22"/>
          <w:highlight w:val="none"/>
        </w:rPr>
        <w:t>本项目（</w:t>
      </w:r>
      <w:r>
        <w:rPr>
          <w:color w:val="auto"/>
          <w:sz w:val="22"/>
          <w:szCs w:val="22"/>
          <w:highlight w:val="none"/>
        </w:rPr>
        <w:t>是</w:t>
      </w:r>
      <w:r>
        <w:rPr>
          <w:rFonts w:hint="eastAsia"/>
          <w:color w:val="auto"/>
          <w:sz w:val="22"/>
          <w:szCs w:val="22"/>
          <w:highlight w:val="none"/>
        </w:rPr>
        <w:t>）接受联合体投标。</w:t>
      </w:r>
      <w:r>
        <w:rPr>
          <w:rFonts w:hint="eastAsia"/>
          <w:color w:val="auto"/>
          <w:sz w:val="22"/>
          <w:highlight w:val="none"/>
        </w:rPr>
        <w:t>  </w:t>
      </w:r>
    </w:p>
    <w:p w14:paraId="3CFEAE81">
      <w:pPr>
        <w:tabs>
          <w:tab w:val="left" w:pos="360"/>
        </w:tabs>
        <w:spacing w:line="460" w:lineRule="exact"/>
        <w:rPr>
          <w:rFonts w:ascii="宋体" w:hAnsi="宋体" w:cs="宋体"/>
          <w:b/>
          <w:bCs/>
          <w:color w:val="auto"/>
          <w:sz w:val="22"/>
          <w:highlight w:val="none"/>
        </w:rPr>
      </w:pPr>
      <w:r>
        <w:rPr>
          <w:rFonts w:hint="eastAsia" w:ascii="宋体" w:hAnsi="宋体" w:cs="宋体"/>
          <w:b/>
          <w:bCs/>
          <w:color w:val="auto"/>
          <w:sz w:val="22"/>
          <w:highlight w:val="none"/>
        </w:rPr>
        <w:t>二、申请人的资格要求：</w:t>
      </w:r>
    </w:p>
    <w:p w14:paraId="39B21FCE">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49E5461">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2.落实政府采购政策需满足的资格要求：无。 </w:t>
      </w:r>
    </w:p>
    <w:p w14:paraId="083619C8">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3.本项目的特定资格要求：无。  </w:t>
      </w:r>
    </w:p>
    <w:p w14:paraId="38952D88">
      <w:pPr>
        <w:tabs>
          <w:tab w:val="left" w:pos="360"/>
        </w:tabs>
        <w:spacing w:line="460" w:lineRule="exact"/>
        <w:rPr>
          <w:rFonts w:ascii="宋体" w:hAnsi="宋体" w:cs="宋体"/>
          <w:color w:val="auto"/>
          <w:sz w:val="22"/>
          <w:highlight w:val="none"/>
        </w:rPr>
      </w:pPr>
      <w:r>
        <w:rPr>
          <w:rFonts w:hint="eastAsia" w:ascii="宋体" w:hAnsi="宋体" w:cs="宋体"/>
          <w:b/>
          <w:bCs/>
          <w:color w:val="auto"/>
          <w:sz w:val="22"/>
          <w:highlight w:val="none"/>
        </w:rPr>
        <w:t>三、获取（下载）招标文件</w:t>
      </w:r>
    </w:p>
    <w:p w14:paraId="5F2C7242">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时间：</w:t>
      </w:r>
      <w:r>
        <w:rPr>
          <w:rFonts w:hint="eastAsia"/>
          <w:color w:val="auto"/>
          <w:sz w:val="22"/>
          <w:szCs w:val="22"/>
          <w:highlight w:val="none"/>
          <w:lang w:val="en-US" w:eastAsia="zh-CN"/>
        </w:rPr>
        <w:t>2024年07月01日</w:t>
      </w:r>
      <w:r>
        <w:rPr>
          <w:rFonts w:hint="eastAsia"/>
          <w:color w:val="auto"/>
          <w:sz w:val="22"/>
          <w:szCs w:val="22"/>
          <w:highlight w:val="none"/>
        </w:rPr>
        <w:t>至</w:t>
      </w:r>
      <w:r>
        <w:rPr>
          <w:rFonts w:hint="eastAsia"/>
          <w:color w:val="auto"/>
          <w:sz w:val="22"/>
          <w:szCs w:val="22"/>
          <w:highlight w:val="none"/>
          <w:lang w:eastAsia="zh-CN"/>
        </w:rPr>
        <w:t>2024年07月22日</w:t>
      </w:r>
      <w:r>
        <w:rPr>
          <w:rFonts w:hint="eastAsia"/>
          <w:color w:val="auto"/>
          <w:sz w:val="22"/>
          <w:szCs w:val="22"/>
          <w:highlight w:val="none"/>
        </w:rPr>
        <w:t>，每天上午00:00至12:00，下午12:00至23:59（北京时间，线上获取法定节假日均可，线下获取文件法定节假日除外）</w:t>
      </w:r>
    </w:p>
    <w:p w14:paraId="53276F01">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地点（网址）：浙江政府采购网（https://zfcg.czt.zj.gov.cn/） </w:t>
      </w:r>
    </w:p>
    <w:p w14:paraId="25B54E97">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方式：供应商登录政采云平台https://www.zcygov.cn/在线申请获取采购文件（进入“项目采购”应用，在获取采购文件菜单中选择项目，申请获取采购文件）</w:t>
      </w:r>
    </w:p>
    <w:p w14:paraId="267E446F">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售价（元）：0 </w:t>
      </w:r>
    </w:p>
    <w:p w14:paraId="6D3DAE4E">
      <w:pPr>
        <w:pStyle w:val="49"/>
        <w:spacing w:before="0" w:beforeAutospacing="0" w:after="0" w:afterAutospacing="0" w:line="460" w:lineRule="exact"/>
        <w:rPr>
          <w:b/>
          <w:bCs/>
          <w:color w:val="auto"/>
          <w:sz w:val="22"/>
          <w:szCs w:val="22"/>
          <w:highlight w:val="none"/>
        </w:rPr>
      </w:pPr>
      <w:r>
        <w:rPr>
          <w:rFonts w:hint="eastAsia"/>
          <w:b/>
          <w:bCs/>
          <w:color w:val="auto"/>
          <w:sz w:val="22"/>
          <w:szCs w:val="22"/>
          <w:highlight w:val="none"/>
        </w:rPr>
        <w:t>四、提交投标文件截止时间、开标时间和地点</w:t>
      </w:r>
    </w:p>
    <w:p w14:paraId="73323EAC">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提交投标文件截止时间：2024年07月22日</w:t>
      </w:r>
      <w:r>
        <w:rPr>
          <w:rFonts w:hint="eastAsia"/>
          <w:color w:val="auto"/>
          <w:sz w:val="22"/>
          <w:highlight w:val="none"/>
        </w:rPr>
        <w:t>09点30分</w:t>
      </w:r>
      <w:r>
        <w:rPr>
          <w:rFonts w:hint="eastAsia"/>
          <w:color w:val="auto"/>
          <w:sz w:val="22"/>
          <w:szCs w:val="22"/>
          <w:highlight w:val="none"/>
        </w:rPr>
        <w:t>（北京时间）</w:t>
      </w:r>
    </w:p>
    <w:p w14:paraId="59E7DE03">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投标地点（网址）：</w:t>
      </w:r>
      <w:r>
        <w:rPr>
          <w:rFonts w:hint="eastAsia"/>
          <w:color w:val="auto"/>
          <w:sz w:val="22"/>
          <w:highlight w:val="none"/>
        </w:rPr>
        <w:t>温州市鹿城区勤民路鹿城壹号18幢803室（政采云平台：http://zfcg.czt.zj.gov.cn）</w:t>
      </w:r>
      <w:r>
        <w:rPr>
          <w:rFonts w:hint="eastAsia"/>
          <w:color w:val="auto"/>
          <w:sz w:val="22"/>
          <w:szCs w:val="22"/>
          <w:highlight w:val="none"/>
        </w:rPr>
        <w:t> </w:t>
      </w:r>
    </w:p>
    <w:p w14:paraId="29374A6D">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开标时间：2024年07月22日</w:t>
      </w:r>
      <w:r>
        <w:rPr>
          <w:rFonts w:hint="eastAsia"/>
          <w:color w:val="auto"/>
          <w:sz w:val="22"/>
          <w:highlight w:val="none"/>
        </w:rPr>
        <w:t>09点30分</w:t>
      </w:r>
      <w:r>
        <w:rPr>
          <w:rFonts w:hint="eastAsia"/>
          <w:color w:val="auto"/>
          <w:sz w:val="22"/>
          <w:szCs w:val="22"/>
          <w:highlight w:val="none"/>
        </w:rPr>
        <w:t> </w:t>
      </w:r>
    </w:p>
    <w:p w14:paraId="75B7D2B7">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开标地点（网址）：</w:t>
      </w:r>
      <w:r>
        <w:rPr>
          <w:rFonts w:hint="eastAsia"/>
          <w:color w:val="auto"/>
          <w:sz w:val="22"/>
          <w:highlight w:val="none"/>
        </w:rPr>
        <w:t>温州市鹿城区勤民路鹿城壹号18幢803室（政采云平台：http://zfcg.czt.zj.gov.cn）</w:t>
      </w:r>
      <w:r>
        <w:rPr>
          <w:rFonts w:hint="eastAsia"/>
          <w:color w:val="auto"/>
          <w:sz w:val="22"/>
          <w:szCs w:val="22"/>
          <w:highlight w:val="none"/>
        </w:rPr>
        <w:t>  </w:t>
      </w:r>
    </w:p>
    <w:p w14:paraId="7C327D27">
      <w:pPr>
        <w:tabs>
          <w:tab w:val="left" w:pos="360"/>
        </w:tabs>
        <w:spacing w:line="460" w:lineRule="exact"/>
        <w:rPr>
          <w:rFonts w:ascii="宋体" w:hAnsi="宋体" w:cs="宋体"/>
          <w:color w:val="auto"/>
          <w:sz w:val="22"/>
          <w:highlight w:val="none"/>
        </w:rPr>
      </w:pPr>
      <w:r>
        <w:rPr>
          <w:rFonts w:hint="eastAsia" w:ascii="宋体" w:hAnsi="宋体" w:cs="宋体"/>
          <w:b/>
          <w:bCs/>
          <w:color w:val="auto"/>
          <w:sz w:val="22"/>
          <w:highlight w:val="none"/>
        </w:rPr>
        <w:t>五、公告期限</w:t>
      </w:r>
    </w:p>
    <w:p w14:paraId="44074C70">
      <w:pPr>
        <w:tabs>
          <w:tab w:val="left" w:pos="360"/>
        </w:tabs>
        <w:spacing w:line="460" w:lineRule="exact"/>
        <w:ind w:firstLine="550" w:firstLineChars="250"/>
        <w:rPr>
          <w:rFonts w:ascii="宋体" w:hAnsi="宋体" w:cs="宋体"/>
          <w:color w:val="auto"/>
          <w:sz w:val="22"/>
          <w:highlight w:val="none"/>
        </w:rPr>
      </w:pPr>
      <w:r>
        <w:rPr>
          <w:rFonts w:hint="eastAsia"/>
          <w:color w:val="auto"/>
          <w:sz w:val="22"/>
          <w:szCs w:val="22"/>
          <w:highlight w:val="none"/>
        </w:rPr>
        <w:t>自本公告发布之日起5个工作日</w:t>
      </w:r>
      <w:r>
        <w:rPr>
          <w:rFonts w:hint="eastAsia" w:ascii="宋体" w:hAnsi="宋体" w:cs="宋体"/>
          <w:color w:val="auto"/>
          <w:sz w:val="22"/>
          <w:highlight w:val="none"/>
        </w:rPr>
        <w:t>。</w:t>
      </w:r>
    </w:p>
    <w:p w14:paraId="1101B5C9">
      <w:pPr>
        <w:tabs>
          <w:tab w:val="left" w:pos="360"/>
        </w:tabs>
        <w:spacing w:line="460" w:lineRule="exact"/>
        <w:rPr>
          <w:rFonts w:ascii="宋体" w:hAnsi="宋体" w:cs="宋体"/>
          <w:color w:val="auto"/>
          <w:sz w:val="22"/>
          <w:highlight w:val="none"/>
        </w:rPr>
      </w:pPr>
      <w:r>
        <w:rPr>
          <w:rFonts w:hint="eastAsia" w:ascii="宋体" w:hAnsi="宋体" w:cs="宋体"/>
          <w:b/>
          <w:bCs/>
          <w:color w:val="auto"/>
          <w:sz w:val="22"/>
          <w:highlight w:val="none"/>
        </w:rPr>
        <w:t>六、其他补充事宜</w:t>
      </w:r>
      <w:r>
        <w:rPr>
          <w:rFonts w:hint="eastAsia" w:ascii="宋体" w:hAnsi="宋体" w:cs="宋体"/>
          <w:color w:val="auto"/>
          <w:sz w:val="22"/>
          <w:highlight w:val="none"/>
        </w:rPr>
        <w:t> </w:t>
      </w:r>
    </w:p>
    <w:p w14:paraId="3C1082B1">
      <w:pPr>
        <w:pStyle w:val="49"/>
        <w:spacing w:before="0" w:beforeAutospacing="0" w:after="0" w:afterAutospacing="0" w:line="460" w:lineRule="exact"/>
        <w:ind w:firstLine="440" w:firstLineChars="200"/>
        <w:rPr>
          <w:color w:val="auto"/>
          <w:sz w:val="22"/>
          <w:highlight w:val="none"/>
        </w:rPr>
      </w:pPr>
      <w:r>
        <w:rPr>
          <w:rFonts w:hint="eastAsia"/>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B45137E">
      <w:pPr>
        <w:pStyle w:val="49"/>
        <w:spacing w:before="0" w:beforeAutospacing="0" w:after="0" w:afterAutospacing="0" w:line="460" w:lineRule="exact"/>
        <w:ind w:firstLine="440" w:firstLineChars="200"/>
        <w:rPr>
          <w:color w:val="auto"/>
          <w:sz w:val="22"/>
          <w:highlight w:val="none"/>
        </w:rPr>
      </w:pPr>
      <w:r>
        <w:rPr>
          <w:rFonts w:hint="eastAsia"/>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5FE7573">
      <w:pPr>
        <w:tabs>
          <w:tab w:val="left" w:pos="360"/>
        </w:tabs>
        <w:spacing w:line="460" w:lineRule="exact"/>
        <w:rPr>
          <w:rFonts w:ascii="宋体" w:hAnsi="宋体" w:cs="宋体"/>
          <w:color w:val="auto"/>
          <w:sz w:val="22"/>
          <w:highlight w:val="none"/>
        </w:rPr>
      </w:pPr>
      <w:r>
        <w:rPr>
          <w:rFonts w:hint="eastAsia" w:ascii="宋体" w:hAnsi="宋体" w:cs="宋体"/>
          <w:color w:val="auto"/>
          <w:sz w:val="22"/>
          <w:highlight w:val="none"/>
        </w:rPr>
        <w:t xml:space="preserve">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14:paraId="1C7D0225">
      <w:pPr>
        <w:tabs>
          <w:tab w:val="left" w:pos="360"/>
        </w:tabs>
        <w:spacing w:line="460" w:lineRule="exact"/>
        <w:rPr>
          <w:rFonts w:ascii="宋体" w:hAnsi="宋体" w:cs="宋体"/>
          <w:b/>
          <w:bCs/>
          <w:color w:val="auto"/>
          <w:sz w:val="22"/>
          <w:highlight w:val="none"/>
        </w:rPr>
      </w:pPr>
      <w:r>
        <w:rPr>
          <w:rFonts w:hint="eastAsia" w:ascii="宋体" w:hAnsi="宋体" w:cs="宋体"/>
          <w:b/>
          <w:bCs/>
          <w:color w:val="auto"/>
          <w:sz w:val="22"/>
          <w:highlight w:val="none"/>
        </w:rPr>
        <w:t>八、凡对本次招标提出询问、质疑、投诉，请按以下方式联系</w:t>
      </w:r>
    </w:p>
    <w:p w14:paraId="70B22C36">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1.采购人信息</w:t>
      </w:r>
    </w:p>
    <w:p w14:paraId="6000A2CB">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名    称：温州医科大学 </w:t>
      </w:r>
    </w:p>
    <w:p w14:paraId="49F90BF9">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地    址：</w:t>
      </w:r>
      <w:r>
        <w:rPr>
          <w:rFonts w:hint="eastAsia" w:ascii="宋体" w:hAnsi="宋体" w:cs="宋体"/>
          <w:color w:val="auto"/>
          <w:szCs w:val="22"/>
          <w:highlight w:val="none"/>
          <w:lang w:bidi="ar"/>
        </w:rPr>
        <w:t>温州医科大学茶山校区中心北路</w:t>
      </w:r>
      <w:r>
        <w:rPr>
          <w:rFonts w:hint="eastAsia" w:ascii="宋体" w:hAnsi="宋体" w:cs="宋体"/>
          <w:color w:val="auto"/>
          <w:sz w:val="22"/>
          <w:highlight w:val="none"/>
        </w:rPr>
        <w:t> </w:t>
      </w:r>
    </w:p>
    <w:p w14:paraId="2AA2FCE0">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项目联系人（询问）：陈老师</w:t>
      </w:r>
    </w:p>
    <w:p w14:paraId="41F30F2B">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项目联系方式（询问）：0577-86689938</w:t>
      </w:r>
    </w:p>
    <w:p w14:paraId="403C0B7E">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质疑联系人：王老师</w:t>
      </w:r>
    </w:p>
    <w:p w14:paraId="36C9B26D">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质疑联系方式：0577-86699052</w:t>
      </w:r>
    </w:p>
    <w:p w14:paraId="6843D17A">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2.采购代理机构信息</w:t>
      </w:r>
    </w:p>
    <w:p w14:paraId="44D0F06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名    称：温州历程招标有限公司 </w:t>
      </w:r>
    </w:p>
    <w:p w14:paraId="4E6BB36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地    址：温州市鹿城区勤民路鹿城壹号18幢803室 </w:t>
      </w:r>
    </w:p>
    <w:p w14:paraId="79150242">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传    真：  </w:t>
      </w:r>
    </w:p>
    <w:p w14:paraId="2EB6FC78">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项目联系人（询问）： 郑永强 </w:t>
      </w:r>
    </w:p>
    <w:p w14:paraId="1113A8B3">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项目联系方式（询问）：0577-89887322、13757727199 </w:t>
      </w:r>
    </w:p>
    <w:p w14:paraId="247984A4">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质疑联系人：肖忠文 </w:t>
      </w:r>
    </w:p>
    <w:p w14:paraId="6901133F">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质疑联系方式：13757727199  </w:t>
      </w:r>
    </w:p>
    <w:p w14:paraId="44925705">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 xml:space="preserve">3.同级政府采购监督管理部门         </w:t>
      </w:r>
    </w:p>
    <w:p w14:paraId="4C1F9894">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 xml:space="preserve">  名    称：浙江省财政厅政府采购监管处             </w:t>
      </w:r>
    </w:p>
    <w:p w14:paraId="2EB9895D">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 xml:space="preserve">  地    址：杭州市环城西路37号             </w:t>
      </w:r>
    </w:p>
    <w:p w14:paraId="3C6DBC0F">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 xml:space="preserve">  传    真：/             </w:t>
      </w:r>
    </w:p>
    <w:p w14:paraId="411FB739">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 xml:space="preserve">  联系人 ：倪文良、吴聪瑜             </w:t>
      </w:r>
    </w:p>
    <w:p w14:paraId="3EE7A63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 xml:space="preserve">  监督投诉电话：0577-88506788           </w:t>
      </w:r>
    </w:p>
    <w:p w14:paraId="683ACBF9">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 xml:space="preserve">  政策咨询：何一平、冯华，0571-87058424、87055741</w:t>
      </w:r>
    </w:p>
    <w:p w14:paraId="2D396E78">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 xml:space="preserve">  </w:t>
      </w:r>
    </w:p>
    <w:p w14:paraId="02E8C3D9">
      <w:pPr>
        <w:spacing w:line="440" w:lineRule="exact"/>
        <w:jc w:val="right"/>
        <w:rPr>
          <w:rFonts w:ascii="宋体" w:hAnsi="宋体" w:cs="宋体"/>
          <w:color w:val="auto"/>
          <w:sz w:val="22"/>
          <w:szCs w:val="22"/>
          <w:highlight w:val="none"/>
        </w:rPr>
      </w:pPr>
      <w:r>
        <w:rPr>
          <w:rFonts w:hint="eastAsia" w:ascii="宋体" w:hAnsi="宋体" w:cs="宋体"/>
          <w:color w:val="auto"/>
          <w:sz w:val="22"/>
          <w:highlight w:val="none"/>
        </w:rPr>
        <w:t xml:space="preserve"> </w:t>
      </w:r>
    </w:p>
    <w:p w14:paraId="3F3702F0">
      <w:pPr>
        <w:pStyle w:val="9"/>
        <w:rPr>
          <w:rFonts w:ascii="宋体" w:hAnsi="宋体" w:cs="宋体"/>
          <w:color w:val="auto"/>
          <w:highlight w:val="none"/>
        </w:rPr>
      </w:pPr>
    </w:p>
    <w:p w14:paraId="466F8691">
      <w:pPr>
        <w:rPr>
          <w:rFonts w:ascii="宋体" w:hAnsi="宋体" w:cs="宋体"/>
          <w:color w:val="auto"/>
          <w:highlight w:val="none"/>
        </w:rPr>
      </w:pPr>
    </w:p>
    <w:p w14:paraId="2F228B15">
      <w:pPr>
        <w:rPr>
          <w:rFonts w:ascii="宋体" w:hAnsi="宋体" w:cs="宋体"/>
          <w:color w:val="auto"/>
          <w:highlight w:val="none"/>
        </w:rPr>
      </w:pPr>
      <w:r>
        <w:rPr>
          <w:rFonts w:hint="eastAsia" w:ascii="宋体" w:hAnsi="宋体" w:cs="宋体"/>
          <w:color w:val="auto"/>
          <w:highlight w:val="none"/>
        </w:rPr>
        <w:t xml:space="preserve"> </w:t>
      </w:r>
    </w:p>
    <w:p w14:paraId="04B66E9B">
      <w:pPr>
        <w:rPr>
          <w:rFonts w:ascii="宋体" w:hAnsi="宋体" w:cs="宋体"/>
          <w:color w:val="auto"/>
          <w:highlight w:val="none"/>
        </w:rPr>
      </w:pPr>
    </w:p>
    <w:p w14:paraId="7F462B42">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若对项目采购电子交易系统操作有疑问，可登录政采云（https://www.zcygov.cn/），点击右侧咨询小采，获取采小蜜智能服务管家帮助，或拨打政采云服务热线400-881-7190获取热线服务帮助。</w:t>
      </w:r>
    </w:p>
    <w:p w14:paraId="4DB14690">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CA问题联系电话（人工）：汇信CA 400-888-4636；天谷CA 400-087-8198。</w:t>
      </w:r>
    </w:p>
    <w:p w14:paraId="675C6E41">
      <w:pPr>
        <w:rPr>
          <w:rFonts w:ascii="宋体" w:hAnsi="宋体" w:cs="宋体"/>
          <w:color w:val="auto"/>
          <w:highlight w:val="none"/>
        </w:rPr>
      </w:pPr>
    </w:p>
    <w:p w14:paraId="68D20B62">
      <w:pPr>
        <w:rPr>
          <w:rFonts w:ascii="宋体" w:hAnsi="宋体" w:cs="宋体"/>
          <w:color w:val="auto"/>
          <w:highlight w:val="none"/>
        </w:rPr>
      </w:pPr>
    </w:p>
    <w:p w14:paraId="4096DD38">
      <w:pPr>
        <w:rPr>
          <w:rFonts w:ascii="宋体" w:hAnsi="宋体" w:cs="宋体"/>
          <w:color w:val="auto"/>
          <w:highlight w:val="none"/>
        </w:rPr>
      </w:pPr>
    </w:p>
    <w:p w14:paraId="04189068">
      <w:pPr>
        <w:rPr>
          <w:rFonts w:ascii="宋体" w:hAnsi="宋体" w:cs="宋体"/>
          <w:color w:val="auto"/>
          <w:highlight w:val="none"/>
        </w:rPr>
      </w:pPr>
    </w:p>
    <w:p w14:paraId="7152E7EF">
      <w:pPr>
        <w:rPr>
          <w:rFonts w:ascii="宋体" w:hAnsi="宋体" w:cs="宋体"/>
          <w:color w:val="auto"/>
          <w:highlight w:val="none"/>
        </w:rPr>
      </w:pPr>
    </w:p>
    <w:p w14:paraId="3B19B870">
      <w:pPr>
        <w:rPr>
          <w:rFonts w:ascii="宋体" w:hAnsi="宋体" w:cs="宋体"/>
          <w:color w:val="auto"/>
          <w:highlight w:val="none"/>
        </w:rPr>
      </w:pPr>
    </w:p>
    <w:p w14:paraId="534807A1">
      <w:pPr>
        <w:rPr>
          <w:rFonts w:ascii="宋体" w:hAnsi="宋体" w:cs="宋体"/>
          <w:color w:val="auto"/>
          <w:highlight w:val="none"/>
        </w:rPr>
      </w:pPr>
    </w:p>
    <w:p w14:paraId="29E8BC7E">
      <w:pPr>
        <w:rPr>
          <w:rFonts w:ascii="宋体" w:hAnsi="宋体" w:cs="宋体"/>
          <w:color w:val="auto"/>
          <w:highlight w:val="none"/>
        </w:rPr>
      </w:pPr>
    </w:p>
    <w:p w14:paraId="2EF9D7FB">
      <w:pPr>
        <w:rPr>
          <w:rFonts w:ascii="宋体" w:hAnsi="宋体" w:cs="宋体"/>
          <w:color w:val="auto"/>
          <w:highlight w:val="none"/>
        </w:rPr>
      </w:pPr>
    </w:p>
    <w:p w14:paraId="391611A1">
      <w:pPr>
        <w:rPr>
          <w:rFonts w:ascii="宋体" w:hAnsi="宋体" w:cs="宋体"/>
          <w:color w:val="auto"/>
          <w:highlight w:val="none"/>
        </w:rPr>
      </w:pPr>
    </w:p>
    <w:p w14:paraId="7A31769C">
      <w:pPr>
        <w:rPr>
          <w:rFonts w:ascii="宋体" w:hAnsi="宋体" w:cs="宋体"/>
          <w:color w:val="auto"/>
          <w:highlight w:val="none"/>
        </w:rPr>
      </w:pPr>
    </w:p>
    <w:p w14:paraId="3B9F5B60">
      <w:pPr>
        <w:rPr>
          <w:rFonts w:ascii="宋体" w:hAnsi="宋体" w:cs="宋体"/>
          <w:color w:val="auto"/>
          <w:highlight w:val="none"/>
        </w:rPr>
      </w:pPr>
    </w:p>
    <w:p w14:paraId="2D9C2B9D">
      <w:pPr>
        <w:rPr>
          <w:rFonts w:ascii="宋体" w:hAnsi="宋体" w:cs="宋体"/>
          <w:color w:val="auto"/>
          <w:highlight w:val="none"/>
        </w:rPr>
      </w:pPr>
    </w:p>
    <w:p w14:paraId="3818D0B6">
      <w:pPr>
        <w:rPr>
          <w:rFonts w:ascii="宋体" w:hAnsi="宋体" w:cs="宋体"/>
          <w:color w:val="auto"/>
          <w:highlight w:val="none"/>
        </w:rPr>
      </w:pPr>
    </w:p>
    <w:p w14:paraId="34A76D65">
      <w:pPr>
        <w:rPr>
          <w:rFonts w:ascii="宋体" w:hAnsi="宋体" w:cs="宋体"/>
          <w:color w:val="auto"/>
          <w:highlight w:val="none"/>
        </w:rPr>
      </w:pPr>
    </w:p>
    <w:p w14:paraId="154CCBDA">
      <w:pPr>
        <w:rPr>
          <w:rFonts w:ascii="宋体" w:hAnsi="宋体" w:cs="宋体"/>
          <w:color w:val="auto"/>
          <w:highlight w:val="none"/>
        </w:rPr>
      </w:pPr>
    </w:p>
    <w:p w14:paraId="50F59DF8">
      <w:pPr>
        <w:pStyle w:val="3"/>
        <w:rPr>
          <w:rFonts w:ascii="宋体" w:hAnsi="宋体" w:eastAsia="宋体" w:cs="宋体"/>
          <w:b w:val="0"/>
          <w:color w:val="auto"/>
          <w:highlight w:val="none"/>
        </w:rPr>
      </w:pPr>
      <w:bookmarkStart w:id="13" w:name="_Toc31483"/>
      <w:r>
        <w:rPr>
          <w:rFonts w:hint="eastAsia" w:ascii="宋体" w:hAnsi="宋体" w:eastAsia="宋体" w:cs="宋体"/>
          <w:color w:val="auto"/>
          <w:highlight w:val="none"/>
        </w:rPr>
        <w:br w:type="page"/>
      </w:r>
      <w:bookmarkStart w:id="14" w:name="_Toc12276"/>
      <w:bookmarkStart w:id="15" w:name="_Toc2886"/>
      <w:bookmarkStart w:id="16" w:name="_Toc13085"/>
      <w:bookmarkStart w:id="17" w:name="_Toc6453"/>
      <w:bookmarkStart w:id="18" w:name="_Toc23370"/>
      <w:bookmarkStart w:id="19" w:name="_Toc27914"/>
      <w:bookmarkStart w:id="20" w:name="_Toc7512"/>
      <w:r>
        <w:rPr>
          <w:rFonts w:hint="eastAsia" w:ascii="宋体" w:hAnsi="宋体" w:eastAsia="宋体" w:cs="宋体"/>
          <w:color w:val="auto"/>
          <w:highlight w:val="none"/>
        </w:rPr>
        <w:t>第一部分    投标人须知</w:t>
      </w:r>
      <w:bookmarkEnd w:id="13"/>
      <w:bookmarkEnd w:id="14"/>
      <w:bookmarkEnd w:id="15"/>
      <w:bookmarkEnd w:id="16"/>
      <w:bookmarkEnd w:id="17"/>
      <w:bookmarkEnd w:id="18"/>
      <w:bookmarkEnd w:id="19"/>
      <w:bookmarkEnd w:id="20"/>
    </w:p>
    <w:p w14:paraId="44DA6E5C">
      <w:pPr>
        <w:keepNext/>
        <w:keepLines/>
        <w:shd w:val="clear" w:color="auto" w:fill="FFFFFF"/>
        <w:tabs>
          <w:tab w:val="left" w:pos="706"/>
        </w:tabs>
        <w:snapToGrid w:val="0"/>
        <w:spacing w:line="460" w:lineRule="exact"/>
        <w:jc w:val="center"/>
        <w:outlineLvl w:val="1"/>
        <w:rPr>
          <w:rFonts w:ascii="宋体" w:hAnsi="宋体" w:cs="宋体"/>
          <w:b/>
          <w:bCs/>
          <w:color w:val="auto"/>
          <w:sz w:val="22"/>
          <w:szCs w:val="22"/>
          <w:highlight w:val="none"/>
        </w:rPr>
      </w:pPr>
      <w:bookmarkStart w:id="21" w:name="_Toc16439"/>
      <w:bookmarkStart w:id="22" w:name="_Toc29489"/>
      <w:bookmarkStart w:id="23" w:name="_Toc18308"/>
      <w:bookmarkStart w:id="24" w:name="_Toc32685"/>
      <w:bookmarkStart w:id="25" w:name="_Toc28942"/>
      <w:bookmarkStart w:id="26" w:name="_Toc164"/>
      <w:bookmarkStart w:id="27" w:name="_Toc33194387"/>
      <w:bookmarkStart w:id="28" w:name="_Toc233618971"/>
      <w:bookmarkStart w:id="29" w:name="_Toc16973"/>
      <w:bookmarkStart w:id="30" w:name="_Toc20804"/>
      <w:bookmarkStart w:id="31" w:name="_Toc354996695"/>
      <w:r>
        <w:rPr>
          <w:rFonts w:hint="eastAsia" w:ascii="宋体" w:hAnsi="宋体" w:cs="宋体"/>
          <w:b/>
          <w:bCs/>
          <w:color w:val="auto"/>
          <w:sz w:val="22"/>
          <w:szCs w:val="22"/>
          <w:highlight w:val="none"/>
        </w:rPr>
        <w:t>投标人须知前附表</w:t>
      </w:r>
      <w:bookmarkEnd w:id="21"/>
      <w:bookmarkEnd w:id="22"/>
      <w:bookmarkEnd w:id="23"/>
      <w:bookmarkEnd w:id="24"/>
      <w:bookmarkEnd w:id="25"/>
      <w:bookmarkEnd w:id="26"/>
      <w:bookmarkEnd w:id="27"/>
      <w:bookmarkEnd w:id="28"/>
      <w:bookmarkEnd w:id="29"/>
      <w:bookmarkEnd w:id="30"/>
      <w:bookmarkEnd w:id="31"/>
    </w:p>
    <w:tbl>
      <w:tblPr>
        <w:tblStyle w:val="53"/>
        <w:tblW w:w="97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6"/>
        <w:gridCol w:w="1500"/>
        <w:gridCol w:w="7581"/>
      </w:tblGrid>
      <w:tr w14:paraId="22124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53801FC1">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500" w:type="dxa"/>
            <w:tcBorders>
              <w:top w:val="single" w:color="auto" w:sz="4" w:space="0"/>
              <w:left w:val="single" w:color="auto" w:sz="4" w:space="0"/>
              <w:bottom w:val="single" w:color="auto" w:sz="4" w:space="0"/>
              <w:right w:val="single" w:color="auto" w:sz="4" w:space="0"/>
            </w:tcBorders>
            <w:vAlign w:val="center"/>
          </w:tcPr>
          <w:p w14:paraId="6CAECCD5">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p>
        </w:tc>
        <w:tc>
          <w:tcPr>
            <w:tcW w:w="7581" w:type="dxa"/>
            <w:tcBorders>
              <w:top w:val="single" w:color="auto" w:sz="4" w:space="0"/>
              <w:left w:val="single" w:color="auto" w:sz="4" w:space="0"/>
              <w:bottom w:val="single" w:color="auto" w:sz="4" w:space="0"/>
              <w:right w:val="single" w:color="auto" w:sz="4" w:space="0"/>
            </w:tcBorders>
            <w:vAlign w:val="center"/>
          </w:tcPr>
          <w:p w14:paraId="33DF68E9">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   容</w:t>
            </w:r>
          </w:p>
        </w:tc>
      </w:tr>
      <w:tr w14:paraId="111D6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30DA5855">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14:paraId="40BED2DE">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p>
        </w:tc>
        <w:tc>
          <w:tcPr>
            <w:tcW w:w="7581" w:type="dxa"/>
            <w:tcBorders>
              <w:top w:val="single" w:color="auto" w:sz="4" w:space="0"/>
              <w:left w:val="single" w:color="auto" w:sz="4" w:space="0"/>
              <w:bottom w:val="single" w:color="auto" w:sz="4" w:space="0"/>
              <w:right w:val="single" w:color="auto" w:sz="4" w:space="0"/>
            </w:tcBorders>
            <w:vAlign w:val="center"/>
          </w:tcPr>
          <w:p w14:paraId="6A7EA3BA">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智慧教室(信息化设备一批)</w:t>
            </w:r>
          </w:p>
        </w:tc>
      </w:tr>
      <w:tr w14:paraId="7FD74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361DE889">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00" w:type="dxa"/>
            <w:tcBorders>
              <w:top w:val="single" w:color="auto" w:sz="4" w:space="0"/>
              <w:left w:val="single" w:color="auto" w:sz="4" w:space="0"/>
              <w:bottom w:val="single" w:color="auto" w:sz="4" w:space="0"/>
              <w:right w:val="single" w:color="auto" w:sz="4" w:space="0"/>
            </w:tcBorders>
            <w:vAlign w:val="center"/>
          </w:tcPr>
          <w:p w14:paraId="746DDF70">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p>
        </w:tc>
        <w:tc>
          <w:tcPr>
            <w:tcW w:w="7581" w:type="dxa"/>
            <w:tcBorders>
              <w:top w:val="single" w:color="auto" w:sz="4" w:space="0"/>
              <w:left w:val="single" w:color="auto" w:sz="4" w:space="0"/>
              <w:bottom w:val="single" w:color="auto" w:sz="4" w:space="0"/>
              <w:right w:val="single" w:color="auto" w:sz="4" w:space="0"/>
            </w:tcBorders>
            <w:vAlign w:val="center"/>
          </w:tcPr>
          <w:p w14:paraId="1DBC5C0B">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WMU-2024ZB936</w:t>
            </w:r>
          </w:p>
        </w:tc>
      </w:tr>
      <w:tr w14:paraId="46E90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0BE1861D">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00" w:type="dxa"/>
            <w:tcBorders>
              <w:top w:val="single" w:color="auto" w:sz="4" w:space="0"/>
              <w:left w:val="single" w:color="auto" w:sz="4" w:space="0"/>
              <w:bottom w:val="single" w:color="auto" w:sz="4" w:space="0"/>
              <w:right w:val="single" w:color="auto" w:sz="4" w:space="0"/>
            </w:tcBorders>
            <w:vAlign w:val="center"/>
          </w:tcPr>
          <w:p w14:paraId="523D2522">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采购内容及数量</w:t>
            </w:r>
          </w:p>
        </w:tc>
        <w:tc>
          <w:tcPr>
            <w:tcW w:w="7581" w:type="dxa"/>
            <w:tcBorders>
              <w:top w:val="single" w:color="auto" w:sz="4" w:space="0"/>
              <w:left w:val="single" w:color="auto" w:sz="4" w:space="0"/>
              <w:bottom w:val="single" w:color="auto" w:sz="4" w:space="0"/>
              <w:right w:val="single" w:color="auto" w:sz="4" w:space="0"/>
            </w:tcBorders>
            <w:vAlign w:val="center"/>
          </w:tcPr>
          <w:p w14:paraId="469A6B8E">
            <w:pPr>
              <w:snapToGrid w:val="0"/>
              <w:spacing w:line="460" w:lineRule="exact"/>
              <w:rPr>
                <w:color w:val="auto"/>
                <w:highlight w:val="none"/>
              </w:rPr>
            </w:pPr>
            <w:r>
              <w:rPr>
                <w:rFonts w:hint="eastAsia" w:ascii="新宋体" w:hAnsi="新宋体" w:eastAsia="新宋体" w:cs="新宋体"/>
                <w:color w:val="auto"/>
                <w:sz w:val="22"/>
                <w:szCs w:val="22"/>
                <w:highlight w:val="none"/>
              </w:rPr>
              <w:t>智慧教室(信息化设备一批)</w:t>
            </w:r>
          </w:p>
        </w:tc>
      </w:tr>
      <w:tr w14:paraId="62D6F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1DBA7C27">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00" w:type="dxa"/>
            <w:tcBorders>
              <w:top w:val="single" w:color="auto" w:sz="4" w:space="0"/>
              <w:left w:val="single" w:color="auto" w:sz="4" w:space="0"/>
              <w:bottom w:val="single" w:color="auto" w:sz="4" w:space="0"/>
              <w:right w:val="single" w:color="auto" w:sz="4" w:space="0"/>
            </w:tcBorders>
            <w:vAlign w:val="center"/>
          </w:tcPr>
          <w:p w14:paraId="51984C87">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w:t>
            </w:r>
          </w:p>
        </w:tc>
        <w:tc>
          <w:tcPr>
            <w:tcW w:w="7581" w:type="dxa"/>
            <w:tcBorders>
              <w:top w:val="single" w:color="auto" w:sz="4" w:space="0"/>
              <w:left w:val="single" w:color="auto" w:sz="4" w:space="0"/>
              <w:bottom w:val="single" w:color="auto" w:sz="4" w:space="0"/>
              <w:right w:val="single" w:color="auto" w:sz="4" w:space="0"/>
            </w:tcBorders>
            <w:vAlign w:val="center"/>
          </w:tcPr>
          <w:p w14:paraId="1403D8DC">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val="en-US" w:eastAsia="zh-CN"/>
              </w:rPr>
              <w:t>140</w:t>
            </w:r>
            <w:r>
              <w:rPr>
                <w:rFonts w:hint="eastAsia" w:ascii="新宋体" w:hAnsi="新宋体" w:eastAsia="新宋体" w:cs="新宋体"/>
                <w:color w:val="auto"/>
                <w:sz w:val="22"/>
                <w:szCs w:val="22"/>
                <w:highlight w:val="none"/>
              </w:rPr>
              <w:t>万元，最高限价</w:t>
            </w:r>
            <w:r>
              <w:rPr>
                <w:rFonts w:ascii="新宋体" w:hAnsi="新宋体" w:eastAsia="新宋体" w:cs="新宋体"/>
                <w:color w:val="auto"/>
                <w:sz w:val="22"/>
                <w:szCs w:val="22"/>
                <w:highlight w:val="none"/>
              </w:rPr>
              <w:t>115.9</w:t>
            </w:r>
            <w:r>
              <w:rPr>
                <w:rFonts w:hint="eastAsia" w:ascii="新宋体" w:hAnsi="新宋体" w:eastAsia="新宋体" w:cs="新宋体"/>
                <w:color w:val="auto"/>
                <w:sz w:val="22"/>
                <w:szCs w:val="22"/>
                <w:highlight w:val="none"/>
              </w:rPr>
              <w:t>万元。</w:t>
            </w:r>
          </w:p>
        </w:tc>
      </w:tr>
      <w:tr w14:paraId="450FA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173E9595">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00" w:type="dxa"/>
            <w:tcBorders>
              <w:top w:val="single" w:color="auto" w:sz="4" w:space="0"/>
              <w:left w:val="single" w:color="auto" w:sz="4" w:space="0"/>
              <w:bottom w:val="single" w:color="auto" w:sz="4" w:space="0"/>
              <w:right w:val="single" w:color="auto" w:sz="4" w:space="0"/>
            </w:tcBorders>
            <w:vAlign w:val="center"/>
          </w:tcPr>
          <w:p w14:paraId="65F56A7E">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供货期</w:t>
            </w:r>
          </w:p>
        </w:tc>
        <w:tc>
          <w:tcPr>
            <w:tcW w:w="7581" w:type="dxa"/>
            <w:tcBorders>
              <w:top w:val="single" w:color="auto" w:sz="4" w:space="0"/>
              <w:left w:val="single" w:color="auto" w:sz="4" w:space="0"/>
              <w:bottom w:val="single" w:color="auto" w:sz="4" w:space="0"/>
              <w:right w:val="single" w:color="auto" w:sz="4" w:space="0"/>
            </w:tcBorders>
            <w:vAlign w:val="center"/>
          </w:tcPr>
          <w:p w14:paraId="3ABE79D9">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在合同签订后30天内交货并完成安装调试，交使用方验收。</w:t>
            </w:r>
          </w:p>
        </w:tc>
      </w:tr>
      <w:tr w14:paraId="7A395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1DF1BCDA">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500" w:type="dxa"/>
            <w:tcBorders>
              <w:top w:val="single" w:color="auto" w:sz="4" w:space="0"/>
              <w:left w:val="single" w:color="auto" w:sz="4" w:space="0"/>
              <w:bottom w:val="single" w:color="auto" w:sz="4" w:space="0"/>
              <w:right w:val="single" w:color="auto" w:sz="4" w:space="0"/>
            </w:tcBorders>
            <w:vAlign w:val="center"/>
          </w:tcPr>
          <w:p w14:paraId="2F8E89CB">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投标人资格要求</w:t>
            </w:r>
          </w:p>
        </w:tc>
        <w:tc>
          <w:tcPr>
            <w:tcW w:w="7581" w:type="dxa"/>
            <w:tcBorders>
              <w:top w:val="single" w:color="auto" w:sz="4" w:space="0"/>
              <w:left w:val="single" w:color="auto" w:sz="4" w:space="0"/>
              <w:bottom w:val="single" w:color="auto" w:sz="4" w:space="0"/>
              <w:right w:val="single" w:color="auto" w:sz="4" w:space="0"/>
            </w:tcBorders>
            <w:vAlign w:val="center"/>
          </w:tcPr>
          <w:p w14:paraId="1BF977C1">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见“招标公告”</w:t>
            </w:r>
          </w:p>
        </w:tc>
      </w:tr>
      <w:tr w14:paraId="0C1EE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1769D02F">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500" w:type="dxa"/>
            <w:tcBorders>
              <w:top w:val="single" w:color="auto" w:sz="4" w:space="0"/>
              <w:left w:val="single" w:color="auto" w:sz="4" w:space="0"/>
              <w:bottom w:val="single" w:color="auto" w:sz="4" w:space="0"/>
              <w:right w:val="single" w:color="auto" w:sz="4" w:space="0"/>
            </w:tcBorders>
            <w:vAlign w:val="center"/>
          </w:tcPr>
          <w:p w14:paraId="6C3F1284">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是否接受联合体</w:t>
            </w:r>
          </w:p>
        </w:tc>
        <w:tc>
          <w:tcPr>
            <w:tcW w:w="7581" w:type="dxa"/>
            <w:tcBorders>
              <w:top w:val="single" w:color="auto" w:sz="4" w:space="0"/>
              <w:left w:val="single" w:color="auto" w:sz="4" w:space="0"/>
              <w:bottom w:val="single" w:color="auto" w:sz="4" w:space="0"/>
              <w:right w:val="single" w:color="auto" w:sz="4" w:space="0"/>
            </w:tcBorders>
            <w:vAlign w:val="center"/>
          </w:tcPr>
          <w:p w14:paraId="18EF348F">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sym w:font="Wingdings 2" w:char="00A3"/>
            </w:r>
            <w:r>
              <w:rPr>
                <w:rFonts w:hint="eastAsia" w:ascii="新宋体" w:hAnsi="新宋体" w:eastAsia="新宋体" w:cs="新宋体"/>
                <w:color w:val="auto"/>
                <w:kern w:val="0"/>
                <w:sz w:val="22"/>
                <w:szCs w:val="22"/>
                <w:highlight w:val="none"/>
              </w:rPr>
              <w:t>不接受</w:t>
            </w:r>
          </w:p>
          <w:p w14:paraId="3FB7D2B7">
            <w:pPr>
              <w:adjustRightInd w:val="0"/>
              <w:snapToGrid w:val="0"/>
              <w:spacing w:line="460" w:lineRule="exact"/>
              <w:jc w:val="left"/>
              <w:rPr>
                <w:rFonts w:ascii="宋体" w:hAnsi="宋体" w:cs="宋体"/>
                <w:snapToGrid w:val="0"/>
                <w:color w:val="auto"/>
                <w:sz w:val="22"/>
                <w:szCs w:val="22"/>
                <w:highlight w:val="none"/>
              </w:rPr>
            </w:pPr>
            <w:r>
              <w:rPr>
                <w:rFonts w:hint="eastAsia" w:ascii="新宋体" w:hAnsi="新宋体" w:eastAsia="新宋体" w:cs="新宋体"/>
                <w:color w:val="auto"/>
                <w:kern w:val="0"/>
                <w:sz w:val="22"/>
                <w:szCs w:val="22"/>
                <w:highlight w:val="none"/>
              </w:rPr>
              <w:sym w:font="Wingdings 2" w:char="0052"/>
            </w:r>
            <w:r>
              <w:rPr>
                <w:rFonts w:hint="eastAsia" w:ascii="新宋体" w:hAnsi="新宋体" w:eastAsia="新宋体" w:cs="新宋体"/>
                <w:color w:val="auto"/>
                <w:kern w:val="0"/>
                <w:sz w:val="22"/>
                <w:szCs w:val="22"/>
                <w:highlight w:val="none"/>
              </w:rPr>
              <w:t>接受，</w:t>
            </w:r>
            <w:r>
              <w:rPr>
                <w:rFonts w:hint="eastAsia" w:ascii="宋体" w:hAnsi="宋体" w:cs="宋体"/>
                <w:snapToGrid w:val="0"/>
                <w:color w:val="auto"/>
                <w:sz w:val="22"/>
                <w:szCs w:val="22"/>
                <w:highlight w:val="none"/>
              </w:rPr>
              <w:t>同时必须满足以下条件：</w:t>
            </w:r>
          </w:p>
          <w:p w14:paraId="17E70A26">
            <w:pPr>
              <w:adjustRightInd w:val="0"/>
              <w:snapToGrid w:val="0"/>
              <w:spacing w:line="4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1、两个以上的自然人、法人或者其他组织可以组成一个联合体，以一个供应商的身份共同参加政府采购。</w:t>
            </w:r>
          </w:p>
          <w:p w14:paraId="649A4006">
            <w:pPr>
              <w:adjustRightInd w:val="0"/>
              <w:snapToGrid w:val="0"/>
              <w:spacing w:line="4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2221961">
            <w:pPr>
              <w:adjustRightInd w:val="0"/>
              <w:snapToGrid w:val="0"/>
              <w:spacing w:line="4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 xml:space="preserve">3、投标人以联合体形式参加采购活动的，联合体各方中至少应有一方符合招标文件规定的特定资质条件。如由同一专业的供应商组成的联合体的，评审时应以资质最低的一方为依据。 </w:t>
            </w:r>
          </w:p>
          <w:p w14:paraId="7E15BA44">
            <w:pPr>
              <w:adjustRightInd w:val="0"/>
              <w:snapToGrid w:val="0"/>
              <w:spacing w:line="4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4、联合体中有同类资质的供应商按照联合体分工承担相同工作的，按照资质等级较低的供应商确定资质等级。</w:t>
            </w:r>
          </w:p>
          <w:p w14:paraId="54563A33">
            <w:pPr>
              <w:adjustRightInd w:val="0"/>
              <w:snapToGrid w:val="0"/>
              <w:spacing w:line="4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5、联合体各方指定其中一家企业为牵头人，由牵头人之法定代表人或其委托代理人为联合体授权代表执行联合体有关的决议，以联合体名义处理与本项目相关的事务。</w:t>
            </w:r>
          </w:p>
          <w:p w14:paraId="03BDD29D">
            <w:pPr>
              <w:adjustRightInd w:val="0"/>
              <w:snapToGrid w:val="0"/>
              <w:spacing w:line="4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6、以联合体形式参加采购活动的，联合体各方不得再单独参加或者与其他供应商另外组成联合体参加同一合同项下的采购活动。</w:t>
            </w:r>
          </w:p>
          <w:p w14:paraId="3A9A3CC6">
            <w:pPr>
              <w:adjustRightInd w:val="0"/>
              <w:snapToGrid w:val="0"/>
              <w:spacing w:line="460" w:lineRule="exact"/>
              <w:jc w:val="left"/>
              <w:rPr>
                <w:rFonts w:ascii="新宋体" w:hAnsi="新宋体" w:eastAsia="新宋体" w:cs="新宋体"/>
                <w:color w:val="auto"/>
                <w:sz w:val="22"/>
                <w:szCs w:val="22"/>
                <w:highlight w:val="none"/>
              </w:rPr>
            </w:pPr>
            <w:r>
              <w:rPr>
                <w:rFonts w:hint="eastAsia" w:ascii="宋体" w:hAnsi="宋体" w:cs="宋体"/>
                <w:snapToGrid w:val="0"/>
                <w:color w:val="auto"/>
                <w:sz w:val="22"/>
                <w:szCs w:val="22"/>
                <w:highlight w:val="none"/>
              </w:rPr>
              <w:t>7、投标文件中需要签章或签字的内容（资格文件等其他另有要求的除外）可只需加盖联合体牵头人有效公章及联合体牵头人授权代表（或其法定代表人）签字或盖章。</w:t>
            </w:r>
          </w:p>
        </w:tc>
      </w:tr>
      <w:tr w14:paraId="717D8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5BA4714B">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500" w:type="dxa"/>
            <w:tcBorders>
              <w:top w:val="single" w:color="auto" w:sz="4" w:space="0"/>
              <w:left w:val="single" w:color="auto" w:sz="4" w:space="0"/>
              <w:bottom w:val="single" w:color="auto" w:sz="4" w:space="0"/>
              <w:right w:val="single" w:color="auto" w:sz="4" w:space="0"/>
            </w:tcBorders>
            <w:vAlign w:val="center"/>
          </w:tcPr>
          <w:p w14:paraId="39F05C6C">
            <w:pPr>
              <w:snapToGri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合同形式</w:t>
            </w:r>
          </w:p>
        </w:tc>
        <w:tc>
          <w:tcPr>
            <w:tcW w:w="7581" w:type="dxa"/>
            <w:tcBorders>
              <w:top w:val="single" w:color="auto" w:sz="4" w:space="0"/>
              <w:left w:val="single" w:color="auto" w:sz="4" w:space="0"/>
              <w:bottom w:val="single" w:color="auto" w:sz="4" w:space="0"/>
              <w:right w:val="single" w:color="auto" w:sz="4" w:space="0"/>
            </w:tcBorders>
            <w:vAlign w:val="center"/>
          </w:tcPr>
          <w:p w14:paraId="719ABA3F">
            <w:pPr>
              <w:snapToGrid w:val="0"/>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总价合同。</w:t>
            </w:r>
          </w:p>
        </w:tc>
      </w:tr>
      <w:tr w14:paraId="3C699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1D5DAFE3">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500" w:type="dxa"/>
            <w:tcBorders>
              <w:top w:val="single" w:color="auto" w:sz="4" w:space="0"/>
              <w:left w:val="single" w:color="auto" w:sz="4" w:space="0"/>
              <w:bottom w:val="single" w:color="auto" w:sz="4" w:space="0"/>
              <w:right w:val="single" w:color="auto" w:sz="4" w:space="0"/>
            </w:tcBorders>
            <w:vAlign w:val="center"/>
          </w:tcPr>
          <w:p w14:paraId="22A87527">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公告媒体</w:t>
            </w:r>
          </w:p>
        </w:tc>
        <w:tc>
          <w:tcPr>
            <w:tcW w:w="7581" w:type="dxa"/>
            <w:tcBorders>
              <w:top w:val="single" w:color="auto" w:sz="4" w:space="0"/>
              <w:left w:val="single" w:color="auto" w:sz="4" w:space="0"/>
              <w:bottom w:val="single" w:color="auto" w:sz="4" w:space="0"/>
              <w:right w:val="single" w:color="auto" w:sz="4" w:space="0"/>
            </w:tcBorders>
            <w:vAlign w:val="center"/>
          </w:tcPr>
          <w:p w14:paraId="18594195">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新宋体" w:hAnsi="新宋体" w:eastAsia="新宋体" w:cs="新宋体"/>
                <w:color w:val="auto"/>
                <w:sz w:val="22"/>
                <w:szCs w:val="22"/>
                <w:highlight w:val="none"/>
              </w:rPr>
              <w:t>http://zfcg.czt.zj.gov.cn</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t>）</w:t>
            </w:r>
          </w:p>
        </w:tc>
      </w:tr>
      <w:tr w14:paraId="2856B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739A6128">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500" w:type="dxa"/>
            <w:tcBorders>
              <w:top w:val="single" w:color="auto" w:sz="4" w:space="0"/>
              <w:left w:val="single" w:color="auto" w:sz="4" w:space="0"/>
              <w:bottom w:val="single" w:color="auto" w:sz="4" w:space="0"/>
              <w:right w:val="single" w:color="auto" w:sz="4" w:space="0"/>
            </w:tcBorders>
            <w:vAlign w:val="center"/>
          </w:tcPr>
          <w:p w14:paraId="4F92D455">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电子交易</w:t>
            </w:r>
          </w:p>
          <w:p w14:paraId="71AE5F61">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平台</w:t>
            </w:r>
          </w:p>
        </w:tc>
        <w:tc>
          <w:tcPr>
            <w:tcW w:w="7581" w:type="dxa"/>
            <w:tcBorders>
              <w:top w:val="single" w:color="auto" w:sz="4" w:space="0"/>
              <w:left w:val="single" w:color="auto" w:sz="4" w:space="0"/>
              <w:bottom w:val="single" w:color="auto" w:sz="4" w:space="0"/>
              <w:right w:val="single" w:color="auto" w:sz="4" w:space="0"/>
            </w:tcBorders>
            <w:vAlign w:val="center"/>
          </w:tcPr>
          <w:p w14:paraId="10CD94E6">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政府采购云平台（www.zcygov.cn）</w:t>
            </w:r>
          </w:p>
        </w:tc>
      </w:tr>
      <w:tr w14:paraId="10C11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2A0AE1DD">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1500" w:type="dxa"/>
            <w:tcBorders>
              <w:top w:val="single" w:color="auto" w:sz="4" w:space="0"/>
              <w:left w:val="single" w:color="auto" w:sz="4" w:space="0"/>
              <w:bottom w:val="single" w:color="auto" w:sz="4" w:space="0"/>
              <w:right w:val="single" w:color="auto" w:sz="4" w:space="0"/>
            </w:tcBorders>
            <w:vAlign w:val="center"/>
          </w:tcPr>
          <w:p w14:paraId="3EAF0B5F">
            <w:pPr>
              <w:adjustRightIn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投标货币</w:t>
            </w:r>
          </w:p>
        </w:tc>
        <w:tc>
          <w:tcPr>
            <w:tcW w:w="7581" w:type="dxa"/>
            <w:tcBorders>
              <w:top w:val="single" w:color="auto" w:sz="4" w:space="0"/>
              <w:left w:val="single" w:color="auto" w:sz="4" w:space="0"/>
              <w:bottom w:val="single" w:color="auto" w:sz="4" w:space="0"/>
              <w:right w:val="single" w:color="auto" w:sz="4" w:space="0"/>
            </w:tcBorders>
            <w:vAlign w:val="center"/>
          </w:tcPr>
          <w:p w14:paraId="23759071">
            <w:pPr>
              <w:adjustRightIn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人民币</w:t>
            </w:r>
          </w:p>
        </w:tc>
      </w:tr>
      <w:tr w14:paraId="18877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5C514F79">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1500" w:type="dxa"/>
            <w:tcBorders>
              <w:top w:val="single" w:color="auto" w:sz="4" w:space="0"/>
              <w:left w:val="single" w:color="auto" w:sz="4" w:space="0"/>
              <w:bottom w:val="single" w:color="auto" w:sz="4" w:space="0"/>
              <w:right w:val="single" w:color="auto" w:sz="4" w:space="0"/>
            </w:tcBorders>
            <w:vAlign w:val="center"/>
          </w:tcPr>
          <w:p w14:paraId="50F45A60">
            <w:pPr>
              <w:adjustRightIn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投标语言</w:t>
            </w:r>
          </w:p>
        </w:tc>
        <w:tc>
          <w:tcPr>
            <w:tcW w:w="7581" w:type="dxa"/>
            <w:tcBorders>
              <w:top w:val="single" w:color="auto" w:sz="4" w:space="0"/>
              <w:left w:val="single" w:color="auto" w:sz="4" w:space="0"/>
              <w:bottom w:val="single" w:color="auto" w:sz="4" w:space="0"/>
              <w:right w:val="single" w:color="auto" w:sz="4" w:space="0"/>
            </w:tcBorders>
            <w:vAlign w:val="center"/>
          </w:tcPr>
          <w:p w14:paraId="35DF595C">
            <w:pPr>
              <w:adjustRightIn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中文</w:t>
            </w:r>
          </w:p>
        </w:tc>
      </w:tr>
      <w:tr w14:paraId="6F2D9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74971FEF">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1500" w:type="dxa"/>
            <w:tcBorders>
              <w:top w:val="single" w:color="auto" w:sz="4" w:space="0"/>
              <w:left w:val="single" w:color="auto" w:sz="4" w:space="0"/>
              <w:bottom w:val="single" w:color="auto" w:sz="4" w:space="0"/>
              <w:right w:val="single" w:color="auto" w:sz="4" w:space="0"/>
            </w:tcBorders>
            <w:vAlign w:val="center"/>
          </w:tcPr>
          <w:p w14:paraId="69A53559">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w:t>
            </w:r>
          </w:p>
        </w:tc>
        <w:tc>
          <w:tcPr>
            <w:tcW w:w="7581" w:type="dxa"/>
            <w:tcBorders>
              <w:top w:val="single" w:color="auto" w:sz="4" w:space="0"/>
              <w:left w:val="single" w:color="auto" w:sz="4" w:space="0"/>
              <w:bottom w:val="single" w:color="auto" w:sz="4" w:space="0"/>
              <w:right w:val="single" w:color="auto" w:sz="4" w:space="0"/>
            </w:tcBorders>
            <w:vAlign w:val="center"/>
          </w:tcPr>
          <w:p w14:paraId="248AD836">
            <w:pPr>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b/>
                <w:color w:val="auto"/>
                <w:sz w:val="22"/>
                <w:highlight w:val="none"/>
              </w:rPr>
              <w:t>报价是指完成智慧教室(信息化设备一批)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7AAC2AA1">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2、不论采购结果如何，投标人均应自行承担所有与投标有关的全部费用。</w:t>
            </w:r>
          </w:p>
        </w:tc>
      </w:tr>
      <w:tr w14:paraId="022D7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401F4591">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1500" w:type="dxa"/>
            <w:tcBorders>
              <w:top w:val="single" w:color="auto" w:sz="4" w:space="0"/>
              <w:left w:val="single" w:color="auto" w:sz="4" w:space="0"/>
              <w:bottom w:val="single" w:color="auto" w:sz="4" w:space="0"/>
              <w:right w:val="single" w:color="auto" w:sz="4" w:space="0"/>
            </w:tcBorders>
            <w:vAlign w:val="center"/>
          </w:tcPr>
          <w:p w14:paraId="619862AC">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投标保证金数额</w:t>
            </w:r>
          </w:p>
        </w:tc>
        <w:tc>
          <w:tcPr>
            <w:tcW w:w="7581" w:type="dxa"/>
            <w:tcBorders>
              <w:top w:val="single" w:color="auto" w:sz="4" w:space="0"/>
              <w:left w:val="single" w:color="auto" w:sz="4" w:space="0"/>
              <w:bottom w:val="single" w:color="auto" w:sz="4" w:space="0"/>
              <w:right w:val="single" w:color="auto" w:sz="4" w:space="0"/>
            </w:tcBorders>
            <w:vAlign w:val="center"/>
          </w:tcPr>
          <w:p w14:paraId="53B74F3C">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tc>
      </w:tr>
      <w:tr w14:paraId="23DAC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2FF29E9C">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1500" w:type="dxa"/>
            <w:tcBorders>
              <w:top w:val="single" w:color="auto" w:sz="4" w:space="0"/>
              <w:left w:val="single" w:color="auto" w:sz="4" w:space="0"/>
              <w:bottom w:val="single" w:color="auto" w:sz="4" w:space="0"/>
              <w:right w:val="single" w:color="auto" w:sz="4" w:space="0"/>
            </w:tcBorders>
            <w:vAlign w:val="center"/>
          </w:tcPr>
          <w:p w14:paraId="0BB83203">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踏勘现场</w:t>
            </w:r>
          </w:p>
        </w:tc>
        <w:tc>
          <w:tcPr>
            <w:tcW w:w="7581" w:type="dxa"/>
            <w:tcBorders>
              <w:top w:val="single" w:color="auto" w:sz="4" w:space="0"/>
              <w:left w:val="single" w:color="auto" w:sz="4" w:space="0"/>
              <w:bottom w:val="single" w:color="auto" w:sz="4" w:space="0"/>
              <w:right w:val="single" w:color="auto" w:sz="4" w:space="0"/>
            </w:tcBorders>
            <w:vAlign w:val="center"/>
          </w:tcPr>
          <w:p w14:paraId="48A9738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2" w:char="00A3"/>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kern w:val="0"/>
                <w:sz w:val="22"/>
                <w:szCs w:val="22"/>
                <w:highlight w:val="none"/>
              </w:rPr>
              <w:t>时间：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,地点：</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，联系人：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，联系方式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w:t>
            </w:r>
          </w:p>
          <w:p w14:paraId="51AAAC5C">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Cs/>
                <w:snapToGrid w:val="0"/>
                <w:color w:val="auto"/>
                <w:sz w:val="22"/>
                <w:szCs w:val="22"/>
                <w:highlight w:val="none"/>
              </w:rPr>
              <w:sym w:font="Wingdings" w:char="00FE"/>
            </w:r>
            <w:r>
              <w:rPr>
                <w:rFonts w:hint="eastAsia" w:ascii="新宋体" w:hAnsi="新宋体" w:eastAsia="新宋体" w:cs="新宋体"/>
                <w:color w:val="auto"/>
                <w:sz w:val="22"/>
                <w:szCs w:val="22"/>
                <w:highlight w:val="none"/>
              </w:rPr>
              <w:t>不组织</w:t>
            </w:r>
          </w:p>
        </w:tc>
      </w:tr>
      <w:tr w14:paraId="3E2A3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3319DCDD">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1500" w:type="dxa"/>
            <w:tcBorders>
              <w:top w:val="single" w:color="auto" w:sz="4" w:space="0"/>
              <w:left w:val="single" w:color="auto" w:sz="4" w:space="0"/>
              <w:bottom w:val="single" w:color="auto" w:sz="4" w:space="0"/>
              <w:right w:val="single" w:color="auto" w:sz="4" w:space="0"/>
            </w:tcBorders>
            <w:vAlign w:val="center"/>
          </w:tcPr>
          <w:p w14:paraId="73087BB6">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投标预备会</w:t>
            </w:r>
          </w:p>
        </w:tc>
        <w:tc>
          <w:tcPr>
            <w:tcW w:w="7581" w:type="dxa"/>
            <w:tcBorders>
              <w:top w:val="single" w:color="auto" w:sz="4" w:space="0"/>
              <w:left w:val="single" w:color="auto" w:sz="4" w:space="0"/>
              <w:bottom w:val="single" w:color="auto" w:sz="4" w:space="0"/>
              <w:right w:val="single" w:color="auto" w:sz="4" w:space="0"/>
            </w:tcBorders>
            <w:vAlign w:val="center"/>
          </w:tcPr>
          <w:p w14:paraId="07A2BDA9">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14:paraId="57466153">
            <w:pPr>
              <w:snapToGrid w:val="0"/>
              <w:spacing w:line="460" w:lineRule="exact"/>
              <w:rPr>
                <w:rFonts w:ascii="新宋体" w:hAnsi="新宋体" w:eastAsia="新宋体" w:cs="新宋体"/>
                <w:bCs/>
                <w:snapToGrid w:val="0"/>
                <w:color w:val="auto"/>
                <w:sz w:val="22"/>
                <w:szCs w:val="22"/>
                <w:highlight w:val="none"/>
              </w:rPr>
            </w:pPr>
            <w:r>
              <w:rPr>
                <w:rFonts w:hint="eastAsia" w:ascii="新宋体" w:hAnsi="新宋体" w:eastAsia="新宋体" w:cs="新宋体"/>
                <w:color w:val="auto"/>
                <w:kern w:val="0"/>
                <w:sz w:val="22"/>
                <w:szCs w:val="22"/>
                <w:highlight w:val="none"/>
              </w:rPr>
              <w:sym w:font="Wingdings 2" w:char="0052"/>
            </w:r>
            <w:r>
              <w:rPr>
                <w:rFonts w:hint="eastAsia" w:ascii="新宋体" w:hAnsi="新宋体" w:eastAsia="新宋体" w:cs="新宋体"/>
                <w:color w:val="auto"/>
                <w:kern w:val="0"/>
                <w:sz w:val="22"/>
                <w:szCs w:val="22"/>
                <w:highlight w:val="none"/>
              </w:rPr>
              <w:t>不召开</w:t>
            </w:r>
          </w:p>
        </w:tc>
      </w:tr>
      <w:tr w14:paraId="474B7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00F77650">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1500" w:type="dxa"/>
            <w:tcBorders>
              <w:top w:val="single" w:color="auto" w:sz="4" w:space="0"/>
              <w:left w:val="single" w:color="auto" w:sz="4" w:space="0"/>
              <w:bottom w:val="single" w:color="auto" w:sz="4" w:space="0"/>
              <w:right w:val="single" w:color="auto" w:sz="4" w:space="0"/>
            </w:tcBorders>
            <w:vAlign w:val="center"/>
          </w:tcPr>
          <w:p w14:paraId="245D9B34">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分包与转包</w:t>
            </w:r>
          </w:p>
        </w:tc>
        <w:tc>
          <w:tcPr>
            <w:tcW w:w="7581" w:type="dxa"/>
            <w:tcBorders>
              <w:top w:val="single" w:color="auto" w:sz="4" w:space="0"/>
              <w:left w:val="single" w:color="auto" w:sz="4" w:space="0"/>
              <w:bottom w:val="single" w:color="auto" w:sz="4" w:space="0"/>
              <w:right w:val="single" w:color="auto" w:sz="4" w:space="0"/>
            </w:tcBorders>
            <w:vAlign w:val="center"/>
          </w:tcPr>
          <w:p w14:paraId="67FE7F5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（1）分包：</w:t>
            </w:r>
          </w:p>
          <w:p w14:paraId="0E7B925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同意将非主体、非关键性的工作分包。</w:t>
            </w:r>
          </w:p>
          <w:p w14:paraId="6879B4E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FE"/>
            </w:r>
            <w:r>
              <w:rPr>
                <w:rFonts w:hint="eastAsia" w:ascii="新宋体" w:hAnsi="新宋体" w:eastAsia="新宋体" w:cs="新宋体"/>
                <w:color w:val="auto"/>
                <w:sz w:val="22"/>
                <w:szCs w:val="22"/>
                <w:highlight w:val="none"/>
              </w:rPr>
              <w:t>不同意分包。</w:t>
            </w:r>
          </w:p>
          <w:p w14:paraId="51D7EE7B">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（2）转包：本项目不允许转包。</w:t>
            </w:r>
          </w:p>
        </w:tc>
      </w:tr>
      <w:tr w14:paraId="64F65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1A46978B">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w:t>
            </w:r>
          </w:p>
        </w:tc>
        <w:tc>
          <w:tcPr>
            <w:tcW w:w="1500" w:type="dxa"/>
            <w:tcBorders>
              <w:top w:val="single" w:color="auto" w:sz="4" w:space="0"/>
              <w:left w:val="single" w:color="auto" w:sz="4" w:space="0"/>
              <w:bottom w:val="single" w:color="auto" w:sz="4" w:space="0"/>
              <w:right w:val="single" w:color="auto" w:sz="4" w:space="0"/>
            </w:tcBorders>
            <w:vAlign w:val="center"/>
          </w:tcPr>
          <w:p w14:paraId="6AED3CC6">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样品</w:t>
            </w:r>
          </w:p>
        </w:tc>
        <w:tc>
          <w:tcPr>
            <w:tcW w:w="7581" w:type="dxa"/>
            <w:tcBorders>
              <w:top w:val="single" w:color="auto" w:sz="4" w:space="0"/>
              <w:left w:val="single" w:color="auto" w:sz="4" w:space="0"/>
              <w:bottom w:val="single" w:color="auto" w:sz="4" w:space="0"/>
              <w:right w:val="single" w:color="auto" w:sz="4" w:space="0"/>
            </w:tcBorders>
            <w:vAlign w:val="center"/>
          </w:tcPr>
          <w:p w14:paraId="1A648D60">
            <w:pPr>
              <w:spacing w:line="460" w:lineRule="exact"/>
              <w:rPr>
                <w:color w:val="auto"/>
                <w:highlight w:val="none"/>
              </w:rPr>
            </w:pPr>
            <w:r>
              <w:rPr>
                <w:rFonts w:hint="eastAsia" w:ascii="新宋体" w:hAnsi="新宋体" w:eastAsia="新宋体" w:cs="新宋体"/>
                <w:color w:val="auto"/>
                <w:sz w:val="22"/>
                <w:szCs w:val="22"/>
                <w:highlight w:val="none"/>
              </w:rPr>
              <w:t>无需提供样品。</w:t>
            </w:r>
          </w:p>
        </w:tc>
      </w:tr>
      <w:tr w14:paraId="7E847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77784CA8">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w:t>
            </w:r>
          </w:p>
        </w:tc>
        <w:tc>
          <w:tcPr>
            <w:tcW w:w="1500" w:type="dxa"/>
            <w:tcBorders>
              <w:top w:val="single" w:color="auto" w:sz="4" w:space="0"/>
              <w:left w:val="single" w:color="auto" w:sz="4" w:space="0"/>
              <w:bottom w:val="single" w:color="auto" w:sz="4" w:space="0"/>
              <w:right w:val="single" w:color="auto" w:sz="4" w:space="0"/>
            </w:tcBorders>
            <w:vAlign w:val="center"/>
          </w:tcPr>
          <w:p w14:paraId="4FF913DA">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演示</w:t>
            </w:r>
          </w:p>
        </w:tc>
        <w:tc>
          <w:tcPr>
            <w:tcW w:w="7581" w:type="dxa"/>
            <w:tcBorders>
              <w:top w:val="single" w:color="auto" w:sz="4" w:space="0"/>
              <w:left w:val="single" w:color="auto" w:sz="4" w:space="0"/>
              <w:bottom w:val="single" w:color="auto" w:sz="4" w:space="0"/>
              <w:right w:val="single" w:color="auto" w:sz="4" w:space="0"/>
            </w:tcBorders>
            <w:vAlign w:val="center"/>
          </w:tcPr>
          <w:p w14:paraId="1FF073C2">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无需演示。</w:t>
            </w:r>
          </w:p>
        </w:tc>
      </w:tr>
      <w:tr w14:paraId="2F9C1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031C64AB">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w:t>
            </w:r>
          </w:p>
        </w:tc>
        <w:tc>
          <w:tcPr>
            <w:tcW w:w="1500" w:type="dxa"/>
            <w:tcBorders>
              <w:top w:val="single" w:color="auto" w:sz="4" w:space="0"/>
              <w:left w:val="single" w:color="auto" w:sz="4" w:space="0"/>
              <w:bottom w:val="single" w:color="auto" w:sz="4" w:space="0"/>
              <w:right w:val="single" w:color="auto" w:sz="4" w:space="0"/>
            </w:tcBorders>
            <w:vAlign w:val="center"/>
          </w:tcPr>
          <w:p w14:paraId="4E0837AA">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投标文件组成</w:t>
            </w:r>
          </w:p>
        </w:tc>
        <w:tc>
          <w:tcPr>
            <w:tcW w:w="7581" w:type="dxa"/>
            <w:tcBorders>
              <w:top w:val="single" w:color="auto" w:sz="4" w:space="0"/>
              <w:left w:val="single" w:color="auto" w:sz="4" w:space="0"/>
              <w:bottom w:val="single" w:color="auto" w:sz="4" w:space="0"/>
              <w:right w:val="single" w:color="auto" w:sz="4" w:space="0"/>
            </w:tcBorders>
            <w:vAlign w:val="center"/>
          </w:tcPr>
          <w:p w14:paraId="39BE4E30">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宋体" w:hAnsi="宋体" w:cs="宋体"/>
                <w:color w:val="auto"/>
                <w:sz w:val="22"/>
                <w:szCs w:val="22"/>
                <w:highlight w:val="none"/>
              </w:rPr>
              <w:t>完整的《投标文件》由“资格文件”、“报价文件”和“商务技术文件”三个部分组成。</w:t>
            </w:r>
          </w:p>
        </w:tc>
      </w:tr>
      <w:tr w14:paraId="233F3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6F6E1B90">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w:t>
            </w:r>
          </w:p>
        </w:tc>
        <w:tc>
          <w:tcPr>
            <w:tcW w:w="1500" w:type="dxa"/>
            <w:tcBorders>
              <w:top w:val="single" w:color="auto" w:sz="4" w:space="0"/>
              <w:left w:val="single" w:color="auto" w:sz="4" w:space="0"/>
              <w:bottom w:val="single" w:color="auto" w:sz="4" w:space="0"/>
              <w:right w:val="single" w:color="auto" w:sz="4" w:space="0"/>
            </w:tcBorders>
            <w:vAlign w:val="center"/>
          </w:tcPr>
          <w:p w14:paraId="3F2DB2C0">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投标文件的编制</w:t>
            </w:r>
          </w:p>
        </w:tc>
        <w:tc>
          <w:tcPr>
            <w:tcW w:w="7581" w:type="dxa"/>
            <w:tcBorders>
              <w:top w:val="single" w:color="auto" w:sz="4" w:space="0"/>
              <w:left w:val="single" w:color="auto" w:sz="4" w:space="0"/>
              <w:bottom w:val="single" w:color="auto" w:sz="4" w:space="0"/>
              <w:right w:val="single" w:color="auto" w:sz="4" w:space="0"/>
            </w:tcBorders>
            <w:vAlign w:val="center"/>
          </w:tcPr>
          <w:p w14:paraId="2E5C693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供应商应先安装“政采云电子交易客户端”，并按照本招标文件和“政府采购云平台”的要求，通过“政采云电子交易客户端”编制并加密投标文件。</w:t>
            </w:r>
          </w:p>
        </w:tc>
      </w:tr>
      <w:tr w14:paraId="4DD4D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1451F146">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w:t>
            </w:r>
          </w:p>
        </w:tc>
        <w:tc>
          <w:tcPr>
            <w:tcW w:w="1500" w:type="dxa"/>
            <w:tcBorders>
              <w:top w:val="single" w:color="auto" w:sz="4" w:space="0"/>
              <w:left w:val="single" w:color="auto" w:sz="4" w:space="0"/>
              <w:bottom w:val="single" w:color="auto" w:sz="4" w:space="0"/>
              <w:right w:val="single" w:color="auto" w:sz="4" w:space="0"/>
            </w:tcBorders>
            <w:vAlign w:val="center"/>
          </w:tcPr>
          <w:p w14:paraId="4C5E83EC">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投标文件的签章</w:t>
            </w:r>
          </w:p>
        </w:tc>
        <w:tc>
          <w:tcPr>
            <w:tcW w:w="7581" w:type="dxa"/>
            <w:tcBorders>
              <w:top w:val="single" w:color="auto" w:sz="4" w:space="0"/>
              <w:left w:val="single" w:color="auto" w:sz="4" w:space="0"/>
              <w:bottom w:val="single" w:color="auto" w:sz="4" w:space="0"/>
              <w:right w:val="single" w:color="auto" w:sz="4" w:space="0"/>
            </w:tcBorders>
            <w:vAlign w:val="center"/>
          </w:tcPr>
          <w:p w14:paraId="26DBDD18">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采用电子签章。</w:t>
            </w:r>
          </w:p>
        </w:tc>
      </w:tr>
      <w:tr w14:paraId="67F89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37F79B51">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w:t>
            </w:r>
          </w:p>
        </w:tc>
        <w:tc>
          <w:tcPr>
            <w:tcW w:w="1500" w:type="dxa"/>
            <w:tcBorders>
              <w:top w:val="single" w:color="auto" w:sz="4" w:space="0"/>
              <w:left w:val="single" w:color="auto" w:sz="4" w:space="0"/>
              <w:bottom w:val="single" w:color="auto" w:sz="4" w:space="0"/>
              <w:right w:val="single" w:color="auto" w:sz="4" w:space="0"/>
            </w:tcBorders>
            <w:vAlign w:val="center"/>
          </w:tcPr>
          <w:p w14:paraId="490719FD">
            <w:pPr>
              <w:snapToGrid w:val="0"/>
              <w:spacing w:line="460" w:lineRule="exact"/>
              <w:jc w:val="center"/>
              <w:rPr>
                <w:rFonts w:ascii="新宋体" w:hAnsi="新宋体" w:eastAsia="新宋体" w:cs="新宋体"/>
                <w:b/>
                <w:bCs/>
                <w:color w:val="auto"/>
                <w:sz w:val="22"/>
                <w:szCs w:val="22"/>
                <w:highlight w:val="none"/>
                <w:lang w:bidi="ar"/>
              </w:rPr>
            </w:pPr>
            <w:r>
              <w:rPr>
                <w:rFonts w:hint="eastAsia" w:ascii="新宋体" w:hAnsi="新宋体" w:eastAsia="新宋体" w:cs="新宋体"/>
                <w:color w:val="auto"/>
                <w:sz w:val="22"/>
                <w:szCs w:val="22"/>
                <w:highlight w:val="none"/>
                <w:lang w:bidi="ar"/>
              </w:rPr>
              <w:t>投标文件的形式</w:t>
            </w:r>
          </w:p>
        </w:tc>
        <w:tc>
          <w:tcPr>
            <w:tcW w:w="7581" w:type="dxa"/>
            <w:tcBorders>
              <w:top w:val="single" w:color="auto" w:sz="4" w:space="0"/>
              <w:left w:val="single" w:color="auto" w:sz="4" w:space="0"/>
              <w:bottom w:val="single" w:color="auto" w:sz="4" w:space="0"/>
              <w:right w:val="single" w:color="auto" w:sz="4" w:space="0"/>
            </w:tcBorders>
            <w:vAlign w:val="center"/>
          </w:tcPr>
          <w:p w14:paraId="77EA9A6A">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电子投标文件（包括“电子加密投标文件”和“备份投标文件”，在投标文件编制完成后同时生成）；</w:t>
            </w:r>
          </w:p>
          <w:p w14:paraId="727DFBB2">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（1）“电子加密投标文件”是指通过“政采云电子交易客户端”完成投标文件编制后生成并加密的数据电文形式的投标文件。</w:t>
            </w:r>
          </w:p>
          <w:p w14:paraId="0490FF6C">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7FBB0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10673C0A">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w:t>
            </w:r>
          </w:p>
        </w:tc>
        <w:tc>
          <w:tcPr>
            <w:tcW w:w="1500" w:type="dxa"/>
            <w:tcBorders>
              <w:top w:val="single" w:color="auto" w:sz="4" w:space="0"/>
              <w:left w:val="single" w:color="auto" w:sz="4" w:space="0"/>
              <w:bottom w:val="single" w:color="auto" w:sz="4" w:space="0"/>
              <w:right w:val="single" w:color="auto" w:sz="4" w:space="0"/>
            </w:tcBorders>
            <w:vAlign w:val="center"/>
          </w:tcPr>
          <w:p w14:paraId="53FB8B80">
            <w:pPr>
              <w:snapToGrid w:val="0"/>
              <w:spacing w:line="460" w:lineRule="exact"/>
              <w:jc w:val="center"/>
              <w:rPr>
                <w:rFonts w:ascii="新宋体" w:hAnsi="新宋体" w:eastAsia="新宋体" w:cs="新宋体"/>
                <w:b/>
                <w:bCs/>
                <w:color w:val="auto"/>
                <w:sz w:val="22"/>
                <w:szCs w:val="22"/>
                <w:highlight w:val="none"/>
                <w:lang w:bidi="ar"/>
              </w:rPr>
            </w:pPr>
            <w:r>
              <w:rPr>
                <w:rFonts w:hint="eastAsia" w:ascii="新宋体" w:hAnsi="新宋体" w:eastAsia="新宋体" w:cs="新宋体"/>
                <w:color w:val="auto"/>
                <w:sz w:val="22"/>
                <w:szCs w:val="22"/>
                <w:highlight w:val="none"/>
              </w:rPr>
              <w:t>投标文件份数</w:t>
            </w:r>
          </w:p>
        </w:tc>
        <w:tc>
          <w:tcPr>
            <w:tcW w:w="7581" w:type="dxa"/>
            <w:tcBorders>
              <w:top w:val="single" w:color="auto" w:sz="4" w:space="0"/>
              <w:left w:val="single" w:color="auto" w:sz="4" w:space="0"/>
              <w:bottom w:val="single" w:color="auto" w:sz="4" w:space="0"/>
              <w:right w:val="single" w:color="auto" w:sz="4" w:space="0"/>
            </w:tcBorders>
            <w:vAlign w:val="center"/>
          </w:tcPr>
          <w:p w14:paraId="60AF8721">
            <w:pPr>
              <w:numPr>
                <w:ilvl w:val="0"/>
                <w:numId w:val="1"/>
              </w:numPr>
              <w:spacing w:line="460" w:lineRule="exact"/>
              <w:rPr>
                <w:color w:val="auto"/>
                <w:sz w:val="22"/>
                <w:szCs w:val="28"/>
                <w:highlight w:val="none"/>
              </w:rPr>
            </w:pPr>
            <w:r>
              <w:rPr>
                <w:rFonts w:hint="eastAsia"/>
                <w:color w:val="auto"/>
                <w:sz w:val="22"/>
                <w:szCs w:val="28"/>
                <w:highlight w:val="none"/>
              </w:rPr>
              <w:t>“电子加密投标文件”：在线上传递交、一份。</w:t>
            </w:r>
          </w:p>
          <w:p w14:paraId="6F689A93">
            <w:pPr>
              <w:numPr>
                <w:ilvl w:val="0"/>
                <w:numId w:val="1"/>
              </w:numPr>
              <w:spacing w:line="460" w:lineRule="exact"/>
              <w:rPr>
                <w:color w:val="auto"/>
                <w:sz w:val="22"/>
                <w:szCs w:val="28"/>
                <w:highlight w:val="none"/>
              </w:rPr>
            </w:pPr>
            <w:r>
              <w:rPr>
                <w:rFonts w:hint="eastAsia"/>
                <w:color w:val="auto"/>
                <w:sz w:val="22"/>
                <w:szCs w:val="28"/>
                <w:highlight w:val="none"/>
              </w:rPr>
              <w:t>“备份投标文件”：密封包装后投标截止时间前递交、一份</w:t>
            </w:r>
          </w:p>
          <w:p w14:paraId="2697151C">
            <w:pPr>
              <w:spacing w:line="460" w:lineRule="exact"/>
              <w:rPr>
                <w:rFonts w:ascii="新宋体" w:hAnsi="新宋体" w:eastAsia="新宋体" w:cs="新宋体"/>
                <w:color w:val="auto"/>
                <w:sz w:val="22"/>
                <w:szCs w:val="22"/>
                <w:highlight w:val="none"/>
              </w:rPr>
            </w:pPr>
            <w:r>
              <w:rPr>
                <w:rFonts w:hint="eastAsia"/>
                <w:color w:val="auto"/>
                <w:sz w:val="22"/>
                <w:szCs w:val="28"/>
                <w:highlight w:val="none"/>
              </w:rPr>
              <w:t xml:space="preserve">（若不提供备份投标文件，开标当天电子加密投标文件解密失败，投标人自行负责。）可以（邮寄形式，建议顺丰）在投标截止时间前递交，并需采购代理机构确认是否收到，邮寄地址：温州市鹿城区勤民路鹿城壹号18幢803室 </w:t>
            </w:r>
            <w:r>
              <w:rPr>
                <w:rFonts w:hint="eastAsia" w:ascii="新宋体" w:hAnsi="新宋体" w:eastAsia="新宋体" w:cs="新宋体"/>
                <w:color w:val="auto"/>
                <w:sz w:val="22"/>
                <w:szCs w:val="22"/>
                <w:highlight w:val="none"/>
              </w:rPr>
              <w:t>收件人：肖忠文，联系方式：13757727199</w:t>
            </w:r>
          </w:p>
          <w:p w14:paraId="576033AF">
            <w:pPr>
              <w:autoSpaceDE w:val="0"/>
              <w:autoSpaceDN w:val="0"/>
              <w:snapToGrid w:val="0"/>
              <w:spacing w:line="460" w:lineRule="exact"/>
              <w:textAlignment w:val="bottom"/>
              <w:rPr>
                <w:rFonts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（中标人须提供纸质投标文件并加盖单位公章一份，送至代理公司）</w:t>
            </w:r>
          </w:p>
        </w:tc>
      </w:tr>
      <w:tr w14:paraId="29381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58D8EDEA">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w:t>
            </w:r>
          </w:p>
        </w:tc>
        <w:tc>
          <w:tcPr>
            <w:tcW w:w="1500" w:type="dxa"/>
            <w:tcBorders>
              <w:top w:val="single" w:color="auto" w:sz="4" w:space="0"/>
              <w:left w:val="single" w:color="auto" w:sz="4" w:space="0"/>
              <w:bottom w:val="single" w:color="auto" w:sz="4" w:space="0"/>
              <w:right w:val="single" w:color="auto" w:sz="4" w:space="0"/>
            </w:tcBorders>
            <w:vAlign w:val="center"/>
          </w:tcPr>
          <w:p w14:paraId="6986F040">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投标文件的上传和递交</w:t>
            </w:r>
          </w:p>
        </w:tc>
        <w:tc>
          <w:tcPr>
            <w:tcW w:w="7581" w:type="dxa"/>
            <w:tcBorders>
              <w:top w:val="single" w:color="auto" w:sz="4" w:space="0"/>
              <w:left w:val="single" w:color="auto" w:sz="4" w:space="0"/>
              <w:bottom w:val="single" w:color="auto" w:sz="4" w:space="0"/>
              <w:right w:val="single" w:color="auto" w:sz="4" w:space="0"/>
            </w:tcBorders>
            <w:vAlign w:val="center"/>
          </w:tcPr>
          <w:p w14:paraId="1233AD4F">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14:paraId="0EF020A7">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a.投标人应在投标截止时间前将“电子加密投标文件   ”成功上传递交至“政府采购云平台”，否则投标无效。</w:t>
            </w:r>
          </w:p>
          <w:p w14:paraId="30891B40">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14:paraId="2853509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14:paraId="4D3C9817">
            <w:pPr>
              <w:tabs>
                <w:tab w:val="left" w:pos="360"/>
              </w:tabs>
              <w:spacing w:line="460" w:lineRule="exact"/>
              <w:ind w:firstLine="550" w:firstLineChars="250"/>
              <w:rPr>
                <w:rFonts w:ascii="宋体" w:hAnsi="宋体" w:cs="宋体"/>
                <w:b/>
                <w:bCs/>
                <w:color w:val="auto"/>
                <w:sz w:val="22"/>
                <w:szCs w:val="22"/>
                <w:highlight w:val="none"/>
              </w:rPr>
            </w:pPr>
            <w:r>
              <w:rPr>
                <w:rFonts w:hint="eastAsia" w:ascii="宋体" w:hAnsi="宋体" w:cs="宋体"/>
                <w:color w:val="auto"/>
                <w:sz w:val="22"/>
                <w:szCs w:val="22"/>
                <w:highlight w:val="none"/>
              </w:rPr>
              <w:t>a.投标人在“政府采购云平台”完成“电子加密投标文件”的上传递交后，</w:t>
            </w:r>
            <w:r>
              <w:rPr>
                <w:rFonts w:hint="eastAsia" w:ascii="宋体" w:hAnsi="宋体" w:cs="宋体"/>
                <w:b/>
                <w:bCs/>
                <w:color w:val="auto"/>
                <w:sz w:val="22"/>
                <w:szCs w:val="22"/>
                <w:highlight w:val="none"/>
              </w:rPr>
              <w:t>还可以在投标截止时间前递交以介质（U盘）存储的数据电文形式的“备份投标文件”，（可以</w:t>
            </w:r>
            <w:r>
              <w:rPr>
                <w:rFonts w:hint="eastAsia" w:ascii="宋体" w:hAnsi="宋体" w:cs="宋体"/>
                <w:b/>
                <w:color w:val="auto"/>
                <w:sz w:val="22"/>
                <w:szCs w:val="22"/>
                <w:highlight w:val="none"/>
                <w:u w:val="single"/>
              </w:rPr>
              <w:t>（邮寄形式，建议顺丰）在投标截止时间前递交，并需采购代理机构确认是否收到</w:t>
            </w:r>
            <w:r>
              <w:rPr>
                <w:rFonts w:hint="eastAsia" w:ascii="宋体" w:hAnsi="宋体" w:cs="宋体"/>
                <w:b/>
                <w:bCs/>
                <w:color w:val="auto"/>
                <w:sz w:val="22"/>
                <w:szCs w:val="22"/>
                <w:highlight w:val="none"/>
              </w:rPr>
              <w:t>）</w:t>
            </w:r>
          </w:p>
          <w:p w14:paraId="18619362">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1A5C7A53">
            <w:pPr>
              <w:spacing w:line="460" w:lineRule="exact"/>
              <w:rPr>
                <w:rFonts w:ascii="新宋体" w:hAnsi="新宋体" w:eastAsia="新宋体" w:cs="新宋体"/>
                <w:color w:val="auto"/>
                <w:sz w:val="22"/>
                <w:szCs w:val="22"/>
                <w:highlight w:val="none"/>
              </w:rPr>
            </w:pPr>
            <w:r>
              <w:rPr>
                <w:rFonts w:hint="eastAsia" w:ascii="宋体" w:hAnsi="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24F5A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2E58F35D">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w:t>
            </w:r>
          </w:p>
        </w:tc>
        <w:tc>
          <w:tcPr>
            <w:tcW w:w="1500" w:type="dxa"/>
            <w:tcBorders>
              <w:top w:val="single" w:color="auto" w:sz="4" w:space="0"/>
              <w:left w:val="single" w:color="auto" w:sz="4" w:space="0"/>
              <w:bottom w:val="single" w:color="auto" w:sz="4" w:space="0"/>
              <w:right w:val="single" w:color="auto" w:sz="4" w:space="0"/>
            </w:tcBorders>
            <w:vAlign w:val="center"/>
          </w:tcPr>
          <w:p w14:paraId="547504B6">
            <w:pPr>
              <w:snapToGrid w:val="0"/>
              <w:spacing w:line="460" w:lineRule="exact"/>
              <w:jc w:val="center"/>
              <w:rPr>
                <w:rFonts w:ascii="新宋体" w:hAnsi="新宋体" w:eastAsia="新宋体" w:cs="新宋体"/>
                <w:b/>
                <w:bCs/>
                <w:color w:val="auto"/>
                <w:sz w:val="22"/>
                <w:szCs w:val="22"/>
                <w:highlight w:val="none"/>
                <w:lang w:bidi="ar"/>
              </w:rPr>
            </w:pPr>
            <w:r>
              <w:rPr>
                <w:rFonts w:hint="eastAsia" w:ascii="新宋体" w:hAnsi="新宋体" w:eastAsia="新宋体" w:cs="新宋体"/>
                <w:color w:val="auto"/>
                <w:sz w:val="22"/>
                <w:szCs w:val="22"/>
                <w:highlight w:val="none"/>
                <w:lang w:bidi="ar"/>
              </w:rPr>
              <w:t>电子加密投标文件的解密和异常情况处理</w:t>
            </w:r>
          </w:p>
        </w:tc>
        <w:tc>
          <w:tcPr>
            <w:tcW w:w="7581" w:type="dxa"/>
            <w:tcBorders>
              <w:top w:val="single" w:color="auto" w:sz="4" w:space="0"/>
              <w:left w:val="single" w:color="auto" w:sz="4" w:space="0"/>
              <w:bottom w:val="single" w:color="auto" w:sz="4" w:space="0"/>
              <w:right w:val="single" w:color="auto" w:sz="4" w:space="0"/>
            </w:tcBorders>
            <w:vAlign w:val="center"/>
          </w:tcPr>
          <w:p w14:paraId="6ACC5ECE">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1、开标后，采购组织机构将向各投标人发出“电子加密投标文件”的解密通知，各投标人代表应当在接到解密通知后按系统规定的时间内自行完成“电子加密投标文件”的在线解密。</w:t>
            </w:r>
          </w:p>
          <w:p w14:paraId="46E4CFCF">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5FD4A8B">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3、投标文件递交截止时间前，投标人仅递交了“备份投标文件”而未将电子加密投标文件上传至“政府采购云平台”的，投标文件无效。</w:t>
            </w:r>
          </w:p>
        </w:tc>
      </w:tr>
      <w:tr w14:paraId="423C0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03D024A1">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27</w:t>
            </w:r>
          </w:p>
        </w:tc>
        <w:tc>
          <w:tcPr>
            <w:tcW w:w="1500" w:type="dxa"/>
            <w:tcBorders>
              <w:top w:val="single" w:color="auto" w:sz="4" w:space="0"/>
              <w:left w:val="single" w:color="auto" w:sz="4" w:space="0"/>
              <w:bottom w:val="single" w:color="auto" w:sz="4" w:space="0"/>
              <w:right w:val="single" w:color="auto" w:sz="4" w:space="0"/>
            </w:tcBorders>
            <w:vAlign w:val="center"/>
          </w:tcPr>
          <w:p w14:paraId="0BAE874A">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投标文件递交截止时间</w:t>
            </w:r>
          </w:p>
        </w:tc>
        <w:tc>
          <w:tcPr>
            <w:tcW w:w="7581" w:type="dxa"/>
            <w:tcBorders>
              <w:top w:val="single" w:color="auto" w:sz="4" w:space="0"/>
              <w:left w:val="single" w:color="auto" w:sz="4" w:space="0"/>
              <w:bottom w:val="single" w:color="auto" w:sz="4" w:space="0"/>
              <w:right w:val="single" w:color="auto" w:sz="4" w:space="0"/>
            </w:tcBorders>
            <w:vAlign w:val="center"/>
          </w:tcPr>
          <w:p w14:paraId="0C50CDC9">
            <w:pPr>
              <w:spacing w:line="460" w:lineRule="exact"/>
              <w:ind w:left="330" w:hanging="330" w:hanging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2024年07月22日09:30。</w:t>
            </w:r>
          </w:p>
        </w:tc>
      </w:tr>
      <w:tr w14:paraId="39D31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2D129FD7">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28</w:t>
            </w:r>
          </w:p>
        </w:tc>
        <w:tc>
          <w:tcPr>
            <w:tcW w:w="1500" w:type="dxa"/>
            <w:tcBorders>
              <w:top w:val="single" w:color="auto" w:sz="4" w:space="0"/>
              <w:left w:val="single" w:color="auto" w:sz="4" w:space="0"/>
              <w:bottom w:val="single" w:color="auto" w:sz="4" w:space="0"/>
              <w:right w:val="single" w:color="auto" w:sz="4" w:space="0"/>
            </w:tcBorders>
            <w:vAlign w:val="center"/>
          </w:tcPr>
          <w:p w14:paraId="6AAA99E2">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w:t>
            </w:r>
          </w:p>
        </w:tc>
        <w:tc>
          <w:tcPr>
            <w:tcW w:w="7581" w:type="dxa"/>
            <w:tcBorders>
              <w:top w:val="single" w:color="auto" w:sz="4" w:space="0"/>
              <w:left w:val="single" w:color="auto" w:sz="4" w:space="0"/>
              <w:bottom w:val="single" w:color="auto" w:sz="4" w:space="0"/>
              <w:right w:val="single" w:color="auto" w:sz="4" w:space="0"/>
            </w:tcBorders>
            <w:vAlign w:val="center"/>
          </w:tcPr>
          <w:p w14:paraId="112BA5A9">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温州市鹿城区勤民路鹿城壹号18幢803室（政采云平台：http://zfcg.czt.zj.gov.cn）</w:t>
            </w:r>
          </w:p>
        </w:tc>
      </w:tr>
      <w:tr w14:paraId="50C2C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554EE9A0">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29</w:t>
            </w:r>
          </w:p>
        </w:tc>
        <w:tc>
          <w:tcPr>
            <w:tcW w:w="1500" w:type="dxa"/>
            <w:tcBorders>
              <w:top w:val="single" w:color="auto" w:sz="4" w:space="0"/>
              <w:left w:val="single" w:color="auto" w:sz="4" w:space="0"/>
              <w:bottom w:val="single" w:color="auto" w:sz="4" w:space="0"/>
              <w:right w:val="single" w:color="auto" w:sz="4" w:space="0"/>
            </w:tcBorders>
            <w:vAlign w:val="center"/>
          </w:tcPr>
          <w:p w14:paraId="5B905279">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开标时间</w:t>
            </w:r>
          </w:p>
        </w:tc>
        <w:tc>
          <w:tcPr>
            <w:tcW w:w="7581" w:type="dxa"/>
            <w:tcBorders>
              <w:top w:val="single" w:color="auto" w:sz="4" w:space="0"/>
              <w:left w:val="single" w:color="auto" w:sz="4" w:space="0"/>
              <w:bottom w:val="single" w:color="auto" w:sz="4" w:space="0"/>
              <w:right w:val="single" w:color="auto" w:sz="4" w:space="0"/>
            </w:tcBorders>
            <w:vAlign w:val="center"/>
          </w:tcPr>
          <w:p w14:paraId="215CB78D">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2024年07月22日09:30</w:t>
            </w:r>
          </w:p>
        </w:tc>
      </w:tr>
      <w:tr w14:paraId="35D5F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0DEFC3E6">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30</w:t>
            </w:r>
          </w:p>
        </w:tc>
        <w:tc>
          <w:tcPr>
            <w:tcW w:w="1500" w:type="dxa"/>
            <w:tcBorders>
              <w:top w:val="single" w:color="auto" w:sz="4" w:space="0"/>
              <w:left w:val="single" w:color="auto" w:sz="4" w:space="0"/>
              <w:bottom w:val="single" w:color="auto" w:sz="4" w:space="0"/>
              <w:right w:val="single" w:color="auto" w:sz="4" w:space="0"/>
            </w:tcBorders>
            <w:vAlign w:val="center"/>
          </w:tcPr>
          <w:p w14:paraId="30B9ABD5">
            <w:pPr>
              <w:snapToGrid w:val="0"/>
              <w:spacing w:line="460" w:lineRule="exact"/>
              <w:jc w:val="center"/>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开标地点</w:t>
            </w:r>
          </w:p>
        </w:tc>
        <w:tc>
          <w:tcPr>
            <w:tcW w:w="7581" w:type="dxa"/>
            <w:tcBorders>
              <w:top w:val="single" w:color="auto" w:sz="4" w:space="0"/>
              <w:left w:val="single" w:color="auto" w:sz="4" w:space="0"/>
              <w:bottom w:val="single" w:color="auto" w:sz="4" w:space="0"/>
              <w:right w:val="single" w:color="auto" w:sz="4" w:space="0"/>
            </w:tcBorders>
            <w:vAlign w:val="center"/>
          </w:tcPr>
          <w:p w14:paraId="34F772B6">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温州市鹿城区勤民路鹿城壹号18幢803室（政采云平台：http://zfcg.czt.zj.gov.cn）</w:t>
            </w:r>
          </w:p>
        </w:tc>
      </w:tr>
      <w:tr w14:paraId="21DB6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165702EC">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w:t>
            </w:r>
          </w:p>
        </w:tc>
        <w:tc>
          <w:tcPr>
            <w:tcW w:w="1500" w:type="dxa"/>
            <w:tcBorders>
              <w:top w:val="single" w:color="auto" w:sz="4" w:space="0"/>
              <w:left w:val="single" w:color="auto" w:sz="4" w:space="0"/>
              <w:bottom w:val="single" w:color="auto" w:sz="4" w:space="0"/>
              <w:right w:val="single" w:color="auto" w:sz="4" w:space="0"/>
            </w:tcBorders>
            <w:vAlign w:val="center"/>
          </w:tcPr>
          <w:p w14:paraId="6AF5D16C">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评标办法</w:t>
            </w:r>
          </w:p>
        </w:tc>
        <w:tc>
          <w:tcPr>
            <w:tcW w:w="7581" w:type="dxa"/>
            <w:tcBorders>
              <w:top w:val="single" w:color="auto" w:sz="4" w:space="0"/>
              <w:left w:val="single" w:color="auto" w:sz="4" w:space="0"/>
              <w:bottom w:val="single" w:color="auto" w:sz="4" w:space="0"/>
              <w:right w:val="single" w:color="auto" w:sz="4" w:space="0"/>
            </w:tcBorders>
            <w:vAlign w:val="center"/>
          </w:tcPr>
          <w:p w14:paraId="60C75770">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综合评分法</w:t>
            </w:r>
          </w:p>
        </w:tc>
      </w:tr>
      <w:tr w14:paraId="03AAB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08E8165D">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p>
        </w:tc>
        <w:tc>
          <w:tcPr>
            <w:tcW w:w="1500" w:type="dxa"/>
            <w:tcBorders>
              <w:top w:val="single" w:color="auto" w:sz="4" w:space="0"/>
              <w:left w:val="single" w:color="auto" w:sz="4" w:space="0"/>
              <w:bottom w:val="single" w:color="auto" w:sz="4" w:space="0"/>
              <w:right w:val="single" w:color="auto" w:sz="4" w:space="0"/>
            </w:tcBorders>
            <w:vAlign w:val="center"/>
          </w:tcPr>
          <w:p w14:paraId="0446D608">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合同签订时间</w:t>
            </w:r>
          </w:p>
        </w:tc>
        <w:tc>
          <w:tcPr>
            <w:tcW w:w="7581" w:type="dxa"/>
            <w:tcBorders>
              <w:top w:val="single" w:color="auto" w:sz="4" w:space="0"/>
              <w:left w:val="single" w:color="auto" w:sz="4" w:space="0"/>
              <w:bottom w:val="single" w:color="auto" w:sz="4" w:space="0"/>
              <w:right w:val="single" w:color="auto" w:sz="4" w:space="0"/>
            </w:tcBorders>
            <w:vAlign w:val="center"/>
          </w:tcPr>
          <w:p w14:paraId="6102698A">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中标人通知书发出之日起30天内。</w:t>
            </w:r>
          </w:p>
        </w:tc>
      </w:tr>
      <w:tr w14:paraId="6474F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03FB9735">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w:t>
            </w:r>
          </w:p>
        </w:tc>
        <w:tc>
          <w:tcPr>
            <w:tcW w:w="1500" w:type="dxa"/>
            <w:tcBorders>
              <w:top w:val="single" w:color="auto" w:sz="4" w:space="0"/>
              <w:left w:val="single" w:color="auto" w:sz="4" w:space="0"/>
              <w:bottom w:val="single" w:color="auto" w:sz="4" w:space="0"/>
              <w:right w:val="single" w:color="auto" w:sz="4" w:space="0"/>
            </w:tcBorders>
            <w:vAlign w:val="center"/>
          </w:tcPr>
          <w:p w14:paraId="3BB2A31B">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投标文件有效期</w:t>
            </w:r>
          </w:p>
        </w:tc>
        <w:tc>
          <w:tcPr>
            <w:tcW w:w="7581" w:type="dxa"/>
            <w:tcBorders>
              <w:top w:val="single" w:color="auto" w:sz="4" w:space="0"/>
              <w:left w:val="single" w:color="auto" w:sz="4" w:space="0"/>
              <w:bottom w:val="single" w:color="auto" w:sz="4" w:space="0"/>
              <w:right w:val="single" w:color="auto" w:sz="4" w:space="0"/>
            </w:tcBorders>
            <w:vAlign w:val="center"/>
          </w:tcPr>
          <w:p w14:paraId="6431A289">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90天</w:t>
            </w:r>
          </w:p>
        </w:tc>
      </w:tr>
      <w:tr w14:paraId="5F66F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001F33D4">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34</w:t>
            </w:r>
          </w:p>
        </w:tc>
        <w:tc>
          <w:tcPr>
            <w:tcW w:w="1500" w:type="dxa"/>
            <w:tcBorders>
              <w:top w:val="single" w:color="auto" w:sz="4" w:space="0"/>
              <w:left w:val="single" w:color="auto" w:sz="4" w:space="0"/>
              <w:bottom w:val="single" w:color="auto" w:sz="4" w:space="0"/>
              <w:right w:val="single" w:color="auto" w:sz="4" w:space="0"/>
            </w:tcBorders>
            <w:vAlign w:val="center"/>
          </w:tcPr>
          <w:p w14:paraId="32F75138">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采购进口产品</w:t>
            </w:r>
          </w:p>
        </w:tc>
        <w:tc>
          <w:tcPr>
            <w:tcW w:w="7581" w:type="dxa"/>
            <w:tcBorders>
              <w:top w:val="single" w:color="auto" w:sz="4" w:space="0"/>
              <w:left w:val="single" w:color="auto" w:sz="4" w:space="0"/>
              <w:bottom w:val="single" w:color="auto" w:sz="4" w:space="0"/>
              <w:right w:val="single" w:color="auto" w:sz="4" w:space="0"/>
            </w:tcBorders>
            <w:vAlign w:val="center"/>
          </w:tcPr>
          <w:p w14:paraId="4E20AD8D">
            <w:pPr>
              <w:snapToGrid w:val="0"/>
              <w:spacing w:line="460" w:lineRule="exact"/>
              <w:rPr>
                <w:color w:val="auto"/>
                <w:highlight w:val="none"/>
              </w:rPr>
            </w:pPr>
            <w:r>
              <w:rPr>
                <w:rFonts w:hint="eastAsia" w:ascii="新宋体" w:hAnsi="新宋体" w:eastAsia="新宋体" w:cs="新宋体"/>
                <w:color w:val="auto"/>
                <w:sz w:val="22"/>
                <w:szCs w:val="22"/>
                <w:highlight w:val="none"/>
              </w:rPr>
              <w:sym w:font="Wingdings" w:char="00A8"/>
            </w:r>
            <w:r>
              <w:rPr>
                <w:rFonts w:hint="eastAsia"/>
                <w:color w:val="auto"/>
                <w:highlight w:val="none"/>
              </w:rPr>
              <w:t>允许</w:t>
            </w:r>
          </w:p>
          <w:p w14:paraId="0844C3AC">
            <w:pPr>
              <w:pStyle w:val="22"/>
              <w:ind w:firstLine="0" w:firstLineChars="0"/>
              <w:rPr>
                <w:color w:val="auto"/>
                <w:highlight w:val="none"/>
              </w:rPr>
            </w:pPr>
            <w:r>
              <w:rPr>
                <w:rFonts w:hint="eastAsia" w:ascii="新宋体" w:hAnsi="新宋体" w:eastAsia="新宋体" w:cs="新宋体"/>
                <w:color w:val="auto"/>
                <w:sz w:val="22"/>
                <w:szCs w:val="22"/>
                <w:highlight w:val="none"/>
              </w:rPr>
              <w:sym w:font="Wingdings" w:char="00FE"/>
            </w:r>
            <w:r>
              <w:rPr>
                <w:rFonts w:hint="eastAsia" w:ascii="新宋体" w:hAnsi="新宋体" w:eastAsia="新宋体" w:cs="新宋体"/>
                <w:color w:val="auto"/>
                <w:sz w:val="22"/>
                <w:szCs w:val="22"/>
                <w:highlight w:val="none"/>
              </w:rPr>
              <w:t xml:space="preserve">不允许 </w:t>
            </w:r>
          </w:p>
        </w:tc>
      </w:tr>
      <w:tr w14:paraId="74F89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6F2EB02A">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35</w:t>
            </w:r>
          </w:p>
        </w:tc>
        <w:tc>
          <w:tcPr>
            <w:tcW w:w="1500" w:type="dxa"/>
            <w:tcBorders>
              <w:top w:val="single" w:color="auto" w:sz="4" w:space="0"/>
              <w:left w:val="single" w:color="auto" w:sz="4" w:space="0"/>
              <w:bottom w:val="single" w:color="auto" w:sz="4" w:space="0"/>
              <w:right w:val="single" w:color="auto" w:sz="4" w:space="0"/>
            </w:tcBorders>
            <w:vAlign w:val="center"/>
          </w:tcPr>
          <w:p w14:paraId="5AF4312C">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开评标程序</w:t>
            </w:r>
          </w:p>
        </w:tc>
        <w:tc>
          <w:tcPr>
            <w:tcW w:w="7581" w:type="dxa"/>
            <w:tcBorders>
              <w:top w:val="single" w:color="auto" w:sz="4" w:space="0"/>
              <w:left w:val="single" w:color="auto" w:sz="4" w:space="0"/>
              <w:bottom w:val="single" w:color="auto" w:sz="4" w:space="0"/>
              <w:right w:val="single" w:color="auto" w:sz="4" w:space="0"/>
            </w:tcBorders>
            <w:vAlign w:val="center"/>
          </w:tcPr>
          <w:p w14:paraId="27688D76">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待开标→投标文件在线解密→代理机构或采购人在线资格性审查→评标委员会在线评标→系统公开商务技术文件评审结果→系统公开报价情况→评标委员会对报价情况进行评审→系统公布评审结果。</w:t>
            </w:r>
          </w:p>
          <w:p w14:paraId="3FB7089B">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上述程序将根据政采云电子评标系统的调整而变动。</w:t>
            </w:r>
          </w:p>
        </w:tc>
      </w:tr>
      <w:tr w14:paraId="47116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0BC5E7C8">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w:t>
            </w:r>
          </w:p>
        </w:tc>
        <w:tc>
          <w:tcPr>
            <w:tcW w:w="1500" w:type="dxa"/>
            <w:tcBorders>
              <w:top w:val="single" w:color="auto" w:sz="4" w:space="0"/>
              <w:left w:val="single" w:color="auto" w:sz="4" w:space="0"/>
              <w:bottom w:val="single" w:color="auto" w:sz="4" w:space="0"/>
              <w:right w:val="single" w:color="auto" w:sz="4" w:space="0"/>
            </w:tcBorders>
            <w:vAlign w:val="center"/>
          </w:tcPr>
          <w:p w14:paraId="5203BBCD">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评标委员会的组建</w:t>
            </w:r>
          </w:p>
        </w:tc>
        <w:tc>
          <w:tcPr>
            <w:tcW w:w="7581" w:type="dxa"/>
            <w:tcBorders>
              <w:top w:val="single" w:color="auto" w:sz="4" w:space="0"/>
              <w:left w:val="single" w:color="auto" w:sz="4" w:space="0"/>
              <w:bottom w:val="single" w:color="auto" w:sz="4" w:space="0"/>
              <w:right w:val="single" w:color="auto" w:sz="4" w:space="0"/>
            </w:tcBorders>
            <w:vAlign w:val="center"/>
          </w:tcPr>
          <w:p w14:paraId="2084FC7D">
            <w:pPr>
              <w:spacing w:line="460" w:lineRule="exact"/>
              <w:rPr>
                <w:rFonts w:ascii="新宋体" w:hAnsi="新宋体" w:eastAsia="新宋体" w:cs="新宋体"/>
                <w:color w:val="auto"/>
                <w:kern w:val="0"/>
                <w:sz w:val="22"/>
                <w:szCs w:val="22"/>
                <w:highlight w:val="none"/>
              </w:rPr>
            </w:pPr>
            <w:r>
              <w:rPr>
                <w:rFonts w:hint="eastAsia" w:ascii="宋体" w:hAnsi="宋体"/>
                <w:color w:val="auto"/>
                <w:sz w:val="22"/>
                <w:szCs w:val="22"/>
                <w:highlight w:val="none"/>
              </w:rPr>
              <w:t>评标委员会成员由采购人代表和有关技术、经济等方面的专家组成，成员人数为5人或以上单数，除采购人代表外的专家将在政采云的评标专家库中随机抽取产生。</w:t>
            </w:r>
          </w:p>
        </w:tc>
      </w:tr>
      <w:tr w14:paraId="1D75A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68E9C573">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w:t>
            </w:r>
          </w:p>
        </w:tc>
        <w:tc>
          <w:tcPr>
            <w:tcW w:w="1500" w:type="dxa"/>
            <w:tcBorders>
              <w:top w:val="single" w:color="auto" w:sz="4" w:space="0"/>
              <w:left w:val="single" w:color="auto" w:sz="4" w:space="0"/>
              <w:bottom w:val="single" w:color="auto" w:sz="4" w:space="0"/>
              <w:right w:val="single" w:color="auto" w:sz="4" w:space="0"/>
            </w:tcBorders>
            <w:vAlign w:val="center"/>
          </w:tcPr>
          <w:p w14:paraId="16FB2ABC">
            <w:pPr>
              <w:adjustRightIn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履约担保</w:t>
            </w:r>
          </w:p>
        </w:tc>
        <w:tc>
          <w:tcPr>
            <w:tcW w:w="7581" w:type="dxa"/>
            <w:tcBorders>
              <w:top w:val="single" w:color="auto" w:sz="4" w:space="0"/>
              <w:left w:val="single" w:color="auto" w:sz="4" w:space="0"/>
              <w:bottom w:val="single" w:color="auto" w:sz="4" w:space="0"/>
              <w:right w:val="single" w:color="auto" w:sz="4" w:space="0"/>
            </w:tcBorders>
            <w:vAlign w:val="center"/>
          </w:tcPr>
          <w:p w14:paraId="09CAD5F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eq \o\ac(</w:instrText>
            </w:r>
            <w:r>
              <w:rPr>
                <w:rFonts w:hint="eastAsia" w:ascii="新宋体" w:hAnsi="新宋体" w:eastAsia="新宋体" w:cs="新宋体"/>
                <w:color w:val="auto"/>
                <w:position w:val="-4"/>
                <w:sz w:val="33"/>
                <w:szCs w:val="22"/>
                <w:highlight w:val="none"/>
              </w:rPr>
              <w:instrText xml:space="preserve">□,</w:instrText>
            </w:r>
            <w:r>
              <w:rPr>
                <w:rFonts w:hint="eastAsia" w:ascii="新宋体" w:hAnsi="新宋体" w:eastAsia="新宋体" w:cs="新宋体"/>
                <w:color w:val="auto"/>
                <w:sz w:val="23"/>
                <w:szCs w:val="22"/>
                <w:highlight w:val="none"/>
              </w:rPr>
              <w:instrText xml:space="preserve">√</w:instrText>
            </w:r>
            <w:r>
              <w:rPr>
                <w:rFonts w:hint="eastAsia" w:ascii="新宋体" w:hAnsi="新宋体" w:eastAsia="新宋体" w:cs="新宋体"/>
                <w:color w:val="auto"/>
                <w:sz w:val="22"/>
                <w:szCs w:val="22"/>
                <w:highlight w:val="none"/>
              </w:rPr>
              <w:instrText xml:space="preserve">)</w:instrTex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t>不需要，中标人声明不需预付款的</w:t>
            </w:r>
          </w:p>
          <w:p w14:paraId="0A8FFC8F">
            <w:pPr>
              <w:adjustRightIn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eq \o\ac(</w:instrText>
            </w:r>
            <w:r>
              <w:rPr>
                <w:rFonts w:hint="eastAsia" w:ascii="新宋体" w:hAnsi="新宋体" w:eastAsia="新宋体" w:cs="新宋体"/>
                <w:color w:val="auto"/>
                <w:position w:val="-4"/>
                <w:sz w:val="33"/>
                <w:szCs w:val="22"/>
                <w:highlight w:val="none"/>
              </w:rPr>
              <w:instrText xml:space="preserve">□,</w:instrText>
            </w:r>
            <w:r>
              <w:rPr>
                <w:rFonts w:hint="eastAsia" w:ascii="新宋体" w:hAnsi="新宋体" w:eastAsia="新宋体" w:cs="新宋体"/>
                <w:color w:val="auto"/>
                <w:sz w:val="23"/>
                <w:szCs w:val="22"/>
                <w:highlight w:val="none"/>
              </w:rPr>
              <w:instrText xml:space="preserve">√</w:instrText>
            </w:r>
            <w:r>
              <w:rPr>
                <w:rFonts w:hint="eastAsia" w:ascii="新宋体" w:hAnsi="新宋体" w:eastAsia="新宋体" w:cs="新宋体"/>
                <w:color w:val="auto"/>
                <w:sz w:val="22"/>
                <w:szCs w:val="22"/>
                <w:highlight w:val="none"/>
              </w:rPr>
              <w:instrText xml:space="preserve">)</w:instrTex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t xml:space="preserve">需要 </w:t>
            </w:r>
          </w:p>
        </w:tc>
      </w:tr>
      <w:tr w14:paraId="1BC3D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68934500">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w:t>
            </w:r>
          </w:p>
        </w:tc>
        <w:tc>
          <w:tcPr>
            <w:tcW w:w="1500" w:type="dxa"/>
            <w:tcBorders>
              <w:top w:val="single" w:color="auto" w:sz="4" w:space="0"/>
              <w:left w:val="single" w:color="auto" w:sz="4" w:space="0"/>
              <w:bottom w:val="single" w:color="auto" w:sz="4" w:space="0"/>
              <w:right w:val="single" w:color="auto" w:sz="4" w:space="0"/>
            </w:tcBorders>
            <w:vAlign w:val="center"/>
          </w:tcPr>
          <w:p w14:paraId="45B986CD">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节能产品</w:t>
            </w:r>
          </w:p>
        </w:tc>
        <w:tc>
          <w:tcPr>
            <w:tcW w:w="7581" w:type="dxa"/>
            <w:tcBorders>
              <w:top w:val="single" w:color="auto" w:sz="4" w:space="0"/>
              <w:left w:val="single" w:color="auto" w:sz="4" w:space="0"/>
              <w:bottom w:val="single" w:color="auto" w:sz="4" w:space="0"/>
              <w:right w:val="single" w:color="auto" w:sz="4" w:space="0"/>
            </w:tcBorders>
            <w:vAlign w:val="center"/>
          </w:tcPr>
          <w:p w14:paraId="782A0F93">
            <w:pPr>
              <w:spacing w:line="460" w:lineRule="exact"/>
              <w:rPr>
                <w:color w:val="auto"/>
                <w:highlight w:val="none"/>
              </w:rPr>
            </w:pPr>
            <w:r>
              <w:rPr>
                <w:rFonts w:hint="eastAsia" w:ascii="新宋体" w:hAnsi="新宋体" w:eastAsia="新宋体" w:cs="新宋体"/>
                <w:color w:val="auto"/>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686AD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66EAFE96">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39</w:t>
            </w:r>
          </w:p>
        </w:tc>
        <w:tc>
          <w:tcPr>
            <w:tcW w:w="1500" w:type="dxa"/>
            <w:tcBorders>
              <w:top w:val="single" w:color="auto" w:sz="4" w:space="0"/>
              <w:left w:val="single" w:color="auto" w:sz="4" w:space="0"/>
              <w:bottom w:val="single" w:color="auto" w:sz="4" w:space="0"/>
              <w:right w:val="single" w:color="auto" w:sz="4" w:space="0"/>
            </w:tcBorders>
            <w:vAlign w:val="center"/>
          </w:tcPr>
          <w:p w14:paraId="5137316D">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w:t>
            </w:r>
          </w:p>
        </w:tc>
        <w:tc>
          <w:tcPr>
            <w:tcW w:w="7581" w:type="dxa"/>
            <w:tcBorders>
              <w:top w:val="single" w:color="auto" w:sz="4" w:space="0"/>
              <w:left w:val="single" w:color="auto" w:sz="4" w:space="0"/>
              <w:bottom w:val="single" w:color="auto" w:sz="4" w:space="0"/>
              <w:right w:val="single" w:color="auto" w:sz="4" w:space="0"/>
            </w:tcBorders>
            <w:vAlign w:val="center"/>
          </w:tcPr>
          <w:p w14:paraId="6DF4B43A">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3EBDC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5A5FFF5F">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40</w:t>
            </w:r>
          </w:p>
        </w:tc>
        <w:tc>
          <w:tcPr>
            <w:tcW w:w="1500" w:type="dxa"/>
            <w:tcBorders>
              <w:top w:val="single" w:color="auto" w:sz="4" w:space="0"/>
              <w:left w:val="single" w:color="auto" w:sz="4" w:space="0"/>
              <w:bottom w:val="single" w:color="auto" w:sz="4" w:space="0"/>
              <w:right w:val="single" w:color="auto" w:sz="4" w:space="0"/>
            </w:tcBorders>
            <w:vAlign w:val="center"/>
          </w:tcPr>
          <w:p w14:paraId="424612DF">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促进中小</w:t>
            </w:r>
          </w:p>
          <w:p w14:paraId="0EEE37DB">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企业发展</w:t>
            </w:r>
          </w:p>
        </w:tc>
        <w:tc>
          <w:tcPr>
            <w:tcW w:w="7581" w:type="dxa"/>
            <w:tcBorders>
              <w:top w:val="single" w:color="auto" w:sz="4" w:space="0"/>
              <w:left w:val="single" w:color="auto" w:sz="4" w:space="0"/>
              <w:bottom w:val="single" w:color="auto" w:sz="4" w:space="0"/>
              <w:right w:val="single" w:color="auto" w:sz="4" w:space="0"/>
            </w:tcBorders>
            <w:vAlign w:val="center"/>
          </w:tcPr>
          <w:p w14:paraId="2B3FC714">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1、扶持中小企业（监狱企业、残疾人福利性单位）： </w:t>
            </w:r>
          </w:p>
          <w:p w14:paraId="686037F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（1）根据工信部等部委发布的《关于印发中小企业划型标准规定的通知》（工信部联企业〔2011〕300号），本项目属于</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农、林、牧、渔业，</w:t>
            </w:r>
            <w:r>
              <w:rPr>
                <w:rFonts w:hint="eastAsia" w:ascii="新宋体" w:hAnsi="新宋体" w:eastAsia="新宋体" w:cs="新宋体"/>
                <w:b/>
                <w:bCs/>
                <w:color w:val="auto"/>
                <w:sz w:val="22"/>
                <w:szCs w:val="22"/>
                <w:highlight w:val="none"/>
                <w:u w:val="single"/>
              </w:rPr>
              <w:sym w:font="Wingdings" w:char="00FE"/>
            </w:r>
            <w:r>
              <w:rPr>
                <w:rFonts w:hint="eastAsia" w:ascii="新宋体" w:hAnsi="新宋体" w:eastAsia="新宋体" w:cs="新宋体"/>
                <w:b/>
                <w:bCs/>
                <w:color w:val="auto"/>
                <w:sz w:val="22"/>
                <w:szCs w:val="22"/>
                <w:highlight w:val="none"/>
                <w:u w:val="single"/>
              </w:rPr>
              <w:t>工业</w:t>
            </w:r>
            <w:r>
              <w:rPr>
                <w:rFonts w:hint="eastAsia" w:ascii="新宋体" w:hAnsi="新宋体" w:eastAsia="新宋体" w:cs="新宋体"/>
                <w:color w:val="auto"/>
                <w:sz w:val="22"/>
                <w:szCs w:val="22"/>
                <w:highlight w:val="none"/>
                <w:u w:val="single"/>
              </w:rPr>
              <w:t>（包括采矿业，制造业，电力、热力、燃气及水生产和供应业），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建筑业，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批发业，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零售业，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交通运输业（不含铁路运输业），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仓储业，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邮政业，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住宿业，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餐饮业，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信息传输业（包括电信、互联网和相关服务），</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软件和信息技术服务业，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房地产开发经营，</w:t>
            </w:r>
            <w:r>
              <w:rPr>
                <w:rFonts w:hint="eastAsia" w:ascii="新宋体" w:hAnsi="新宋体" w:eastAsia="新宋体" w:cs="新宋体"/>
                <w:color w:val="auto"/>
                <w:sz w:val="22"/>
                <w:szCs w:val="22"/>
                <w:highlight w:val="none"/>
                <w:u w:val="single"/>
              </w:rPr>
              <w:sym w:font="Times New Roman" w:char="00A7"/>
            </w:r>
            <w:r>
              <w:rPr>
                <w:rFonts w:hint="eastAsia" w:ascii="新宋体" w:hAnsi="新宋体" w:eastAsia="新宋体" w:cs="新宋体"/>
                <w:color w:val="auto"/>
                <w:sz w:val="22"/>
                <w:szCs w:val="22"/>
                <w:highlight w:val="none"/>
                <w:u w:val="single"/>
              </w:rPr>
              <w:t>物业管理，</w:t>
            </w:r>
            <w:r>
              <w:rPr>
                <w:rFonts w:hint="eastAsia" w:ascii="新宋体" w:hAnsi="新宋体" w:eastAsia="新宋体" w:cs="新宋体"/>
                <w:color w:val="auto"/>
                <w:sz w:val="22"/>
                <w:szCs w:val="22"/>
                <w:highlight w:val="none"/>
                <w:u w:val="single"/>
              </w:rPr>
              <w:sym w:font="Times New Roman" w:char="00A7"/>
            </w:r>
            <w:r>
              <w:rPr>
                <w:rFonts w:hint="eastAsia" w:ascii="新宋体" w:hAnsi="新宋体" w:eastAsia="新宋体" w:cs="新宋体"/>
                <w:color w:val="auto"/>
                <w:sz w:val="22"/>
                <w:szCs w:val="22"/>
                <w:highlight w:val="none"/>
                <w:u w:val="single"/>
              </w:rPr>
              <w:t xml:space="preserve">租赁和商务服务业，其他未列明行业（包括科学研究和技术服务业，水利、环境和公共设施管理业，居民服务、修理和其他服务业，社会工作，文化、体育和娱乐业等） </w:t>
            </w:r>
            <w:r>
              <w:rPr>
                <w:rFonts w:hint="eastAsia" w:ascii="新宋体" w:hAnsi="新宋体" w:eastAsia="新宋体" w:cs="新宋体"/>
                <w:color w:val="auto"/>
                <w:sz w:val="22"/>
                <w:szCs w:val="22"/>
                <w:highlight w:val="none"/>
              </w:rPr>
              <w:t xml:space="preserve"> 行业。</w:t>
            </w:r>
          </w:p>
          <w:p w14:paraId="2793705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2、根据财政部发布的《政府采购促进中小企业发展管理办法》（财库（2020）46号）、浙财采监〔2022〕3号、浙财采监〔2022〕8号、财库【2022】19号文的相关规定：</w:t>
            </w:r>
          </w:p>
          <w:p w14:paraId="5FA5840C">
            <w:pPr>
              <w:spacing w:line="460" w:lineRule="exact"/>
              <w:ind w:firstLine="110" w:firstLineChar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2.1.是否为预留份额项目：</w:t>
            </w:r>
          </w:p>
          <w:p w14:paraId="6D48B07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 xml:space="preserve"> 本项目为预留份额项目，专门面向中小企业采购。</w:t>
            </w:r>
          </w:p>
          <w:p w14:paraId="60CFF5D8">
            <w:pPr>
              <w:spacing w:line="460" w:lineRule="exact"/>
              <w:ind w:left="220" w:hanging="220" w:hanging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FE"/>
            </w:r>
            <w:r>
              <w:rPr>
                <w:rFonts w:hint="eastAsia" w:ascii="新宋体" w:hAnsi="新宋体" w:eastAsia="新宋体" w:cs="新宋体"/>
                <w:b/>
                <w:snapToGrid w:val="0"/>
                <w:color w:val="auto"/>
                <w:sz w:val="22"/>
                <w:szCs w:val="22"/>
                <w:highlight w:val="none"/>
              </w:rPr>
              <w:t xml:space="preserve"> </w:t>
            </w:r>
            <w:r>
              <w:rPr>
                <w:rFonts w:hint="eastAsia" w:ascii="新宋体" w:hAnsi="新宋体" w:eastAsia="新宋体" w:cs="新宋体"/>
                <w:color w:val="auto"/>
                <w:sz w:val="22"/>
                <w:szCs w:val="22"/>
                <w:highlight w:val="none"/>
              </w:rPr>
              <w:t>本项目为非预留份额项目、非专门面向中小企业的项目</w:t>
            </w:r>
          </w:p>
          <w:p w14:paraId="79E7D77E">
            <w:pPr>
              <w:spacing w:line="460" w:lineRule="exact"/>
              <w:ind w:left="220" w:hanging="220" w:hanging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FE"/>
            </w:r>
            <w:r>
              <w:rPr>
                <w:rFonts w:hint="eastAsia" w:ascii="新宋体" w:hAnsi="新宋体" w:eastAsia="新宋体" w:cs="新宋体"/>
                <w:b/>
                <w:snapToGrid w:val="0"/>
                <w:color w:val="auto"/>
                <w:sz w:val="22"/>
                <w:szCs w:val="22"/>
                <w:highlight w:val="none"/>
              </w:rPr>
              <w:t xml:space="preserve"> </w:t>
            </w:r>
            <w:r>
              <w:rPr>
                <w:rFonts w:hint="eastAsia" w:ascii="新宋体" w:hAnsi="新宋体" w:eastAsia="新宋体" w:cs="新宋体"/>
                <w:color w:val="auto"/>
                <w:sz w:val="22"/>
                <w:szCs w:val="22"/>
                <w:highlight w:val="none"/>
              </w:rPr>
              <w:t>在评审时对小型和微型企业报价给予</w:t>
            </w:r>
            <w:r>
              <w:rPr>
                <w:rFonts w:hint="eastAsia" w:ascii="新宋体" w:hAnsi="新宋体" w:eastAsia="新宋体" w:cs="新宋体"/>
                <w:color w:val="auto"/>
                <w:sz w:val="22"/>
                <w:szCs w:val="22"/>
                <w:highlight w:val="none"/>
                <w:u w:val="single"/>
              </w:rPr>
              <w:t xml:space="preserve"> 10% </w:t>
            </w:r>
            <w:r>
              <w:rPr>
                <w:rFonts w:hint="eastAsia" w:ascii="新宋体" w:hAnsi="新宋体" w:eastAsia="新宋体" w:cs="新宋体"/>
                <w:color w:val="auto"/>
                <w:sz w:val="22"/>
                <w:szCs w:val="22"/>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hint="eastAsia" w:ascii="新宋体" w:hAnsi="新宋体" w:eastAsia="新宋体" w:cs="新宋体"/>
                <w:color w:val="auto"/>
                <w:sz w:val="22"/>
                <w:szCs w:val="22"/>
                <w:highlight w:val="none"/>
                <w:u w:val="single"/>
              </w:rPr>
              <w:t xml:space="preserve"> /  </w:t>
            </w:r>
            <w:r>
              <w:rPr>
                <w:rFonts w:hint="eastAsia" w:ascii="新宋体" w:hAnsi="新宋体" w:eastAsia="新宋体" w:cs="新宋体"/>
                <w:color w:val="auto"/>
                <w:sz w:val="22"/>
                <w:szCs w:val="22"/>
                <w:highlight w:val="none"/>
              </w:rPr>
              <w:t>%（3%-5%）作为其价格分。</w:t>
            </w:r>
          </w:p>
          <w:p w14:paraId="25E0C72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本项目为</w:t>
            </w: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接受大中型企业与小微企业组成联合体、</w:t>
            </w: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新宋体" w:hAnsi="新宋体" w:eastAsia="新宋体" w:cs="新宋体"/>
                <w:color w:val="auto"/>
                <w:sz w:val="22"/>
                <w:szCs w:val="22"/>
                <w:highlight w:val="none"/>
                <w:u w:val="single"/>
              </w:rPr>
              <w:t xml:space="preserve"> 4  </w:t>
            </w:r>
            <w:r>
              <w:rPr>
                <w:rFonts w:hint="eastAsia" w:ascii="新宋体" w:hAnsi="新宋体" w:eastAsia="新宋体" w:cs="新宋体"/>
                <w:color w:val="auto"/>
                <w:sz w:val="22"/>
                <w:szCs w:val="22"/>
                <w:highlight w:val="none"/>
              </w:rPr>
              <w:t>%（4%-6%），工程项目为</w:t>
            </w:r>
            <w:r>
              <w:rPr>
                <w:rFonts w:hint="eastAsia" w:ascii="新宋体" w:hAnsi="新宋体" w:eastAsia="新宋体" w:cs="新宋体"/>
                <w:color w:val="auto"/>
                <w:sz w:val="22"/>
                <w:szCs w:val="22"/>
                <w:highlight w:val="none"/>
                <w:u w:val="single"/>
              </w:rPr>
              <w:t xml:space="preserve"> / %（1%—2%）</w:t>
            </w:r>
            <w:r>
              <w:rPr>
                <w:rFonts w:hint="eastAsia" w:ascii="新宋体" w:hAnsi="新宋体" w:eastAsia="新宋体" w:cs="新宋体"/>
                <w:color w:val="auto"/>
                <w:sz w:val="22"/>
                <w:szCs w:val="22"/>
                <w:highlight w:val="none"/>
              </w:rPr>
              <w:t>的扣除，用扣除后的价格参加评审。</w:t>
            </w: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%（1%—2%）作为其价格分。</w:t>
            </w:r>
          </w:p>
          <w:p w14:paraId="28C051F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2.2组成联合体或者接受分包的小微企业与联合体内其他企业、分包企业之间存在直接控股、管理关系的，不享受价格扣除优惠政策。</w:t>
            </w:r>
          </w:p>
          <w:p w14:paraId="7623463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2.3价格扣除比例或者价格分加分比例对小型企业和微型企业同等对待，不作区分。</w:t>
            </w:r>
          </w:p>
          <w:p w14:paraId="49A8900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69641A1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2.5接受分包的项目，享受扶持政策获得政府采购合同的，小微企业不得将合同分包给大中型企业，中型企业不得将合同分包给大型企业。</w:t>
            </w:r>
          </w:p>
          <w:p w14:paraId="662AB9C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2354D55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5AA0D59B">
            <w:pPr>
              <w:spacing w:line="460" w:lineRule="exact"/>
              <w:ind w:firstLine="442" w:firstLineChars="200"/>
              <w:rPr>
                <w:rFonts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(注：未提供以上材料的，均不给予价格扣除，以上优惠政策只享受一次)。</w:t>
            </w:r>
          </w:p>
        </w:tc>
      </w:tr>
      <w:tr w14:paraId="5D33E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145147DD">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41</w:t>
            </w:r>
          </w:p>
        </w:tc>
        <w:tc>
          <w:tcPr>
            <w:tcW w:w="1500" w:type="dxa"/>
            <w:tcBorders>
              <w:top w:val="single" w:color="auto" w:sz="4" w:space="0"/>
              <w:left w:val="single" w:color="auto" w:sz="4" w:space="0"/>
              <w:bottom w:val="single" w:color="auto" w:sz="4" w:space="0"/>
              <w:right w:val="single" w:color="auto" w:sz="4" w:space="0"/>
            </w:tcBorders>
            <w:vAlign w:val="center"/>
          </w:tcPr>
          <w:p w14:paraId="290A37AE">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供应商信用信息查询</w:t>
            </w:r>
          </w:p>
        </w:tc>
        <w:tc>
          <w:tcPr>
            <w:tcW w:w="7581" w:type="dxa"/>
            <w:tcBorders>
              <w:top w:val="single" w:color="auto" w:sz="4" w:space="0"/>
              <w:left w:val="single" w:color="auto" w:sz="4" w:space="0"/>
              <w:bottom w:val="single" w:color="auto" w:sz="4" w:space="0"/>
              <w:right w:val="single" w:color="auto" w:sz="4" w:space="0"/>
            </w:tcBorders>
            <w:vAlign w:val="center"/>
          </w:tcPr>
          <w:p w14:paraId="4122F5AF">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530F41C4">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1、本项目供应商的信用记录进行查询。查询渠道为信用中国网站（www.creditchina.gov.cn）、中国政府采购网（www.ccgp.gov.cn）；</w:t>
            </w:r>
          </w:p>
          <w:p w14:paraId="3CB92788">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4E12F032">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0435F99E">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151D2E3D">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5、联合体成员任意一方存在不良信用记录的，视同联合体存在不良信用记录。</w:t>
            </w:r>
          </w:p>
        </w:tc>
      </w:tr>
      <w:tr w14:paraId="32AF9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36C140C9">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42</w:t>
            </w:r>
          </w:p>
        </w:tc>
        <w:tc>
          <w:tcPr>
            <w:tcW w:w="1500" w:type="dxa"/>
            <w:tcBorders>
              <w:top w:val="single" w:color="auto" w:sz="4" w:space="0"/>
              <w:left w:val="single" w:color="auto" w:sz="4" w:space="0"/>
              <w:bottom w:val="single" w:color="auto" w:sz="4" w:space="0"/>
              <w:right w:val="single" w:color="auto" w:sz="4" w:space="0"/>
            </w:tcBorders>
            <w:vAlign w:val="center"/>
          </w:tcPr>
          <w:p w14:paraId="6DCE2C04">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项目属性与核心产品</w:t>
            </w:r>
          </w:p>
        </w:tc>
        <w:tc>
          <w:tcPr>
            <w:tcW w:w="7581" w:type="dxa"/>
            <w:tcBorders>
              <w:top w:val="single" w:color="auto" w:sz="4" w:space="0"/>
              <w:left w:val="single" w:color="auto" w:sz="4" w:space="0"/>
              <w:bottom w:val="single" w:color="auto" w:sz="4" w:space="0"/>
              <w:right w:val="single" w:color="auto" w:sz="4" w:space="0"/>
            </w:tcBorders>
            <w:vAlign w:val="center"/>
          </w:tcPr>
          <w:p w14:paraId="61758734">
            <w:pPr>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sym w:font="Wingdings" w:char="00FE"/>
            </w:r>
            <w:r>
              <w:rPr>
                <w:rFonts w:hint="eastAsia" w:ascii="新宋体" w:hAnsi="新宋体" w:eastAsia="新宋体" w:cs="新宋体"/>
                <w:color w:val="auto"/>
                <w:sz w:val="22"/>
                <w:szCs w:val="22"/>
                <w:highlight w:val="none"/>
              </w:rPr>
              <w:t>货物类，</w:t>
            </w:r>
            <w:r>
              <w:rPr>
                <w:rFonts w:hint="eastAsia" w:ascii="新宋体" w:hAnsi="新宋体" w:eastAsia="新宋体" w:cs="新宋体"/>
                <w:bCs/>
                <w:color w:val="auto"/>
                <w:sz w:val="22"/>
                <w:szCs w:val="22"/>
                <w:highlight w:val="none"/>
              </w:rPr>
              <w:t>非单一产品采购项目，本项目核心产品为</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color w:val="auto"/>
                <w:sz w:val="22"/>
                <w:szCs w:val="22"/>
                <w:highlight w:val="none"/>
                <w:u w:val="single"/>
              </w:rPr>
              <w:t>全部</w:t>
            </w:r>
            <w:r>
              <w:rPr>
                <w:rFonts w:hint="eastAsia" w:ascii="新宋体" w:hAnsi="新宋体" w:eastAsia="新宋体" w:cs="新宋体"/>
                <w:bCs/>
                <w:color w:val="auto"/>
                <w:sz w:val="22"/>
                <w:szCs w:val="22"/>
                <w:highlight w:val="none"/>
              </w:rPr>
              <w:t xml:space="preserve">；  </w:t>
            </w:r>
          </w:p>
          <w:p w14:paraId="3347E9E7">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00A8"/>
            </w:r>
            <w:r>
              <w:rPr>
                <w:rFonts w:hint="eastAsia" w:ascii="新宋体" w:hAnsi="新宋体" w:eastAsia="新宋体" w:cs="新宋体"/>
                <w:color w:val="auto"/>
                <w:sz w:val="22"/>
                <w:szCs w:val="22"/>
                <w:highlight w:val="none"/>
              </w:rPr>
              <w:t>服务类。</w:t>
            </w:r>
          </w:p>
        </w:tc>
      </w:tr>
      <w:tr w14:paraId="32B4F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3E3BB2B0">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43</w:t>
            </w:r>
          </w:p>
        </w:tc>
        <w:tc>
          <w:tcPr>
            <w:tcW w:w="1500" w:type="dxa"/>
            <w:tcBorders>
              <w:top w:val="single" w:color="auto" w:sz="4" w:space="0"/>
              <w:left w:val="single" w:color="auto" w:sz="4" w:space="0"/>
              <w:bottom w:val="single" w:color="auto" w:sz="4" w:space="0"/>
              <w:right w:val="single" w:color="auto" w:sz="4" w:space="0"/>
            </w:tcBorders>
            <w:vAlign w:val="center"/>
          </w:tcPr>
          <w:p w14:paraId="5E7E3296">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代理服务费</w:t>
            </w:r>
          </w:p>
        </w:tc>
        <w:tc>
          <w:tcPr>
            <w:tcW w:w="7581" w:type="dxa"/>
            <w:tcBorders>
              <w:top w:val="single" w:color="auto" w:sz="4" w:space="0"/>
              <w:left w:val="single" w:color="auto" w:sz="4" w:space="0"/>
              <w:bottom w:val="single" w:color="auto" w:sz="4" w:space="0"/>
              <w:right w:val="single" w:color="auto" w:sz="4" w:space="0"/>
            </w:tcBorders>
            <w:vAlign w:val="center"/>
          </w:tcPr>
          <w:p w14:paraId="6DB3346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采购代理服务费根据国家计委印发的《招标代理服务收费管理暂行办法》计价格【2002】1980号文（货物类）的规定按标准计算后下浮30%收取，由中标人在领取中标通知书时支付，采购代理服务费包含在投标报价中</w:t>
            </w:r>
            <w:r>
              <w:rPr>
                <w:rFonts w:hint="eastAsia" w:ascii="新宋体" w:hAnsi="新宋体" w:eastAsia="新宋体" w:cs="新宋体"/>
                <w:color w:val="auto"/>
                <w:sz w:val="22"/>
                <w:szCs w:val="22"/>
                <w:highlight w:val="none"/>
              </w:rPr>
              <w:t>。</w:t>
            </w:r>
          </w:p>
          <w:p w14:paraId="580ADCE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2、采购代理服务费可以是现金、支票或汇票。</w:t>
            </w:r>
          </w:p>
          <w:p w14:paraId="48DE57C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3、采购代理服务费汇入账户：</w:t>
            </w:r>
          </w:p>
          <w:p w14:paraId="418E2C0E">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户   名：温州历程招标有限公司</w:t>
            </w:r>
          </w:p>
          <w:p w14:paraId="33921D2D">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账   号：33050162870409101001</w:t>
            </w:r>
          </w:p>
          <w:p w14:paraId="0C17F1A2">
            <w:pPr>
              <w:autoSpaceDE w:val="0"/>
              <w:autoSpaceDN w:val="0"/>
              <w:snapToGrid w:val="0"/>
              <w:spacing w:line="460" w:lineRule="exact"/>
              <w:ind w:left="330" w:hanging="330" w:hangingChars="150"/>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开户行：中国建设银行温州黎明支行</w:t>
            </w:r>
          </w:p>
        </w:tc>
      </w:tr>
      <w:tr w14:paraId="225D0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7454498F">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44</w:t>
            </w:r>
          </w:p>
        </w:tc>
        <w:tc>
          <w:tcPr>
            <w:tcW w:w="1500" w:type="dxa"/>
            <w:tcBorders>
              <w:top w:val="single" w:color="auto" w:sz="4" w:space="0"/>
              <w:left w:val="single" w:color="auto" w:sz="4" w:space="0"/>
              <w:bottom w:val="single" w:color="auto" w:sz="4" w:space="0"/>
              <w:right w:val="single" w:color="auto" w:sz="4" w:space="0"/>
            </w:tcBorders>
            <w:vAlign w:val="center"/>
          </w:tcPr>
          <w:p w14:paraId="500797E4">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w:t>
            </w:r>
          </w:p>
        </w:tc>
        <w:tc>
          <w:tcPr>
            <w:tcW w:w="7581" w:type="dxa"/>
            <w:tcBorders>
              <w:top w:val="single" w:color="auto" w:sz="4" w:space="0"/>
              <w:left w:val="single" w:color="auto" w:sz="4" w:space="0"/>
              <w:bottom w:val="single" w:color="auto" w:sz="4" w:space="0"/>
              <w:right w:val="single" w:color="auto" w:sz="4" w:space="0"/>
            </w:tcBorders>
            <w:vAlign w:val="center"/>
          </w:tcPr>
          <w:p w14:paraId="52DE84A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供应商认为招标文件、采购过程、中标或者成交结果使自己的权益受到损害的，可以在知道或者应知其权益受到损害之日起</w:t>
            </w:r>
            <w:r>
              <w:rPr>
                <w:rFonts w:hint="eastAsia"/>
                <w:color w:val="auto"/>
                <w:sz w:val="22"/>
                <w:szCs w:val="22"/>
                <w:highlight w:val="none"/>
              </w:rPr>
              <w:t>（公告期限届满后获取采购文件的，以公告期限届满之日为准）</w:t>
            </w:r>
            <w:r>
              <w:rPr>
                <w:rFonts w:hint="eastAsia" w:ascii="新宋体" w:hAnsi="新宋体" w:eastAsia="新宋体" w:cs="新宋体"/>
                <w:color w:val="auto"/>
                <w:sz w:val="22"/>
                <w:szCs w:val="22"/>
                <w:highlight w:val="none"/>
              </w:rPr>
              <w:t>7个工作日内，以书面形式向采购人、采购代理机构提出质疑，逾期采购代理机构可不予受理及答复。</w:t>
            </w:r>
            <w:r>
              <w:rPr>
                <w:rFonts w:hint="eastAsia" w:ascii="新宋体" w:hAnsi="新宋体" w:eastAsia="新宋体" w:cs="新宋体"/>
                <w:b/>
                <w:color w:val="auto"/>
                <w:sz w:val="22"/>
                <w:szCs w:val="22"/>
                <w:highlight w:val="none"/>
              </w:rPr>
              <w:t>供应商须在法定质疑期内一次性提出针对同一采购程序环节的质疑</w:t>
            </w:r>
            <w:r>
              <w:rPr>
                <w:rFonts w:hint="eastAsia" w:ascii="新宋体" w:hAnsi="新宋体" w:eastAsia="新宋体" w:cs="新宋体"/>
                <w:color w:val="auto"/>
                <w:sz w:val="22"/>
                <w:szCs w:val="22"/>
                <w:highlight w:val="none"/>
              </w:rPr>
              <w:t>。在线提起质疑的须上传质疑函扫描件。</w:t>
            </w:r>
          </w:p>
        </w:tc>
      </w:tr>
      <w:tr w14:paraId="4AC58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45C0D1C7">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45</w:t>
            </w:r>
          </w:p>
        </w:tc>
        <w:tc>
          <w:tcPr>
            <w:tcW w:w="1500" w:type="dxa"/>
            <w:tcBorders>
              <w:top w:val="single" w:color="auto" w:sz="4" w:space="0"/>
              <w:left w:val="single" w:color="auto" w:sz="4" w:space="0"/>
              <w:bottom w:val="single" w:color="auto" w:sz="4" w:space="0"/>
              <w:right w:val="single" w:color="auto" w:sz="4" w:space="0"/>
            </w:tcBorders>
            <w:vAlign w:val="center"/>
          </w:tcPr>
          <w:p w14:paraId="74496D5D">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解释权</w:t>
            </w:r>
          </w:p>
        </w:tc>
        <w:tc>
          <w:tcPr>
            <w:tcW w:w="7581" w:type="dxa"/>
            <w:tcBorders>
              <w:top w:val="single" w:color="auto" w:sz="4" w:space="0"/>
              <w:left w:val="single" w:color="auto" w:sz="4" w:space="0"/>
              <w:bottom w:val="single" w:color="auto" w:sz="4" w:space="0"/>
              <w:right w:val="single" w:color="auto" w:sz="4" w:space="0"/>
            </w:tcBorders>
            <w:vAlign w:val="center"/>
          </w:tcPr>
          <w:p w14:paraId="183324D9">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本招标文件的解释权属于采购人和采购代理机构。</w:t>
            </w:r>
          </w:p>
        </w:tc>
      </w:tr>
      <w:tr w14:paraId="6474D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vMerge w:val="restart"/>
            <w:tcBorders>
              <w:top w:val="single" w:color="auto" w:sz="4" w:space="0"/>
              <w:left w:val="single" w:color="auto" w:sz="4" w:space="0"/>
              <w:right w:val="single" w:color="auto" w:sz="4" w:space="0"/>
            </w:tcBorders>
            <w:vAlign w:val="center"/>
          </w:tcPr>
          <w:p w14:paraId="5F2CA83E">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46</w:t>
            </w:r>
          </w:p>
        </w:tc>
        <w:tc>
          <w:tcPr>
            <w:tcW w:w="1500" w:type="dxa"/>
            <w:vMerge w:val="restart"/>
            <w:tcBorders>
              <w:top w:val="single" w:color="auto" w:sz="4" w:space="0"/>
              <w:left w:val="single" w:color="auto" w:sz="4" w:space="0"/>
              <w:right w:val="single" w:color="auto" w:sz="4" w:space="0"/>
            </w:tcBorders>
            <w:vAlign w:val="center"/>
          </w:tcPr>
          <w:p w14:paraId="59956920">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其他</w:t>
            </w:r>
          </w:p>
        </w:tc>
        <w:tc>
          <w:tcPr>
            <w:tcW w:w="7581" w:type="dxa"/>
            <w:tcBorders>
              <w:top w:val="single" w:color="auto" w:sz="4" w:space="0"/>
              <w:left w:val="single" w:color="auto" w:sz="4" w:space="0"/>
              <w:bottom w:val="single" w:color="auto" w:sz="4" w:space="0"/>
              <w:right w:val="single" w:color="auto" w:sz="4" w:space="0"/>
            </w:tcBorders>
            <w:vAlign w:val="center"/>
          </w:tcPr>
          <w:p w14:paraId="758DF4C4">
            <w:pPr>
              <w:autoSpaceDE w:val="0"/>
              <w:autoSpaceDN w:val="0"/>
              <w:snapToGrid w:val="0"/>
              <w:spacing w:line="460" w:lineRule="exact"/>
              <w:textAlignment w:val="bottom"/>
              <w:rPr>
                <w:rFonts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潜在供应商需在浙江政府采购网http://http://zfcg.czt.zj.gov.cn/进行免费注册，具体详见浙江政府采购网供应商注册要求。</w:t>
            </w:r>
          </w:p>
        </w:tc>
      </w:tr>
      <w:tr w14:paraId="092B5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6" w:type="dxa"/>
            <w:vMerge w:val="continue"/>
            <w:tcBorders>
              <w:left w:val="single" w:color="auto" w:sz="4" w:space="0"/>
              <w:right w:val="single" w:color="auto" w:sz="4" w:space="0"/>
            </w:tcBorders>
            <w:vAlign w:val="center"/>
          </w:tcPr>
          <w:p w14:paraId="4C599CCC">
            <w:pPr>
              <w:snapToGrid w:val="0"/>
              <w:spacing w:line="460" w:lineRule="exact"/>
              <w:jc w:val="center"/>
              <w:rPr>
                <w:rFonts w:ascii="新宋体" w:hAnsi="新宋体" w:eastAsia="新宋体" w:cs="新宋体"/>
                <w:color w:val="auto"/>
                <w:sz w:val="22"/>
                <w:szCs w:val="22"/>
                <w:highlight w:val="none"/>
              </w:rPr>
            </w:pPr>
          </w:p>
        </w:tc>
        <w:tc>
          <w:tcPr>
            <w:tcW w:w="1500" w:type="dxa"/>
            <w:vMerge w:val="continue"/>
            <w:tcBorders>
              <w:left w:val="single" w:color="auto" w:sz="4" w:space="0"/>
              <w:right w:val="single" w:color="auto" w:sz="4" w:space="0"/>
            </w:tcBorders>
            <w:vAlign w:val="center"/>
          </w:tcPr>
          <w:p w14:paraId="2F8CE96B">
            <w:pPr>
              <w:snapToGrid w:val="0"/>
              <w:spacing w:line="460" w:lineRule="exact"/>
              <w:jc w:val="center"/>
              <w:rPr>
                <w:rFonts w:ascii="新宋体" w:hAnsi="新宋体" w:eastAsia="新宋体" w:cs="新宋体"/>
                <w:color w:val="auto"/>
                <w:sz w:val="22"/>
                <w:szCs w:val="22"/>
                <w:highlight w:val="none"/>
              </w:rPr>
            </w:pPr>
          </w:p>
        </w:tc>
        <w:tc>
          <w:tcPr>
            <w:tcW w:w="7581" w:type="dxa"/>
            <w:tcBorders>
              <w:top w:val="single" w:color="auto" w:sz="4" w:space="0"/>
              <w:left w:val="single" w:color="auto" w:sz="4" w:space="0"/>
              <w:bottom w:val="single" w:color="auto" w:sz="4" w:space="0"/>
              <w:right w:val="single" w:color="auto" w:sz="4" w:space="0"/>
            </w:tcBorders>
            <w:vAlign w:val="center"/>
          </w:tcPr>
          <w:p w14:paraId="49EFA84F">
            <w:pPr>
              <w:autoSpaceDE w:val="0"/>
              <w:autoSpaceDN w:val="0"/>
              <w:snapToGrid w:val="0"/>
              <w:spacing w:line="460" w:lineRule="exact"/>
              <w:textAlignment w:val="bottom"/>
              <w:rPr>
                <w:rFonts w:ascii="新宋体" w:hAnsi="新宋体" w:eastAsia="新宋体" w:cs="新宋体"/>
                <w:b/>
                <w:color w:val="auto"/>
                <w:kern w:val="10"/>
                <w:sz w:val="22"/>
                <w:szCs w:val="22"/>
                <w:highlight w:val="none"/>
              </w:rPr>
            </w:pPr>
            <w:r>
              <w:rPr>
                <w:rFonts w:hint="eastAsia" w:ascii="新宋体" w:hAnsi="新宋体" w:eastAsia="新宋体" w:cs="新宋体"/>
                <w:color w:val="auto"/>
                <w:sz w:val="22"/>
                <w:szCs w:val="22"/>
                <w:highlight w:val="none"/>
                <w:lang w:bidi="ar"/>
              </w:rPr>
              <w:t>带“▲”条款系指实质性要求条款；</w:t>
            </w:r>
            <w:r>
              <w:rPr>
                <w:rFonts w:hint="eastAsia" w:ascii="新宋体" w:hAnsi="新宋体" w:eastAsia="新宋体" w:cs="新宋体"/>
                <w:color w:val="auto"/>
                <w:sz w:val="22"/>
                <w:szCs w:val="22"/>
                <w:highlight w:val="none"/>
              </w:rPr>
              <w:t>“★”是关键技术参数及要求。</w:t>
            </w:r>
          </w:p>
        </w:tc>
      </w:tr>
    </w:tbl>
    <w:p w14:paraId="4C8365C3">
      <w:pPr>
        <w:spacing w:before="100" w:beforeAutospacing="1" w:after="100" w:afterAutospacing="1" w:line="460" w:lineRule="exact"/>
        <w:jc w:val="center"/>
        <w:outlineLvl w:val="1"/>
        <w:rPr>
          <w:rFonts w:ascii="宋体" w:hAnsi="宋体" w:cs="宋体"/>
          <w:color w:val="auto"/>
          <w:sz w:val="22"/>
          <w:szCs w:val="22"/>
          <w:highlight w:val="none"/>
        </w:rPr>
      </w:pPr>
      <w:r>
        <w:rPr>
          <w:rFonts w:hint="eastAsia" w:ascii="宋体" w:hAnsi="宋体" w:cs="宋体"/>
          <w:b/>
          <w:bCs/>
          <w:color w:val="auto"/>
          <w:sz w:val="26"/>
          <w:szCs w:val="26"/>
          <w:highlight w:val="none"/>
        </w:rPr>
        <w:br w:type="page"/>
      </w:r>
      <w:bookmarkStart w:id="32" w:name="_Toc13785"/>
      <w:bookmarkStart w:id="33" w:name="_Toc15397"/>
      <w:bookmarkStart w:id="34" w:name="_Toc11155"/>
      <w:bookmarkStart w:id="35" w:name="_Toc24955"/>
      <w:bookmarkStart w:id="36" w:name="_Toc31510"/>
      <w:bookmarkStart w:id="37" w:name="_Toc29436"/>
      <w:bookmarkStart w:id="38" w:name="_Toc31152"/>
      <w:bookmarkStart w:id="39" w:name="_Toc28455"/>
      <w:r>
        <w:rPr>
          <w:rFonts w:hint="eastAsia" w:ascii="宋体" w:hAnsi="宋体" w:cs="宋体"/>
          <w:b/>
          <w:bCs/>
          <w:color w:val="auto"/>
          <w:sz w:val="26"/>
          <w:szCs w:val="26"/>
          <w:highlight w:val="none"/>
        </w:rPr>
        <w:t>一、 说   明</w:t>
      </w:r>
      <w:bookmarkEnd w:id="32"/>
      <w:bookmarkEnd w:id="33"/>
      <w:bookmarkEnd w:id="34"/>
      <w:bookmarkEnd w:id="35"/>
      <w:bookmarkEnd w:id="36"/>
      <w:bookmarkEnd w:id="37"/>
      <w:bookmarkEnd w:id="38"/>
      <w:bookmarkEnd w:id="39"/>
    </w:p>
    <w:p w14:paraId="3DB13B17">
      <w:pPr>
        <w:tabs>
          <w:tab w:val="left" w:pos="360"/>
        </w:tabs>
        <w:spacing w:line="460" w:lineRule="exact"/>
        <w:ind w:firstLine="550" w:firstLineChars="250"/>
        <w:rPr>
          <w:rFonts w:ascii="宋体" w:hAnsi="宋体" w:cs="宋体"/>
          <w:b/>
          <w:color w:val="auto"/>
          <w:sz w:val="22"/>
          <w:szCs w:val="22"/>
          <w:highlight w:val="none"/>
        </w:rPr>
      </w:pPr>
      <w:r>
        <w:rPr>
          <w:rFonts w:eastAsia="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0B947A7C">
      <w:pPr>
        <w:tabs>
          <w:tab w:val="left" w:pos="360"/>
        </w:tabs>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2、定义</w:t>
      </w:r>
    </w:p>
    <w:p w14:paraId="11D8C7E8">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采购人：是指依法进行政府采购的国家机关、事业单位、团体组织</w:t>
      </w:r>
    </w:p>
    <w:p w14:paraId="5413E361">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采购代理机构：受采购人委托，在委托的范围内办理政府采购事宜的机构；</w:t>
      </w:r>
    </w:p>
    <w:p w14:paraId="52111EC5">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投标人：是指参加本政府采购项目投标的供应商；</w:t>
      </w:r>
    </w:p>
    <w:p w14:paraId="543AF73D">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投标人代表：是指参加本项目投标活动的供应商法定代表人或法定代表人授权代表；</w:t>
      </w:r>
    </w:p>
    <w:p w14:paraId="7A8E541C">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投标联合体：是指两个以上供应商组成联合体，以一个供应商的身份参加投标；</w:t>
      </w:r>
    </w:p>
    <w:p w14:paraId="47FFC486">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甲方：是指合同签订的一方，一般与采购人、用户相同；</w:t>
      </w:r>
    </w:p>
    <w:p w14:paraId="0E8C0996">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乙方：是指合同签订的另一方，与中标人相同；</w:t>
      </w:r>
    </w:p>
    <w:p w14:paraId="0E724FCC">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制造商：是指拥有所投产品自主知识产权的单位；</w:t>
      </w:r>
    </w:p>
    <w:p w14:paraId="622347C1">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中小企业（含中型、小型、微型）：符合中小企业划分标准（工信部联企业[2011]300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14:paraId="286C71A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16FC453">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14:paraId="13B92AD0">
      <w:pPr>
        <w:pStyle w:val="289"/>
        <w:spacing w:line="460" w:lineRule="exact"/>
        <w:ind w:firstLine="440" w:firstLineChars="200"/>
        <w:rPr>
          <w:rFonts w:hAnsi="宋体"/>
          <w:color w:val="auto"/>
          <w:highlight w:val="none"/>
        </w:rPr>
      </w:pPr>
      <w:r>
        <w:rPr>
          <w:rFonts w:hint="eastAsia" w:hAnsi="宋体"/>
          <w:color w:val="auto"/>
          <w:sz w:val="22"/>
          <w:szCs w:val="22"/>
          <w:highlight w:val="none"/>
        </w:rPr>
        <w:t>“▲”为实质性响应项，不满足则投标无效。“★”是关键技术参数及要求。</w:t>
      </w:r>
    </w:p>
    <w:p w14:paraId="763A8E5C">
      <w:pPr>
        <w:tabs>
          <w:tab w:val="left" w:pos="360"/>
        </w:tabs>
        <w:spacing w:line="460" w:lineRule="exact"/>
        <w:ind w:firstLine="541" w:firstLineChars="245"/>
        <w:rPr>
          <w:rFonts w:ascii="宋体" w:hAnsi="宋体" w:cs="宋体"/>
          <w:color w:val="auto"/>
          <w:sz w:val="22"/>
          <w:szCs w:val="22"/>
          <w:highlight w:val="none"/>
        </w:rPr>
      </w:pPr>
      <w:r>
        <w:rPr>
          <w:rFonts w:hint="eastAsia" w:ascii="宋体" w:hAnsi="宋体" w:cs="宋体"/>
          <w:b/>
          <w:color w:val="auto"/>
          <w:sz w:val="22"/>
          <w:szCs w:val="22"/>
          <w:highlight w:val="none"/>
        </w:rPr>
        <w:t>3、投标人代表</w:t>
      </w:r>
    </w:p>
    <w:p w14:paraId="4BECDEB1">
      <w:pPr>
        <w:tabs>
          <w:tab w:val="left" w:pos="360"/>
        </w:tabs>
        <w:spacing w:line="460" w:lineRule="exact"/>
        <w:ind w:firstLine="541" w:firstLineChars="245"/>
        <w:rPr>
          <w:rFonts w:ascii="宋体" w:hAnsi="宋体" w:cs="宋体"/>
          <w:b/>
          <w:color w:val="auto"/>
          <w:sz w:val="22"/>
          <w:highlight w:val="none"/>
        </w:rPr>
      </w:pPr>
      <w:r>
        <w:rPr>
          <w:rFonts w:hint="eastAsia" w:ascii="宋体" w:hAnsi="宋体" w:cs="宋体"/>
          <w:b/>
          <w:color w:val="auto"/>
          <w:sz w:val="22"/>
          <w:szCs w:val="22"/>
          <w:highlight w:val="none"/>
        </w:rPr>
        <w:t>3.1</w:t>
      </w:r>
      <w:r>
        <w:rPr>
          <w:rFonts w:hint="eastAsia" w:ascii="宋体" w:hAnsi="宋体" w:cs="宋体"/>
          <w:b/>
          <w:color w:val="auto"/>
          <w:sz w:val="22"/>
          <w:highlight w:val="none"/>
        </w:rPr>
        <w:t>指全权代表投标人参加投标活动并签署投标文件的人。如果投标人代表不是法定代表人，须持有《法定代表人授权书》（见附件）</w:t>
      </w:r>
    </w:p>
    <w:p w14:paraId="529FFC56">
      <w:pPr>
        <w:tabs>
          <w:tab w:val="left" w:pos="360"/>
        </w:tabs>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cs="宋体"/>
          <w:b/>
          <w:color w:val="auto"/>
          <w:sz w:val="22"/>
          <w:szCs w:val="22"/>
          <w:highlight w:val="none"/>
        </w:rPr>
        <w:t>。</w:t>
      </w:r>
    </w:p>
    <w:p w14:paraId="6828B8EF">
      <w:pPr>
        <w:spacing w:line="460" w:lineRule="exact"/>
        <w:ind w:firstLine="541" w:firstLineChars="245"/>
        <w:rPr>
          <w:rFonts w:ascii="宋体" w:hAnsi="宋体" w:cs="宋体"/>
          <w:b/>
          <w:color w:val="auto"/>
          <w:sz w:val="22"/>
          <w:szCs w:val="22"/>
          <w:highlight w:val="none"/>
        </w:rPr>
      </w:pPr>
      <w:bookmarkStart w:id="40" w:name="_Toc20678"/>
      <w:bookmarkStart w:id="41" w:name="_Toc19652"/>
      <w:bookmarkStart w:id="42" w:name="_Toc28349"/>
      <w:r>
        <w:rPr>
          <w:rFonts w:hint="eastAsia" w:ascii="宋体" w:hAnsi="宋体" w:cs="宋体"/>
          <w:b/>
          <w:color w:val="auto"/>
          <w:sz w:val="22"/>
          <w:szCs w:val="22"/>
          <w:highlight w:val="none"/>
        </w:rPr>
        <w:t>4、投标费用</w:t>
      </w:r>
    </w:p>
    <w:p w14:paraId="27C78CEB">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4.1投</w:t>
      </w:r>
      <w:r>
        <w:rPr>
          <w:rFonts w:hint="eastAsia" w:ascii="宋体" w:hAnsi="宋体" w:cs="宋体"/>
          <w:color w:val="auto"/>
          <w:sz w:val="22"/>
          <w:szCs w:val="22"/>
          <w:highlight w:val="none"/>
        </w:rPr>
        <w:t>标人应承担所有与准备和参加投标有关费用，不论投标的结果如何，采购人或招标代理机构均无义务和责任承担这些费用。</w:t>
      </w:r>
    </w:p>
    <w:p w14:paraId="25694FAD">
      <w:pPr>
        <w:spacing w:before="100" w:beforeAutospacing="1" w:after="100" w:afterAutospacing="1" w:line="460" w:lineRule="exact"/>
        <w:jc w:val="center"/>
        <w:outlineLvl w:val="1"/>
        <w:rPr>
          <w:rFonts w:ascii="宋体" w:hAnsi="宋体" w:cs="宋体"/>
          <w:b/>
          <w:bCs/>
          <w:color w:val="auto"/>
          <w:sz w:val="26"/>
          <w:szCs w:val="26"/>
          <w:highlight w:val="none"/>
        </w:rPr>
      </w:pPr>
      <w:bookmarkStart w:id="43" w:name="_Toc20346"/>
      <w:bookmarkStart w:id="44" w:name="_Toc22800"/>
      <w:bookmarkStart w:id="45" w:name="_Toc29818"/>
      <w:bookmarkStart w:id="46" w:name="_Toc27817"/>
      <w:bookmarkStart w:id="47" w:name="_Toc23880"/>
      <w:r>
        <w:rPr>
          <w:rFonts w:hint="eastAsia" w:ascii="宋体" w:hAnsi="宋体" w:cs="宋体"/>
          <w:b/>
          <w:bCs/>
          <w:color w:val="auto"/>
          <w:sz w:val="26"/>
          <w:szCs w:val="26"/>
          <w:highlight w:val="none"/>
        </w:rPr>
        <w:t xml:space="preserve">二、 </w:t>
      </w:r>
      <w:bookmarkEnd w:id="40"/>
      <w:bookmarkEnd w:id="41"/>
      <w:bookmarkEnd w:id="42"/>
      <w:r>
        <w:rPr>
          <w:rFonts w:hint="eastAsia" w:ascii="宋体" w:hAnsi="宋体" w:cs="宋体"/>
          <w:b/>
          <w:bCs/>
          <w:color w:val="auto"/>
          <w:sz w:val="26"/>
          <w:szCs w:val="26"/>
          <w:highlight w:val="none"/>
        </w:rPr>
        <w:t>招标文件</w:t>
      </w:r>
      <w:bookmarkEnd w:id="43"/>
      <w:bookmarkEnd w:id="44"/>
      <w:bookmarkEnd w:id="45"/>
      <w:bookmarkEnd w:id="46"/>
      <w:bookmarkEnd w:id="47"/>
    </w:p>
    <w:p w14:paraId="5DD09B83">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14:paraId="6459258D">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2、招标文件的澄清</w:t>
      </w:r>
    </w:p>
    <w:p w14:paraId="4D9CEA02">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2.1 任何要求对招标文件进行澄清的投标人，均应以书面形式（信函、传真，下同）通知，但该通知在知道或应知道其权益受到损害之日起七个工作日内以使采购人或招标代理机构收到，采购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采购人或招标代理机构解释为准。</w:t>
      </w:r>
    </w:p>
    <w:p w14:paraId="69BACC97">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3、招标文件的修改</w:t>
      </w:r>
    </w:p>
    <w:p w14:paraId="431C6AF1">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3.1采购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02A8A152">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采购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cs="宋体"/>
          <w:color w:val="auto"/>
          <w:sz w:val="22"/>
          <w:szCs w:val="22"/>
          <w:highlight w:val="none"/>
        </w:rPr>
        <w:t>。</w:t>
      </w:r>
    </w:p>
    <w:p w14:paraId="6D340A46">
      <w:pPr>
        <w:spacing w:before="100" w:beforeAutospacing="1" w:after="100" w:afterAutospacing="1" w:line="460" w:lineRule="exact"/>
        <w:jc w:val="center"/>
        <w:outlineLvl w:val="1"/>
        <w:rPr>
          <w:rFonts w:ascii="宋体" w:hAnsi="宋体" w:cs="宋体"/>
          <w:b/>
          <w:bCs/>
          <w:color w:val="auto"/>
          <w:sz w:val="26"/>
          <w:szCs w:val="26"/>
          <w:highlight w:val="none"/>
        </w:rPr>
      </w:pPr>
      <w:bookmarkStart w:id="48" w:name="_Toc14867"/>
      <w:bookmarkStart w:id="49" w:name="_Toc3322"/>
      <w:bookmarkStart w:id="50" w:name="_Toc15357"/>
      <w:bookmarkStart w:id="51" w:name="_Toc12726"/>
      <w:bookmarkStart w:id="52" w:name="_Toc22646"/>
      <w:bookmarkStart w:id="53" w:name="_Toc30695"/>
      <w:bookmarkStart w:id="54" w:name="_Toc9165"/>
      <w:r>
        <w:rPr>
          <w:rFonts w:hint="eastAsia" w:ascii="宋体" w:hAnsi="宋体" w:cs="宋体"/>
          <w:b/>
          <w:bCs/>
          <w:color w:val="auto"/>
          <w:sz w:val="26"/>
          <w:szCs w:val="26"/>
          <w:highlight w:val="none"/>
        </w:rPr>
        <w:t>三、 投标文件的编制</w:t>
      </w:r>
      <w:bookmarkEnd w:id="48"/>
      <w:bookmarkEnd w:id="49"/>
      <w:bookmarkEnd w:id="50"/>
      <w:bookmarkEnd w:id="51"/>
      <w:bookmarkEnd w:id="52"/>
      <w:bookmarkEnd w:id="53"/>
      <w:bookmarkEnd w:id="54"/>
    </w:p>
    <w:p w14:paraId="37AB06DD">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1、投标人应认真阅读招标文件中所有事项、格式、条款和技术规范等。</w:t>
      </w:r>
      <w:r>
        <w:rPr>
          <w:rFonts w:hint="eastAsia" w:ascii="宋体" w:hAnsi="宋体" w:cs="宋体"/>
          <w:b/>
          <w:color w:val="auto"/>
          <w:sz w:val="22"/>
          <w:highlight w:val="none"/>
        </w:rPr>
        <w:t>投标人没有按照招标文件要求提交全部资料，或者没有对招标文件各个方面做出实质性响应，导致投标被否决的风险由投标人自行承担。</w:t>
      </w:r>
    </w:p>
    <w:p w14:paraId="5E21123A">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11104F27">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3、</w:t>
      </w:r>
      <w:r>
        <w:rPr>
          <w:rFonts w:hint="eastAsia" w:ascii="宋体" w:hAnsi="宋体" w:cs="宋体"/>
          <w:b/>
          <w:bCs/>
          <w:color w:val="auto"/>
          <w:sz w:val="22"/>
          <w:szCs w:val="22"/>
          <w:highlight w:val="none"/>
        </w:rPr>
        <w:t>投标文件的构成：</w:t>
      </w:r>
    </w:p>
    <w:p w14:paraId="7FF4D8F7">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投标</w:t>
      </w:r>
      <w:r>
        <w:rPr>
          <w:rFonts w:hint="eastAsia" w:ascii="宋体" w:hAnsi="宋体" w:cs="宋体"/>
          <w:b/>
          <w:bCs/>
          <w:color w:val="auto"/>
          <w:kern w:val="0"/>
          <w:sz w:val="22"/>
          <w:szCs w:val="22"/>
          <w:highlight w:val="none"/>
          <w:lang w:val="zh-CN"/>
        </w:rPr>
        <w:t>文件应当包括以下主要内容：资格文件、报价文件、商务技术文件。</w:t>
      </w:r>
    </w:p>
    <w:p w14:paraId="36AEA3C4">
      <w:pPr>
        <w:spacing w:line="460" w:lineRule="exact"/>
        <w:ind w:firstLine="541" w:firstLineChars="245"/>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3.1</w:t>
      </w:r>
      <w:r>
        <w:rPr>
          <w:rFonts w:hint="eastAsia" w:ascii="宋体" w:hAnsi="宋体" w:cs="宋体"/>
          <w:b/>
          <w:bCs/>
          <w:color w:val="auto"/>
          <w:kern w:val="0"/>
          <w:sz w:val="22"/>
          <w:szCs w:val="22"/>
          <w:highlight w:val="none"/>
          <w:lang w:val="zh-CN"/>
        </w:rPr>
        <w:t xml:space="preserve">投标人的资格文件至少应包括以下内容： </w:t>
      </w:r>
    </w:p>
    <w:p w14:paraId="2F775AEC">
      <w:pPr>
        <w:spacing w:line="460" w:lineRule="exact"/>
        <w:ind w:firstLine="539" w:firstLineChars="245"/>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基本资格条件审查材料：即证明其符合《中华人民共和国政府采购法》规定的供应商基本条件的有关资格证明文件。</w:t>
      </w:r>
    </w:p>
    <w:p w14:paraId="3A993873">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包括：</w:t>
      </w:r>
    </w:p>
    <w:p w14:paraId="45DEF423">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bCs/>
          <w:color w:val="auto"/>
          <w:sz w:val="22"/>
          <w:szCs w:val="22"/>
          <w:highlight w:val="none"/>
        </w:rPr>
        <w:t>营业执照</w:t>
      </w:r>
      <w:r>
        <w:rPr>
          <w:rFonts w:hint="eastAsia" w:ascii="宋体" w:hAnsi="宋体" w:cs="宋体"/>
          <w:color w:val="auto"/>
          <w:sz w:val="22"/>
          <w:szCs w:val="22"/>
          <w:highlight w:val="none"/>
        </w:rPr>
        <w:t xml:space="preserve">(或事业法人登记证书或其它工商等登记证明材料；自然人参与政府采购，提供身份证)复印件； </w:t>
      </w:r>
    </w:p>
    <w:p w14:paraId="7CACE057">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D5B4EF4">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（2）最近一年财务报表(复印件，新成立的公司提供情况说明)；</w:t>
      </w:r>
    </w:p>
    <w:p w14:paraId="4EC2F3A7">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（3）具有履行合同所必需的场地、设备和专业技术能力的承诺函；</w:t>
      </w:r>
    </w:p>
    <w:p w14:paraId="253CF063">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（4）依法缴纳税收和社会保障资金的承诺函；</w:t>
      </w:r>
    </w:p>
    <w:p w14:paraId="4314CD9A">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（5）参加政府采购活动前3年内在经营活动中没有重大违法记录的声明函；</w:t>
      </w:r>
    </w:p>
    <w:p w14:paraId="1D17704C">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（6）单位负责人为同一人或者存在直接控股、管理关系的不同供应商，不得参加同一合同项下的政府采购活动承诺函；</w:t>
      </w:r>
    </w:p>
    <w:p w14:paraId="4527D00B">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（7）供应商不属于公益一类事业单位承诺函；</w:t>
      </w:r>
    </w:p>
    <w:p w14:paraId="06767D6A">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（8）未被“信用中国”（www.creditchina.gov.cn）、中国政府采购网（www.ccgp.gov.cn）列入失信被执行人、重大税收违法案件当事人名单、政府采购严重违法失信行为记录名单.</w:t>
      </w:r>
    </w:p>
    <w:p w14:paraId="031E39DC">
      <w:pPr>
        <w:snapToGrid w:val="0"/>
        <w:spacing w:line="46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信用信息查询记录和证据以项目公告发出日期后的网页截图为准；</w:t>
      </w:r>
    </w:p>
    <w:p w14:paraId="334D37C9">
      <w:pPr>
        <w:numPr>
          <w:ilvl w:val="0"/>
          <w:numId w:val="2"/>
        </w:numPr>
        <w:snapToGrid w:val="0"/>
        <w:spacing w:line="46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政府采购活动确认声明书；</w:t>
      </w:r>
    </w:p>
    <w:p w14:paraId="54C8F663">
      <w:pPr>
        <w:snapToGrid w:val="0"/>
        <w:spacing w:line="46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（10）联合体协议书（如联合体需提供）。</w:t>
      </w:r>
    </w:p>
    <w:p w14:paraId="70FDDC41">
      <w:pPr>
        <w:snapToGrid w:val="0"/>
        <w:spacing w:line="46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上述资格条件审查材料有一项不提供的，视为资格审查不通过。</w:t>
      </w:r>
    </w:p>
    <w:p w14:paraId="0DB85D18">
      <w:pPr>
        <w:snapToGrid w:val="0"/>
        <w:spacing w:line="460" w:lineRule="exact"/>
        <w:ind w:left="105" w:leftChars="50" w:firstLine="442" w:firstLineChars="200"/>
        <w:rPr>
          <w:rFonts w:ascii="宋体" w:hAnsi="宋体" w:cs="宋体"/>
          <w:color w:val="auto"/>
          <w:sz w:val="22"/>
          <w:szCs w:val="22"/>
          <w:highlight w:val="none"/>
          <w:u w:val="single"/>
          <w:lang w:val="zh-CN"/>
        </w:rPr>
      </w:pPr>
      <w:r>
        <w:rPr>
          <w:rFonts w:hint="eastAsia" w:ascii="宋体" w:hAnsi="宋体" w:cs="宋体"/>
          <w:b/>
          <w:bCs/>
          <w:color w:val="auto"/>
          <w:sz w:val="22"/>
          <w:szCs w:val="22"/>
          <w:highlight w:val="none"/>
        </w:rPr>
        <w:t xml:space="preserve">3.2投标人的报价文件至少应包括以下内容： </w:t>
      </w:r>
    </w:p>
    <w:p w14:paraId="68B64EE5">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（1）投标函；</w:t>
      </w:r>
    </w:p>
    <w:p w14:paraId="756979CA">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（2）投标报价一览表；</w:t>
      </w:r>
    </w:p>
    <w:p w14:paraId="3E65757A">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（3）投标分项报价表。</w:t>
      </w:r>
    </w:p>
    <w:p w14:paraId="6125D925">
      <w:pPr>
        <w:snapToGrid w:val="0"/>
        <w:spacing w:line="460" w:lineRule="exact"/>
        <w:ind w:left="105" w:leftChars="50" w:firstLine="440" w:firstLineChars="200"/>
        <w:rPr>
          <w:color w:val="auto"/>
          <w:highlight w:val="none"/>
        </w:rPr>
      </w:pPr>
      <w:r>
        <w:rPr>
          <w:rFonts w:hint="eastAsia" w:ascii="宋体" w:hAnsi="宋体" w:cs="宋体"/>
          <w:color w:val="auto"/>
          <w:sz w:val="22"/>
          <w:szCs w:val="22"/>
          <w:highlight w:val="none"/>
        </w:rPr>
        <w:t xml:space="preserve">（4）中小企业声明函、监狱企业、残疾人福利性单位及其他相关的充分的证明材料。（如有） </w:t>
      </w:r>
    </w:p>
    <w:p w14:paraId="1B82B497">
      <w:pPr>
        <w:snapToGrid w:val="0"/>
        <w:spacing w:line="460" w:lineRule="exact"/>
        <w:ind w:firstLine="442" w:firstLineChars="200"/>
        <w:rPr>
          <w:rFonts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rPr>
        <w:t>3.3</w:t>
      </w:r>
      <w:r>
        <w:rPr>
          <w:rFonts w:hint="eastAsia" w:ascii="宋体" w:hAnsi="宋体" w:cs="宋体"/>
          <w:b/>
          <w:bCs/>
          <w:color w:val="auto"/>
          <w:kern w:val="0"/>
          <w:sz w:val="22"/>
          <w:szCs w:val="22"/>
          <w:highlight w:val="none"/>
          <w:lang w:val="zh-CN"/>
        </w:rPr>
        <w:t>投标人的商务技术文件应包括以下内容：</w:t>
      </w:r>
      <w:r>
        <w:rPr>
          <w:rFonts w:hint="eastAsia" w:ascii="宋体" w:hAnsi="宋体" w:cs="宋体"/>
          <w:color w:val="auto"/>
          <w:kern w:val="0"/>
          <w:sz w:val="22"/>
          <w:szCs w:val="22"/>
          <w:highlight w:val="none"/>
          <w:lang w:val="zh-CN"/>
        </w:rPr>
        <w:t xml:space="preserve"> </w:t>
      </w:r>
    </w:p>
    <w:p w14:paraId="2D221915">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（1）法定代表人授权委托书（需提供法定代表人及授权委托人的身份证复印件加盖公章）；</w:t>
      </w:r>
    </w:p>
    <w:p w14:paraId="76E1D04C">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（2）投标人情况表</w:t>
      </w:r>
    </w:p>
    <w:p w14:paraId="3C857087">
      <w:pPr>
        <w:snapToGrid w:val="0"/>
        <w:spacing w:line="460" w:lineRule="exact"/>
        <w:ind w:firstLine="440" w:firstLineChars="200"/>
        <w:rPr>
          <w:rFonts w:ascii="宋体" w:hAnsi="宋体" w:cs="宋体"/>
          <w:b/>
          <w:bCs/>
          <w:color w:val="auto"/>
          <w:sz w:val="22"/>
          <w:szCs w:val="22"/>
          <w:highlight w:val="none"/>
          <w:u w:color="000000"/>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偏离表（</w:t>
      </w:r>
      <w:r>
        <w:rPr>
          <w:rFonts w:hint="eastAsia" w:ascii="宋体" w:hAnsi="宋体" w:cs="宋体"/>
          <w:color w:val="auto"/>
          <w:sz w:val="22"/>
          <w:szCs w:val="22"/>
          <w:highlight w:val="none"/>
        </w:rPr>
        <w:t>商务、技术偏离</w:t>
      </w:r>
      <w:r>
        <w:rPr>
          <w:rFonts w:hint="eastAsia" w:ascii="宋体" w:hAnsi="宋体" w:cs="宋体"/>
          <w:color w:val="auto"/>
          <w:sz w:val="22"/>
          <w:szCs w:val="22"/>
          <w:highlight w:val="none"/>
          <w:lang w:val="zh-CN"/>
        </w:rPr>
        <w:t>）</w:t>
      </w:r>
    </w:p>
    <w:p w14:paraId="30B85AC2">
      <w:pPr>
        <w:snapToGrid w:val="0"/>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4</w:t>
      </w:r>
      <w:r>
        <w:rPr>
          <w:rFonts w:hint="eastAsia" w:ascii="宋体" w:hAnsi="宋体" w:cs="宋体"/>
          <w:color w:val="auto"/>
          <w:sz w:val="22"/>
          <w:szCs w:val="22"/>
          <w:highlight w:val="none"/>
          <w:lang w:val="zh-CN"/>
        </w:rPr>
        <w:t>）详细供货清单说明一览表</w:t>
      </w:r>
    </w:p>
    <w:p w14:paraId="42AD4992">
      <w:pPr>
        <w:snapToGrid w:val="0"/>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5</w:t>
      </w:r>
      <w:r>
        <w:rPr>
          <w:rFonts w:hint="eastAsia" w:ascii="宋体" w:hAnsi="宋体" w:cs="宋体"/>
          <w:color w:val="auto"/>
          <w:sz w:val="22"/>
          <w:szCs w:val="22"/>
          <w:highlight w:val="none"/>
          <w:lang w:val="zh-CN"/>
        </w:rPr>
        <w:t>）备品、易损件、备件、专用工具清单</w:t>
      </w:r>
    </w:p>
    <w:p w14:paraId="6ABA33CA">
      <w:pPr>
        <w:snapToGrid w:val="0"/>
        <w:spacing w:line="4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新宋体" w:hAnsi="新宋体" w:eastAsia="新宋体" w:cs="新宋体"/>
          <w:bCs/>
          <w:color w:val="auto"/>
          <w:sz w:val="22"/>
          <w:szCs w:val="22"/>
          <w:highlight w:val="none"/>
        </w:rPr>
        <w:t>所投产品主要技术参数</w:t>
      </w:r>
    </w:p>
    <w:p w14:paraId="26842328">
      <w:pPr>
        <w:snapToGrid w:val="0"/>
        <w:spacing w:line="4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（7）</w:t>
      </w:r>
      <w:r>
        <w:rPr>
          <w:rFonts w:hint="eastAsia" w:ascii="新宋体" w:hAnsi="新宋体" w:eastAsia="新宋体" w:cs="新宋体"/>
          <w:color w:val="auto"/>
          <w:sz w:val="22"/>
          <w:szCs w:val="22"/>
          <w:highlight w:val="none"/>
        </w:rPr>
        <w:t>实施方案</w:t>
      </w:r>
    </w:p>
    <w:p w14:paraId="148405C0">
      <w:pPr>
        <w:snapToGrid w:val="0"/>
        <w:spacing w:line="4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（8）</w:t>
      </w:r>
      <w:r>
        <w:rPr>
          <w:rFonts w:hint="eastAsia" w:ascii="新宋体" w:hAnsi="新宋体" w:eastAsia="新宋体" w:cs="新宋体"/>
          <w:color w:val="auto"/>
          <w:sz w:val="22"/>
          <w:szCs w:val="22"/>
          <w:highlight w:val="none"/>
        </w:rPr>
        <w:t>售后服务</w:t>
      </w:r>
    </w:p>
    <w:p w14:paraId="6E772360">
      <w:pPr>
        <w:snapToGrid w:val="0"/>
        <w:spacing w:line="4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（9）</w:t>
      </w:r>
      <w:r>
        <w:rPr>
          <w:rFonts w:hint="eastAsia" w:ascii="新宋体" w:hAnsi="新宋体" w:eastAsia="新宋体" w:cs="新宋体"/>
          <w:color w:val="auto"/>
          <w:sz w:val="22"/>
          <w:szCs w:val="22"/>
          <w:highlight w:val="none"/>
        </w:rPr>
        <w:t>同类业绩</w:t>
      </w:r>
    </w:p>
    <w:p w14:paraId="56E097DD">
      <w:pPr>
        <w:spacing w:line="460" w:lineRule="exact"/>
        <w:ind w:firstLine="440" w:firstLineChars="200"/>
        <w:rPr>
          <w:rFonts w:ascii="宋体" w:hAnsi="宋体" w:cs="宋体"/>
          <w:bCs/>
          <w:color w:val="auto"/>
          <w:sz w:val="22"/>
          <w:szCs w:val="22"/>
          <w:highlight w:val="none"/>
          <w:lang w:val="zh-CN"/>
        </w:rPr>
      </w:pPr>
      <w:r>
        <w:rPr>
          <w:rFonts w:hint="eastAsia" w:ascii="宋体" w:hAnsi="宋体" w:cs="宋体"/>
          <w:color w:val="auto"/>
          <w:sz w:val="22"/>
          <w:szCs w:val="22"/>
          <w:highlight w:val="none"/>
        </w:rPr>
        <w:t>（10）其他必要提供的资料。</w:t>
      </w:r>
      <w:r>
        <w:rPr>
          <w:rFonts w:hint="eastAsia" w:ascii="宋体" w:hAnsi="宋体" w:cs="宋体"/>
          <w:bCs/>
          <w:color w:val="auto"/>
          <w:sz w:val="22"/>
          <w:szCs w:val="22"/>
          <w:highlight w:val="none"/>
          <w:lang w:val="zh-CN"/>
        </w:rPr>
        <w:t>投标文件中所需的各种证书、证件、证明资料如是复印件，须在复印件上加盖有效公章。</w:t>
      </w:r>
    </w:p>
    <w:p w14:paraId="3E7D0257">
      <w:pPr>
        <w:pStyle w:val="30"/>
        <w:snapToGrid w:val="0"/>
        <w:spacing w:line="460" w:lineRule="exact"/>
        <w:ind w:firstLine="440" w:firstLineChars="200"/>
        <w:rPr>
          <w:rFonts w:hAnsi="宋体" w:cs="宋体"/>
          <w:b w:val="0"/>
          <w:bCs/>
          <w:color w:val="auto"/>
          <w:sz w:val="22"/>
          <w:szCs w:val="22"/>
          <w:highlight w:val="none"/>
        </w:rPr>
      </w:pPr>
      <w:r>
        <w:rPr>
          <w:rFonts w:hint="eastAsia" w:hAnsi="宋体" w:cs="宋体"/>
          <w:b w:val="0"/>
          <w:bCs/>
          <w:color w:val="auto"/>
          <w:sz w:val="22"/>
          <w:szCs w:val="22"/>
          <w:highlight w:val="none"/>
          <w:lang w:val="zh-CN"/>
        </w:rPr>
        <w:t>投标人的</w:t>
      </w:r>
      <w:r>
        <w:rPr>
          <w:rFonts w:hint="eastAsia" w:hAnsi="宋体" w:cs="宋体"/>
          <w:b w:val="0"/>
          <w:bCs/>
          <w:color w:val="auto"/>
          <w:sz w:val="22"/>
          <w:szCs w:val="22"/>
          <w:highlight w:val="none"/>
        </w:rPr>
        <w:t>投标文件必须按照招标文件要求制作。</w:t>
      </w:r>
    </w:p>
    <w:p w14:paraId="23D660F6">
      <w:pPr>
        <w:pStyle w:val="30"/>
        <w:snapToGrid w:val="0"/>
        <w:spacing w:line="460" w:lineRule="exact"/>
        <w:ind w:firstLine="442" w:firstLineChars="200"/>
        <w:rPr>
          <w:rFonts w:hAnsi="宋体" w:cs="宋体"/>
          <w:color w:val="auto"/>
          <w:sz w:val="22"/>
          <w:szCs w:val="22"/>
          <w:highlight w:val="none"/>
        </w:rPr>
      </w:pPr>
      <w:r>
        <w:rPr>
          <w:rFonts w:hint="eastAsia" w:hAnsi="宋体" w:cs="宋体"/>
          <w:color w:val="auto"/>
          <w:sz w:val="22"/>
          <w:szCs w:val="22"/>
          <w:highlight w:val="none"/>
        </w:rPr>
        <w:t>投标人可在招标文件中对招标货物的技术规格和要求选用替代标准，但这些替代标准必须相当于或优于招标文件中提出的相应要求，并使采购人满意，同时在技术偏离表中作出详细说明。</w:t>
      </w:r>
    </w:p>
    <w:p w14:paraId="406F00CD">
      <w:pPr>
        <w:pStyle w:val="30"/>
        <w:snapToGrid w:val="0"/>
        <w:spacing w:line="460" w:lineRule="exact"/>
        <w:ind w:firstLine="442" w:firstLineChars="200"/>
        <w:rPr>
          <w:rFonts w:hAnsi="宋体" w:cs="宋体"/>
          <w:color w:val="auto"/>
          <w:sz w:val="22"/>
          <w:szCs w:val="22"/>
          <w:highlight w:val="none"/>
        </w:rPr>
      </w:pPr>
      <w:r>
        <w:rPr>
          <w:rFonts w:hint="eastAsia" w:ascii="新宋体" w:hAnsi="新宋体" w:eastAsia="新宋体" w:cs="新宋体"/>
          <w:color w:val="auto"/>
          <w:sz w:val="22"/>
          <w:szCs w:val="22"/>
          <w:highlight w:val="none"/>
          <w:u w:val="single"/>
        </w:rPr>
        <w:t>注：联合体成员资格证文件应与联合体牵头人一致，在相应的“报价文件”、“资格证明文件”、“商务技术文件”中提供。</w:t>
      </w:r>
    </w:p>
    <w:p w14:paraId="2FB7B76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4、投标报价</w:t>
      </w:r>
    </w:p>
    <w:p w14:paraId="5600EC6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highlight w:val="none"/>
        </w:rPr>
        <w:t>4.1</w:t>
      </w:r>
      <w:r>
        <w:rPr>
          <w:rFonts w:hint="eastAsia" w:ascii="新宋体" w:hAnsi="新宋体" w:eastAsia="新宋体"/>
          <w:b/>
          <w:color w:val="auto"/>
          <w:sz w:val="22"/>
          <w:highlight w:val="none"/>
        </w:rPr>
        <w:t>报价是指完成智慧教室(信息化设备一批)的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70D129AE">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4.2投标人必须按附件中的投标报价一览表、投标分项报价表内容填写价格，并由投标人代表签署。</w:t>
      </w:r>
    </w:p>
    <w:p w14:paraId="2D41B52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4.3</w:t>
      </w:r>
      <w:r>
        <w:rPr>
          <w:rFonts w:hint="eastAsia" w:ascii="宋体" w:hAnsi="宋体" w:cs="宋体"/>
          <w:color w:val="auto"/>
          <w:sz w:val="22"/>
          <w:highlight w:val="none"/>
        </w:rPr>
        <w:t>投标货币以人民币进行投标</w:t>
      </w:r>
      <w:r>
        <w:rPr>
          <w:rFonts w:hint="eastAsia" w:ascii="宋体" w:hAnsi="宋体" w:cs="宋体"/>
          <w:color w:val="auto"/>
          <w:sz w:val="22"/>
          <w:szCs w:val="22"/>
          <w:highlight w:val="none"/>
        </w:rPr>
        <w:t>。</w:t>
      </w:r>
    </w:p>
    <w:p w14:paraId="2A601AA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4.4</w:t>
      </w:r>
      <w:r>
        <w:rPr>
          <w:rFonts w:hint="eastAsia" w:ascii="宋体" w:hAnsi="宋体" w:cs="宋体"/>
          <w:color w:val="auto"/>
          <w:sz w:val="22"/>
          <w:highlight w:val="none"/>
        </w:rPr>
        <w:t>采购人和招标代理机构不接受任何选择投标，对任何服务只允许一个价格。</w:t>
      </w:r>
    </w:p>
    <w:p w14:paraId="0D935E79">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4.5采购人和</w:t>
      </w:r>
      <w:r>
        <w:rPr>
          <w:rFonts w:hint="eastAsia" w:ascii="宋体" w:hAnsi="宋体" w:cs="宋体"/>
          <w:color w:val="auto"/>
          <w:sz w:val="22"/>
          <w:highlight w:val="none"/>
        </w:rPr>
        <w:t>招标代理机构</w:t>
      </w:r>
      <w:r>
        <w:rPr>
          <w:rFonts w:hint="eastAsia" w:ascii="宋体" w:hAnsi="宋体" w:cs="宋体"/>
          <w:color w:val="auto"/>
          <w:sz w:val="22"/>
          <w:szCs w:val="22"/>
          <w:highlight w:val="none"/>
        </w:rPr>
        <w:t>要求分类报价是为了方便评标，但在任何情况下不限制采购人以其认为最合适的条款、条件签订合同的权利。</w:t>
      </w:r>
    </w:p>
    <w:p w14:paraId="50A4F2F3">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4.6投标报价报出后，投标人不得以任何理由予以变更。任何包含价格调整的要求，将被认为是非实质性响应投标而予以否决。</w:t>
      </w:r>
    </w:p>
    <w:p w14:paraId="1F398EC1">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4.7最低报价不能作为中标的保证。</w:t>
      </w:r>
    </w:p>
    <w:p w14:paraId="6420A084">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5、投标有效期</w:t>
      </w:r>
    </w:p>
    <w:p w14:paraId="1C835723">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5.1自开标之日起</w:t>
      </w:r>
      <w:r>
        <w:rPr>
          <w:rFonts w:hint="eastAsia" w:ascii="宋体" w:hAnsi="宋体" w:cs="宋体"/>
          <w:b/>
          <w:bCs/>
          <w:color w:val="auto"/>
          <w:sz w:val="22"/>
          <w:szCs w:val="22"/>
          <w:highlight w:val="none"/>
        </w:rPr>
        <w:t xml:space="preserve"> 90</w:t>
      </w:r>
      <w:r>
        <w:rPr>
          <w:rFonts w:hint="eastAsia" w:ascii="宋体" w:hAnsi="宋体" w:cs="宋体"/>
          <w:b/>
          <w:color w:val="auto"/>
          <w:sz w:val="22"/>
          <w:szCs w:val="22"/>
          <w:highlight w:val="none"/>
        </w:rPr>
        <w:t>天内投标应保持有效。</w:t>
      </w:r>
    </w:p>
    <w:p w14:paraId="3C50DEE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5.2特殊情况下，在原投标有效期截止前，采购人、招标代理机构可与投标人协商延长投标有效期，这种要求和答复均以书面形式进行。投标人可拒绝接受延期要求。同意延长投标有效期的投标人不得修改投标文件。</w:t>
      </w:r>
    </w:p>
    <w:p w14:paraId="24E304CF">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6、投标保证金</w:t>
      </w:r>
    </w:p>
    <w:p w14:paraId="28A3AEB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无。</w:t>
      </w:r>
    </w:p>
    <w:p w14:paraId="47EEE304">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7、投标文件编制</w:t>
      </w:r>
    </w:p>
    <w:p w14:paraId="21B9920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7.1本项目通过“政府采购云平台（http://zfcg.czt.zj.gov.cn）”实行在线投标响应（电子投标）。供应商应通过“政采云电子交易客户端”，并按照本招标文件和“政府采购云平台”的要求编制并加密投标文件。</w:t>
      </w:r>
    </w:p>
    <w:p w14:paraId="52A90E4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7.2投标人应当按照本章节 “投标文件的构成”规定的内容及顺序在“政采云电子交易客户端”编制投标文件。其中《资格文件》和《商务技术文件》中不得出现本项目投标报价。</w:t>
      </w:r>
    </w:p>
    <w:p w14:paraId="1B49E64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5839EBF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7.4《投标文件》内容不完整、编排混乱导致《投标文件》被误读、漏读或者查找不到相关内容的，投标人自行负责。</w:t>
      </w:r>
    </w:p>
    <w:p w14:paraId="40700E5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7.5《投标文件》因字迹潦草或表达不清所引起的后果由投标人负责。</w:t>
      </w:r>
    </w:p>
    <w:p w14:paraId="65BE941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6B50884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8、投标文件的签章</w:t>
      </w:r>
    </w:p>
    <w:p w14:paraId="70FE1EC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8.1《投标文件》的签章：见《前附表》；</w:t>
      </w:r>
    </w:p>
    <w:p w14:paraId="5579FA34">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8.2《投标文件》应由投标人法定代表人或其授权代表签字（或盖章），并时加盖投标人公章。</w:t>
      </w:r>
    </w:p>
    <w:p w14:paraId="4D78F9C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8.3电子签章操作指南详见采购公告附件《供应商项目采购-电子招投标操作指南》。</w:t>
      </w:r>
    </w:p>
    <w:p w14:paraId="52181F7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9、投标文件的形式</w:t>
      </w:r>
    </w:p>
    <w:p w14:paraId="4D2B7CA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9.1投标文件的形式：见《前附表》；</w:t>
      </w:r>
    </w:p>
    <w:p w14:paraId="2597777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9.2“电子加密投标文件”：“电子加密投标文件”是指通过“政采云电子交易客户端”完成投标文件编制后生成并加密的数据电文形式的投标文件。</w:t>
      </w:r>
    </w:p>
    <w:p w14:paraId="1B84C8D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6A8C6124">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10、投标文件的份数</w:t>
      </w:r>
    </w:p>
    <w:p w14:paraId="3EC0D751">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10.1投标文件的份数：见《前附表》。</w:t>
      </w:r>
    </w:p>
    <w:p w14:paraId="79C815F7">
      <w:pPr>
        <w:spacing w:before="100" w:beforeAutospacing="1" w:after="100" w:afterAutospacing="1" w:line="440" w:lineRule="exact"/>
        <w:jc w:val="center"/>
        <w:outlineLvl w:val="1"/>
        <w:rPr>
          <w:rFonts w:ascii="宋体" w:hAnsi="宋体" w:cs="宋体"/>
          <w:b/>
          <w:bCs/>
          <w:color w:val="auto"/>
          <w:sz w:val="22"/>
          <w:szCs w:val="22"/>
          <w:highlight w:val="none"/>
        </w:rPr>
      </w:pPr>
      <w:bookmarkStart w:id="55" w:name="_Toc13543"/>
      <w:bookmarkStart w:id="56" w:name="_Toc14324"/>
      <w:bookmarkStart w:id="57" w:name="_Toc15422"/>
      <w:bookmarkStart w:id="58" w:name="_Toc23539"/>
      <w:bookmarkStart w:id="59" w:name="_Toc2338"/>
      <w:bookmarkStart w:id="60" w:name="_Toc18542"/>
      <w:bookmarkStart w:id="61" w:name="_Toc28002"/>
      <w:r>
        <w:rPr>
          <w:rFonts w:hint="eastAsia" w:ascii="宋体" w:hAnsi="宋体" w:cs="宋体"/>
          <w:b/>
          <w:bCs/>
          <w:color w:val="auto"/>
          <w:sz w:val="22"/>
          <w:szCs w:val="22"/>
          <w:highlight w:val="none"/>
        </w:rPr>
        <w:t>四、 投标文件的递交</w:t>
      </w:r>
      <w:bookmarkEnd w:id="55"/>
      <w:bookmarkEnd w:id="56"/>
      <w:bookmarkEnd w:id="57"/>
      <w:bookmarkEnd w:id="58"/>
      <w:bookmarkEnd w:id="59"/>
      <w:bookmarkEnd w:id="60"/>
      <w:bookmarkEnd w:id="61"/>
    </w:p>
    <w:p w14:paraId="03EA597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1、投标文件的上传和递交</w:t>
      </w:r>
    </w:p>
    <w:p w14:paraId="59764A0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1.1“投标文件”的上传、递交：见《前附表》。</w:t>
      </w:r>
    </w:p>
    <w:p w14:paraId="2D92C6A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2、“电子加密投标文件”解密和异常情况处理</w:t>
      </w:r>
    </w:p>
    <w:p w14:paraId="4D08112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2.1“电子加密投标文件”解密：见《前附表》。</w:t>
      </w:r>
    </w:p>
    <w:p w14:paraId="259E199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3、投标文件的补充、修改或撤回</w:t>
      </w:r>
    </w:p>
    <w:p w14:paraId="3050EFD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94A84A4">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3.2投标截止时间后，投标人不得撤回、修改《投标文件》。</w:t>
      </w:r>
    </w:p>
    <w:p w14:paraId="5508728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4、投标文件的备选方案</w:t>
      </w:r>
    </w:p>
    <w:p w14:paraId="58E89F52">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6339110E">
      <w:pPr>
        <w:spacing w:before="100" w:beforeAutospacing="1" w:after="100" w:afterAutospacing="1" w:line="460" w:lineRule="exact"/>
        <w:jc w:val="center"/>
        <w:outlineLvl w:val="1"/>
        <w:rPr>
          <w:rFonts w:ascii="宋体" w:hAnsi="宋体" w:cs="宋体"/>
          <w:b/>
          <w:bCs/>
          <w:color w:val="auto"/>
          <w:sz w:val="22"/>
          <w:szCs w:val="22"/>
          <w:highlight w:val="none"/>
        </w:rPr>
      </w:pPr>
      <w:bookmarkStart w:id="62" w:name="_Toc30172"/>
      <w:bookmarkStart w:id="63" w:name="_Toc11174"/>
      <w:bookmarkStart w:id="64" w:name="_Toc26272"/>
      <w:bookmarkStart w:id="65" w:name="_Toc13"/>
      <w:bookmarkStart w:id="66" w:name="_Toc125"/>
      <w:bookmarkStart w:id="67" w:name="_Toc8079"/>
      <w:bookmarkStart w:id="68" w:name="_Toc6372"/>
      <w:r>
        <w:rPr>
          <w:rFonts w:hint="eastAsia" w:ascii="宋体" w:hAnsi="宋体" w:cs="宋体"/>
          <w:b/>
          <w:bCs/>
          <w:color w:val="auto"/>
          <w:sz w:val="22"/>
          <w:szCs w:val="22"/>
          <w:highlight w:val="none"/>
        </w:rPr>
        <w:t>五、 开标和评标</w:t>
      </w:r>
      <w:bookmarkEnd w:id="62"/>
      <w:bookmarkEnd w:id="63"/>
      <w:bookmarkEnd w:id="64"/>
      <w:bookmarkEnd w:id="65"/>
      <w:bookmarkEnd w:id="66"/>
      <w:bookmarkEnd w:id="67"/>
      <w:bookmarkEnd w:id="68"/>
    </w:p>
    <w:p w14:paraId="52F6C43A">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1、评标委员会</w:t>
      </w:r>
    </w:p>
    <w:p w14:paraId="77BAB493">
      <w:pPr>
        <w:spacing w:line="460" w:lineRule="exact"/>
        <w:ind w:firstLine="539" w:firstLineChars="245"/>
        <w:rPr>
          <w:rFonts w:ascii="宋体" w:hAnsi="宋体" w:cs="宋体"/>
          <w:b/>
          <w:color w:val="auto"/>
          <w:sz w:val="22"/>
          <w:szCs w:val="22"/>
          <w:highlight w:val="none"/>
        </w:rPr>
      </w:pPr>
      <w:r>
        <w:rPr>
          <w:rFonts w:hint="eastAsia" w:ascii="宋体" w:hAnsi="宋体" w:cs="宋体"/>
          <w:bCs/>
          <w:color w:val="auto"/>
          <w:sz w:val="22"/>
          <w:szCs w:val="22"/>
          <w:highlight w:val="none"/>
        </w:rPr>
        <w:t>采购人和招标代理机构组建评标委员会。评标委员会的成员在评标过程中必须严格遵守《政府采购法》等有关法律、法规的规定。</w:t>
      </w:r>
    </w:p>
    <w:p w14:paraId="6FB90179">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2、评标过程的保密性</w:t>
      </w:r>
    </w:p>
    <w:p w14:paraId="20598189">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14:paraId="530CCD92">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3、开标形式</w:t>
      </w:r>
    </w:p>
    <w:p w14:paraId="1F1421B2">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 xml:space="preserve"> 采购组织机构将按照招标文件规定的时间通过“政府采购云平台”组织开标、开启投标文件，所有供应商均应当准时(在线)参加。</w:t>
      </w:r>
    </w:p>
    <w:p w14:paraId="039541F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4、开标准备</w:t>
      </w:r>
    </w:p>
    <w:p w14:paraId="54F03E17">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4.1开标的准备工作由采购组织机构负责落实；</w:t>
      </w:r>
    </w:p>
    <w:p w14:paraId="3CFF6792">
      <w:pPr>
        <w:spacing w:line="460" w:lineRule="exact"/>
        <w:ind w:firstLine="541" w:firstLineChars="245"/>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4.2</w:t>
      </w:r>
      <w:r>
        <w:rPr>
          <w:rFonts w:hint="eastAsia" w:ascii="宋体" w:hAnsi="宋体" w:cs="宋体"/>
          <w:b/>
          <w:bCs/>
          <w:color w:val="auto"/>
          <w:sz w:val="22"/>
          <w:szCs w:val="22"/>
          <w:highlight w:val="none"/>
        </w:rPr>
        <w:t>采</w:t>
      </w:r>
      <w:r>
        <w:rPr>
          <w:rFonts w:hint="eastAsia" w:ascii="宋体" w:hAnsi="宋体" w:cs="宋体"/>
          <w:b/>
          <w:color w:val="auto"/>
          <w:sz w:val="22"/>
          <w:szCs w:val="22"/>
          <w:highlight w:val="none"/>
        </w:rPr>
        <w:t>购组织机构将按照招标文件规定的时间通过“政府采购云平台”组织开标、开启投标文件，所有供应商均应当准时(在线)参加。</w:t>
      </w:r>
      <w:r>
        <w:rPr>
          <w:rFonts w:hint="eastAsia" w:ascii="宋体" w:hAnsi="宋体" w:cs="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4052EF1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5、开标流程</w:t>
      </w:r>
    </w:p>
    <w:p w14:paraId="400FCC18">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5.1开标、评标</w:t>
      </w:r>
    </w:p>
    <w:p w14:paraId="3A58557A">
      <w:pPr>
        <w:spacing w:line="460" w:lineRule="exact"/>
        <w:ind w:firstLine="539" w:firstLineChars="245"/>
        <w:rPr>
          <w:rFonts w:ascii="宋体" w:hAnsi="宋体" w:cs="宋体"/>
          <w:color w:val="auto"/>
          <w:sz w:val="22"/>
          <w:szCs w:val="22"/>
          <w:highlight w:val="none"/>
        </w:rPr>
      </w:pPr>
      <w:r>
        <w:rPr>
          <w:rFonts w:hint="eastAsia" w:ascii="宋体" w:hAnsi="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353EE59F">
      <w:pPr>
        <w:spacing w:line="460" w:lineRule="exact"/>
        <w:ind w:firstLine="539" w:firstLineChars="245"/>
        <w:rPr>
          <w:rFonts w:ascii="宋体" w:hAnsi="宋体" w:cs="宋体"/>
          <w:color w:val="auto"/>
          <w:highlight w:val="none"/>
        </w:rPr>
      </w:pPr>
      <w:r>
        <w:rPr>
          <w:rFonts w:hint="eastAsia" w:ascii="宋体" w:hAnsi="宋体" w:cs="宋体"/>
          <w:bCs/>
          <w:color w:val="auto"/>
          <w:sz w:val="22"/>
          <w:szCs w:val="22"/>
          <w:highlight w:val="none"/>
        </w:rPr>
        <w:t>投标人不足3家的，不得开标。</w:t>
      </w:r>
    </w:p>
    <w:p w14:paraId="3BA126E2">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（2）解密成功后，开启投标人的《报价文件》，由供应商对自己报价文件相关内容进行签字确认，（不予确认的应说明理由，否则视为无异议）。</w:t>
      </w:r>
    </w:p>
    <w:p w14:paraId="25F80D25">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（3）开启《投标文件》，进入资格审查；</w:t>
      </w:r>
      <w:r>
        <w:rPr>
          <w:rFonts w:hint="eastAsia" w:ascii="宋体" w:hAnsi="宋体" w:cs="宋体"/>
          <w:bCs/>
          <w:color w:val="auto"/>
          <w:sz w:val="22"/>
          <w:szCs w:val="22"/>
          <w:highlight w:val="none"/>
        </w:rPr>
        <w:t>合格投标人不足3家的，不得评标。</w:t>
      </w:r>
    </w:p>
    <w:p w14:paraId="17F1D209">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备注：开标大会的结束后，采购人或采购代理机构将对依法对投标人的资格进行审查，资格审查结束后进入符合性审查和商务技术的评审工作，具体见本章节“投标人资格审查”相关规定。</w:t>
      </w:r>
    </w:p>
    <w:p w14:paraId="5E73DE8F">
      <w:pPr>
        <w:spacing w:line="460" w:lineRule="exact"/>
        <w:ind w:firstLine="539" w:firstLineChars="245"/>
        <w:rPr>
          <w:rFonts w:ascii="宋体" w:hAnsi="宋体" w:cs="宋体"/>
          <w:bCs/>
          <w:color w:val="auto"/>
          <w:sz w:val="22"/>
          <w:szCs w:val="22"/>
          <w:highlight w:val="none"/>
        </w:rPr>
      </w:pPr>
      <w:r>
        <w:rPr>
          <w:rFonts w:hint="eastAsia" w:ascii="宋体" w:hAnsi="宋体" w:cs="宋体"/>
          <w:color w:val="auto"/>
          <w:kern w:val="0"/>
          <w:sz w:val="22"/>
          <w:szCs w:val="22"/>
          <w:highlight w:val="none"/>
        </w:rPr>
        <w:t>（4）开启资格审查通过的投标人的商务技术文件进入符合性审查，</w:t>
      </w:r>
      <w:r>
        <w:rPr>
          <w:rFonts w:hint="eastAsia" w:ascii="宋体" w:hAnsi="宋体" w:cs="宋体"/>
          <w:bCs/>
          <w:color w:val="auto"/>
          <w:sz w:val="22"/>
          <w:szCs w:val="22"/>
          <w:highlight w:val="none"/>
        </w:rPr>
        <w:t>以确定其是否满足招标文件的实质性要求，合格投标人不足3家的，不得评标。</w:t>
      </w:r>
    </w:p>
    <w:p w14:paraId="5FC2006B">
      <w:pPr>
        <w:spacing w:line="460" w:lineRule="exact"/>
        <w:ind w:firstLine="541" w:firstLineChars="245"/>
        <w:rPr>
          <w:rFonts w:ascii="宋体" w:hAnsi="宋体" w:cs="宋体"/>
          <w:bCs/>
          <w:color w:val="auto"/>
          <w:sz w:val="22"/>
          <w:szCs w:val="22"/>
          <w:highlight w:val="none"/>
        </w:rPr>
      </w:pPr>
      <w:r>
        <w:rPr>
          <w:rFonts w:hint="eastAsia" w:ascii="宋体" w:hAnsi="宋体" w:cs="宋体"/>
          <w:b/>
          <w:color w:val="auto"/>
          <w:sz w:val="22"/>
          <w:szCs w:val="22"/>
          <w:highlight w:val="none"/>
        </w:rPr>
        <w:t>没有满足招标文件的实质性要求的投标作无效标处理。</w:t>
      </w:r>
      <w:r>
        <w:rPr>
          <w:rFonts w:hint="eastAsia" w:ascii="宋体" w:hAnsi="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0F4353EA">
      <w:pPr>
        <w:spacing w:line="460" w:lineRule="exact"/>
        <w:ind w:firstLine="539" w:firstLineChars="245"/>
        <w:rPr>
          <w:rFonts w:ascii="宋体" w:hAnsi="宋体" w:cs="宋体"/>
          <w:color w:val="auto"/>
          <w:highlight w:val="none"/>
        </w:rPr>
      </w:pPr>
      <w:r>
        <w:rPr>
          <w:rFonts w:hint="eastAsia" w:ascii="宋体" w:hAnsi="宋体" w:cs="宋体"/>
          <w:bCs/>
          <w:color w:val="auto"/>
          <w:sz w:val="22"/>
          <w:szCs w:val="22"/>
          <w:highlight w:val="none"/>
        </w:rPr>
        <w:t>（5）对通过资格审查、符合性审查的合格供应商进行商务技术部分的评审。</w:t>
      </w:r>
    </w:p>
    <w:p w14:paraId="5143111B">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（6）评标委员会对报价的合理性、准确性等进行审查核实。</w:t>
      </w:r>
    </w:p>
    <w:p w14:paraId="5D8C3103">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（7）评审结束后，公布中标（成交）候选供应商名单及采购人最终确定中标或中标人名单的时间和公告方式等，未在场的投标人通过发送邮件形式通知。</w:t>
      </w:r>
    </w:p>
    <w:p w14:paraId="120255D2">
      <w:pPr>
        <w:spacing w:line="460" w:lineRule="exact"/>
        <w:ind w:firstLine="541" w:firstLineChars="245"/>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特别说明：如遇“政府采购云平台”电子化开标或评审程序调整的，按调整后程序执行。</w:t>
      </w:r>
    </w:p>
    <w:p w14:paraId="351470F4">
      <w:pPr>
        <w:spacing w:line="460" w:lineRule="exact"/>
        <w:ind w:firstLine="539" w:firstLineChars="245"/>
        <w:rPr>
          <w:rFonts w:ascii="宋体" w:hAnsi="宋体" w:cs="宋体"/>
          <w:color w:val="auto"/>
          <w:sz w:val="22"/>
          <w:szCs w:val="22"/>
          <w:highlight w:val="none"/>
        </w:rPr>
      </w:pPr>
      <w:bookmarkStart w:id="69" w:name="_Toc33194393"/>
      <w:bookmarkStart w:id="70" w:name="_Toc24550037"/>
      <w:r>
        <w:rPr>
          <w:rFonts w:hint="eastAsia" w:ascii="宋体" w:hAnsi="宋体" w:cs="宋体"/>
          <w:color w:val="auto"/>
          <w:sz w:val="22"/>
          <w:szCs w:val="22"/>
          <w:highlight w:val="none"/>
        </w:rPr>
        <w:t>6、投标人资格审查</w:t>
      </w:r>
      <w:bookmarkEnd w:id="69"/>
      <w:bookmarkEnd w:id="70"/>
    </w:p>
    <w:p w14:paraId="70D4551C">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6.1开标大会结束后，采购人或采购代理机构首先依法对各投标人的资格进行审查，审查各投标人的资格是否满足招标文件的要求。采购人</w:t>
      </w:r>
      <w:r>
        <w:rPr>
          <w:rFonts w:hint="eastAsia" w:ascii="宋体" w:hAnsi="宋体" w:cs="宋体"/>
          <w:color w:val="auto"/>
          <w:sz w:val="22"/>
          <w:szCs w:val="22"/>
          <w:highlight w:val="none"/>
        </w:rPr>
        <w:t>或采购代理机构对投标人所提交的资格证明材料仅负审核的责任。如发现投标人所提交的资格证明材料不合法或与事实不符，采购人可取消其中标资格并追究投标人的法律责任。</w:t>
      </w:r>
    </w:p>
    <w:p w14:paraId="7EDA0F2C">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sz w:val="22"/>
          <w:szCs w:val="22"/>
          <w:highlight w:val="none"/>
        </w:rPr>
        <w:t>6.2投标人提交的资格证明材料无法证明其符合招标文件规定的“投标人资格要求”的，采购人或采购代理机构</w:t>
      </w:r>
      <w:r>
        <w:rPr>
          <w:rFonts w:hint="eastAsia" w:ascii="宋体" w:hAnsi="宋体" w:cs="宋体"/>
          <w:bCs/>
          <w:color w:val="auto"/>
          <w:kern w:val="0"/>
          <w:sz w:val="22"/>
          <w:szCs w:val="22"/>
          <w:highlight w:val="none"/>
        </w:rPr>
        <w:t>将对其作资格审查不通过处理（无效投标），并不再将其投标提交评标委员会进行后续评审。</w:t>
      </w:r>
    </w:p>
    <w:p w14:paraId="0E86907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w:t>
      </w:r>
      <w:r>
        <w:rPr>
          <w:rFonts w:hint="eastAsia" w:ascii="宋体" w:hAnsi="宋体" w:cs="宋体"/>
          <w:bCs/>
          <w:color w:val="auto"/>
          <w:kern w:val="0"/>
          <w:sz w:val="22"/>
          <w:szCs w:val="22"/>
          <w:highlight w:val="none"/>
        </w:rPr>
        <w:t>.3单位负责人为同一人或者存在直接控股、管理关系的不同供应商参加同一合同项下的政府采购活动的，相关投标人均作资格无效处理。</w:t>
      </w:r>
    </w:p>
    <w:p w14:paraId="64F5AF8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7、评标委员按照招标文件中规定的评标方法和标准，对投标文件进行商务和技术评估，综合比较与评价。</w:t>
      </w:r>
    </w:p>
    <w:p w14:paraId="0261068A">
      <w:pPr>
        <w:spacing w:line="460" w:lineRule="exact"/>
        <w:ind w:firstLine="541" w:firstLineChars="245"/>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8、投标人存在下列情况之一的，投标无效：</w:t>
      </w:r>
    </w:p>
    <w:p w14:paraId="61A3B45E">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（1）投标文件未按招标文件要求签署、盖章的；</w:t>
      </w:r>
    </w:p>
    <w:p w14:paraId="612C7541">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（2）不具备招标文件中规定的资格要求的； </w:t>
      </w:r>
    </w:p>
    <w:p w14:paraId="4BC1BCAC">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（3）明显不符合招标文件中主要技术规格、技术标准的；</w:t>
      </w:r>
    </w:p>
    <w:p w14:paraId="62A79B8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（4）投标文件内容不全或关键字迹模糊无法辨认的；</w:t>
      </w:r>
    </w:p>
    <w:p w14:paraId="64F692E9">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（5）报价超过招标文件中规定的预算金额的；</w:t>
      </w:r>
    </w:p>
    <w:p w14:paraId="6BA65F8B">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（6）投标人代表没有法定代表人合法、有效委托的；</w:t>
      </w:r>
    </w:p>
    <w:p w14:paraId="22135F22">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（7）投标文件存在一个或一个以上备选（替代）投标方案的；</w:t>
      </w:r>
    </w:p>
    <w:p w14:paraId="26248D3E">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（8）仅提交“备份投标文件”的；</w:t>
      </w:r>
    </w:p>
    <w:p w14:paraId="164BC47D">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（9）投标文件含有采购人不能接受的附加条件的；</w:t>
      </w:r>
    </w:p>
    <w:p w14:paraId="35193CBC">
      <w:pPr>
        <w:spacing w:line="460" w:lineRule="exact"/>
        <w:ind w:firstLine="539" w:firstLineChars="245"/>
        <w:rPr>
          <w:rFonts w:eastAsia="黑体"/>
          <w:color w:val="auto"/>
          <w:highlight w:val="none"/>
        </w:rPr>
      </w:pPr>
      <w:r>
        <w:rPr>
          <w:rFonts w:hint="eastAsia" w:ascii="新宋体" w:hAnsi="新宋体" w:eastAsia="新宋体"/>
          <w:bCs/>
          <w:color w:val="auto"/>
          <w:sz w:val="22"/>
          <w:szCs w:val="22"/>
          <w:highlight w:val="none"/>
        </w:rPr>
        <w:t>（10）联合体没有提交联合体协议；</w:t>
      </w:r>
    </w:p>
    <w:p w14:paraId="0A8E4C81">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（11）法律、法规和招标文件规定的其他无效情形</w:t>
      </w:r>
      <w:r>
        <w:rPr>
          <w:rFonts w:hint="eastAsia" w:ascii="新宋体" w:hAnsi="新宋体" w:eastAsia="新宋体" w:cs="新宋体"/>
          <w:bCs/>
          <w:color w:val="auto"/>
          <w:sz w:val="22"/>
          <w:szCs w:val="22"/>
          <w:highlight w:val="none"/>
        </w:rPr>
        <w:t>。</w:t>
      </w:r>
    </w:p>
    <w:p w14:paraId="5BE42220">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9、有下列情形之一的，视为投标人串通投标，其投标无效</w:t>
      </w:r>
    </w:p>
    <w:p w14:paraId="4BB3AC6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（1）不同投标人的投标文件由同一单位或者个人编制；</w:t>
      </w:r>
    </w:p>
    <w:p w14:paraId="5B01FF8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（2）不同投标人委托同一单位或者个人办理投标事宜；</w:t>
      </w:r>
    </w:p>
    <w:p w14:paraId="6589FE24">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（3）不同投标人的投标文件载明的项目管理成员或者联系人员为同一人；</w:t>
      </w:r>
    </w:p>
    <w:p w14:paraId="4A6F5574">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（4）不同投标人的投标文件异常一致或者投标报价呈规律性差异；</w:t>
      </w:r>
    </w:p>
    <w:p w14:paraId="1F2CABE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（5）不同投标人的投标文件相互混装。</w:t>
      </w:r>
    </w:p>
    <w:p w14:paraId="754964D9">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10、投标文件报价出现前后不一致的，按照下列规定修正：</w:t>
      </w:r>
    </w:p>
    <w:p w14:paraId="6A61B90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70299D1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（2）大写金额和小写金额不一致的，以大写金额为准；</w:t>
      </w:r>
    </w:p>
    <w:p w14:paraId="07CBC78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（3）单价金额小数点或者百分比有明显错位的，以开标一览表的总价为准，并修改单价；</w:t>
      </w:r>
    </w:p>
    <w:p w14:paraId="790C9BE4">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（4）总价金额与按单价汇总金额不一致的，以单价金额计算结果为准。</w:t>
      </w:r>
    </w:p>
    <w:p w14:paraId="662A460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4CABE0E9">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5A0DC7EC">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12、投标文件的澄清</w:t>
      </w:r>
    </w:p>
    <w:p w14:paraId="76D5C5FE">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4FE11C1C">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38774ECA">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拒不按要求对其投标文件进行澄清，说明或补正的投标人，评标委员会可以否决其投标。</w:t>
      </w:r>
    </w:p>
    <w:p w14:paraId="70758ED4">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12.2经澄清后，若偏差仍存在，且不可接受，投标人则被认为是“没有实质性响应招标文件要求”，其投标将被拒绝。</w:t>
      </w:r>
    </w:p>
    <w:p w14:paraId="65EDE87E">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13、评审结果的修改</w:t>
      </w:r>
    </w:p>
    <w:p w14:paraId="1070A36F">
      <w:pPr>
        <w:spacing w:line="460" w:lineRule="exact"/>
        <w:ind w:firstLine="762" w:firstLineChars="345"/>
        <w:rPr>
          <w:rFonts w:ascii="宋体" w:hAnsi="宋体" w:cs="宋体"/>
          <w:b/>
          <w:color w:val="auto"/>
          <w:sz w:val="22"/>
          <w:szCs w:val="22"/>
          <w:highlight w:val="none"/>
        </w:rPr>
      </w:pPr>
      <w:r>
        <w:rPr>
          <w:rFonts w:hint="eastAsia" w:ascii="宋体" w:hAnsi="宋体" w:cs="宋体"/>
          <w:b/>
          <w:color w:val="auto"/>
          <w:sz w:val="22"/>
          <w:szCs w:val="22"/>
          <w:highlight w:val="none"/>
        </w:rPr>
        <w:t>13.1评标结果汇总完成后，除下列情形外，任何人不得修改评标结果：</w:t>
      </w:r>
    </w:p>
    <w:p w14:paraId="1D3FCC63">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（1）分值汇总计算错误的；</w:t>
      </w:r>
    </w:p>
    <w:p w14:paraId="357C3E14">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（2）分项评分超出评分标准范围的；</w:t>
      </w:r>
    </w:p>
    <w:p w14:paraId="443316DB">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（3）评标委员会成员对客观评审因素评分不一致的；</w:t>
      </w:r>
    </w:p>
    <w:p w14:paraId="27072725">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（4）经评标委员会认定评分畸高、畸低的。</w:t>
      </w:r>
    </w:p>
    <w:p w14:paraId="369AEB8F">
      <w:pPr>
        <w:spacing w:line="460" w:lineRule="exact"/>
        <w:ind w:firstLine="759" w:firstLineChars="345"/>
        <w:rPr>
          <w:rFonts w:ascii="宋体" w:hAnsi="宋体" w:cs="宋体"/>
          <w:color w:val="auto"/>
          <w:highlight w:val="none"/>
        </w:rPr>
      </w:pPr>
      <w:r>
        <w:rPr>
          <w:rFonts w:hint="eastAsia" w:ascii="宋体" w:hAnsi="宋体" w:cs="宋体"/>
          <w:bCs/>
          <w:color w:val="auto"/>
          <w:sz w:val="22"/>
          <w:szCs w:val="22"/>
          <w:highlight w:val="none"/>
        </w:rPr>
        <w:t>13.2书面评标报告签署前，经复核发现存在以上情形之一的，评标委员会将当场修改评标结果，并在评标报告中记载。</w:t>
      </w:r>
    </w:p>
    <w:p w14:paraId="17E9421A">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14</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14:paraId="45E600AE">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14.1由评标委员会确定中标候选人。</w:t>
      </w:r>
    </w:p>
    <w:p w14:paraId="3655B466">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采购人推荐。</w:t>
      </w:r>
    </w:p>
    <w:p w14:paraId="3765A010">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15、确定中标人</w:t>
      </w:r>
    </w:p>
    <w:p w14:paraId="2DAA5E6E">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15.1采购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205FA104">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15.2如中标人放弃中标；或未能在规定时间内与采购人签订合同的；或者经质疑，采购人审查后，确因排名第一的候选人在本次采购活动中存在违法违规行为或其他原因使质疑成立的，采购人可以视情况直接确定排名第二的候选人为中标人或重新组织招标。</w:t>
      </w:r>
    </w:p>
    <w:p w14:paraId="79A80DA9">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16、起草、签署评审报告</w:t>
      </w:r>
    </w:p>
    <w:p w14:paraId="7B86AF12">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23B2F08B">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17</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中标人确定后，采购人将在政府指定媒体公告中标结果，采购人向中标人发出中标通知书。</w:t>
      </w:r>
    </w:p>
    <w:p w14:paraId="1ED65FE2">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18、采购人对决标结果不做任何解释，也不保证最低价中标。</w:t>
      </w:r>
    </w:p>
    <w:p w14:paraId="2CA1B87C">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19、评标细则详见“评标原则及方法”</w:t>
      </w:r>
      <w:r>
        <w:rPr>
          <w:rFonts w:hint="eastAsia" w:ascii="宋体" w:hAnsi="宋体" w:cs="宋体"/>
          <w:b/>
          <w:color w:val="auto"/>
          <w:sz w:val="22"/>
          <w:szCs w:val="22"/>
          <w:highlight w:val="none"/>
        </w:rPr>
        <w:t>。</w:t>
      </w:r>
    </w:p>
    <w:p w14:paraId="54DCE225">
      <w:pPr>
        <w:spacing w:before="100" w:beforeAutospacing="1" w:after="100" w:afterAutospacing="1" w:line="440" w:lineRule="exact"/>
        <w:jc w:val="center"/>
        <w:outlineLvl w:val="1"/>
        <w:rPr>
          <w:rFonts w:ascii="宋体" w:hAnsi="宋体" w:cs="宋体"/>
          <w:b/>
          <w:bCs/>
          <w:color w:val="auto"/>
          <w:sz w:val="22"/>
          <w:szCs w:val="22"/>
          <w:highlight w:val="none"/>
        </w:rPr>
      </w:pPr>
      <w:bookmarkStart w:id="71" w:name="_Toc26836"/>
      <w:bookmarkStart w:id="72" w:name="_Toc8263"/>
      <w:bookmarkStart w:id="73" w:name="_Toc7050"/>
      <w:bookmarkStart w:id="74" w:name="_Toc32648"/>
      <w:bookmarkStart w:id="75" w:name="_Toc21056"/>
      <w:bookmarkStart w:id="76" w:name="_Toc27678"/>
      <w:bookmarkStart w:id="77" w:name="_Toc8947"/>
      <w:r>
        <w:rPr>
          <w:rFonts w:hint="eastAsia" w:ascii="宋体" w:hAnsi="宋体" w:cs="宋体"/>
          <w:b/>
          <w:bCs/>
          <w:color w:val="auto"/>
          <w:sz w:val="22"/>
          <w:szCs w:val="22"/>
          <w:highlight w:val="none"/>
        </w:rPr>
        <w:t>六、 授予合同</w:t>
      </w:r>
      <w:bookmarkEnd w:id="71"/>
      <w:bookmarkEnd w:id="72"/>
      <w:bookmarkEnd w:id="73"/>
      <w:bookmarkEnd w:id="74"/>
      <w:bookmarkEnd w:id="75"/>
      <w:bookmarkEnd w:id="76"/>
      <w:bookmarkEnd w:id="77"/>
    </w:p>
    <w:p w14:paraId="15F185C3">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1、中标通知书</w:t>
      </w:r>
    </w:p>
    <w:p w14:paraId="24A3ACE5">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1.1中标人确定后，采购人将向中标人发出中标通知书。 </w:t>
      </w:r>
    </w:p>
    <w:p w14:paraId="7B27FC1F">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1.2中标通知书是合同的一个组成部分,对采购人和中标人均具有同等法律效力。</w:t>
      </w:r>
    </w:p>
    <w:p w14:paraId="0314BED0">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2、授标时更改采购货物数量的权力</w:t>
      </w:r>
    </w:p>
    <w:p w14:paraId="31693624">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2.1采购人在授予合同时有权对采购货物的数量和服务在一定幅度范围内予以增加或减少,但不得对单价和其他的条款和条件作任何改变。</w:t>
      </w:r>
    </w:p>
    <w:p w14:paraId="66E382EB">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3、签订合同</w:t>
      </w:r>
    </w:p>
    <w:p w14:paraId="1D13C56A">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3.1中标人应按中标通知书规定的时间、地点与采购人签订合同。</w:t>
      </w:r>
    </w:p>
    <w:p w14:paraId="70F95CF0">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3.2</w:t>
      </w:r>
      <w:r>
        <w:rPr>
          <w:rFonts w:hint="eastAsia" w:ascii="宋体" w:hAnsi="宋体" w:cs="宋体"/>
          <w:bCs/>
          <w:color w:val="auto"/>
          <w:spacing w:val="6"/>
          <w:sz w:val="22"/>
          <w:szCs w:val="22"/>
          <w:highlight w:val="none"/>
        </w:rPr>
        <w:t>在签订合同前，采购人有权在中标总价不变的前提下要求中标人对商务报价中的不平衡报价和缺漏项进行调整，如果中标人无合理理由拒绝调整，其中投标资格将被取消，保证金将不予退还，且将导致其它进一步的赔偿和处罚。</w:t>
      </w:r>
    </w:p>
    <w:p w14:paraId="4AAB713A">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3.3招标文件、中标人的投标文件、投标修改文件、评标过程中有关澄清文件及经投标人和评委双方签字的询标纪要和中标通知书均作为合同附件。</w:t>
      </w:r>
    </w:p>
    <w:p w14:paraId="5D2D74BD">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3.4拒签合同的违约责任</w:t>
      </w:r>
    </w:p>
    <w:p w14:paraId="4E98613A">
      <w:pPr>
        <w:spacing w:line="460" w:lineRule="exact"/>
        <w:ind w:firstLine="568" w:firstLineChars="245"/>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中标人接到中标通知书后，在规定时间内借故否认已经承诺的条件而拒签合同的，以违约处理。</w:t>
      </w:r>
    </w:p>
    <w:p w14:paraId="33785238">
      <w:pPr>
        <w:spacing w:line="460" w:lineRule="exact"/>
        <w:ind w:firstLine="571" w:firstLineChars="245"/>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lang w:val="en-US" w:eastAsia="zh-CN"/>
        </w:rPr>
        <w:t>（1）取消其</w:t>
      </w:r>
      <w:r>
        <w:rPr>
          <w:rFonts w:hint="eastAsia" w:ascii="宋体" w:hAnsi="宋体" w:cs="宋体"/>
          <w:b/>
          <w:color w:val="auto"/>
          <w:spacing w:val="6"/>
          <w:sz w:val="22"/>
          <w:szCs w:val="22"/>
          <w:highlight w:val="none"/>
          <w:lang w:val="en-US" w:eastAsia="zh-CN"/>
        </w:rPr>
        <w:t>中标</w:t>
      </w:r>
      <w:r>
        <w:rPr>
          <w:rFonts w:hint="eastAsia" w:ascii="宋体" w:hAnsi="宋体" w:eastAsia="宋体" w:cs="宋体"/>
          <w:b/>
          <w:color w:val="auto"/>
          <w:spacing w:val="6"/>
          <w:sz w:val="22"/>
          <w:szCs w:val="22"/>
          <w:highlight w:val="none"/>
          <w:lang w:val="en-US" w:eastAsia="zh-CN"/>
        </w:rPr>
        <w:t>资格。</w:t>
      </w:r>
    </w:p>
    <w:p w14:paraId="29D5BF18">
      <w:pPr>
        <w:spacing w:line="460" w:lineRule="exact"/>
        <w:ind w:firstLine="571" w:firstLineChars="245"/>
        <w:rPr>
          <w:rFonts w:hint="eastAsia" w:ascii="宋体" w:hAnsi="宋体" w:eastAsia="宋体" w:cs="宋体"/>
          <w:b/>
          <w:color w:val="auto"/>
          <w:spacing w:val="6"/>
          <w:sz w:val="22"/>
          <w:szCs w:val="22"/>
          <w:highlight w:val="none"/>
          <w:lang w:val="en-US" w:eastAsia="zh-CN"/>
        </w:rPr>
      </w:pPr>
      <w:r>
        <w:rPr>
          <w:rFonts w:hint="eastAsia" w:ascii="宋体" w:hAnsi="宋体" w:cs="宋体"/>
          <w:b/>
          <w:color w:val="auto"/>
          <w:spacing w:val="6"/>
          <w:sz w:val="22"/>
          <w:szCs w:val="22"/>
          <w:highlight w:val="none"/>
          <w:lang w:val="en-US" w:eastAsia="zh-CN"/>
        </w:rPr>
        <w:t>（2）《中华人民共和国政府采购法》第七十七条和《中华人民共和国政府采购法实施条例》第七十二条规定，供应商中标或成交后无正当理由拒不与采购人签订政府采购合同的情形，对供应商处以采购金额千分之五以上千分之十以下的罚款，列入不良行为记录名单，在一至三年内禁止参加政府采购活动，有违法所得的，并处没收违法所得，情节严重的，由工商行政管理机关吊</w:t>
      </w:r>
      <w:r>
        <w:rPr>
          <w:rFonts w:hint="eastAsia" w:ascii="宋体" w:hAnsi="宋体" w:eastAsia="宋体" w:cs="宋体"/>
          <w:b/>
          <w:color w:val="auto"/>
          <w:spacing w:val="6"/>
          <w:sz w:val="22"/>
          <w:szCs w:val="22"/>
          <w:highlight w:val="none"/>
          <w:lang w:val="en-US" w:eastAsia="zh-CN"/>
        </w:rPr>
        <w:t>销营业执照，构成犯罪的，依法追究刑事责任。</w:t>
      </w:r>
    </w:p>
    <w:p w14:paraId="4C99FEAA">
      <w:pPr>
        <w:spacing w:line="460" w:lineRule="exact"/>
        <w:ind w:firstLine="571" w:firstLineChars="245"/>
        <w:rPr>
          <w:rFonts w:hint="eastAsia" w:ascii="宋体" w:hAnsi="宋体" w:eastAsia="宋体" w:cs="宋体"/>
          <w:b/>
          <w:color w:val="auto"/>
          <w:spacing w:val="6"/>
          <w:sz w:val="22"/>
          <w:szCs w:val="22"/>
          <w:highlight w:val="none"/>
          <w:lang w:val="en-US" w:eastAsia="zh-CN"/>
        </w:rPr>
      </w:pPr>
      <w:r>
        <w:rPr>
          <w:rFonts w:hint="eastAsia" w:ascii="宋体" w:hAnsi="宋体" w:eastAsia="宋体" w:cs="宋体"/>
          <w:b/>
          <w:color w:val="auto"/>
          <w:spacing w:val="6"/>
          <w:sz w:val="22"/>
          <w:szCs w:val="22"/>
          <w:highlight w:val="none"/>
          <w:lang w:val="en-US" w:eastAsia="zh-CN"/>
        </w:rPr>
        <w:t>（3）给采购人造成损失的，采购人有权要求赔偿。</w:t>
      </w:r>
    </w:p>
    <w:p w14:paraId="15B7ACA9">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4、质疑与投诉</w:t>
      </w:r>
    </w:p>
    <w:p w14:paraId="70AD878D">
      <w:pPr>
        <w:spacing w:line="460" w:lineRule="exact"/>
        <w:ind w:firstLine="539" w:firstLineChars="245"/>
        <w:rPr>
          <w:rFonts w:ascii="宋体" w:hAnsi="宋体" w:cs="宋体"/>
          <w:b/>
          <w:color w:val="auto"/>
          <w:sz w:val="22"/>
          <w:szCs w:val="22"/>
          <w:highlight w:val="none"/>
        </w:rPr>
      </w:pPr>
      <w:r>
        <w:rPr>
          <w:rFonts w:hint="eastAsia" w:ascii="宋体" w:hAnsi="宋体" w:cs="宋体"/>
          <w:bCs/>
          <w:color w:val="auto"/>
          <w:sz w:val="22"/>
          <w:highlight w:val="none"/>
        </w:rPr>
        <w:t>4.1投标人认为招标</w:t>
      </w:r>
      <w:r>
        <w:rPr>
          <w:rFonts w:hint="eastAsia" w:ascii="宋体" w:hAnsi="宋体" w:cs="宋体"/>
          <w:color w:val="auto"/>
          <w:sz w:val="22"/>
          <w:highlight w:val="none"/>
        </w:rPr>
        <w:t>文件、采购过程、中标和成交结果使自己的合法权益受到损害的，可以在知道或应知道其权益受到损害之日起七个工作日内以书面形式向采购人或招标代理机构提出质疑。</w:t>
      </w:r>
    </w:p>
    <w:p w14:paraId="6206702E">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4.2采购人或招标代理机构在收到投标人的书面质疑后七个工作日内作出答复，但答复的内容不得涉及商业秘密。质疑投标人对采购人或招标代理机构的答复不满意，可以在答复期满后十五个工作日内向同级政府采购监督管理部门投诉。</w:t>
      </w:r>
    </w:p>
    <w:p w14:paraId="2F7F9A0E">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6C336A1D">
      <w:pPr>
        <w:pStyle w:val="24"/>
        <w:ind w:left="0" w:firstLine="0" w:firstLineChars="0"/>
        <w:rPr>
          <w:rFonts w:ascii="宋体" w:hAnsi="宋体" w:cs="宋体"/>
          <w:color w:val="auto"/>
          <w:sz w:val="22"/>
          <w:highlight w:val="none"/>
        </w:rPr>
      </w:pPr>
    </w:p>
    <w:p w14:paraId="0F0262B1">
      <w:pPr>
        <w:pStyle w:val="3"/>
        <w:rPr>
          <w:rFonts w:ascii="宋体" w:hAnsi="宋体" w:eastAsia="宋体" w:cs="宋体"/>
          <w:color w:val="auto"/>
          <w:highlight w:val="none"/>
        </w:rPr>
      </w:pPr>
      <w:bookmarkStart w:id="78" w:name="_Toc29390"/>
      <w:bookmarkStart w:id="79" w:name="_Toc26804"/>
      <w:bookmarkStart w:id="80" w:name="_Toc20554"/>
      <w:bookmarkStart w:id="81" w:name="_Toc5142"/>
      <w:r>
        <w:rPr>
          <w:rFonts w:hint="eastAsia" w:ascii="宋体" w:hAnsi="宋体" w:eastAsia="宋体" w:cs="宋体"/>
          <w:color w:val="auto"/>
          <w:highlight w:val="none"/>
        </w:rPr>
        <w:br w:type="page"/>
      </w:r>
      <w:bookmarkStart w:id="82" w:name="_Toc11926"/>
      <w:bookmarkStart w:id="83" w:name="_Toc9142"/>
      <w:bookmarkStart w:id="84" w:name="_Toc20362"/>
      <w:bookmarkStart w:id="85" w:name="_Toc913"/>
      <w:r>
        <w:rPr>
          <w:rFonts w:hint="eastAsia" w:ascii="宋体" w:hAnsi="宋体" w:eastAsia="宋体" w:cs="宋体"/>
          <w:color w:val="auto"/>
          <w:highlight w:val="none"/>
        </w:rPr>
        <w:t>第二部分    合同主要条款</w:t>
      </w:r>
      <w:bookmarkEnd w:id="78"/>
      <w:bookmarkEnd w:id="79"/>
      <w:bookmarkEnd w:id="80"/>
      <w:bookmarkEnd w:id="81"/>
      <w:bookmarkEnd w:id="82"/>
      <w:bookmarkEnd w:id="83"/>
      <w:bookmarkEnd w:id="84"/>
      <w:bookmarkEnd w:id="85"/>
    </w:p>
    <w:p w14:paraId="7CF01C5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本条款为</w:t>
      </w:r>
      <w:r>
        <w:rPr>
          <w:rFonts w:hint="eastAsia" w:ascii="宋体" w:hAnsi="宋体" w:cs="宋体"/>
          <w:bCs/>
          <w:color w:val="auto"/>
          <w:sz w:val="22"/>
          <w:szCs w:val="22"/>
          <w:highlight w:val="none"/>
        </w:rPr>
        <w:t>甲乙</w:t>
      </w:r>
      <w:r>
        <w:rPr>
          <w:rFonts w:hint="eastAsia" w:ascii="宋体" w:hAnsi="宋体" w:cs="宋体"/>
          <w:color w:val="auto"/>
          <w:sz w:val="22"/>
          <w:szCs w:val="22"/>
          <w:highlight w:val="none"/>
        </w:rPr>
        <w:t>双方必须遵守的基本条款，</w:t>
      </w:r>
      <w:r>
        <w:rPr>
          <w:rFonts w:hint="eastAsia" w:ascii="宋体" w:hAnsi="宋体" w:cs="宋体"/>
          <w:bCs/>
          <w:color w:val="auto"/>
          <w:sz w:val="22"/>
          <w:szCs w:val="22"/>
          <w:highlight w:val="none"/>
        </w:rPr>
        <w:t>甲乙</w:t>
      </w:r>
      <w:r>
        <w:rPr>
          <w:rFonts w:hint="eastAsia" w:ascii="宋体" w:hAnsi="宋体" w:cs="宋体"/>
          <w:color w:val="auto"/>
          <w:sz w:val="22"/>
          <w:szCs w:val="22"/>
          <w:highlight w:val="none"/>
        </w:rPr>
        <w:t>双方也可根据实际情况另签合同条款，正式合同以双方签字盖章的文本为准。</w:t>
      </w:r>
    </w:p>
    <w:p w14:paraId="1C6295E5">
      <w:pPr>
        <w:spacing w:line="460" w:lineRule="exact"/>
        <w:rPr>
          <w:rFonts w:ascii="宋体" w:hAnsi="宋体" w:cs="宋体"/>
          <w:color w:val="auto"/>
          <w:sz w:val="22"/>
          <w:szCs w:val="22"/>
          <w:highlight w:val="none"/>
        </w:rPr>
      </w:pPr>
    </w:p>
    <w:p w14:paraId="143D3AC9">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（采购人）</w:t>
      </w:r>
    </w:p>
    <w:p w14:paraId="333BD8D8">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（中标人）</w:t>
      </w:r>
    </w:p>
    <w:p w14:paraId="344A47CC">
      <w:pPr>
        <w:spacing w:line="460" w:lineRule="exact"/>
        <w:ind w:firstLine="539" w:firstLineChars="245"/>
        <w:rPr>
          <w:rFonts w:ascii="宋体" w:hAnsi="宋体" w:cs="宋体"/>
          <w:color w:val="auto"/>
          <w:sz w:val="22"/>
          <w:szCs w:val="22"/>
          <w:highlight w:val="none"/>
        </w:rPr>
      </w:pPr>
    </w:p>
    <w:p w14:paraId="4B108BE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温州医科大学的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（项目名称、编号）</w:t>
      </w:r>
      <w:r>
        <w:rPr>
          <w:rFonts w:hint="eastAsia" w:ascii="新宋体" w:hAnsi="新宋体" w:eastAsia="新宋体" w:cs="新宋体"/>
          <w:bCs/>
          <w:color w:val="auto"/>
          <w:sz w:val="22"/>
          <w:szCs w:val="22"/>
          <w:highlight w:val="none"/>
        </w:rPr>
        <w:t>在国内以公开招标方式进行招标，经评标委员会评定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（中标人名称）为中标人。双方本着诚信及互利互惠的原则，同意按照下面条款和条件，签署本合同</w:t>
      </w:r>
      <w:r>
        <w:rPr>
          <w:rFonts w:hint="eastAsia" w:ascii="宋体" w:hAnsi="宋体" w:cs="宋体"/>
          <w:color w:val="auto"/>
          <w:sz w:val="22"/>
          <w:szCs w:val="22"/>
          <w:highlight w:val="none"/>
        </w:rPr>
        <w:t>。</w:t>
      </w:r>
    </w:p>
    <w:p w14:paraId="7CBDD91A">
      <w:pPr>
        <w:spacing w:line="460" w:lineRule="exact"/>
        <w:ind w:firstLine="420"/>
        <w:outlineLvl w:val="1"/>
        <w:rPr>
          <w:rFonts w:ascii="宋体" w:hAnsi="宋体" w:cs="宋体"/>
          <w:b/>
          <w:bCs/>
          <w:color w:val="auto"/>
          <w:sz w:val="22"/>
          <w:szCs w:val="22"/>
          <w:highlight w:val="none"/>
        </w:rPr>
      </w:pPr>
      <w:bookmarkStart w:id="86" w:name="_Toc23337"/>
      <w:bookmarkStart w:id="87" w:name="_Toc4496"/>
      <w:bookmarkStart w:id="88" w:name="_Toc29346"/>
      <w:bookmarkStart w:id="89" w:name="_Toc7606"/>
      <w:bookmarkStart w:id="90" w:name="_Toc17887"/>
      <w:bookmarkStart w:id="91" w:name="_Toc12231"/>
      <w:bookmarkStart w:id="92" w:name="_Toc3658"/>
      <w:bookmarkStart w:id="93" w:name="_Toc22531"/>
      <w:r>
        <w:rPr>
          <w:rFonts w:hint="eastAsia" w:ascii="宋体" w:hAnsi="宋体" w:cs="宋体"/>
          <w:b/>
          <w:bCs/>
          <w:color w:val="auto"/>
          <w:sz w:val="22"/>
          <w:szCs w:val="22"/>
          <w:highlight w:val="none"/>
        </w:rPr>
        <w:t>一、本合同签订依据</w:t>
      </w:r>
      <w:bookmarkEnd w:id="86"/>
      <w:bookmarkEnd w:id="87"/>
      <w:bookmarkEnd w:id="88"/>
      <w:bookmarkEnd w:id="89"/>
      <w:bookmarkEnd w:id="90"/>
      <w:bookmarkEnd w:id="91"/>
      <w:bookmarkEnd w:id="92"/>
      <w:bookmarkEnd w:id="93"/>
    </w:p>
    <w:p w14:paraId="10EFA6A3">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《中华人民共和国民法典》。</w:t>
      </w:r>
    </w:p>
    <w:p w14:paraId="779CE8F6">
      <w:pPr>
        <w:spacing w:line="460" w:lineRule="exact"/>
        <w:ind w:firstLine="541" w:firstLineChars="245"/>
        <w:outlineLvl w:val="1"/>
        <w:rPr>
          <w:rFonts w:ascii="新宋体" w:hAnsi="新宋体" w:eastAsia="新宋体" w:cs="新宋体"/>
          <w:b/>
          <w:color w:val="auto"/>
          <w:sz w:val="22"/>
          <w:szCs w:val="22"/>
          <w:highlight w:val="none"/>
        </w:rPr>
      </w:pPr>
      <w:bookmarkStart w:id="94" w:name="_Toc20675"/>
      <w:bookmarkStart w:id="95" w:name="_Toc28343"/>
      <w:bookmarkStart w:id="96" w:name="_Toc4989"/>
      <w:bookmarkStart w:id="97" w:name="_Toc5206"/>
      <w:bookmarkStart w:id="98" w:name="_Toc15111"/>
      <w:r>
        <w:rPr>
          <w:rFonts w:hint="eastAsia" w:ascii="新宋体" w:hAnsi="新宋体" w:eastAsia="新宋体" w:cs="新宋体"/>
          <w:b/>
          <w:color w:val="auto"/>
          <w:sz w:val="22"/>
          <w:szCs w:val="22"/>
          <w:highlight w:val="none"/>
        </w:rPr>
        <w:t>二、合同文件的优先次序</w:t>
      </w:r>
      <w:bookmarkEnd w:id="94"/>
      <w:bookmarkEnd w:id="95"/>
      <w:bookmarkEnd w:id="96"/>
      <w:bookmarkEnd w:id="97"/>
      <w:bookmarkEnd w:id="98"/>
    </w:p>
    <w:p w14:paraId="2C625962">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14:paraId="6C7ED1CC">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1、合同书及合同补充条款或说明 </w:t>
      </w:r>
    </w:p>
    <w:p w14:paraId="098633B7">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2、中标通知书</w:t>
      </w:r>
    </w:p>
    <w:p w14:paraId="044C360C">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14:paraId="709066D3">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4、投标文件</w:t>
      </w:r>
    </w:p>
    <w:p w14:paraId="3EB6AD5E">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5、招标文件</w:t>
      </w:r>
    </w:p>
    <w:p w14:paraId="39979B68">
      <w:pPr>
        <w:spacing w:line="460" w:lineRule="exact"/>
        <w:ind w:firstLine="541" w:firstLineChars="245"/>
        <w:outlineLvl w:val="1"/>
        <w:rPr>
          <w:rFonts w:ascii="新宋体" w:hAnsi="新宋体" w:eastAsia="新宋体" w:cs="新宋体"/>
          <w:b/>
          <w:color w:val="auto"/>
          <w:sz w:val="22"/>
          <w:szCs w:val="22"/>
          <w:highlight w:val="none"/>
        </w:rPr>
      </w:pPr>
      <w:bookmarkStart w:id="99" w:name="_Toc28953"/>
      <w:bookmarkStart w:id="100" w:name="_Toc26396"/>
      <w:bookmarkStart w:id="101" w:name="_Toc939"/>
      <w:bookmarkStart w:id="102" w:name="_Toc29811"/>
      <w:bookmarkStart w:id="103" w:name="_Toc18655"/>
      <w:r>
        <w:rPr>
          <w:rFonts w:hint="eastAsia" w:ascii="新宋体" w:hAnsi="新宋体" w:eastAsia="新宋体" w:cs="新宋体"/>
          <w:b/>
          <w:color w:val="auto"/>
          <w:sz w:val="22"/>
          <w:szCs w:val="22"/>
          <w:highlight w:val="none"/>
        </w:rPr>
        <w:t>三、采购内容</w:t>
      </w:r>
      <w:bookmarkEnd w:id="99"/>
      <w:bookmarkEnd w:id="100"/>
      <w:bookmarkEnd w:id="101"/>
      <w:bookmarkEnd w:id="102"/>
      <w:bookmarkEnd w:id="103"/>
    </w:p>
    <w:p w14:paraId="50A85D5A">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1、规格及数量</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088"/>
        <w:gridCol w:w="1335"/>
        <w:gridCol w:w="1095"/>
        <w:gridCol w:w="750"/>
        <w:gridCol w:w="1473"/>
        <w:gridCol w:w="1065"/>
      </w:tblGrid>
      <w:tr w14:paraId="2450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Pr>
          <w:p w14:paraId="1E681508">
            <w:pPr>
              <w:spacing w:line="460" w:lineRule="exact"/>
              <w:rPr>
                <w:rFonts w:hAnsi="宋体"/>
                <w:color w:val="auto"/>
                <w:szCs w:val="21"/>
                <w:highlight w:val="none"/>
              </w:rPr>
            </w:pPr>
            <w:r>
              <w:rPr>
                <w:rFonts w:hint="eastAsia" w:hAnsi="宋体"/>
                <w:color w:val="auto"/>
                <w:szCs w:val="21"/>
                <w:highlight w:val="none"/>
              </w:rPr>
              <w:t>序号</w:t>
            </w:r>
          </w:p>
        </w:tc>
        <w:tc>
          <w:tcPr>
            <w:tcW w:w="2088" w:type="dxa"/>
          </w:tcPr>
          <w:p w14:paraId="7B1277A6">
            <w:pPr>
              <w:spacing w:line="460" w:lineRule="exact"/>
              <w:rPr>
                <w:rFonts w:hAnsi="宋体"/>
                <w:color w:val="auto"/>
                <w:szCs w:val="21"/>
                <w:highlight w:val="none"/>
              </w:rPr>
            </w:pPr>
            <w:r>
              <w:rPr>
                <w:rFonts w:hint="eastAsia" w:hAnsi="宋体"/>
                <w:color w:val="auto"/>
                <w:szCs w:val="21"/>
                <w:highlight w:val="none"/>
              </w:rPr>
              <w:t>设备名称</w:t>
            </w:r>
          </w:p>
        </w:tc>
        <w:tc>
          <w:tcPr>
            <w:tcW w:w="1335" w:type="dxa"/>
          </w:tcPr>
          <w:p w14:paraId="42F7542D">
            <w:pPr>
              <w:spacing w:line="460" w:lineRule="exact"/>
              <w:rPr>
                <w:rFonts w:hAnsi="宋体"/>
                <w:color w:val="auto"/>
                <w:szCs w:val="21"/>
                <w:highlight w:val="none"/>
              </w:rPr>
            </w:pPr>
            <w:r>
              <w:rPr>
                <w:rFonts w:hint="eastAsia" w:hAnsi="宋体"/>
                <w:color w:val="auto"/>
                <w:szCs w:val="21"/>
                <w:highlight w:val="none"/>
              </w:rPr>
              <w:t>单价</w:t>
            </w:r>
          </w:p>
        </w:tc>
        <w:tc>
          <w:tcPr>
            <w:tcW w:w="1095" w:type="dxa"/>
          </w:tcPr>
          <w:p w14:paraId="3A50F65B">
            <w:pPr>
              <w:spacing w:line="460" w:lineRule="exact"/>
              <w:rPr>
                <w:rFonts w:hAnsi="宋体"/>
                <w:color w:val="auto"/>
                <w:szCs w:val="21"/>
                <w:highlight w:val="none"/>
              </w:rPr>
            </w:pPr>
            <w:r>
              <w:rPr>
                <w:rFonts w:hint="eastAsia" w:hAnsi="宋体"/>
                <w:color w:val="auto"/>
                <w:szCs w:val="21"/>
                <w:highlight w:val="none"/>
              </w:rPr>
              <w:t>数量</w:t>
            </w:r>
          </w:p>
        </w:tc>
        <w:tc>
          <w:tcPr>
            <w:tcW w:w="750" w:type="dxa"/>
          </w:tcPr>
          <w:p w14:paraId="6AB998B9">
            <w:pPr>
              <w:spacing w:line="460" w:lineRule="exact"/>
              <w:rPr>
                <w:rFonts w:hAnsi="宋体"/>
                <w:color w:val="auto"/>
                <w:szCs w:val="21"/>
                <w:highlight w:val="none"/>
              </w:rPr>
            </w:pPr>
            <w:r>
              <w:rPr>
                <w:rFonts w:hint="eastAsia" w:hAnsi="宋体"/>
                <w:color w:val="auto"/>
                <w:szCs w:val="21"/>
                <w:highlight w:val="none"/>
              </w:rPr>
              <w:t>合价</w:t>
            </w:r>
          </w:p>
        </w:tc>
        <w:tc>
          <w:tcPr>
            <w:tcW w:w="1473" w:type="dxa"/>
          </w:tcPr>
          <w:p w14:paraId="0851A3EC">
            <w:pPr>
              <w:spacing w:line="460" w:lineRule="exact"/>
              <w:rPr>
                <w:rFonts w:hAnsi="宋体"/>
                <w:color w:val="auto"/>
                <w:szCs w:val="21"/>
                <w:highlight w:val="none"/>
              </w:rPr>
            </w:pPr>
            <w:r>
              <w:rPr>
                <w:rFonts w:hint="eastAsia" w:hAnsi="宋体"/>
                <w:color w:val="auto"/>
                <w:szCs w:val="21"/>
                <w:highlight w:val="none"/>
              </w:rPr>
              <w:t>交货周期</w:t>
            </w:r>
          </w:p>
        </w:tc>
        <w:tc>
          <w:tcPr>
            <w:tcW w:w="1065" w:type="dxa"/>
          </w:tcPr>
          <w:p w14:paraId="2798EA11">
            <w:pPr>
              <w:spacing w:line="460" w:lineRule="exact"/>
              <w:rPr>
                <w:rFonts w:hAnsi="宋体"/>
                <w:color w:val="auto"/>
                <w:szCs w:val="21"/>
                <w:highlight w:val="none"/>
              </w:rPr>
            </w:pPr>
            <w:r>
              <w:rPr>
                <w:rFonts w:hint="eastAsia" w:hAnsi="宋体"/>
                <w:color w:val="auto"/>
                <w:szCs w:val="21"/>
                <w:highlight w:val="none"/>
              </w:rPr>
              <w:t>备注</w:t>
            </w:r>
          </w:p>
        </w:tc>
      </w:tr>
      <w:tr w14:paraId="4D7E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Pr>
          <w:p w14:paraId="1159CCDB">
            <w:pPr>
              <w:spacing w:line="460" w:lineRule="exact"/>
              <w:rPr>
                <w:rFonts w:hAnsi="宋体"/>
                <w:color w:val="auto"/>
                <w:szCs w:val="21"/>
                <w:highlight w:val="none"/>
              </w:rPr>
            </w:pPr>
          </w:p>
        </w:tc>
        <w:tc>
          <w:tcPr>
            <w:tcW w:w="2088" w:type="dxa"/>
          </w:tcPr>
          <w:p w14:paraId="205E5ABE">
            <w:pPr>
              <w:spacing w:line="460" w:lineRule="exact"/>
              <w:rPr>
                <w:rFonts w:hAnsi="宋体"/>
                <w:color w:val="auto"/>
                <w:szCs w:val="21"/>
                <w:highlight w:val="none"/>
              </w:rPr>
            </w:pPr>
          </w:p>
        </w:tc>
        <w:tc>
          <w:tcPr>
            <w:tcW w:w="1335" w:type="dxa"/>
          </w:tcPr>
          <w:p w14:paraId="10257C2B">
            <w:pPr>
              <w:spacing w:line="460" w:lineRule="exact"/>
              <w:rPr>
                <w:rFonts w:hAnsi="宋体"/>
                <w:color w:val="auto"/>
                <w:szCs w:val="21"/>
                <w:highlight w:val="none"/>
              </w:rPr>
            </w:pPr>
          </w:p>
        </w:tc>
        <w:tc>
          <w:tcPr>
            <w:tcW w:w="1095" w:type="dxa"/>
          </w:tcPr>
          <w:p w14:paraId="11BD0DD6">
            <w:pPr>
              <w:spacing w:line="460" w:lineRule="exact"/>
              <w:rPr>
                <w:rFonts w:hAnsi="宋体"/>
                <w:color w:val="auto"/>
                <w:szCs w:val="21"/>
                <w:highlight w:val="none"/>
              </w:rPr>
            </w:pPr>
          </w:p>
        </w:tc>
        <w:tc>
          <w:tcPr>
            <w:tcW w:w="750" w:type="dxa"/>
          </w:tcPr>
          <w:p w14:paraId="448B2DB2">
            <w:pPr>
              <w:spacing w:line="460" w:lineRule="exact"/>
              <w:rPr>
                <w:rFonts w:hAnsi="宋体"/>
                <w:color w:val="auto"/>
                <w:szCs w:val="21"/>
                <w:highlight w:val="none"/>
              </w:rPr>
            </w:pPr>
          </w:p>
        </w:tc>
        <w:tc>
          <w:tcPr>
            <w:tcW w:w="1473" w:type="dxa"/>
          </w:tcPr>
          <w:p w14:paraId="4A04635F">
            <w:pPr>
              <w:spacing w:line="460" w:lineRule="exact"/>
              <w:rPr>
                <w:rFonts w:hAnsi="宋体"/>
                <w:color w:val="auto"/>
                <w:szCs w:val="21"/>
                <w:highlight w:val="none"/>
              </w:rPr>
            </w:pPr>
          </w:p>
        </w:tc>
        <w:tc>
          <w:tcPr>
            <w:tcW w:w="1065" w:type="dxa"/>
          </w:tcPr>
          <w:p w14:paraId="371B41EB">
            <w:pPr>
              <w:spacing w:line="460" w:lineRule="exact"/>
              <w:rPr>
                <w:rFonts w:hAnsi="宋体"/>
                <w:color w:val="auto"/>
                <w:szCs w:val="21"/>
                <w:highlight w:val="none"/>
              </w:rPr>
            </w:pPr>
          </w:p>
        </w:tc>
      </w:tr>
      <w:tr w14:paraId="03F6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Pr>
          <w:p w14:paraId="5F1A531A">
            <w:pPr>
              <w:spacing w:line="460" w:lineRule="exact"/>
              <w:rPr>
                <w:rFonts w:hAnsi="宋体"/>
                <w:color w:val="auto"/>
                <w:szCs w:val="21"/>
                <w:highlight w:val="none"/>
              </w:rPr>
            </w:pPr>
          </w:p>
        </w:tc>
        <w:tc>
          <w:tcPr>
            <w:tcW w:w="2088" w:type="dxa"/>
          </w:tcPr>
          <w:p w14:paraId="1B5C55AC">
            <w:pPr>
              <w:spacing w:line="460" w:lineRule="exact"/>
              <w:rPr>
                <w:rFonts w:hAnsi="宋体"/>
                <w:color w:val="auto"/>
                <w:szCs w:val="21"/>
                <w:highlight w:val="none"/>
              </w:rPr>
            </w:pPr>
          </w:p>
        </w:tc>
        <w:tc>
          <w:tcPr>
            <w:tcW w:w="1335" w:type="dxa"/>
          </w:tcPr>
          <w:p w14:paraId="29D347F1">
            <w:pPr>
              <w:spacing w:line="460" w:lineRule="exact"/>
              <w:rPr>
                <w:rFonts w:hAnsi="宋体"/>
                <w:color w:val="auto"/>
                <w:szCs w:val="21"/>
                <w:highlight w:val="none"/>
              </w:rPr>
            </w:pPr>
          </w:p>
        </w:tc>
        <w:tc>
          <w:tcPr>
            <w:tcW w:w="1095" w:type="dxa"/>
          </w:tcPr>
          <w:p w14:paraId="3B581D33">
            <w:pPr>
              <w:spacing w:line="460" w:lineRule="exact"/>
              <w:rPr>
                <w:rFonts w:hAnsi="宋体"/>
                <w:color w:val="auto"/>
                <w:szCs w:val="21"/>
                <w:highlight w:val="none"/>
              </w:rPr>
            </w:pPr>
          </w:p>
        </w:tc>
        <w:tc>
          <w:tcPr>
            <w:tcW w:w="750" w:type="dxa"/>
          </w:tcPr>
          <w:p w14:paraId="0E52B674">
            <w:pPr>
              <w:spacing w:line="460" w:lineRule="exact"/>
              <w:rPr>
                <w:rFonts w:hAnsi="宋体"/>
                <w:color w:val="auto"/>
                <w:szCs w:val="21"/>
                <w:highlight w:val="none"/>
              </w:rPr>
            </w:pPr>
          </w:p>
        </w:tc>
        <w:tc>
          <w:tcPr>
            <w:tcW w:w="1473" w:type="dxa"/>
          </w:tcPr>
          <w:p w14:paraId="2059616B">
            <w:pPr>
              <w:spacing w:line="460" w:lineRule="exact"/>
              <w:rPr>
                <w:rFonts w:hAnsi="宋体"/>
                <w:color w:val="auto"/>
                <w:szCs w:val="21"/>
                <w:highlight w:val="none"/>
              </w:rPr>
            </w:pPr>
          </w:p>
        </w:tc>
        <w:tc>
          <w:tcPr>
            <w:tcW w:w="1065" w:type="dxa"/>
          </w:tcPr>
          <w:p w14:paraId="378B602B">
            <w:pPr>
              <w:spacing w:line="460" w:lineRule="exact"/>
              <w:rPr>
                <w:rFonts w:hAnsi="宋体"/>
                <w:color w:val="auto"/>
                <w:szCs w:val="21"/>
                <w:highlight w:val="none"/>
              </w:rPr>
            </w:pPr>
          </w:p>
        </w:tc>
      </w:tr>
      <w:tr w14:paraId="7D03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2" w:type="dxa"/>
            <w:gridSpan w:val="7"/>
          </w:tcPr>
          <w:p w14:paraId="634ADEE9">
            <w:pPr>
              <w:spacing w:line="460" w:lineRule="exact"/>
              <w:rPr>
                <w:rFonts w:hAnsi="宋体"/>
                <w:color w:val="auto"/>
                <w:szCs w:val="21"/>
                <w:highlight w:val="none"/>
              </w:rPr>
            </w:pPr>
            <w:r>
              <w:rPr>
                <w:rFonts w:hint="eastAsia" w:hAnsi="宋体"/>
                <w:color w:val="auto"/>
                <w:szCs w:val="21"/>
                <w:highlight w:val="none"/>
              </w:rPr>
              <w:t>合同额：大写：                              小写：</w:t>
            </w:r>
          </w:p>
        </w:tc>
      </w:tr>
    </w:tbl>
    <w:p w14:paraId="023906F9">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2、标准和计量单位</w:t>
      </w:r>
    </w:p>
    <w:p w14:paraId="78549376">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（1）本合同项下交付的货物应符合技术规格所述的标准。如在招标文件中无相应说明，则以国家颁布的最新版本标准或行业（部）标准或相应的国际标准执行，没有国家或行业（部）标准的则按企业标准执行。</w:t>
      </w:r>
    </w:p>
    <w:p w14:paraId="67E3AE95">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 除非技术规格中另有规定，计量单位均采用中华人民共和国法定计量单位。</w:t>
      </w:r>
    </w:p>
    <w:p w14:paraId="05A34097">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3、专利权</w:t>
      </w:r>
    </w:p>
    <w:p w14:paraId="1DC28156">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乙方应保证，甲方在使用该货物或货物的任何一部分时，免受第三方提出的侵犯其专利权、商标权、著作权或其它知识产权的起诉。乙方应承担由此可能产生的一切法律责任和费用。</w:t>
      </w:r>
    </w:p>
    <w:p w14:paraId="2998ABCE">
      <w:pPr>
        <w:spacing w:line="460" w:lineRule="exact"/>
        <w:ind w:firstLine="541" w:firstLineChars="245"/>
        <w:outlineLvl w:val="1"/>
        <w:rPr>
          <w:rFonts w:ascii="新宋体" w:hAnsi="新宋体" w:eastAsia="新宋体" w:cs="新宋体"/>
          <w:b/>
          <w:color w:val="auto"/>
          <w:sz w:val="22"/>
          <w:szCs w:val="22"/>
          <w:highlight w:val="none"/>
        </w:rPr>
      </w:pPr>
      <w:bookmarkStart w:id="104" w:name="_Toc17454"/>
      <w:bookmarkStart w:id="105" w:name="_Toc19420"/>
      <w:bookmarkStart w:id="106" w:name="_Toc7649"/>
      <w:bookmarkStart w:id="107" w:name="_Toc19898"/>
      <w:bookmarkStart w:id="108" w:name="_Toc7791"/>
      <w:r>
        <w:rPr>
          <w:rFonts w:hint="eastAsia" w:ascii="新宋体" w:hAnsi="新宋体" w:eastAsia="新宋体" w:cs="新宋体"/>
          <w:b/>
          <w:color w:val="auto"/>
          <w:sz w:val="22"/>
          <w:szCs w:val="22"/>
          <w:highlight w:val="none"/>
        </w:rPr>
        <w:t>四、交货</w:t>
      </w:r>
      <w:bookmarkEnd w:id="104"/>
      <w:bookmarkEnd w:id="105"/>
      <w:bookmarkEnd w:id="106"/>
      <w:bookmarkEnd w:id="107"/>
      <w:bookmarkEnd w:id="108"/>
    </w:p>
    <w:p w14:paraId="42EAA8C5">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1、包装要求</w:t>
      </w:r>
    </w:p>
    <w:p w14:paraId="56823A25">
      <w:pPr>
        <w:spacing w:line="440" w:lineRule="exact"/>
        <w:ind w:firstLine="539" w:firstLineChars="245"/>
        <w:rPr>
          <w:rFonts w:ascii="新宋体" w:hAnsi="新宋体" w:eastAsia="新宋体"/>
          <w:color w:val="auto"/>
          <w:sz w:val="22"/>
          <w:highlight w:val="none"/>
        </w:rPr>
      </w:pPr>
      <w:bookmarkStart w:id="109" w:name="OLE_LINK4"/>
      <w:r>
        <w:rPr>
          <w:rFonts w:hint="eastAsia" w:ascii="新宋体" w:hAnsi="新宋体" w:eastAsia="新宋体"/>
          <w:color w:val="auto"/>
          <w:sz w:val="22"/>
          <w:highlight w:val="none"/>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14:paraId="3CE93086">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（2）每一包装箱内必须附有装箱清单、合格证和齐全的技术资料等。</w:t>
      </w:r>
      <w:bookmarkEnd w:id="109"/>
    </w:p>
    <w:p w14:paraId="19E6C58A">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（3）乙方应在每一包装箱的四侧用不褪色的油漆以醒目的中文字样标注“收货人”“货物名称”“小心轻放”、“防潮”、“此端朝上，请勿倒置”等字样和其他国际贸易中使用的适当标志。</w:t>
      </w:r>
    </w:p>
    <w:p w14:paraId="1CB336EE">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2、交货方式</w:t>
      </w:r>
    </w:p>
    <w:p w14:paraId="4215E06A">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（1）现场交货：乙方负责办理运输和保险，将货物运抵甲方指定的现场并落地就位。有关运输和保险的一切费用由乙方承担。所有货物运抵现场的日期为交货日期。</w:t>
      </w:r>
    </w:p>
    <w:p w14:paraId="59EFF488">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（2）在现场交货条件下，乙方在货物发运前</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天，将要发运货物的合同号、货物名称、规格、数量、包装箱件数、重量、包装箱尺寸（长×宽×高）和货物的卸车，贮存的特殊要求以及运输工具名称以及启运日期，以传真形式通知甲方。</w:t>
      </w:r>
    </w:p>
    <w:p w14:paraId="52A629CE">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（3）如因乙方延误将上述内容用传真形式通知甲方，由此引起的一切损失应由乙方承担。</w:t>
      </w:r>
    </w:p>
    <w:p w14:paraId="2ED97A53">
      <w:pPr>
        <w:spacing w:line="460" w:lineRule="exact"/>
        <w:ind w:firstLine="541" w:firstLineChars="245"/>
        <w:rPr>
          <w:rFonts w:ascii="新宋体" w:hAnsi="新宋体" w:eastAsia="新宋体"/>
          <w:b/>
          <w:color w:val="auto"/>
          <w:sz w:val="22"/>
          <w:highlight w:val="none"/>
        </w:rPr>
      </w:pPr>
      <w:r>
        <w:rPr>
          <w:rFonts w:hint="eastAsia" w:ascii="新宋体" w:hAnsi="新宋体" w:eastAsia="新宋体" w:cs="新宋体"/>
          <w:b/>
          <w:bCs/>
          <w:color w:val="auto"/>
          <w:sz w:val="22"/>
          <w:szCs w:val="22"/>
          <w:highlight w:val="none"/>
        </w:rPr>
        <w:t xml:space="preserve"> </w:t>
      </w:r>
      <w:r>
        <w:rPr>
          <w:rFonts w:hint="eastAsia" w:ascii="新宋体" w:hAnsi="新宋体" w:eastAsia="新宋体"/>
          <w:b/>
          <w:color w:val="auto"/>
          <w:sz w:val="22"/>
          <w:highlight w:val="none"/>
        </w:rPr>
        <w:t>3、交付日期：在合同签订后30天内交货并完成安装调试，交使用方验收。</w:t>
      </w:r>
    </w:p>
    <w:p w14:paraId="4EC3A1D6">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4、交货地点：甲方指定地点</w:t>
      </w:r>
    </w:p>
    <w:p w14:paraId="43204654">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5、技术文件和资料</w:t>
      </w:r>
    </w:p>
    <w:p w14:paraId="4EB367D8">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（1）提供技术文件和资料的种类和数量在本招标文件《</w:t>
      </w:r>
      <w:r>
        <w:rPr>
          <w:rFonts w:hint="eastAsia" w:ascii="宋体" w:hAnsi="宋体" w:cs="宋体"/>
          <w:color w:val="auto"/>
          <w:highlight w:val="none"/>
        </w:rPr>
        <w:t>项目技术规范和服务要求</w:t>
      </w:r>
      <w:r>
        <w:rPr>
          <w:rFonts w:hint="eastAsia" w:ascii="新宋体" w:hAnsi="新宋体" w:eastAsia="新宋体"/>
          <w:color w:val="auto"/>
          <w:sz w:val="22"/>
          <w:highlight w:val="none"/>
        </w:rPr>
        <w:t>》中规定，甲乙双方可根据采购要求和需要订立具体的技术文件和资料交付时间和数量。</w:t>
      </w:r>
    </w:p>
    <w:p w14:paraId="5FA42BB4">
      <w:pPr>
        <w:spacing w:line="440" w:lineRule="exact"/>
        <w:ind w:firstLine="539" w:firstLineChars="245"/>
        <w:rPr>
          <w:rFonts w:ascii="新宋体" w:hAnsi="新宋体" w:eastAsia="新宋体"/>
          <w:b/>
          <w:color w:val="auto"/>
          <w:sz w:val="22"/>
          <w:highlight w:val="none"/>
        </w:rPr>
      </w:pPr>
      <w:r>
        <w:rPr>
          <w:rFonts w:hint="eastAsia" w:ascii="新宋体" w:hAnsi="新宋体" w:eastAsia="新宋体"/>
          <w:color w:val="auto"/>
          <w:sz w:val="22"/>
          <w:highlight w:val="none"/>
        </w:rPr>
        <w:t>（2）如果甲方确认乙方提供的技术文件和资料不完整，或在运输途中丢失，乙方应在收到甲方通知后3天内将这些文件、资料补齐。</w:t>
      </w:r>
    </w:p>
    <w:p w14:paraId="46881FB4">
      <w:pPr>
        <w:spacing w:line="460" w:lineRule="exact"/>
        <w:ind w:firstLine="541" w:firstLineChars="245"/>
        <w:outlineLvl w:val="1"/>
        <w:rPr>
          <w:rFonts w:ascii="新宋体" w:hAnsi="新宋体" w:eastAsia="新宋体" w:cs="新宋体"/>
          <w:b/>
          <w:color w:val="auto"/>
          <w:sz w:val="22"/>
          <w:szCs w:val="22"/>
          <w:highlight w:val="none"/>
        </w:rPr>
      </w:pPr>
      <w:bookmarkStart w:id="110" w:name="_Toc14494"/>
      <w:bookmarkStart w:id="111" w:name="_Toc24243"/>
      <w:bookmarkStart w:id="112" w:name="_Toc9979"/>
      <w:bookmarkStart w:id="113" w:name="_Toc17179"/>
      <w:bookmarkStart w:id="114" w:name="_Toc3146"/>
      <w:r>
        <w:rPr>
          <w:rFonts w:hint="eastAsia" w:ascii="新宋体" w:hAnsi="新宋体" w:eastAsia="新宋体" w:cs="新宋体"/>
          <w:b/>
          <w:color w:val="auto"/>
          <w:sz w:val="22"/>
          <w:szCs w:val="22"/>
          <w:highlight w:val="none"/>
        </w:rPr>
        <w:t>五、付款方式与结算</w:t>
      </w:r>
      <w:bookmarkEnd w:id="110"/>
      <w:bookmarkEnd w:id="111"/>
      <w:bookmarkEnd w:id="112"/>
      <w:bookmarkEnd w:id="113"/>
      <w:bookmarkEnd w:id="114"/>
    </w:p>
    <w:p w14:paraId="33275A2D">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 xml:space="preserve"> （1）普通付款：货到安装验收合格后，自收到专用发票后15个工作日内，甲方向乙方支付合同总价的100%。</w:t>
      </w:r>
    </w:p>
    <w:p w14:paraId="023D919B">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 xml:space="preserve"> （2)中小企业付款：合同签订后5个工作日内，乙方向甲方缴纳合同总价的1%作为履约保证金。预付款金额为合同款金额的40%，在合同签订后、验收前，乙方须向甲方提交与预付款等额的“预付款保函”。甲方在收到“预付款保函”并具备实施条件后15个工作日内支付预付款；其余合同款在货到安装验收合格后，自收到专用发票后15个工作日内一次性付清。乙方向甲方开具履约保证金收据后15个工作日内，甲方无息退还履约保证金。乙方声明不需要预付款的，付款方式等同于普通付款。</w:t>
      </w:r>
    </w:p>
    <w:p w14:paraId="59DBE3D0">
      <w:pPr>
        <w:spacing w:line="460" w:lineRule="exact"/>
        <w:ind w:firstLine="541" w:firstLineChars="245"/>
        <w:outlineLvl w:val="1"/>
        <w:rPr>
          <w:rFonts w:ascii="新宋体" w:hAnsi="新宋体" w:eastAsia="新宋体" w:cs="新宋体"/>
          <w:b/>
          <w:color w:val="auto"/>
          <w:sz w:val="22"/>
          <w:szCs w:val="22"/>
          <w:highlight w:val="none"/>
        </w:rPr>
      </w:pPr>
      <w:bookmarkStart w:id="115" w:name="_Toc30392"/>
      <w:bookmarkStart w:id="116" w:name="_Toc2185"/>
      <w:bookmarkStart w:id="117" w:name="_Toc24311"/>
      <w:bookmarkStart w:id="118" w:name="_Toc7058"/>
      <w:bookmarkStart w:id="119" w:name="_Toc8761"/>
      <w:r>
        <w:rPr>
          <w:rFonts w:hint="eastAsia" w:ascii="新宋体" w:hAnsi="新宋体" w:eastAsia="新宋体" w:cs="新宋体"/>
          <w:b/>
          <w:color w:val="auto"/>
          <w:sz w:val="22"/>
          <w:szCs w:val="22"/>
          <w:highlight w:val="none"/>
        </w:rPr>
        <w:t>六、质量要求</w:t>
      </w:r>
      <w:bookmarkEnd w:id="115"/>
      <w:bookmarkEnd w:id="116"/>
      <w:bookmarkEnd w:id="117"/>
      <w:bookmarkEnd w:id="118"/>
      <w:bookmarkEnd w:id="119"/>
    </w:p>
    <w:p w14:paraId="4B894A21">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乙方所提供的货物应保证是企业原厂生产的货物而不是其他地方生产的、全新的、未使用过的，是原包装未拆封的，是用一流的工艺和最佳材料制造而成的，并完全符合合同规定的质量、规格和性能要求。乙方应保证所提供的货物经正常运行和保养，在其使用寿命期内应具有使甲方满意的性能，并且确保一次性通过各项检验和测试。在货物质量保证期内，乙方应对由于设计、工艺、材料和配套件的缺陷所产生的任何不足或故障负责。</w:t>
      </w:r>
    </w:p>
    <w:p w14:paraId="25B777D5">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根据甲方按检验标准检验的结果或当地质检部门检验的结果，或者在质量保证期内，如果货物的数量、质量或规格与合同不符，或证实货物是有缺陷的，包括潜在的缺陷或使用不符合要求的材料等，甲方应尽快以书面形式通知乙方，提出索赔。乙方在收到通知后，应在规定期限内，用与报价时采用的零件、部件或材料免费更换有缺陷的或不符合要求的零件、部件或材料，同时相应延长质量保证期。</w:t>
      </w:r>
    </w:p>
    <w:p w14:paraId="3DAF1348">
      <w:pPr>
        <w:spacing w:line="440" w:lineRule="exact"/>
        <w:ind w:firstLine="541" w:firstLineChars="245"/>
        <w:rPr>
          <w:rFonts w:ascii="宋体" w:hAnsi="宋体"/>
          <w:color w:val="auto"/>
          <w:kern w:val="0"/>
          <w:sz w:val="22"/>
          <w:szCs w:val="22"/>
          <w:highlight w:val="none"/>
        </w:rPr>
      </w:pPr>
      <w:r>
        <w:rPr>
          <w:rFonts w:hint="eastAsia" w:ascii="新宋体" w:hAnsi="新宋体" w:eastAsia="新宋体"/>
          <w:b/>
          <w:color w:val="auto"/>
          <w:sz w:val="22"/>
          <w:highlight w:val="none"/>
        </w:rPr>
        <w:t>3、</w:t>
      </w:r>
      <w:r>
        <w:rPr>
          <w:rFonts w:hint="eastAsia" w:ascii="新宋体" w:hAnsi="新宋体" w:eastAsia="新宋体" w:cs="新宋体"/>
          <w:b/>
          <w:bCs/>
          <w:color w:val="auto"/>
          <w:sz w:val="22"/>
          <w:szCs w:val="22"/>
          <w:highlight w:val="none"/>
        </w:rPr>
        <w:t>本合同项下货物质量保证期按招标文件规定：</w:t>
      </w:r>
      <w:r>
        <w:rPr>
          <w:rFonts w:hint="eastAsia" w:ascii="新宋体" w:hAnsi="新宋体" w:eastAsia="新宋体" w:cs="新宋体"/>
          <w:b/>
          <w:bCs/>
          <w:color w:val="auto"/>
          <w:sz w:val="22"/>
          <w:szCs w:val="22"/>
          <w:highlight w:val="none"/>
          <w:u w:val="single"/>
        </w:rPr>
        <w:t xml:space="preserve">                </w:t>
      </w:r>
      <w:r>
        <w:rPr>
          <w:rFonts w:hint="eastAsia" w:ascii="新宋体" w:hAnsi="新宋体" w:eastAsia="新宋体" w:cs="新宋体"/>
          <w:b/>
          <w:bCs/>
          <w:color w:val="auto"/>
          <w:sz w:val="22"/>
          <w:szCs w:val="22"/>
          <w:highlight w:val="none"/>
        </w:rPr>
        <w:t xml:space="preserve"> , （货物另有超过质保期规定或招标文件另有规定的按就高原则执行）</w:t>
      </w:r>
      <w:r>
        <w:rPr>
          <w:rFonts w:hint="eastAsia" w:ascii="宋体" w:hAnsi="宋体"/>
          <w:color w:val="auto"/>
          <w:kern w:val="0"/>
          <w:sz w:val="22"/>
          <w:szCs w:val="22"/>
          <w:highlight w:val="none"/>
        </w:rPr>
        <w:t>。</w:t>
      </w:r>
    </w:p>
    <w:p w14:paraId="112452A6">
      <w:pPr>
        <w:spacing w:line="460" w:lineRule="exact"/>
        <w:ind w:firstLine="541" w:firstLineChars="245"/>
        <w:outlineLvl w:val="1"/>
        <w:rPr>
          <w:rFonts w:ascii="新宋体" w:hAnsi="新宋体" w:eastAsia="新宋体" w:cs="新宋体"/>
          <w:b/>
          <w:color w:val="auto"/>
          <w:sz w:val="22"/>
          <w:szCs w:val="22"/>
          <w:highlight w:val="none"/>
        </w:rPr>
      </w:pPr>
      <w:bookmarkStart w:id="120" w:name="_Toc13628"/>
      <w:bookmarkStart w:id="121" w:name="_Toc29610"/>
      <w:bookmarkStart w:id="122" w:name="_Toc28208"/>
      <w:bookmarkStart w:id="123" w:name="_Toc11395"/>
      <w:bookmarkStart w:id="124" w:name="_Toc20006"/>
      <w:r>
        <w:rPr>
          <w:rFonts w:hint="eastAsia" w:ascii="新宋体" w:hAnsi="新宋体" w:eastAsia="新宋体" w:cs="新宋体"/>
          <w:b/>
          <w:color w:val="auto"/>
          <w:sz w:val="22"/>
          <w:szCs w:val="22"/>
          <w:highlight w:val="none"/>
        </w:rPr>
        <w:t>七、验收</w:t>
      </w:r>
      <w:bookmarkEnd w:id="120"/>
      <w:bookmarkEnd w:id="121"/>
      <w:bookmarkEnd w:id="122"/>
      <w:bookmarkEnd w:id="123"/>
      <w:bookmarkEnd w:id="124"/>
    </w:p>
    <w:p w14:paraId="61491D11">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olor w:val="auto"/>
          <w:sz w:val="22"/>
          <w:szCs w:val="22"/>
          <w:highlight w:val="none"/>
        </w:rPr>
        <w:t>验收应在甲方和乙方双方共同参加下进行。</w:t>
      </w:r>
    </w:p>
    <w:p w14:paraId="6FCECCCB">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olor w:val="auto"/>
          <w:sz w:val="22"/>
          <w:szCs w:val="22"/>
          <w:highlight w:val="none"/>
        </w:rPr>
        <w:t>验收按国家有关的规定、规范进行。验收时如发现所交付的货物有短缺、次品、损坏等情形者，甲方应做出详尽的现场记录，或由甲方和乙方双方签署备忘录。此现场记录或备忘录可用作补充、缺失和更换损坏部件的有效证据。由此产生的有关费用由乙方承担。</w:t>
      </w:r>
    </w:p>
    <w:p w14:paraId="75AAB5CC">
      <w:pPr>
        <w:spacing w:line="460" w:lineRule="exact"/>
        <w:ind w:firstLine="539" w:firstLineChars="245"/>
        <w:rPr>
          <w:rFonts w:ascii="新宋体" w:hAnsi="新宋体" w:eastAsia="新宋体" w:cs="新宋体"/>
          <w:b/>
          <w:color w:val="auto"/>
          <w:sz w:val="22"/>
          <w:szCs w:val="22"/>
          <w:highlight w:val="none"/>
        </w:rPr>
      </w:pPr>
      <w:r>
        <w:rPr>
          <w:rFonts w:hint="eastAsia" w:ascii="新宋体" w:hAnsi="新宋体" w:eastAsia="新宋体"/>
          <w:color w:val="auto"/>
          <w:sz w:val="22"/>
          <w:szCs w:val="22"/>
          <w:highlight w:val="none"/>
        </w:rPr>
        <w:t>3、如果合同货物运输过程中因事故造成货物短缺、损坏，乙方应及时安排换货，以保证合同货物成功完整交付。换货的相关费用由乙方承担。</w:t>
      </w:r>
      <w:r>
        <w:rPr>
          <w:rFonts w:hint="eastAsia" w:ascii="新宋体" w:hAnsi="新宋体" w:eastAsia="新宋体" w:cs="新宋体"/>
          <w:b/>
          <w:color w:val="auto"/>
          <w:sz w:val="22"/>
          <w:szCs w:val="22"/>
          <w:highlight w:val="none"/>
        </w:rPr>
        <w:t> </w:t>
      </w:r>
    </w:p>
    <w:p w14:paraId="523EA2C6">
      <w:pPr>
        <w:spacing w:line="460" w:lineRule="exact"/>
        <w:ind w:firstLine="541" w:firstLineChars="245"/>
        <w:outlineLvl w:val="1"/>
        <w:rPr>
          <w:rFonts w:ascii="新宋体" w:hAnsi="新宋体" w:eastAsia="新宋体" w:cs="新宋体"/>
          <w:b/>
          <w:color w:val="auto"/>
          <w:sz w:val="22"/>
          <w:szCs w:val="22"/>
          <w:highlight w:val="none"/>
        </w:rPr>
      </w:pPr>
      <w:bookmarkStart w:id="125" w:name="_Toc11871"/>
      <w:bookmarkStart w:id="126" w:name="_Toc22808"/>
      <w:bookmarkStart w:id="127" w:name="_Toc22313"/>
      <w:bookmarkStart w:id="128" w:name="_Toc13260"/>
      <w:bookmarkStart w:id="129" w:name="_Toc26485"/>
      <w:r>
        <w:rPr>
          <w:rFonts w:hint="eastAsia" w:ascii="新宋体" w:hAnsi="新宋体" w:eastAsia="新宋体" w:cs="新宋体"/>
          <w:b/>
          <w:color w:val="auto"/>
          <w:sz w:val="22"/>
          <w:szCs w:val="22"/>
          <w:highlight w:val="none"/>
        </w:rPr>
        <w:t>八、双方责任</w:t>
      </w:r>
      <w:bookmarkEnd w:id="125"/>
      <w:bookmarkEnd w:id="126"/>
      <w:bookmarkEnd w:id="127"/>
      <w:bookmarkEnd w:id="128"/>
      <w:bookmarkEnd w:id="129"/>
    </w:p>
    <w:p w14:paraId="00092A9D">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1、甲方</w:t>
      </w:r>
    </w:p>
    <w:p w14:paraId="52C33DC5">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（1）按合同规定向乙方支付货款。</w:t>
      </w:r>
    </w:p>
    <w:p w14:paraId="4D78809F">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（2）组织对货物的验收。</w:t>
      </w:r>
    </w:p>
    <w:p w14:paraId="6ED0D8E2">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2、乙方</w:t>
      </w:r>
    </w:p>
    <w:p w14:paraId="6A31E9DD">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（1）按合同要求提供货物和服务。</w:t>
      </w:r>
    </w:p>
    <w:p w14:paraId="677FCE0B">
      <w:pPr>
        <w:spacing w:line="440" w:lineRule="exact"/>
        <w:ind w:firstLine="539" w:firstLineChars="245"/>
        <w:rPr>
          <w:rFonts w:ascii="新宋体" w:hAnsi="新宋体" w:eastAsia="新宋体" w:cs="新宋体"/>
          <w:b/>
          <w:color w:val="auto"/>
          <w:sz w:val="22"/>
          <w:szCs w:val="22"/>
          <w:highlight w:val="none"/>
        </w:rPr>
      </w:pPr>
      <w:r>
        <w:rPr>
          <w:rFonts w:hint="eastAsia" w:ascii="新宋体" w:hAnsi="新宋体" w:eastAsia="新宋体"/>
          <w:color w:val="auto"/>
          <w:sz w:val="22"/>
          <w:highlight w:val="none"/>
        </w:rPr>
        <w:t>（2）对所提供的货物和服务质量问题无条件负责处理。</w:t>
      </w:r>
    </w:p>
    <w:p w14:paraId="7DFE67D2">
      <w:pPr>
        <w:spacing w:line="460" w:lineRule="exact"/>
        <w:ind w:firstLine="541" w:firstLineChars="245"/>
        <w:outlineLvl w:val="1"/>
        <w:rPr>
          <w:rFonts w:ascii="新宋体" w:hAnsi="新宋体" w:eastAsia="新宋体" w:cs="新宋体"/>
          <w:b/>
          <w:color w:val="auto"/>
          <w:sz w:val="22"/>
          <w:szCs w:val="22"/>
          <w:highlight w:val="none"/>
        </w:rPr>
      </w:pPr>
      <w:bookmarkStart w:id="130" w:name="_Toc21470"/>
      <w:bookmarkStart w:id="131" w:name="_Toc15789"/>
      <w:bookmarkStart w:id="132" w:name="_Toc7396"/>
      <w:bookmarkStart w:id="133" w:name="_Toc26915"/>
      <w:bookmarkStart w:id="134" w:name="_Toc2973"/>
      <w:r>
        <w:rPr>
          <w:rFonts w:hint="eastAsia" w:ascii="新宋体" w:hAnsi="新宋体" w:eastAsia="新宋体" w:cs="新宋体"/>
          <w:b/>
          <w:color w:val="auto"/>
          <w:sz w:val="22"/>
          <w:szCs w:val="22"/>
          <w:highlight w:val="none"/>
        </w:rPr>
        <w:t>九、乙方履约延误</w:t>
      </w:r>
      <w:bookmarkEnd w:id="130"/>
      <w:bookmarkEnd w:id="131"/>
      <w:bookmarkEnd w:id="132"/>
      <w:bookmarkEnd w:id="133"/>
      <w:bookmarkEnd w:id="134"/>
    </w:p>
    <w:p w14:paraId="64904D48">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1、乙方应按照合同规定的时间交货和提供服务。</w:t>
      </w:r>
    </w:p>
    <w:p w14:paraId="55F91D6A">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 修改合同的方式由双方认可。</w:t>
      </w:r>
    </w:p>
    <w:p w14:paraId="4FA8FFBB">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3、除了合同条款中不可抗力的情况外，除非延误是取得同意而不收取赔偿费，乙方延误交货或提供服务将按合同条款</w:t>
      </w:r>
      <w:r>
        <w:rPr>
          <w:rFonts w:ascii="新宋体" w:hAnsi="新宋体" w:eastAsia="新宋体"/>
          <w:color w:val="auto"/>
          <w:sz w:val="22"/>
          <w:highlight w:val="none"/>
        </w:rPr>
        <w:t>10</w:t>
      </w:r>
      <w:r>
        <w:rPr>
          <w:rFonts w:hint="eastAsia" w:ascii="新宋体" w:hAnsi="新宋体" w:eastAsia="新宋体"/>
          <w:color w:val="auto"/>
          <w:sz w:val="22"/>
          <w:highlight w:val="none"/>
        </w:rPr>
        <w:t>条规定被收取误期赔偿费。</w:t>
      </w:r>
    </w:p>
    <w:p w14:paraId="024551C8">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4、所有提供的货物及验收都应服从甲方的统一安排。</w:t>
      </w:r>
    </w:p>
    <w:p w14:paraId="10B0755C">
      <w:pPr>
        <w:spacing w:line="460" w:lineRule="exact"/>
        <w:ind w:firstLine="541" w:firstLineChars="245"/>
        <w:outlineLvl w:val="1"/>
        <w:rPr>
          <w:rFonts w:ascii="新宋体" w:hAnsi="新宋体" w:eastAsia="新宋体" w:cs="新宋体"/>
          <w:b/>
          <w:color w:val="auto"/>
          <w:sz w:val="22"/>
          <w:szCs w:val="22"/>
          <w:highlight w:val="none"/>
        </w:rPr>
      </w:pPr>
      <w:bookmarkStart w:id="135" w:name="_Toc1073"/>
      <w:bookmarkStart w:id="136" w:name="_Toc14833"/>
      <w:bookmarkStart w:id="137" w:name="_Toc29409"/>
      <w:bookmarkStart w:id="138" w:name="_Toc15459"/>
      <w:bookmarkStart w:id="139" w:name="_Toc7089"/>
      <w:r>
        <w:rPr>
          <w:rFonts w:hint="eastAsia" w:ascii="新宋体" w:hAnsi="新宋体" w:eastAsia="新宋体" w:cs="新宋体"/>
          <w:b/>
          <w:color w:val="auto"/>
          <w:sz w:val="22"/>
          <w:szCs w:val="22"/>
          <w:highlight w:val="none"/>
        </w:rPr>
        <w:t>十、误期赔偿费</w:t>
      </w:r>
      <w:bookmarkEnd w:id="135"/>
      <w:bookmarkEnd w:id="136"/>
      <w:bookmarkEnd w:id="137"/>
      <w:bookmarkEnd w:id="138"/>
      <w:bookmarkEnd w:id="139"/>
    </w:p>
    <w:p w14:paraId="7B5FF994">
      <w:pPr>
        <w:spacing w:line="440" w:lineRule="exact"/>
        <w:ind w:firstLine="539" w:firstLineChars="245"/>
        <w:rPr>
          <w:rFonts w:ascii="新宋体" w:hAnsi="新宋体" w:eastAsia="新宋体"/>
          <w:color w:val="auto"/>
          <w:sz w:val="22"/>
          <w:highlight w:val="none"/>
        </w:rPr>
      </w:pPr>
      <w:bookmarkStart w:id="140" w:name="_Toc10564"/>
      <w:r>
        <w:rPr>
          <w:rFonts w:ascii="新宋体" w:hAnsi="新宋体" w:eastAsia="新宋体"/>
          <w:color w:val="auto"/>
          <w:sz w:val="22"/>
          <w:highlight w:val="none"/>
        </w:rPr>
        <w:t xml:space="preserve"> </w:t>
      </w:r>
      <w:r>
        <w:rPr>
          <w:rFonts w:hint="eastAsia" w:ascii="新宋体" w:hAnsi="新宋体" w:eastAsia="新宋体"/>
          <w:color w:val="auto"/>
          <w:sz w:val="22"/>
          <w:highlight w:val="none"/>
        </w:rPr>
        <w:t>1、乙方逾期交付货物的，乙方应按逾期交货总额每日千分之一向甲方支付违约金，由甲方从待付货款中扣除。逾期超过约定日期50日不能交货的，甲方可解除本合同。乙方因逾期交货或因其他违约行为导致甲方解除合同的，乙方应向甲方支付合同总值5%的违约金，如造成甲方损失超过违约金的，超出部分由乙方继续承担赔偿责任。</w:t>
      </w:r>
    </w:p>
    <w:p w14:paraId="2B452957">
      <w:pPr>
        <w:spacing w:line="440" w:lineRule="exact"/>
        <w:ind w:firstLine="539" w:firstLineChars="245"/>
        <w:rPr>
          <w:rFonts w:ascii="新宋体" w:hAnsi="新宋体" w:eastAsia="新宋体"/>
          <w:color w:val="auto"/>
          <w:sz w:val="22"/>
          <w:highlight w:val="none"/>
        </w:rPr>
      </w:pPr>
      <w:r>
        <w:rPr>
          <w:rFonts w:ascii="新宋体" w:hAnsi="新宋体" w:eastAsia="新宋体"/>
          <w:color w:val="auto"/>
          <w:sz w:val="22"/>
          <w:highlight w:val="none"/>
        </w:rPr>
        <w:t xml:space="preserve"> </w:t>
      </w:r>
      <w:r>
        <w:rPr>
          <w:rFonts w:hint="eastAsia" w:ascii="新宋体" w:hAnsi="新宋体" w:eastAsia="新宋体"/>
          <w:color w:val="auto"/>
          <w:sz w:val="22"/>
          <w:highlight w:val="none"/>
        </w:rPr>
        <w:t>2、乙方所交的货物品种、型号、规格、技术参数、质量不符合合同约定及招标文件规定标准的，甲方有权拒收该货物，乙方愿意更换货物但逾期交货的，按乙方逾期交货处理。乙方拒绝更换货物的，甲方可单方面解除合同，并</w:t>
      </w:r>
      <w:r>
        <w:rPr>
          <w:rFonts w:ascii="新宋体" w:hAnsi="新宋体" w:eastAsia="新宋体"/>
          <w:color w:val="auto"/>
          <w:sz w:val="22"/>
          <w:highlight w:val="none"/>
        </w:rPr>
        <w:t>追究违约责任</w:t>
      </w:r>
      <w:r>
        <w:rPr>
          <w:rFonts w:hint="eastAsia" w:ascii="新宋体" w:hAnsi="新宋体" w:eastAsia="新宋体"/>
          <w:color w:val="auto"/>
          <w:sz w:val="22"/>
          <w:highlight w:val="none"/>
        </w:rPr>
        <w:t>。</w:t>
      </w:r>
    </w:p>
    <w:p w14:paraId="75F5774D">
      <w:pPr>
        <w:spacing w:line="460" w:lineRule="exact"/>
        <w:ind w:firstLine="541" w:firstLineChars="245"/>
        <w:outlineLvl w:val="1"/>
        <w:rPr>
          <w:rFonts w:ascii="新宋体" w:hAnsi="新宋体" w:eastAsia="新宋体" w:cs="新宋体"/>
          <w:b/>
          <w:color w:val="auto"/>
          <w:sz w:val="22"/>
          <w:szCs w:val="22"/>
          <w:highlight w:val="none"/>
        </w:rPr>
      </w:pPr>
      <w:bookmarkStart w:id="141" w:name="_Toc6713"/>
      <w:bookmarkStart w:id="142" w:name="_Toc12518"/>
      <w:bookmarkStart w:id="143" w:name="_Toc30420"/>
      <w:bookmarkStart w:id="144" w:name="_Toc29152"/>
      <w:r>
        <w:rPr>
          <w:rFonts w:hint="eastAsia" w:ascii="新宋体" w:hAnsi="新宋体" w:eastAsia="新宋体" w:cs="新宋体"/>
          <w:b/>
          <w:color w:val="auto"/>
          <w:sz w:val="22"/>
          <w:szCs w:val="22"/>
          <w:highlight w:val="none"/>
        </w:rPr>
        <w:t>十一、不可抗力</w:t>
      </w:r>
      <w:bookmarkEnd w:id="140"/>
      <w:bookmarkEnd w:id="141"/>
      <w:bookmarkEnd w:id="142"/>
      <w:bookmarkEnd w:id="143"/>
      <w:bookmarkEnd w:id="144"/>
    </w:p>
    <w:p w14:paraId="1E339982">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7845CD76">
      <w:pPr>
        <w:spacing w:line="460" w:lineRule="exact"/>
        <w:ind w:firstLine="541" w:firstLineChars="245"/>
        <w:outlineLvl w:val="1"/>
        <w:rPr>
          <w:rFonts w:ascii="新宋体" w:hAnsi="新宋体" w:eastAsia="新宋体" w:cs="新宋体"/>
          <w:b/>
          <w:color w:val="auto"/>
          <w:sz w:val="22"/>
          <w:szCs w:val="22"/>
          <w:highlight w:val="none"/>
        </w:rPr>
      </w:pPr>
      <w:bookmarkStart w:id="145" w:name="_Toc11226"/>
      <w:bookmarkStart w:id="146" w:name="_Toc6898"/>
      <w:bookmarkStart w:id="147" w:name="_Toc20930"/>
      <w:bookmarkStart w:id="148" w:name="_Toc28484"/>
      <w:bookmarkStart w:id="149" w:name="_Toc1660"/>
      <w:r>
        <w:rPr>
          <w:rFonts w:hint="eastAsia" w:ascii="新宋体" w:hAnsi="新宋体" w:eastAsia="新宋体" w:cs="新宋体"/>
          <w:b/>
          <w:color w:val="auto"/>
          <w:sz w:val="22"/>
          <w:szCs w:val="22"/>
          <w:highlight w:val="none"/>
        </w:rPr>
        <w:t>十二、税费</w:t>
      </w:r>
      <w:bookmarkEnd w:id="145"/>
      <w:bookmarkEnd w:id="146"/>
      <w:bookmarkEnd w:id="147"/>
      <w:bookmarkEnd w:id="148"/>
      <w:bookmarkEnd w:id="149"/>
    </w:p>
    <w:p w14:paraId="3E4CE608">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1、根据国家现行税法对甲方征收的与本合同有关的一切费用由甲方承担。</w:t>
      </w:r>
    </w:p>
    <w:p w14:paraId="40DBE49C">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2、根据现行税法对乙方征收的与本合同有关的一切税费均由乙方承担。</w:t>
      </w:r>
    </w:p>
    <w:p w14:paraId="21F83F2A">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3、在中国境外发生的与本合同执行有关的一切税费由乙方承担。</w:t>
      </w:r>
    </w:p>
    <w:p w14:paraId="182A679B">
      <w:pPr>
        <w:spacing w:line="460" w:lineRule="exact"/>
        <w:ind w:firstLine="541" w:firstLineChars="245"/>
        <w:outlineLvl w:val="1"/>
        <w:rPr>
          <w:rFonts w:ascii="新宋体" w:hAnsi="新宋体" w:eastAsia="新宋体" w:cs="新宋体"/>
          <w:b/>
          <w:color w:val="auto"/>
          <w:sz w:val="22"/>
          <w:szCs w:val="22"/>
          <w:highlight w:val="none"/>
        </w:rPr>
      </w:pPr>
      <w:bookmarkStart w:id="150" w:name="_Toc17243"/>
      <w:bookmarkStart w:id="151" w:name="_Toc1970"/>
      <w:bookmarkStart w:id="152" w:name="_Toc26103"/>
      <w:bookmarkStart w:id="153" w:name="_Toc15140"/>
      <w:bookmarkStart w:id="154" w:name="_Toc2954"/>
      <w:r>
        <w:rPr>
          <w:rFonts w:hint="eastAsia" w:ascii="新宋体" w:hAnsi="新宋体" w:eastAsia="新宋体" w:cs="新宋体"/>
          <w:b/>
          <w:color w:val="auto"/>
          <w:sz w:val="22"/>
          <w:szCs w:val="22"/>
          <w:highlight w:val="none"/>
        </w:rPr>
        <w:t>十三、违约终止合同</w:t>
      </w:r>
      <w:bookmarkEnd w:id="150"/>
      <w:bookmarkEnd w:id="151"/>
      <w:bookmarkEnd w:id="152"/>
      <w:bookmarkEnd w:id="153"/>
      <w:bookmarkEnd w:id="154"/>
    </w:p>
    <w:p w14:paraId="2AC4D4A4">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1、甲方在乙方违约的情况下，如果发生下列情况之一，可考虑终止部分或全部合同：</w:t>
      </w:r>
    </w:p>
    <w:p w14:paraId="22B4D1F5">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（1）乙方未能在合同规定的期限内或甲方同意延长的期限内提供全部或部分货物；</w:t>
      </w:r>
    </w:p>
    <w:p w14:paraId="40601C67">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14:paraId="1AD9C847">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 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0FDB7F5F">
      <w:pPr>
        <w:spacing w:line="460" w:lineRule="exact"/>
        <w:ind w:firstLine="541" w:firstLineChars="245"/>
        <w:outlineLvl w:val="1"/>
        <w:rPr>
          <w:rFonts w:ascii="新宋体" w:hAnsi="新宋体" w:eastAsia="新宋体" w:cs="新宋体"/>
          <w:b/>
          <w:color w:val="auto"/>
          <w:sz w:val="22"/>
          <w:szCs w:val="22"/>
          <w:highlight w:val="none"/>
        </w:rPr>
      </w:pPr>
      <w:bookmarkStart w:id="155" w:name="_Toc24654"/>
      <w:bookmarkStart w:id="156" w:name="_Toc22723"/>
      <w:bookmarkStart w:id="157" w:name="_Toc17301"/>
      <w:bookmarkStart w:id="158" w:name="_Toc27931"/>
      <w:bookmarkStart w:id="159" w:name="_Toc3245"/>
      <w:r>
        <w:rPr>
          <w:rFonts w:hint="eastAsia" w:ascii="新宋体" w:hAnsi="新宋体" w:eastAsia="新宋体" w:cs="新宋体"/>
          <w:b/>
          <w:color w:val="auto"/>
          <w:sz w:val="22"/>
          <w:szCs w:val="22"/>
          <w:highlight w:val="none"/>
        </w:rPr>
        <w:t>十四、履约保证金的罚没</w:t>
      </w:r>
      <w:bookmarkEnd w:id="155"/>
      <w:bookmarkEnd w:id="156"/>
      <w:bookmarkEnd w:id="157"/>
      <w:bookmarkEnd w:id="158"/>
      <w:bookmarkEnd w:id="159"/>
    </w:p>
    <w:p w14:paraId="075D6D4E">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1、如乙方未能履行合同规定的任何义务，甲方有权从履约保证金中得到补偿。</w:t>
      </w:r>
    </w:p>
    <w:p w14:paraId="13356519">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2、如果乙方毫无理由地拖延交货或拒绝履行合同规定的任何义务，履约保证金将被没收，并加收违约赔偿金。</w:t>
      </w:r>
    </w:p>
    <w:p w14:paraId="5F93CF6F">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3、乙方提供的货物须和报价文件中所承诺的货物规格、数量、型号等相符（合同中另有规定除外）如不符，除追究乙方责任外，其履约保证金将被没收。</w:t>
      </w:r>
    </w:p>
    <w:p w14:paraId="765E75B5">
      <w:pPr>
        <w:spacing w:line="460" w:lineRule="exact"/>
        <w:ind w:firstLine="541" w:firstLineChars="245"/>
        <w:outlineLvl w:val="1"/>
        <w:rPr>
          <w:rFonts w:ascii="新宋体" w:hAnsi="新宋体" w:eastAsia="新宋体" w:cs="新宋体"/>
          <w:b/>
          <w:color w:val="auto"/>
          <w:sz w:val="22"/>
          <w:szCs w:val="22"/>
          <w:highlight w:val="none"/>
        </w:rPr>
      </w:pPr>
      <w:bookmarkStart w:id="160" w:name="_Toc28481"/>
      <w:bookmarkStart w:id="161" w:name="_Toc28504"/>
      <w:bookmarkStart w:id="162" w:name="_Toc6074"/>
      <w:bookmarkStart w:id="163" w:name="_Toc3474"/>
      <w:bookmarkStart w:id="164" w:name="_Toc28631"/>
      <w:r>
        <w:rPr>
          <w:rFonts w:hint="eastAsia" w:ascii="新宋体" w:hAnsi="新宋体" w:eastAsia="新宋体" w:cs="新宋体"/>
          <w:b/>
          <w:color w:val="auto"/>
          <w:sz w:val="22"/>
          <w:szCs w:val="22"/>
          <w:highlight w:val="none"/>
        </w:rPr>
        <w:t>十五、争端的解决</w:t>
      </w:r>
      <w:bookmarkEnd w:id="160"/>
      <w:bookmarkEnd w:id="161"/>
      <w:bookmarkEnd w:id="162"/>
      <w:bookmarkEnd w:id="163"/>
      <w:bookmarkEnd w:id="164"/>
    </w:p>
    <w:p w14:paraId="34E2FC1D">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1、甲乙双方如对合同条款规定的理解有歧义，或者对与合同有关的事项发生争议，双方应根据国家相关的法律、法规，本着友好合作、相互信赖的原则进行协商。协商不能解决时，依照《</w:t>
      </w:r>
      <w:r>
        <w:rPr>
          <w:rFonts w:hint="eastAsia" w:ascii="宋体" w:hAnsi="宋体" w:cs="宋体"/>
          <w:color w:val="auto"/>
          <w:sz w:val="22"/>
          <w:szCs w:val="22"/>
          <w:highlight w:val="none"/>
        </w:rPr>
        <w:t>中华人民共和国民法典</w:t>
      </w:r>
      <w:r>
        <w:rPr>
          <w:rFonts w:hint="eastAsia" w:ascii="新宋体" w:hAnsi="新宋体" w:eastAsia="新宋体"/>
          <w:color w:val="auto"/>
          <w:sz w:val="22"/>
          <w:highlight w:val="none"/>
        </w:rPr>
        <w:t>》，可向甲方法定地址所在人民法院起诉。</w:t>
      </w:r>
    </w:p>
    <w:p w14:paraId="12AC86E5">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2、双方未按照合同要求履行合同义务，违约方应该承担由此带来的违约责任。</w:t>
      </w:r>
    </w:p>
    <w:p w14:paraId="459FB4B9">
      <w:pPr>
        <w:spacing w:line="460" w:lineRule="exact"/>
        <w:ind w:firstLine="541" w:firstLineChars="245"/>
        <w:outlineLvl w:val="1"/>
        <w:rPr>
          <w:rFonts w:ascii="新宋体" w:hAnsi="新宋体" w:eastAsia="新宋体" w:cs="新宋体"/>
          <w:b/>
          <w:color w:val="auto"/>
          <w:sz w:val="22"/>
          <w:szCs w:val="22"/>
          <w:highlight w:val="none"/>
        </w:rPr>
      </w:pPr>
      <w:bookmarkStart w:id="165" w:name="_Toc7785"/>
      <w:bookmarkStart w:id="166" w:name="_Toc13528"/>
      <w:bookmarkStart w:id="167" w:name="_Toc25733"/>
      <w:bookmarkStart w:id="168" w:name="_Toc22537"/>
      <w:bookmarkStart w:id="169" w:name="_Toc16620"/>
      <w:r>
        <w:rPr>
          <w:rFonts w:hint="eastAsia" w:ascii="新宋体" w:hAnsi="新宋体" w:eastAsia="新宋体" w:cs="新宋体"/>
          <w:b/>
          <w:color w:val="auto"/>
          <w:sz w:val="22"/>
          <w:szCs w:val="22"/>
          <w:highlight w:val="none"/>
        </w:rPr>
        <w:t>十六、转让和分包及货物不可替代</w:t>
      </w:r>
      <w:bookmarkEnd w:id="165"/>
      <w:bookmarkEnd w:id="166"/>
      <w:bookmarkEnd w:id="167"/>
      <w:bookmarkEnd w:id="168"/>
      <w:bookmarkEnd w:id="169"/>
    </w:p>
    <w:p w14:paraId="122547BE">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1、未经甲方事先书面同意，乙方不得部分转让或全部转让和分包其履行合同的义务。</w:t>
      </w:r>
    </w:p>
    <w:p w14:paraId="3C5CFCFE">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2、货物不可替代，乙方在没有取得甲方的书面授权的情况下，不得将合同货物的生产制造转交其他生产厂商或以其他厂商的货物替代。</w:t>
      </w:r>
    </w:p>
    <w:p w14:paraId="08A67F8F">
      <w:pPr>
        <w:spacing w:line="460" w:lineRule="exact"/>
        <w:ind w:firstLine="541" w:firstLineChars="245"/>
        <w:outlineLvl w:val="1"/>
        <w:rPr>
          <w:rFonts w:ascii="新宋体" w:hAnsi="新宋体" w:eastAsia="新宋体" w:cs="新宋体"/>
          <w:b/>
          <w:color w:val="auto"/>
          <w:sz w:val="22"/>
          <w:szCs w:val="22"/>
          <w:highlight w:val="none"/>
        </w:rPr>
      </w:pPr>
      <w:bookmarkStart w:id="170" w:name="_Toc16511"/>
      <w:bookmarkStart w:id="171" w:name="_Toc4092"/>
      <w:bookmarkStart w:id="172" w:name="_Toc32518"/>
      <w:bookmarkStart w:id="173" w:name="_Toc27131"/>
      <w:bookmarkStart w:id="174" w:name="_Toc32044"/>
      <w:r>
        <w:rPr>
          <w:rFonts w:hint="eastAsia" w:ascii="新宋体" w:hAnsi="新宋体" w:eastAsia="新宋体" w:cs="新宋体"/>
          <w:b/>
          <w:color w:val="auto"/>
          <w:sz w:val="22"/>
          <w:szCs w:val="22"/>
          <w:highlight w:val="none"/>
        </w:rPr>
        <w:t>十七、适用法律</w:t>
      </w:r>
      <w:bookmarkEnd w:id="170"/>
      <w:bookmarkEnd w:id="171"/>
      <w:bookmarkEnd w:id="172"/>
      <w:bookmarkEnd w:id="173"/>
      <w:bookmarkEnd w:id="174"/>
    </w:p>
    <w:p w14:paraId="295B7414">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本合同按照中华人民共和国的法律进行解释。</w:t>
      </w:r>
    </w:p>
    <w:p w14:paraId="0A56F7F1">
      <w:pPr>
        <w:spacing w:line="460" w:lineRule="exact"/>
        <w:ind w:firstLine="541" w:firstLineChars="245"/>
        <w:outlineLvl w:val="1"/>
        <w:rPr>
          <w:rFonts w:ascii="新宋体" w:hAnsi="新宋体" w:eastAsia="新宋体" w:cs="新宋体"/>
          <w:b/>
          <w:color w:val="auto"/>
          <w:sz w:val="22"/>
          <w:szCs w:val="22"/>
          <w:highlight w:val="none"/>
        </w:rPr>
      </w:pPr>
      <w:bookmarkStart w:id="175" w:name="_Toc29420"/>
      <w:bookmarkStart w:id="176" w:name="_Toc1836"/>
      <w:bookmarkStart w:id="177" w:name="_Toc26547"/>
      <w:bookmarkStart w:id="178" w:name="_Toc22500"/>
      <w:bookmarkStart w:id="179" w:name="_Toc8538"/>
      <w:r>
        <w:rPr>
          <w:rFonts w:hint="eastAsia" w:ascii="新宋体" w:hAnsi="新宋体" w:eastAsia="新宋体" w:cs="新宋体"/>
          <w:b/>
          <w:color w:val="auto"/>
          <w:sz w:val="22"/>
          <w:szCs w:val="22"/>
          <w:highlight w:val="none"/>
        </w:rPr>
        <w:t>十八、合同生效及其他</w:t>
      </w:r>
      <w:bookmarkEnd w:id="175"/>
      <w:bookmarkEnd w:id="176"/>
      <w:bookmarkEnd w:id="177"/>
      <w:bookmarkEnd w:id="178"/>
      <w:bookmarkEnd w:id="179"/>
    </w:p>
    <w:p w14:paraId="60ACA6CC">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1、合同应在双方签字盖章后开始生效。</w:t>
      </w:r>
    </w:p>
    <w:p w14:paraId="0A214A3C">
      <w:pPr>
        <w:spacing w:line="440" w:lineRule="exact"/>
        <w:ind w:firstLine="539" w:firstLineChars="245"/>
        <w:rPr>
          <w:rFonts w:ascii="新宋体" w:hAnsi="新宋体" w:eastAsia="新宋体"/>
          <w:color w:val="auto"/>
          <w:sz w:val="22"/>
          <w:highlight w:val="none"/>
        </w:rPr>
      </w:pPr>
      <w:r>
        <w:rPr>
          <w:rFonts w:ascii="新宋体" w:hAnsi="新宋体" w:eastAsia="新宋体"/>
          <w:color w:val="auto"/>
          <w:sz w:val="22"/>
          <w:highlight w:val="none"/>
        </w:rPr>
        <w:t>2、</w:t>
      </w:r>
      <w:r>
        <w:rPr>
          <w:rFonts w:hint="eastAsia" w:ascii="新宋体" w:hAnsi="新宋体" w:eastAsia="新宋体"/>
          <w:color w:val="auto"/>
          <w:sz w:val="22"/>
          <w:highlight w:val="none"/>
        </w:rPr>
        <w:t>招标文件、投标文件与本合同具有同等法律效力，如有冲突之处，以本合同内容为准。</w:t>
      </w:r>
    </w:p>
    <w:p w14:paraId="0EBB3315">
      <w:pPr>
        <w:spacing w:line="440" w:lineRule="exact"/>
        <w:ind w:firstLine="539" w:firstLineChars="245"/>
        <w:rPr>
          <w:rFonts w:ascii="新宋体" w:hAnsi="新宋体" w:eastAsia="新宋体"/>
          <w:color w:val="auto"/>
          <w:sz w:val="22"/>
          <w:highlight w:val="none"/>
        </w:rPr>
      </w:pPr>
      <w:r>
        <w:rPr>
          <w:rFonts w:ascii="新宋体" w:hAnsi="新宋体" w:eastAsia="新宋体"/>
          <w:color w:val="auto"/>
          <w:sz w:val="22"/>
          <w:highlight w:val="none"/>
        </w:rPr>
        <w:t>3</w:t>
      </w:r>
      <w:r>
        <w:rPr>
          <w:rFonts w:hint="eastAsia" w:ascii="新宋体" w:hAnsi="新宋体" w:eastAsia="新宋体"/>
          <w:color w:val="auto"/>
          <w:sz w:val="22"/>
          <w:highlight w:val="none"/>
        </w:rPr>
        <w:t>、如需修改或补充合同内容，经协商，双方应签署书面修改或补充协议，该协议将作为本合同的一个组成部分。</w:t>
      </w:r>
    </w:p>
    <w:p w14:paraId="32716B60">
      <w:pPr>
        <w:spacing w:line="440" w:lineRule="exact"/>
        <w:ind w:firstLine="539" w:firstLineChars="245"/>
        <w:rPr>
          <w:rFonts w:ascii="新宋体" w:hAnsi="新宋体" w:eastAsia="新宋体"/>
          <w:color w:val="auto"/>
          <w:sz w:val="22"/>
          <w:highlight w:val="none"/>
        </w:rPr>
      </w:pPr>
      <w:r>
        <w:rPr>
          <w:rFonts w:ascii="新宋体" w:hAnsi="新宋体" w:eastAsia="新宋体"/>
          <w:color w:val="auto"/>
          <w:sz w:val="22"/>
          <w:highlight w:val="none"/>
        </w:rPr>
        <w:t>4</w:t>
      </w:r>
      <w:r>
        <w:rPr>
          <w:rFonts w:hint="eastAsia" w:ascii="新宋体" w:hAnsi="新宋体" w:eastAsia="新宋体"/>
          <w:color w:val="auto"/>
          <w:sz w:val="22"/>
          <w:highlight w:val="none"/>
        </w:rPr>
        <w:t>、 合同壹式伍份，双方各贰份，壹份送招标代理公司备案。</w:t>
      </w:r>
    </w:p>
    <w:p w14:paraId="38A69949">
      <w:pPr>
        <w:spacing w:line="460" w:lineRule="exact"/>
        <w:ind w:firstLine="541" w:firstLineChars="245"/>
        <w:rPr>
          <w:rFonts w:ascii="新宋体" w:hAnsi="新宋体" w:eastAsia="新宋体" w:cs="新宋体"/>
          <w:b/>
          <w:color w:val="auto"/>
          <w:sz w:val="22"/>
          <w:szCs w:val="22"/>
          <w:highlight w:val="none"/>
        </w:rPr>
      </w:pPr>
    </w:p>
    <w:p w14:paraId="1F2449BD">
      <w:pPr>
        <w:tabs>
          <w:tab w:val="left" w:pos="360"/>
        </w:tabs>
        <w:spacing w:line="460" w:lineRule="exact"/>
        <w:ind w:firstLine="550" w:firstLineChars="250"/>
        <w:rPr>
          <w:rFonts w:ascii="新宋体" w:hAnsi="新宋体" w:eastAsia="新宋体" w:cs="新宋体"/>
          <w:color w:val="auto"/>
          <w:sz w:val="22"/>
          <w:szCs w:val="22"/>
          <w:highlight w:val="none"/>
        </w:rPr>
      </w:pPr>
    </w:p>
    <w:p w14:paraId="7A10DC4F">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甲方：（印章）                        乙方：（印章）</w:t>
      </w:r>
    </w:p>
    <w:p w14:paraId="33526414">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全权代表:（签字）                    全权代表:（签字）</w:t>
      </w:r>
    </w:p>
    <w:p w14:paraId="40936C29">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                               地址：</w:t>
      </w:r>
    </w:p>
    <w:p w14:paraId="4A88C6CF">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                           邮政编码：</w:t>
      </w:r>
    </w:p>
    <w:p w14:paraId="1264A1B0">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                               电话：</w:t>
      </w:r>
    </w:p>
    <w:p w14:paraId="7CF4F8F3">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                               传真：</w:t>
      </w:r>
    </w:p>
    <w:p w14:paraId="3FFED17C">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                           开户银行：</w:t>
      </w:r>
    </w:p>
    <w:p w14:paraId="30EBD185">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帐号：                               帐号：</w:t>
      </w:r>
    </w:p>
    <w:p w14:paraId="034C9695">
      <w:pPr>
        <w:spacing w:line="44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                                时间：</w:t>
      </w:r>
    </w:p>
    <w:p w14:paraId="1A74A068">
      <w:pPr>
        <w:pStyle w:val="24"/>
        <w:ind w:left="440" w:hanging="440"/>
        <w:rPr>
          <w:rFonts w:ascii="新宋体" w:hAnsi="新宋体" w:eastAsia="新宋体" w:cs="新宋体"/>
          <w:bCs/>
          <w:color w:val="auto"/>
          <w:sz w:val="22"/>
          <w:szCs w:val="22"/>
          <w:highlight w:val="none"/>
        </w:rPr>
      </w:pPr>
    </w:p>
    <w:p w14:paraId="5C7FAF76">
      <w:pPr>
        <w:pStyle w:val="52"/>
        <w:ind w:left="900" w:hanging="480"/>
        <w:rPr>
          <w:rFonts w:ascii="宋体" w:hAnsi="宋体"/>
          <w:color w:val="auto"/>
          <w:sz w:val="24"/>
          <w:szCs w:val="24"/>
          <w:highlight w:val="none"/>
        </w:rPr>
      </w:pPr>
    </w:p>
    <w:p w14:paraId="706B5A59">
      <w:pPr>
        <w:rPr>
          <w:rFonts w:ascii="宋体" w:hAnsi="宋体" w:cs="宋体"/>
          <w:color w:val="auto"/>
          <w:sz w:val="24"/>
          <w:highlight w:val="none"/>
        </w:rPr>
      </w:pPr>
    </w:p>
    <w:p w14:paraId="438775BF">
      <w:pPr>
        <w:rPr>
          <w:rFonts w:ascii="新宋体" w:hAnsi="新宋体" w:eastAsia="新宋体"/>
          <w:b/>
          <w:bCs/>
          <w:color w:val="auto"/>
          <w:sz w:val="22"/>
          <w:highlight w:val="none"/>
        </w:rPr>
      </w:pPr>
      <w:r>
        <w:rPr>
          <w:rFonts w:hint="eastAsia" w:ascii="新宋体" w:hAnsi="新宋体" w:eastAsia="新宋体"/>
          <w:b/>
          <w:bCs/>
          <w:color w:val="auto"/>
          <w:sz w:val="22"/>
          <w:highlight w:val="none"/>
        </w:rPr>
        <w:t>注：本合同作为示范文本，具体以中标人与采购人所签定正式合同为准。</w:t>
      </w:r>
    </w:p>
    <w:p w14:paraId="47057ABA">
      <w:pPr>
        <w:pStyle w:val="24"/>
        <w:rPr>
          <w:color w:val="auto"/>
          <w:highlight w:val="none"/>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14:paraId="49D3EE8B">
      <w:pPr>
        <w:pStyle w:val="3"/>
        <w:rPr>
          <w:rFonts w:ascii="宋体" w:hAnsi="宋体" w:eastAsia="宋体" w:cs="宋体"/>
          <w:color w:val="auto"/>
          <w:highlight w:val="none"/>
        </w:rPr>
      </w:pPr>
      <w:bookmarkStart w:id="180" w:name="_Toc7430"/>
      <w:bookmarkStart w:id="181" w:name="_Toc32326"/>
      <w:bookmarkStart w:id="182" w:name="_Toc20666"/>
      <w:bookmarkStart w:id="183" w:name="_Toc13247"/>
      <w:bookmarkStart w:id="184" w:name="_Toc30549"/>
      <w:bookmarkStart w:id="185" w:name="_Toc24930"/>
      <w:bookmarkStart w:id="186" w:name="_Toc5214"/>
      <w:bookmarkStart w:id="187" w:name="_Toc19088"/>
      <w:r>
        <w:rPr>
          <w:rFonts w:hint="eastAsia" w:ascii="宋体" w:hAnsi="宋体" w:eastAsia="宋体" w:cs="宋体"/>
          <w:color w:val="auto"/>
          <w:highlight w:val="none"/>
        </w:rPr>
        <w:t>第三部分    附件</w:t>
      </w:r>
      <w:bookmarkEnd w:id="180"/>
      <w:bookmarkEnd w:id="181"/>
      <w:bookmarkEnd w:id="182"/>
      <w:bookmarkEnd w:id="183"/>
      <w:bookmarkEnd w:id="184"/>
      <w:bookmarkEnd w:id="185"/>
      <w:bookmarkEnd w:id="186"/>
      <w:bookmarkEnd w:id="187"/>
    </w:p>
    <w:p w14:paraId="1B18B090">
      <w:pPr>
        <w:pStyle w:val="24"/>
        <w:spacing w:line="460" w:lineRule="exact"/>
        <w:ind w:left="433" w:hanging="433" w:hangingChars="196"/>
        <w:outlineLvl w:val="1"/>
        <w:rPr>
          <w:rFonts w:ascii="宋体" w:hAnsi="宋体" w:cs="宋体"/>
          <w:b/>
          <w:color w:val="auto"/>
          <w:sz w:val="22"/>
          <w:highlight w:val="none"/>
        </w:rPr>
      </w:pPr>
      <w:bookmarkStart w:id="188" w:name="_Toc26307"/>
      <w:bookmarkStart w:id="189" w:name="_Toc27095"/>
      <w:bookmarkStart w:id="190" w:name="_Toc6368"/>
      <w:bookmarkStart w:id="191" w:name="_Toc25878"/>
      <w:bookmarkStart w:id="192" w:name="_Toc9692"/>
      <w:bookmarkStart w:id="193" w:name="_Toc7056"/>
      <w:bookmarkStart w:id="194" w:name="_Toc23666"/>
      <w:r>
        <w:rPr>
          <w:rFonts w:hint="eastAsia" w:ascii="宋体" w:hAnsi="宋体" w:cs="宋体"/>
          <w:b/>
          <w:color w:val="auto"/>
          <w:sz w:val="22"/>
          <w:highlight w:val="none"/>
        </w:rPr>
        <w:t>附件一</w:t>
      </w:r>
      <w:bookmarkEnd w:id="188"/>
      <w:bookmarkEnd w:id="189"/>
      <w:bookmarkEnd w:id="190"/>
      <w:bookmarkEnd w:id="191"/>
      <w:bookmarkEnd w:id="192"/>
      <w:bookmarkEnd w:id="193"/>
      <w:bookmarkEnd w:id="194"/>
    </w:p>
    <w:p w14:paraId="76489DF4">
      <w:pPr>
        <w:spacing w:line="400" w:lineRule="exact"/>
        <w:jc w:val="center"/>
        <w:outlineLvl w:val="2"/>
        <w:rPr>
          <w:rFonts w:ascii="宋体" w:hAnsi="宋体" w:cs="宋体"/>
          <w:b/>
          <w:bCs/>
          <w:color w:val="auto"/>
          <w:sz w:val="28"/>
          <w:szCs w:val="28"/>
          <w:highlight w:val="none"/>
        </w:rPr>
      </w:pPr>
      <w:bookmarkStart w:id="195" w:name="_Toc20439"/>
      <w:bookmarkStart w:id="196" w:name="_Toc23729"/>
      <w:bookmarkStart w:id="197" w:name="_Toc5430"/>
      <w:bookmarkStart w:id="198" w:name="_Toc24731"/>
      <w:bookmarkStart w:id="199" w:name="_Toc27810"/>
      <w:bookmarkStart w:id="200" w:name="_Toc30304"/>
      <w:bookmarkStart w:id="201" w:name="_Toc13365"/>
      <w:r>
        <w:rPr>
          <w:rFonts w:hint="eastAsia" w:ascii="宋体" w:hAnsi="宋体" w:cs="宋体"/>
          <w:b/>
          <w:bCs/>
          <w:color w:val="auto"/>
          <w:sz w:val="28"/>
          <w:szCs w:val="28"/>
          <w:highlight w:val="none"/>
        </w:rPr>
        <w:t>报价文件</w:t>
      </w:r>
      <w:bookmarkEnd w:id="195"/>
      <w:bookmarkEnd w:id="196"/>
      <w:bookmarkEnd w:id="197"/>
      <w:bookmarkEnd w:id="198"/>
      <w:bookmarkEnd w:id="199"/>
      <w:bookmarkEnd w:id="200"/>
      <w:bookmarkEnd w:id="201"/>
    </w:p>
    <w:p w14:paraId="2035640A">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rPr>
        <w:t>1、</w:t>
      </w:r>
      <w:r>
        <w:rPr>
          <w:rFonts w:hint="eastAsia" w:ascii="宋体" w:hAnsi="宋体" w:cs="宋体"/>
          <w:b/>
          <w:color w:val="auto"/>
          <w:sz w:val="22"/>
          <w:szCs w:val="22"/>
          <w:highlight w:val="none"/>
          <w:lang w:val="zh-CN"/>
        </w:rPr>
        <w:t>投标函</w:t>
      </w:r>
    </w:p>
    <w:p w14:paraId="074E1874">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致：温州医科大学</w:t>
      </w:r>
    </w:p>
    <w:p w14:paraId="6B0B90A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项目（招标编号：</w:t>
      </w:r>
      <w:r>
        <w:rPr>
          <w:rFonts w:hint="eastAsia" w:ascii="宋体" w:hAnsi="宋体" w:cs="宋体"/>
          <w:b/>
          <w:color w:val="auto"/>
          <w:sz w:val="22"/>
          <w:szCs w:val="22"/>
          <w:highlight w:val="none"/>
          <w:u w:val="single"/>
        </w:rPr>
        <w:t xml:space="preserve">          </w:t>
      </w:r>
      <w:r>
        <w:rPr>
          <w:rFonts w:hint="eastAsia" w:ascii="宋体" w:hAnsi="宋体" w:cs="宋体"/>
          <w:b/>
          <w:color w:val="auto"/>
          <w:sz w:val="22"/>
          <w:szCs w:val="22"/>
          <w:highlight w:val="non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（授权代表全名，职务）代表我方处理有关本投标的一切事宜。为此：</w:t>
      </w:r>
    </w:p>
    <w:p w14:paraId="7F27B25B">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1、我方同意在投标人</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规定的开标日期起遵守本投标书中的承诺且在投标有效期满之前均具有约束力。</w:t>
      </w:r>
    </w:p>
    <w:p w14:paraId="077BE9A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2、我方承诺已经具备《中华人民共和国政府采购法》中规定的参加政府采购活动的供应商应当具备的条件：</w:t>
      </w:r>
    </w:p>
    <w:p w14:paraId="560DD1B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14:paraId="2909F438">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(2)遵守国家法律、行政法规，具有良好的信誉和商业道德；</w:t>
      </w:r>
    </w:p>
    <w:p w14:paraId="0CD7B76B">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(3)具有履行合同的能力和良好的履行合同记录；</w:t>
      </w:r>
    </w:p>
    <w:p w14:paraId="33107637">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(4)良好的资金、财务状况；</w:t>
      </w:r>
    </w:p>
    <w:p w14:paraId="7DAB5DDC">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(5)提供的产品和服务符合中国政府规定的相应标准和环保标准；</w:t>
      </w:r>
    </w:p>
    <w:p w14:paraId="0A59ED0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(6)没有违反政府采购法规、政策的记录；</w:t>
      </w:r>
    </w:p>
    <w:p w14:paraId="7570D3B9">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(7)没有发生重大经济纠纷和走私犯罪记录。</w:t>
      </w:r>
    </w:p>
    <w:p w14:paraId="3C3BF8C8">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3、提供</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规定的全部投标文件，包括资格文件、报价文件、商务技术文件。具体内容为：</w:t>
      </w:r>
    </w:p>
    <w:p w14:paraId="6AACCDCA">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(1)资格文件</w:t>
      </w:r>
    </w:p>
    <w:p w14:paraId="00AD1ADF">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(2)报价文件；</w:t>
      </w:r>
    </w:p>
    <w:p w14:paraId="6CA15CDE">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商务</w:t>
      </w:r>
      <w:r>
        <w:rPr>
          <w:rFonts w:hint="eastAsia" w:ascii="宋体" w:hAnsi="宋体" w:cs="宋体"/>
          <w:color w:val="auto"/>
          <w:kern w:val="0"/>
          <w:sz w:val="22"/>
          <w:szCs w:val="22"/>
          <w:highlight w:val="none"/>
          <w:lang w:val="zh-CN"/>
        </w:rPr>
        <w:t>技术文件</w:t>
      </w:r>
      <w:r>
        <w:rPr>
          <w:rFonts w:hint="eastAsia" w:ascii="宋体" w:hAnsi="宋体" w:cs="宋体"/>
          <w:color w:val="auto"/>
          <w:sz w:val="22"/>
          <w:szCs w:val="22"/>
          <w:highlight w:val="none"/>
        </w:rPr>
        <w:t>；</w:t>
      </w:r>
    </w:p>
    <w:p w14:paraId="25EACD1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要求投标人提交的全部文件；</w:t>
      </w:r>
    </w:p>
    <w:p w14:paraId="22DD7F0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(5)按招标文件要求提供和交付的货物和服务的投标报价详见开标一览表；</w:t>
      </w:r>
    </w:p>
    <w:p w14:paraId="284BC43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(6)保证忠实地执行双方所签订的合同，并承担合同规定的责任和义务；</w:t>
      </w:r>
    </w:p>
    <w:p w14:paraId="5238CE2D">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(7)保证遵守招标文件中的其他有关规定。</w:t>
      </w:r>
    </w:p>
    <w:p w14:paraId="40A77F5B">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4、投标有效期内不撤销投标文件，如中标，有效期将延至合同终止日为止。</w:t>
      </w:r>
    </w:p>
    <w:p w14:paraId="6A20F14F">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5、我方完全理解贵方不一定要接受最低价的投标。</w:t>
      </w:r>
    </w:p>
    <w:p w14:paraId="78BD01C3">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6、如中标，按招标文件规定与采购人签订合同。如拒绝签订合同，承诺按本项目预算金额的2%对采购人进行赔偿；赔偿金额不足以弥补采购人损失的，承诺继续承担超过部分的损失。</w:t>
      </w:r>
    </w:p>
    <w:p w14:paraId="038B43B6">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7、如中标，按招标文件规定的招标代理服务费标准，在领取中标通知书时向招标代理机构支付招标代理服务费。</w:t>
      </w:r>
    </w:p>
    <w:p w14:paraId="5BF4666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8、我方愿意向贵方提供任何与该项投标有关的数据、情况和服务资料。若贵方需要，我方愿意提供我方作出的一切承诺的证明材料。</w:t>
      </w:r>
    </w:p>
    <w:p w14:paraId="1826145D">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62AAFFB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E9B2F99">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(1)提供虚假材料谋取中标、成交的；</w:t>
      </w:r>
    </w:p>
    <w:p w14:paraId="2E44E12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(2)采取不正当手段诋毁、排挤其他供应商的；</w:t>
      </w:r>
    </w:p>
    <w:p w14:paraId="2E704EB8">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(3)与采购人、其它供应商或者招标代理机构恶意串通的；</w:t>
      </w:r>
    </w:p>
    <w:p w14:paraId="2597259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(4)向采购人、招标代理机构行贿或者提供其他不正当利益的；</w:t>
      </w:r>
    </w:p>
    <w:p w14:paraId="6F1932AB">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(5)在招标采购过程中与采购人进行协商谈判的；</w:t>
      </w:r>
    </w:p>
    <w:p w14:paraId="4E00F8ED">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(6)拒绝有关部门监督检查或提供虚假情况的。</w:t>
      </w:r>
    </w:p>
    <w:p w14:paraId="7CB90E59">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供应商有前款第(1)至(5)项情形之一的，中标、成交无效。</w:t>
      </w:r>
    </w:p>
    <w:p w14:paraId="7EAECDD2">
      <w:pPr>
        <w:shd w:val="clear" w:color="auto" w:fill="FFFFFF"/>
        <w:snapToGrid w:val="0"/>
        <w:spacing w:line="360" w:lineRule="auto"/>
        <w:rPr>
          <w:rFonts w:ascii="宋体" w:hAnsi="宋体" w:cs="宋体"/>
          <w:color w:val="auto"/>
          <w:kern w:val="0"/>
          <w:sz w:val="22"/>
          <w:szCs w:val="22"/>
          <w:highlight w:val="none"/>
          <w:lang w:val="zh-CN"/>
        </w:rPr>
      </w:pPr>
    </w:p>
    <w:p w14:paraId="4B5F313C">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法定（授权）代表人（签字）：</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p>
    <w:p w14:paraId="03A66F42">
      <w:pPr>
        <w:shd w:val="clear" w:color="auto" w:fill="FFFFFF"/>
        <w:snapToGrid w:val="0"/>
        <w:spacing w:line="360" w:lineRule="auto"/>
        <w:ind w:firstLine="440" w:firstLineChars="200"/>
        <w:rPr>
          <w:rFonts w:ascii="宋体" w:hAnsi="宋体" w:cs="宋体"/>
          <w:color w:val="auto"/>
          <w:kern w:val="0"/>
          <w:sz w:val="22"/>
          <w:szCs w:val="22"/>
          <w:highlight w:val="none"/>
          <w:u w:val="single"/>
          <w:lang w:val="zh-CN"/>
        </w:rPr>
      </w:pPr>
      <w:r>
        <w:rPr>
          <w:rFonts w:hint="eastAsia" w:ascii="宋体" w:hAnsi="宋体" w:cs="宋体"/>
          <w:color w:val="auto"/>
          <w:kern w:val="0"/>
          <w:sz w:val="22"/>
          <w:szCs w:val="22"/>
          <w:highlight w:val="none"/>
          <w:lang w:val="zh-CN"/>
        </w:rPr>
        <w:t>投标人盖 章：</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u w:val="single"/>
          <w:lang w:val="zh-CN"/>
        </w:rPr>
        <w:t xml:space="preserve">                      </w:t>
      </w:r>
    </w:p>
    <w:p w14:paraId="2DF7BD37">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 xml:space="preserve">联系电话：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传真：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电子邮件：  </w:t>
      </w:r>
      <w:r>
        <w:rPr>
          <w:rFonts w:hint="eastAsia" w:ascii="宋体" w:hAnsi="宋体" w:cs="宋体"/>
          <w:color w:val="auto"/>
          <w:kern w:val="0"/>
          <w:sz w:val="22"/>
          <w:szCs w:val="22"/>
          <w:highlight w:val="none"/>
          <w:u w:val="single"/>
          <w:lang w:val="zh-CN"/>
        </w:rPr>
        <w:t xml:space="preserve">              </w:t>
      </w:r>
    </w:p>
    <w:p w14:paraId="21380F3A">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联系地址：</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u w:val="single"/>
          <w:lang w:val="zh-CN"/>
        </w:rPr>
        <w:t xml:space="preserve">                                                    </w:t>
      </w:r>
    </w:p>
    <w:p w14:paraId="35AA1A31">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邮政编码：</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传真号码：</w:t>
      </w:r>
      <w:r>
        <w:rPr>
          <w:rFonts w:hint="eastAsia" w:ascii="宋体" w:hAnsi="宋体" w:cs="宋体"/>
          <w:color w:val="auto"/>
          <w:kern w:val="0"/>
          <w:sz w:val="22"/>
          <w:szCs w:val="22"/>
          <w:highlight w:val="none"/>
          <w:u w:val="single"/>
          <w:lang w:val="zh-CN"/>
        </w:rPr>
        <w:t xml:space="preserve">                     </w:t>
      </w:r>
    </w:p>
    <w:p w14:paraId="67103BF8">
      <w:pPr>
        <w:shd w:val="clear" w:color="auto" w:fill="FFFFFF"/>
        <w:snapToGrid w:val="0"/>
        <w:spacing w:line="360" w:lineRule="auto"/>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lang w:val="zh-CN"/>
        </w:rPr>
        <w:t>日</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期</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lang w:val="zh-CN"/>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月</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日</w:t>
      </w:r>
    </w:p>
    <w:p w14:paraId="7B24A4B1">
      <w:pPr>
        <w:spacing w:line="440" w:lineRule="exact"/>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val="zh-CN"/>
        </w:rPr>
        <w:t>注：未按照本投标响应函要求填报的将被视为非实质性响应，从而可能导致该投标文件被拒绝。</w:t>
      </w:r>
    </w:p>
    <w:p w14:paraId="48133F8F">
      <w:pPr>
        <w:pStyle w:val="24"/>
        <w:ind w:left="442" w:hanging="442"/>
        <w:rPr>
          <w:rFonts w:ascii="宋体" w:hAnsi="宋体" w:cs="宋体"/>
          <w:b/>
          <w:bCs/>
          <w:color w:val="auto"/>
          <w:sz w:val="22"/>
          <w:szCs w:val="22"/>
          <w:highlight w:val="none"/>
        </w:rPr>
      </w:pPr>
    </w:p>
    <w:p w14:paraId="611CF0F3">
      <w:pPr>
        <w:pStyle w:val="24"/>
        <w:ind w:left="442" w:hanging="442"/>
        <w:rPr>
          <w:rFonts w:ascii="宋体" w:hAnsi="宋体" w:cs="宋体"/>
          <w:b/>
          <w:bCs/>
          <w:color w:val="auto"/>
          <w:sz w:val="22"/>
          <w:szCs w:val="22"/>
          <w:highlight w:val="none"/>
        </w:rPr>
      </w:pPr>
    </w:p>
    <w:p w14:paraId="3CC17887">
      <w:pPr>
        <w:pStyle w:val="24"/>
        <w:ind w:left="442" w:hanging="442"/>
        <w:rPr>
          <w:rFonts w:ascii="宋体" w:hAnsi="宋体" w:cs="宋体"/>
          <w:b/>
          <w:bCs/>
          <w:color w:val="auto"/>
          <w:sz w:val="22"/>
          <w:szCs w:val="22"/>
          <w:highlight w:val="none"/>
        </w:rPr>
      </w:pPr>
    </w:p>
    <w:p w14:paraId="7B1C414C">
      <w:pPr>
        <w:pStyle w:val="24"/>
        <w:ind w:left="442" w:hanging="442"/>
        <w:rPr>
          <w:rFonts w:ascii="宋体" w:hAnsi="宋体" w:cs="宋体"/>
          <w:b/>
          <w:bCs/>
          <w:color w:val="auto"/>
          <w:sz w:val="22"/>
          <w:szCs w:val="22"/>
          <w:highlight w:val="none"/>
        </w:rPr>
      </w:pPr>
    </w:p>
    <w:p w14:paraId="535FE596">
      <w:pPr>
        <w:pStyle w:val="24"/>
        <w:ind w:left="442" w:hanging="442"/>
        <w:rPr>
          <w:rFonts w:ascii="宋体" w:hAnsi="宋体" w:cs="宋体"/>
          <w:b/>
          <w:bCs/>
          <w:color w:val="auto"/>
          <w:sz w:val="22"/>
          <w:szCs w:val="22"/>
          <w:highlight w:val="none"/>
        </w:rPr>
      </w:pPr>
    </w:p>
    <w:p w14:paraId="1A318FD8">
      <w:pPr>
        <w:pStyle w:val="24"/>
        <w:ind w:left="442" w:hanging="442"/>
        <w:rPr>
          <w:rFonts w:ascii="宋体" w:hAnsi="宋体" w:cs="宋体"/>
          <w:b/>
          <w:bCs/>
          <w:color w:val="auto"/>
          <w:sz w:val="22"/>
          <w:szCs w:val="22"/>
          <w:highlight w:val="none"/>
        </w:rPr>
      </w:pPr>
    </w:p>
    <w:p w14:paraId="5C187C84">
      <w:pPr>
        <w:pStyle w:val="24"/>
        <w:ind w:left="442" w:hanging="442"/>
        <w:rPr>
          <w:rFonts w:ascii="宋体" w:hAnsi="宋体" w:cs="宋体"/>
          <w:b/>
          <w:bCs/>
          <w:color w:val="auto"/>
          <w:sz w:val="22"/>
          <w:szCs w:val="22"/>
          <w:highlight w:val="none"/>
        </w:rPr>
      </w:pPr>
    </w:p>
    <w:p w14:paraId="54F31A5E">
      <w:pPr>
        <w:pStyle w:val="24"/>
        <w:ind w:left="442" w:hanging="442"/>
        <w:rPr>
          <w:rFonts w:ascii="宋体" w:hAnsi="宋体" w:cs="宋体"/>
          <w:b/>
          <w:bCs/>
          <w:color w:val="auto"/>
          <w:sz w:val="22"/>
          <w:szCs w:val="22"/>
          <w:highlight w:val="none"/>
        </w:rPr>
      </w:pPr>
    </w:p>
    <w:p w14:paraId="418843C6">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  </w:t>
      </w:r>
    </w:p>
    <w:p w14:paraId="74A6318A">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rPr>
        <w:br w:type="page"/>
      </w:r>
      <w:r>
        <w:rPr>
          <w:rFonts w:hint="eastAsia" w:ascii="宋体" w:hAnsi="宋体" w:cs="宋体"/>
          <w:b/>
          <w:color w:val="auto"/>
          <w:sz w:val="22"/>
          <w:szCs w:val="22"/>
          <w:highlight w:val="none"/>
        </w:rPr>
        <w:t>2、</w:t>
      </w:r>
      <w:r>
        <w:rPr>
          <w:rFonts w:hint="eastAsia" w:ascii="宋体" w:hAnsi="宋体" w:cs="宋体"/>
          <w:b/>
          <w:color w:val="auto"/>
          <w:sz w:val="22"/>
          <w:szCs w:val="22"/>
          <w:highlight w:val="none"/>
          <w:lang w:val="zh-CN"/>
        </w:rPr>
        <w:t>投标报价一览表</w:t>
      </w:r>
    </w:p>
    <w:p w14:paraId="13EA27F6">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1A7AB8A3">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项目编号： </w:t>
      </w:r>
    </w:p>
    <w:p w14:paraId="66768711">
      <w:pPr>
        <w:keepNext/>
        <w:spacing w:line="360" w:lineRule="auto"/>
        <w:rPr>
          <w:color w:val="auto"/>
          <w:highlight w:val="none"/>
        </w:rPr>
      </w:pPr>
      <w:r>
        <w:rPr>
          <w:rFonts w:hint="eastAsia" w:ascii="宋体" w:hAnsi="宋体" w:cs="宋体"/>
          <w:color w:val="auto"/>
          <w:sz w:val="22"/>
          <w:szCs w:val="22"/>
          <w:highlight w:val="none"/>
        </w:rPr>
        <w:t xml:space="preserve">项目名称： </w:t>
      </w:r>
    </w:p>
    <w:tbl>
      <w:tblPr>
        <w:tblStyle w:val="5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226"/>
        <w:gridCol w:w="5648"/>
        <w:gridCol w:w="915"/>
      </w:tblGrid>
      <w:tr w14:paraId="12ED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8" w:type="dxa"/>
            <w:vAlign w:val="center"/>
          </w:tcPr>
          <w:p w14:paraId="330B116F">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226" w:type="dxa"/>
            <w:vAlign w:val="center"/>
          </w:tcPr>
          <w:p w14:paraId="41D80077">
            <w:pPr>
              <w:spacing w:line="380" w:lineRule="exact"/>
              <w:jc w:val="center"/>
              <w:rPr>
                <w:rFonts w:ascii="宋体" w:hAnsi="宋体" w:cs="宋体"/>
                <w:color w:val="auto"/>
                <w:sz w:val="22"/>
                <w:highlight w:val="none"/>
              </w:rPr>
            </w:pPr>
            <w:r>
              <w:rPr>
                <w:rFonts w:hint="eastAsia" w:ascii="宋体" w:hAnsi="宋体" w:cs="宋体"/>
                <w:bCs/>
                <w:color w:val="auto"/>
                <w:sz w:val="22"/>
                <w:szCs w:val="22"/>
                <w:highlight w:val="none"/>
              </w:rPr>
              <w:t>项目名称</w:t>
            </w:r>
          </w:p>
        </w:tc>
        <w:tc>
          <w:tcPr>
            <w:tcW w:w="5648" w:type="dxa"/>
            <w:vAlign w:val="center"/>
          </w:tcPr>
          <w:p w14:paraId="6A67AD74">
            <w:pPr>
              <w:spacing w:line="380" w:lineRule="exact"/>
              <w:ind w:left="-422" w:leftChars="-201" w:firstLine="968" w:firstLineChars="440"/>
              <w:jc w:val="center"/>
              <w:rPr>
                <w:rFonts w:ascii="宋体" w:hAnsi="宋体" w:cs="宋体"/>
                <w:color w:val="auto"/>
                <w:sz w:val="22"/>
                <w:highlight w:val="none"/>
              </w:rPr>
            </w:pPr>
            <w:r>
              <w:rPr>
                <w:rFonts w:hint="eastAsia" w:ascii="宋体" w:hAnsi="宋体" w:cs="宋体"/>
                <w:bCs/>
                <w:color w:val="auto"/>
                <w:sz w:val="22"/>
                <w:szCs w:val="22"/>
                <w:highlight w:val="none"/>
              </w:rPr>
              <w:t>投标报价（人民币：元）</w:t>
            </w:r>
          </w:p>
        </w:tc>
        <w:tc>
          <w:tcPr>
            <w:tcW w:w="915" w:type="dxa"/>
            <w:vAlign w:val="center"/>
          </w:tcPr>
          <w:p w14:paraId="58E15CE2">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0283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98" w:type="dxa"/>
            <w:vMerge w:val="restart"/>
            <w:vAlign w:val="center"/>
          </w:tcPr>
          <w:p w14:paraId="68C34DA3">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2226" w:type="dxa"/>
            <w:vMerge w:val="restart"/>
            <w:vAlign w:val="center"/>
          </w:tcPr>
          <w:p w14:paraId="7B2FEC5F">
            <w:pPr>
              <w:spacing w:line="380" w:lineRule="exact"/>
              <w:jc w:val="center"/>
              <w:rPr>
                <w:rFonts w:ascii="宋体" w:hAnsi="宋体" w:cs="宋体"/>
                <w:color w:val="auto"/>
                <w:sz w:val="22"/>
                <w:highlight w:val="none"/>
              </w:rPr>
            </w:pPr>
          </w:p>
        </w:tc>
        <w:tc>
          <w:tcPr>
            <w:tcW w:w="5648" w:type="dxa"/>
            <w:vAlign w:val="center"/>
          </w:tcPr>
          <w:p w14:paraId="6C3FD4BA">
            <w:pPr>
              <w:spacing w:line="380" w:lineRule="exact"/>
              <w:rPr>
                <w:rFonts w:ascii="宋体" w:hAnsi="宋体" w:cs="宋体"/>
                <w:color w:val="auto"/>
                <w:sz w:val="22"/>
                <w:highlight w:val="none"/>
              </w:rPr>
            </w:pPr>
            <w:r>
              <w:rPr>
                <w:rFonts w:hint="eastAsia" w:ascii="宋体" w:hAnsi="宋体" w:cs="宋体"/>
                <w:color w:val="auto"/>
                <w:sz w:val="22"/>
                <w:highlight w:val="none"/>
              </w:rPr>
              <w:t>大写：</w:t>
            </w:r>
          </w:p>
        </w:tc>
        <w:tc>
          <w:tcPr>
            <w:tcW w:w="915" w:type="dxa"/>
            <w:vMerge w:val="restart"/>
            <w:vAlign w:val="center"/>
          </w:tcPr>
          <w:p w14:paraId="238F01FA">
            <w:pPr>
              <w:spacing w:line="380" w:lineRule="exact"/>
              <w:jc w:val="center"/>
              <w:rPr>
                <w:rFonts w:ascii="宋体" w:hAnsi="宋体" w:cs="宋体"/>
                <w:color w:val="auto"/>
                <w:sz w:val="22"/>
                <w:highlight w:val="none"/>
              </w:rPr>
            </w:pPr>
          </w:p>
        </w:tc>
      </w:tr>
      <w:tr w14:paraId="1A1C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98" w:type="dxa"/>
            <w:vMerge w:val="continue"/>
            <w:vAlign w:val="center"/>
          </w:tcPr>
          <w:p w14:paraId="4A909E9D">
            <w:pPr>
              <w:spacing w:line="380" w:lineRule="exact"/>
              <w:jc w:val="center"/>
              <w:rPr>
                <w:rFonts w:ascii="宋体" w:hAnsi="宋体" w:cs="宋体"/>
                <w:color w:val="auto"/>
                <w:sz w:val="22"/>
                <w:highlight w:val="none"/>
              </w:rPr>
            </w:pPr>
          </w:p>
        </w:tc>
        <w:tc>
          <w:tcPr>
            <w:tcW w:w="2226" w:type="dxa"/>
            <w:vMerge w:val="continue"/>
            <w:vAlign w:val="center"/>
          </w:tcPr>
          <w:p w14:paraId="70E6165D">
            <w:pPr>
              <w:spacing w:line="380" w:lineRule="exact"/>
              <w:jc w:val="center"/>
              <w:rPr>
                <w:rFonts w:ascii="宋体" w:hAnsi="宋体" w:cs="宋体"/>
                <w:color w:val="auto"/>
                <w:sz w:val="22"/>
                <w:highlight w:val="none"/>
              </w:rPr>
            </w:pPr>
          </w:p>
        </w:tc>
        <w:tc>
          <w:tcPr>
            <w:tcW w:w="5648" w:type="dxa"/>
            <w:vAlign w:val="center"/>
          </w:tcPr>
          <w:p w14:paraId="366DFF37">
            <w:pPr>
              <w:spacing w:line="380" w:lineRule="exact"/>
              <w:rPr>
                <w:rFonts w:ascii="宋体" w:hAnsi="宋体" w:cs="宋体"/>
                <w:color w:val="auto"/>
                <w:sz w:val="22"/>
                <w:highlight w:val="none"/>
              </w:rPr>
            </w:pPr>
            <w:r>
              <w:rPr>
                <w:rFonts w:hint="eastAsia" w:ascii="宋体" w:hAnsi="宋体" w:cs="宋体"/>
                <w:color w:val="auto"/>
                <w:sz w:val="22"/>
                <w:highlight w:val="none"/>
              </w:rPr>
              <w:t>小写：</w:t>
            </w:r>
          </w:p>
        </w:tc>
        <w:tc>
          <w:tcPr>
            <w:tcW w:w="915" w:type="dxa"/>
            <w:vMerge w:val="continue"/>
            <w:vAlign w:val="center"/>
          </w:tcPr>
          <w:p w14:paraId="0C0731A9">
            <w:pPr>
              <w:spacing w:line="380" w:lineRule="exact"/>
              <w:jc w:val="center"/>
              <w:rPr>
                <w:rFonts w:ascii="宋体" w:hAnsi="宋体" w:cs="宋体"/>
                <w:color w:val="auto"/>
                <w:sz w:val="22"/>
                <w:highlight w:val="none"/>
              </w:rPr>
            </w:pPr>
          </w:p>
        </w:tc>
      </w:tr>
    </w:tbl>
    <w:p w14:paraId="1166CC77">
      <w:pPr>
        <w:spacing w:line="40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说明：</w:t>
      </w:r>
    </w:p>
    <w:p w14:paraId="603ED751">
      <w:pPr>
        <w:numPr>
          <w:ilvl w:val="0"/>
          <w:numId w:val="3"/>
        </w:num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此栏投标报价应与“3、投标分项报价表”中的总计价相一致。</w:t>
      </w:r>
    </w:p>
    <w:p w14:paraId="5E805CF5">
      <w:pPr>
        <w:numPr>
          <w:ilvl w:val="0"/>
          <w:numId w:val="3"/>
        </w:num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不提供此表格将被视为没有实质性响应招标文件</w:t>
      </w:r>
    </w:p>
    <w:p w14:paraId="375D9526">
      <w:pPr>
        <w:spacing w:line="360" w:lineRule="auto"/>
        <w:jc w:val="center"/>
        <w:rPr>
          <w:rFonts w:ascii="宋体" w:hAnsi="宋体" w:cs="宋体"/>
          <w:color w:val="auto"/>
          <w:sz w:val="22"/>
          <w:szCs w:val="22"/>
          <w:highlight w:val="none"/>
        </w:rPr>
      </w:pPr>
    </w:p>
    <w:p w14:paraId="5A38DA70">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56CDE91C">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0DDB7BDC">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6D0C3D23">
      <w:pPr>
        <w:pStyle w:val="52"/>
        <w:ind w:left="860" w:hanging="440"/>
        <w:rPr>
          <w:rFonts w:ascii="宋体" w:hAnsi="宋体"/>
          <w:color w:val="auto"/>
          <w:sz w:val="22"/>
          <w:szCs w:val="22"/>
          <w:highlight w:val="none"/>
        </w:rPr>
      </w:pPr>
    </w:p>
    <w:p w14:paraId="3F90DEC0">
      <w:pPr>
        <w:pStyle w:val="52"/>
        <w:ind w:left="860" w:hanging="440"/>
        <w:rPr>
          <w:rFonts w:ascii="宋体" w:hAnsi="宋体"/>
          <w:color w:val="auto"/>
          <w:sz w:val="22"/>
          <w:szCs w:val="22"/>
          <w:highlight w:val="none"/>
        </w:rPr>
      </w:pPr>
    </w:p>
    <w:p w14:paraId="2A891A1D">
      <w:pPr>
        <w:pStyle w:val="52"/>
        <w:ind w:left="860" w:hanging="440"/>
        <w:rPr>
          <w:rFonts w:ascii="宋体" w:hAnsi="宋体"/>
          <w:color w:val="auto"/>
          <w:sz w:val="22"/>
          <w:szCs w:val="22"/>
          <w:highlight w:val="none"/>
        </w:rPr>
      </w:pPr>
    </w:p>
    <w:p w14:paraId="1C94E6C2">
      <w:pPr>
        <w:pStyle w:val="52"/>
        <w:ind w:left="860" w:hanging="440"/>
        <w:rPr>
          <w:rFonts w:ascii="宋体" w:hAnsi="宋体"/>
          <w:color w:val="auto"/>
          <w:sz w:val="22"/>
          <w:szCs w:val="22"/>
          <w:highlight w:val="none"/>
        </w:rPr>
      </w:pPr>
    </w:p>
    <w:p w14:paraId="012A5943">
      <w:pPr>
        <w:pStyle w:val="52"/>
        <w:ind w:left="860" w:hanging="440"/>
        <w:rPr>
          <w:rFonts w:ascii="宋体" w:hAnsi="宋体"/>
          <w:color w:val="auto"/>
          <w:sz w:val="22"/>
          <w:szCs w:val="22"/>
          <w:highlight w:val="none"/>
        </w:rPr>
      </w:pPr>
    </w:p>
    <w:p w14:paraId="46FFA6BC">
      <w:pPr>
        <w:pStyle w:val="52"/>
        <w:ind w:left="860" w:hanging="440"/>
        <w:rPr>
          <w:rFonts w:ascii="宋体" w:hAnsi="宋体"/>
          <w:color w:val="auto"/>
          <w:sz w:val="22"/>
          <w:szCs w:val="22"/>
          <w:highlight w:val="none"/>
        </w:rPr>
      </w:pPr>
    </w:p>
    <w:p w14:paraId="1D7B01B4">
      <w:pPr>
        <w:pStyle w:val="52"/>
        <w:ind w:left="860" w:hanging="440"/>
        <w:rPr>
          <w:rFonts w:ascii="宋体" w:hAnsi="宋体"/>
          <w:color w:val="auto"/>
          <w:sz w:val="22"/>
          <w:szCs w:val="22"/>
          <w:highlight w:val="none"/>
        </w:rPr>
      </w:pPr>
    </w:p>
    <w:p w14:paraId="44DED89B">
      <w:pPr>
        <w:pStyle w:val="52"/>
        <w:ind w:left="860" w:hanging="440"/>
        <w:rPr>
          <w:rFonts w:ascii="宋体" w:hAnsi="宋体"/>
          <w:color w:val="auto"/>
          <w:sz w:val="22"/>
          <w:szCs w:val="22"/>
          <w:highlight w:val="none"/>
        </w:rPr>
      </w:pPr>
    </w:p>
    <w:p w14:paraId="6F663AA0">
      <w:pPr>
        <w:pStyle w:val="52"/>
        <w:ind w:left="860" w:hanging="440"/>
        <w:rPr>
          <w:rFonts w:ascii="宋体" w:hAnsi="宋体"/>
          <w:color w:val="auto"/>
          <w:sz w:val="22"/>
          <w:szCs w:val="22"/>
          <w:highlight w:val="none"/>
        </w:rPr>
      </w:pPr>
    </w:p>
    <w:p w14:paraId="6709960A">
      <w:pPr>
        <w:pStyle w:val="52"/>
        <w:ind w:left="860" w:hanging="440"/>
        <w:rPr>
          <w:rFonts w:ascii="宋体" w:hAnsi="宋体"/>
          <w:color w:val="auto"/>
          <w:sz w:val="22"/>
          <w:szCs w:val="22"/>
          <w:highlight w:val="none"/>
        </w:rPr>
      </w:pPr>
    </w:p>
    <w:p w14:paraId="544A31B5">
      <w:pPr>
        <w:pStyle w:val="52"/>
        <w:ind w:left="860" w:hanging="440"/>
        <w:rPr>
          <w:rFonts w:ascii="宋体" w:hAnsi="宋体"/>
          <w:color w:val="auto"/>
          <w:sz w:val="22"/>
          <w:szCs w:val="22"/>
          <w:highlight w:val="none"/>
        </w:rPr>
      </w:pPr>
    </w:p>
    <w:p w14:paraId="259C920A">
      <w:pPr>
        <w:rPr>
          <w:rFonts w:ascii="宋体" w:hAnsi="宋体"/>
          <w:color w:val="auto"/>
          <w:sz w:val="22"/>
          <w:szCs w:val="22"/>
          <w:highlight w:val="none"/>
        </w:rPr>
      </w:pPr>
    </w:p>
    <w:p w14:paraId="2669F25A">
      <w:pPr>
        <w:rPr>
          <w:rFonts w:ascii="宋体" w:hAnsi="宋体"/>
          <w:color w:val="auto"/>
          <w:sz w:val="22"/>
          <w:szCs w:val="22"/>
          <w:highlight w:val="none"/>
        </w:rPr>
      </w:pPr>
    </w:p>
    <w:p w14:paraId="63730FD4">
      <w:pPr>
        <w:rPr>
          <w:rFonts w:ascii="宋体" w:hAnsi="宋体"/>
          <w:color w:val="auto"/>
          <w:sz w:val="22"/>
          <w:szCs w:val="22"/>
          <w:highlight w:val="none"/>
        </w:rPr>
      </w:pPr>
    </w:p>
    <w:p w14:paraId="50DAD72F">
      <w:pPr>
        <w:rPr>
          <w:rFonts w:ascii="宋体" w:hAnsi="宋体"/>
          <w:color w:val="auto"/>
          <w:sz w:val="22"/>
          <w:szCs w:val="22"/>
          <w:highlight w:val="none"/>
        </w:rPr>
      </w:pPr>
    </w:p>
    <w:p w14:paraId="44EFB562">
      <w:pPr>
        <w:pStyle w:val="52"/>
        <w:ind w:left="860" w:hanging="440"/>
        <w:rPr>
          <w:rFonts w:ascii="宋体" w:hAnsi="宋体"/>
          <w:color w:val="auto"/>
          <w:sz w:val="22"/>
          <w:szCs w:val="22"/>
          <w:highlight w:val="none"/>
        </w:rPr>
      </w:pPr>
    </w:p>
    <w:p w14:paraId="3CEBEF10">
      <w:pPr>
        <w:rPr>
          <w:rFonts w:ascii="宋体" w:hAnsi="宋体" w:cs="宋体"/>
          <w:b/>
          <w:color w:val="auto"/>
          <w:sz w:val="22"/>
          <w:szCs w:val="22"/>
          <w:highlight w:val="none"/>
          <w:lang w:val="zh-CN"/>
        </w:rPr>
      </w:pPr>
    </w:p>
    <w:p w14:paraId="2DFBBA60">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t>3、</w:t>
      </w:r>
      <w:r>
        <w:rPr>
          <w:rFonts w:hint="eastAsia" w:ascii="宋体" w:hAnsi="宋体" w:cs="宋体"/>
          <w:b/>
          <w:color w:val="auto"/>
          <w:sz w:val="22"/>
          <w:szCs w:val="22"/>
          <w:highlight w:val="none"/>
        </w:rPr>
        <w:t>投标</w:t>
      </w:r>
      <w:r>
        <w:rPr>
          <w:rFonts w:hint="eastAsia" w:ascii="宋体" w:hAnsi="宋体" w:cs="宋体"/>
          <w:b/>
          <w:color w:val="auto"/>
          <w:sz w:val="22"/>
          <w:szCs w:val="22"/>
          <w:highlight w:val="none"/>
          <w:lang w:val="zh-CN"/>
        </w:rPr>
        <w:t>分项报价表</w:t>
      </w:r>
    </w:p>
    <w:p w14:paraId="71FE13F3">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项目编号： </w:t>
      </w:r>
    </w:p>
    <w:p w14:paraId="41612FC7">
      <w:pPr>
        <w:keepNext/>
        <w:spacing w:line="360" w:lineRule="auto"/>
        <w:rPr>
          <w:rFonts w:ascii="宋体" w:hAnsi="宋体" w:cs="宋体"/>
          <w:b/>
          <w:color w:val="auto"/>
          <w:sz w:val="22"/>
          <w:szCs w:val="22"/>
          <w:highlight w:val="none"/>
        </w:rPr>
      </w:pPr>
      <w:r>
        <w:rPr>
          <w:rFonts w:hint="eastAsia" w:ascii="宋体" w:hAnsi="宋体" w:cs="宋体"/>
          <w:color w:val="auto"/>
          <w:sz w:val="22"/>
          <w:szCs w:val="22"/>
          <w:highlight w:val="none"/>
        </w:rPr>
        <w:t xml:space="preserve">项目名称： </w:t>
      </w:r>
    </w:p>
    <w:tbl>
      <w:tblPr>
        <w:tblStyle w:val="53"/>
        <w:tblW w:w="99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708"/>
        <w:gridCol w:w="1143"/>
        <w:gridCol w:w="1000"/>
        <w:gridCol w:w="1159"/>
      </w:tblGrid>
      <w:tr w14:paraId="3947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04AD32E5">
            <w:pPr>
              <w:spacing w:line="460" w:lineRule="exact"/>
              <w:ind w:right="-11"/>
              <w:jc w:val="center"/>
              <w:rPr>
                <w:color w:val="auto"/>
                <w:sz w:val="22"/>
                <w:szCs w:val="22"/>
                <w:highlight w:val="none"/>
              </w:rPr>
            </w:pPr>
            <w:r>
              <w:rPr>
                <w:color w:val="auto"/>
                <w:sz w:val="22"/>
                <w:szCs w:val="22"/>
                <w:highlight w:val="none"/>
              </w:rPr>
              <w:t>项目</w:t>
            </w:r>
          </w:p>
        </w:tc>
        <w:tc>
          <w:tcPr>
            <w:tcW w:w="1605" w:type="dxa"/>
            <w:vAlign w:val="center"/>
          </w:tcPr>
          <w:p w14:paraId="48F60B2C">
            <w:pPr>
              <w:spacing w:line="460" w:lineRule="exact"/>
              <w:ind w:right="-11"/>
              <w:jc w:val="center"/>
              <w:rPr>
                <w:color w:val="auto"/>
                <w:sz w:val="22"/>
                <w:szCs w:val="22"/>
                <w:highlight w:val="none"/>
              </w:rPr>
            </w:pPr>
            <w:r>
              <w:rPr>
                <w:color w:val="auto"/>
                <w:sz w:val="22"/>
                <w:szCs w:val="22"/>
                <w:highlight w:val="none"/>
              </w:rPr>
              <w:t>货物名称</w:t>
            </w:r>
          </w:p>
        </w:tc>
        <w:tc>
          <w:tcPr>
            <w:tcW w:w="1477" w:type="dxa"/>
            <w:vAlign w:val="center"/>
          </w:tcPr>
          <w:p w14:paraId="750E3E64">
            <w:pPr>
              <w:spacing w:line="460" w:lineRule="exact"/>
              <w:ind w:right="-11"/>
              <w:jc w:val="center"/>
              <w:rPr>
                <w:color w:val="auto"/>
                <w:sz w:val="22"/>
                <w:szCs w:val="22"/>
                <w:highlight w:val="none"/>
              </w:rPr>
            </w:pPr>
            <w:r>
              <w:rPr>
                <w:color w:val="auto"/>
                <w:sz w:val="22"/>
                <w:szCs w:val="22"/>
                <w:highlight w:val="none"/>
              </w:rPr>
              <w:t>品牌型号规格、产地</w:t>
            </w:r>
          </w:p>
        </w:tc>
        <w:tc>
          <w:tcPr>
            <w:tcW w:w="1570" w:type="dxa"/>
            <w:vAlign w:val="center"/>
          </w:tcPr>
          <w:p w14:paraId="35C85554">
            <w:pPr>
              <w:spacing w:line="460" w:lineRule="exact"/>
              <w:ind w:right="-11"/>
              <w:jc w:val="center"/>
              <w:rPr>
                <w:color w:val="auto"/>
                <w:sz w:val="22"/>
                <w:szCs w:val="22"/>
                <w:highlight w:val="none"/>
              </w:rPr>
            </w:pPr>
            <w:r>
              <w:rPr>
                <w:color w:val="auto"/>
                <w:sz w:val="22"/>
                <w:szCs w:val="22"/>
                <w:highlight w:val="none"/>
              </w:rPr>
              <w:t>制造厂商名称</w:t>
            </w:r>
          </w:p>
        </w:tc>
        <w:tc>
          <w:tcPr>
            <w:tcW w:w="708" w:type="dxa"/>
            <w:vAlign w:val="center"/>
          </w:tcPr>
          <w:p w14:paraId="1C8EDE23">
            <w:pPr>
              <w:spacing w:line="460" w:lineRule="exact"/>
              <w:ind w:right="-11"/>
              <w:jc w:val="center"/>
              <w:rPr>
                <w:color w:val="auto"/>
                <w:sz w:val="22"/>
                <w:szCs w:val="22"/>
                <w:highlight w:val="none"/>
              </w:rPr>
            </w:pPr>
            <w:r>
              <w:rPr>
                <w:color w:val="auto"/>
                <w:sz w:val="22"/>
                <w:szCs w:val="22"/>
                <w:highlight w:val="none"/>
              </w:rPr>
              <w:t>单位</w:t>
            </w:r>
          </w:p>
        </w:tc>
        <w:tc>
          <w:tcPr>
            <w:tcW w:w="708" w:type="dxa"/>
            <w:vAlign w:val="center"/>
          </w:tcPr>
          <w:p w14:paraId="46208DC7">
            <w:pPr>
              <w:spacing w:line="460" w:lineRule="exact"/>
              <w:ind w:right="-11"/>
              <w:jc w:val="center"/>
              <w:rPr>
                <w:color w:val="auto"/>
                <w:sz w:val="22"/>
                <w:szCs w:val="22"/>
                <w:highlight w:val="none"/>
              </w:rPr>
            </w:pPr>
            <w:r>
              <w:rPr>
                <w:color w:val="auto"/>
                <w:sz w:val="22"/>
                <w:szCs w:val="22"/>
                <w:highlight w:val="none"/>
              </w:rPr>
              <w:t>数量</w:t>
            </w:r>
          </w:p>
        </w:tc>
        <w:tc>
          <w:tcPr>
            <w:tcW w:w="1143" w:type="dxa"/>
            <w:vAlign w:val="center"/>
          </w:tcPr>
          <w:p w14:paraId="61B81762">
            <w:pPr>
              <w:spacing w:line="460" w:lineRule="exact"/>
              <w:ind w:right="-11"/>
              <w:jc w:val="center"/>
              <w:rPr>
                <w:color w:val="auto"/>
                <w:sz w:val="22"/>
                <w:szCs w:val="22"/>
                <w:highlight w:val="none"/>
              </w:rPr>
            </w:pPr>
            <w:r>
              <w:rPr>
                <w:color w:val="auto"/>
                <w:sz w:val="22"/>
                <w:szCs w:val="22"/>
                <w:highlight w:val="none"/>
              </w:rPr>
              <w:t>出厂单价</w:t>
            </w:r>
          </w:p>
          <w:p w14:paraId="4017BEA3">
            <w:pPr>
              <w:spacing w:line="460" w:lineRule="exact"/>
              <w:ind w:right="-11"/>
              <w:jc w:val="center"/>
              <w:rPr>
                <w:color w:val="auto"/>
                <w:sz w:val="22"/>
                <w:szCs w:val="22"/>
                <w:highlight w:val="none"/>
              </w:rPr>
            </w:pPr>
            <w:r>
              <w:rPr>
                <w:color w:val="auto"/>
                <w:sz w:val="22"/>
                <w:szCs w:val="22"/>
                <w:highlight w:val="none"/>
              </w:rPr>
              <w:t>（含税）</w:t>
            </w:r>
          </w:p>
        </w:tc>
        <w:tc>
          <w:tcPr>
            <w:tcW w:w="1000" w:type="dxa"/>
            <w:vAlign w:val="center"/>
          </w:tcPr>
          <w:p w14:paraId="77922C46">
            <w:pPr>
              <w:spacing w:line="460" w:lineRule="exact"/>
              <w:ind w:right="-11"/>
              <w:jc w:val="center"/>
              <w:rPr>
                <w:color w:val="auto"/>
                <w:sz w:val="22"/>
                <w:szCs w:val="22"/>
                <w:highlight w:val="none"/>
              </w:rPr>
            </w:pPr>
            <w:r>
              <w:rPr>
                <w:color w:val="auto"/>
                <w:sz w:val="22"/>
                <w:szCs w:val="22"/>
                <w:highlight w:val="none"/>
              </w:rPr>
              <w:t>总价</w:t>
            </w:r>
          </w:p>
          <w:p w14:paraId="586536D8">
            <w:pPr>
              <w:spacing w:line="460" w:lineRule="exact"/>
              <w:ind w:right="-11"/>
              <w:jc w:val="center"/>
              <w:rPr>
                <w:color w:val="auto"/>
                <w:sz w:val="22"/>
                <w:szCs w:val="22"/>
                <w:highlight w:val="none"/>
              </w:rPr>
            </w:pPr>
            <w:r>
              <w:rPr>
                <w:color w:val="auto"/>
                <w:sz w:val="22"/>
                <w:szCs w:val="22"/>
                <w:highlight w:val="none"/>
              </w:rPr>
              <w:t>（含税）</w:t>
            </w:r>
          </w:p>
        </w:tc>
        <w:tc>
          <w:tcPr>
            <w:tcW w:w="1159" w:type="dxa"/>
            <w:vAlign w:val="center"/>
          </w:tcPr>
          <w:p w14:paraId="7D466E4C">
            <w:pPr>
              <w:spacing w:line="460" w:lineRule="exact"/>
              <w:ind w:right="-11"/>
              <w:jc w:val="center"/>
              <w:rPr>
                <w:color w:val="auto"/>
                <w:sz w:val="22"/>
                <w:szCs w:val="22"/>
                <w:highlight w:val="none"/>
              </w:rPr>
            </w:pPr>
            <w:r>
              <w:rPr>
                <w:color w:val="auto"/>
                <w:sz w:val="22"/>
                <w:szCs w:val="22"/>
                <w:highlight w:val="none"/>
              </w:rPr>
              <w:t>免费</w:t>
            </w:r>
          </w:p>
          <w:p w14:paraId="58C3D3B6">
            <w:pPr>
              <w:spacing w:line="460" w:lineRule="exact"/>
              <w:ind w:right="-11"/>
              <w:jc w:val="center"/>
              <w:rPr>
                <w:color w:val="auto"/>
                <w:sz w:val="22"/>
                <w:szCs w:val="22"/>
                <w:highlight w:val="none"/>
              </w:rPr>
            </w:pPr>
            <w:r>
              <w:rPr>
                <w:color w:val="auto"/>
                <w:sz w:val="22"/>
                <w:szCs w:val="22"/>
                <w:highlight w:val="none"/>
              </w:rPr>
              <w:t>保修期</w:t>
            </w:r>
          </w:p>
        </w:tc>
      </w:tr>
      <w:tr w14:paraId="511F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5D22633">
            <w:pPr>
              <w:widowControl/>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05" w:type="dxa"/>
            <w:vAlign w:val="center"/>
          </w:tcPr>
          <w:p w14:paraId="25A746A5">
            <w:pPr>
              <w:widowControl/>
              <w:jc w:val="center"/>
              <w:textAlignment w:val="center"/>
              <w:rPr>
                <w:color w:val="auto"/>
                <w:sz w:val="22"/>
                <w:szCs w:val="22"/>
                <w:highlight w:val="none"/>
              </w:rPr>
            </w:pPr>
          </w:p>
        </w:tc>
        <w:tc>
          <w:tcPr>
            <w:tcW w:w="1477" w:type="dxa"/>
            <w:vAlign w:val="center"/>
          </w:tcPr>
          <w:p w14:paraId="00C1D244">
            <w:pPr>
              <w:spacing w:line="460" w:lineRule="exact"/>
              <w:jc w:val="center"/>
              <w:rPr>
                <w:color w:val="auto"/>
                <w:sz w:val="22"/>
                <w:szCs w:val="22"/>
                <w:highlight w:val="none"/>
              </w:rPr>
            </w:pPr>
          </w:p>
        </w:tc>
        <w:tc>
          <w:tcPr>
            <w:tcW w:w="1570" w:type="dxa"/>
            <w:vAlign w:val="center"/>
          </w:tcPr>
          <w:p w14:paraId="21530A71">
            <w:pPr>
              <w:spacing w:line="460" w:lineRule="exact"/>
              <w:ind w:right="-11"/>
              <w:jc w:val="center"/>
              <w:rPr>
                <w:color w:val="auto"/>
                <w:sz w:val="22"/>
                <w:szCs w:val="22"/>
                <w:highlight w:val="none"/>
              </w:rPr>
            </w:pPr>
          </w:p>
        </w:tc>
        <w:tc>
          <w:tcPr>
            <w:tcW w:w="708" w:type="dxa"/>
            <w:vAlign w:val="center"/>
          </w:tcPr>
          <w:p w14:paraId="6E4FAF60">
            <w:pPr>
              <w:widowControl/>
              <w:jc w:val="center"/>
              <w:textAlignment w:val="center"/>
              <w:rPr>
                <w:color w:val="auto"/>
                <w:sz w:val="22"/>
                <w:szCs w:val="22"/>
                <w:highlight w:val="none"/>
              </w:rPr>
            </w:pPr>
          </w:p>
        </w:tc>
        <w:tc>
          <w:tcPr>
            <w:tcW w:w="708" w:type="dxa"/>
            <w:vAlign w:val="center"/>
          </w:tcPr>
          <w:p w14:paraId="1050E734">
            <w:pPr>
              <w:spacing w:line="460" w:lineRule="exact"/>
              <w:jc w:val="center"/>
              <w:rPr>
                <w:color w:val="auto"/>
                <w:sz w:val="22"/>
                <w:szCs w:val="22"/>
                <w:highlight w:val="none"/>
              </w:rPr>
            </w:pPr>
          </w:p>
        </w:tc>
        <w:tc>
          <w:tcPr>
            <w:tcW w:w="1143" w:type="dxa"/>
            <w:vAlign w:val="center"/>
          </w:tcPr>
          <w:p w14:paraId="1D8D1DA7">
            <w:pPr>
              <w:spacing w:line="460" w:lineRule="exact"/>
              <w:ind w:right="-11"/>
              <w:jc w:val="center"/>
              <w:rPr>
                <w:color w:val="auto"/>
                <w:sz w:val="22"/>
                <w:szCs w:val="22"/>
                <w:highlight w:val="none"/>
              </w:rPr>
            </w:pPr>
          </w:p>
        </w:tc>
        <w:tc>
          <w:tcPr>
            <w:tcW w:w="1000" w:type="dxa"/>
            <w:vAlign w:val="center"/>
          </w:tcPr>
          <w:p w14:paraId="2E6BD89A">
            <w:pPr>
              <w:spacing w:line="460" w:lineRule="exact"/>
              <w:ind w:right="-11"/>
              <w:jc w:val="center"/>
              <w:rPr>
                <w:color w:val="auto"/>
                <w:sz w:val="22"/>
                <w:szCs w:val="22"/>
                <w:highlight w:val="none"/>
              </w:rPr>
            </w:pPr>
          </w:p>
        </w:tc>
        <w:tc>
          <w:tcPr>
            <w:tcW w:w="1159" w:type="dxa"/>
            <w:vAlign w:val="center"/>
          </w:tcPr>
          <w:p w14:paraId="5A473465">
            <w:pPr>
              <w:spacing w:line="460" w:lineRule="exact"/>
              <w:ind w:right="-11"/>
              <w:jc w:val="center"/>
              <w:rPr>
                <w:color w:val="auto"/>
                <w:sz w:val="22"/>
                <w:szCs w:val="22"/>
                <w:highlight w:val="none"/>
              </w:rPr>
            </w:pPr>
          </w:p>
        </w:tc>
      </w:tr>
      <w:tr w14:paraId="2A4A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D237E52">
            <w:pPr>
              <w:widowControl/>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605" w:type="dxa"/>
            <w:vAlign w:val="center"/>
          </w:tcPr>
          <w:p w14:paraId="0A72AFF9">
            <w:pPr>
              <w:widowControl/>
              <w:jc w:val="center"/>
              <w:textAlignment w:val="center"/>
              <w:rPr>
                <w:color w:val="auto"/>
                <w:sz w:val="22"/>
                <w:szCs w:val="22"/>
                <w:highlight w:val="none"/>
              </w:rPr>
            </w:pPr>
          </w:p>
        </w:tc>
        <w:tc>
          <w:tcPr>
            <w:tcW w:w="1477" w:type="dxa"/>
            <w:vAlign w:val="center"/>
          </w:tcPr>
          <w:p w14:paraId="3A1FFE05">
            <w:pPr>
              <w:spacing w:line="460" w:lineRule="exact"/>
              <w:jc w:val="center"/>
              <w:rPr>
                <w:color w:val="auto"/>
                <w:sz w:val="22"/>
                <w:szCs w:val="22"/>
                <w:highlight w:val="none"/>
              </w:rPr>
            </w:pPr>
          </w:p>
        </w:tc>
        <w:tc>
          <w:tcPr>
            <w:tcW w:w="1570" w:type="dxa"/>
            <w:vAlign w:val="center"/>
          </w:tcPr>
          <w:p w14:paraId="54092E25">
            <w:pPr>
              <w:spacing w:line="460" w:lineRule="exact"/>
              <w:ind w:right="-11"/>
              <w:jc w:val="center"/>
              <w:rPr>
                <w:color w:val="auto"/>
                <w:sz w:val="22"/>
                <w:szCs w:val="22"/>
                <w:highlight w:val="none"/>
              </w:rPr>
            </w:pPr>
          </w:p>
        </w:tc>
        <w:tc>
          <w:tcPr>
            <w:tcW w:w="708" w:type="dxa"/>
            <w:vAlign w:val="center"/>
          </w:tcPr>
          <w:p w14:paraId="696B43A8">
            <w:pPr>
              <w:widowControl/>
              <w:jc w:val="center"/>
              <w:textAlignment w:val="center"/>
              <w:rPr>
                <w:color w:val="auto"/>
                <w:sz w:val="22"/>
                <w:szCs w:val="22"/>
                <w:highlight w:val="none"/>
              </w:rPr>
            </w:pPr>
          </w:p>
        </w:tc>
        <w:tc>
          <w:tcPr>
            <w:tcW w:w="708" w:type="dxa"/>
            <w:vAlign w:val="center"/>
          </w:tcPr>
          <w:p w14:paraId="5EFCE4E5">
            <w:pPr>
              <w:spacing w:line="460" w:lineRule="exact"/>
              <w:jc w:val="center"/>
              <w:rPr>
                <w:color w:val="auto"/>
                <w:sz w:val="22"/>
                <w:szCs w:val="22"/>
                <w:highlight w:val="none"/>
              </w:rPr>
            </w:pPr>
          </w:p>
        </w:tc>
        <w:tc>
          <w:tcPr>
            <w:tcW w:w="1143" w:type="dxa"/>
            <w:vAlign w:val="center"/>
          </w:tcPr>
          <w:p w14:paraId="1ABD943A">
            <w:pPr>
              <w:spacing w:line="460" w:lineRule="exact"/>
              <w:ind w:right="-11"/>
              <w:jc w:val="center"/>
              <w:rPr>
                <w:color w:val="auto"/>
                <w:sz w:val="22"/>
                <w:szCs w:val="22"/>
                <w:highlight w:val="none"/>
              </w:rPr>
            </w:pPr>
          </w:p>
        </w:tc>
        <w:tc>
          <w:tcPr>
            <w:tcW w:w="1000" w:type="dxa"/>
            <w:vAlign w:val="center"/>
          </w:tcPr>
          <w:p w14:paraId="25D3873A">
            <w:pPr>
              <w:spacing w:line="460" w:lineRule="exact"/>
              <w:ind w:right="-11"/>
              <w:jc w:val="center"/>
              <w:rPr>
                <w:color w:val="auto"/>
                <w:sz w:val="22"/>
                <w:szCs w:val="22"/>
                <w:highlight w:val="none"/>
              </w:rPr>
            </w:pPr>
          </w:p>
        </w:tc>
        <w:tc>
          <w:tcPr>
            <w:tcW w:w="1159" w:type="dxa"/>
            <w:vAlign w:val="center"/>
          </w:tcPr>
          <w:p w14:paraId="65F88349">
            <w:pPr>
              <w:spacing w:line="460" w:lineRule="exact"/>
              <w:ind w:right="-11"/>
              <w:jc w:val="center"/>
              <w:rPr>
                <w:color w:val="auto"/>
                <w:sz w:val="22"/>
                <w:szCs w:val="22"/>
                <w:highlight w:val="none"/>
              </w:rPr>
            </w:pPr>
          </w:p>
        </w:tc>
      </w:tr>
      <w:tr w14:paraId="565F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F0D0E1C">
            <w:pPr>
              <w:widowControl/>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1605" w:type="dxa"/>
            <w:vAlign w:val="center"/>
          </w:tcPr>
          <w:p w14:paraId="26D21502">
            <w:pPr>
              <w:widowControl/>
              <w:jc w:val="center"/>
              <w:textAlignment w:val="center"/>
              <w:rPr>
                <w:color w:val="auto"/>
                <w:sz w:val="22"/>
                <w:szCs w:val="22"/>
                <w:highlight w:val="none"/>
              </w:rPr>
            </w:pPr>
          </w:p>
        </w:tc>
        <w:tc>
          <w:tcPr>
            <w:tcW w:w="1477" w:type="dxa"/>
            <w:vAlign w:val="center"/>
          </w:tcPr>
          <w:p w14:paraId="358DF8DD">
            <w:pPr>
              <w:spacing w:line="460" w:lineRule="exact"/>
              <w:jc w:val="center"/>
              <w:rPr>
                <w:color w:val="auto"/>
                <w:sz w:val="22"/>
                <w:szCs w:val="22"/>
                <w:highlight w:val="none"/>
              </w:rPr>
            </w:pPr>
          </w:p>
        </w:tc>
        <w:tc>
          <w:tcPr>
            <w:tcW w:w="1570" w:type="dxa"/>
            <w:vAlign w:val="center"/>
          </w:tcPr>
          <w:p w14:paraId="3F0863EA">
            <w:pPr>
              <w:spacing w:line="460" w:lineRule="exact"/>
              <w:ind w:right="-11"/>
              <w:jc w:val="center"/>
              <w:rPr>
                <w:color w:val="auto"/>
                <w:sz w:val="22"/>
                <w:szCs w:val="22"/>
                <w:highlight w:val="none"/>
              </w:rPr>
            </w:pPr>
          </w:p>
        </w:tc>
        <w:tc>
          <w:tcPr>
            <w:tcW w:w="708" w:type="dxa"/>
            <w:vAlign w:val="center"/>
          </w:tcPr>
          <w:p w14:paraId="66AEC08C">
            <w:pPr>
              <w:widowControl/>
              <w:jc w:val="center"/>
              <w:textAlignment w:val="center"/>
              <w:rPr>
                <w:color w:val="auto"/>
                <w:sz w:val="22"/>
                <w:szCs w:val="22"/>
                <w:highlight w:val="none"/>
              </w:rPr>
            </w:pPr>
          </w:p>
        </w:tc>
        <w:tc>
          <w:tcPr>
            <w:tcW w:w="708" w:type="dxa"/>
            <w:vAlign w:val="center"/>
          </w:tcPr>
          <w:p w14:paraId="1738528B">
            <w:pPr>
              <w:spacing w:line="460" w:lineRule="exact"/>
              <w:jc w:val="center"/>
              <w:rPr>
                <w:color w:val="auto"/>
                <w:sz w:val="22"/>
                <w:szCs w:val="22"/>
                <w:highlight w:val="none"/>
              </w:rPr>
            </w:pPr>
          </w:p>
        </w:tc>
        <w:tc>
          <w:tcPr>
            <w:tcW w:w="1143" w:type="dxa"/>
            <w:vAlign w:val="center"/>
          </w:tcPr>
          <w:p w14:paraId="31F1A46D">
            <w:pPr>
              <w:spacing w:line="460" w:lineRule="exact"/>
              <w:ind w:right="-11"/>
              <w:jc w:val="center"/>
              <w:rPr>
                <w:color w:val="auto"/>
                <w:sz w:val="22"/>
                <w:szCs w:val="22"/>
                <w:highlight w:val="none"/>
              </w:rPr>
            </w:pPr>
          </w:p>
        </w:tc>
        <w:tc>
          <w:tcPr>
            <w:tcW w:w="1000" w:type="dxa"/>
            <w:vAlign w:val="center"/>
          </w:tcPr>
          <w:p w14:paraId="0B66FCD8">
            <w:pPr>
              <w:spacing w:line="460" w:lineRule="exact"/>
              <w:ind w:right="-11"/>
              <w:jc w:val="center"/>
              <w:rPr>
                <w:color w:val="auto"/>
                <w:sz w:val="22"/>
                <w:szCs w:val="22"/>
                <w:highlight w:val="none"/>
              </w:rPr>
            </w:pPr>
          </w:p>
        </w:tc>
        <w:tc>
          <w:tcPr>
            <w:tcW w:w="1159" w:type="dxa"/>
            <w:vAlign w:val="center"/>
          </w:tcPr>
          <w:p w14:paraId="4540C1CC">
            <w:pPr>
              <w:spacing w:line="460" w:lineRule="exact"/>
              <w:ind w:right="-11"/>
              <w:jc w:val="center"/>
              <w:rPr>
                <w:color w:val="auto"/>
                <w:sz w:val="22"/>
                <w:szCs w:val="22"/>
                <w:highlight w:val="none"/>
              </w:rPr>
            </w:pPr>
          </w:p>
        </w:tc>
      </w:tr>
      <w:tr w14:paraId="04A3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477E7B5">
            <w:pPr>
              <w:widowControl/>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605" w:type="dxa"/>
            <w:vAlign w:val="center"/>
          </w:tcPr>
          <w:p w14:paraId="7E201F71">
            <w:pPr>
              <w:widowControl/>
              <w:jc w:val="center"/>
              <w:textAlignment w:val="center"/>
              <w:rPr>
                <w:color w:val="auto"/>
                <w:sz w:val="22"/>
                <w:szCs w:val="22"/>
                <w:highlight w:val="none"/>
              </w:rPr>
            </w:pPr>
          </w:p>
        </w:tc>
        <w:tc>
          <w:tcPr>
            <w:tcW w:w="1477" w:type="dxa"/>
            <w:vAlign w:val="center"/>
          </w:tcPr>
          <w:p w14:paraId="44204CE1">
            <w:pPr>
              <w:spacing w:line="460" w:lineRule="exact"/>
              <w:jc w:val="center"/>
              <w:rPr>
                <w:color w:val="auto"/>
                <w:sz w:val="22"/>
                <w:szCs w:val="22"/>
                <w:highlight w:val="none"/>
              </w:rPr>
            </w:pPr>
          </w:p>
        </w:tc>
        <w:tc>
          <w:tcPr>
            <w:tcW w:w="1570" w:type="dxa"/>
            <w:vAlign w:val="center"/>
          </w:tcPr>
          <w:p w14:paraId="153FD290">
            <w:pPr>
              <w:spacing w:line="460" w:lineRule="exact"/>
              <w:ind w:right="-11"/>
              <w:jc w:val="center"/>
              <w:rPr>
                <w:color w:val="auto"/>
                <w:sz w:val="22"/>
                <w:szCs w:val="22"/>
                <w:highlight w:val="none"/>
              </w:rPr>
            </w:pPr>
          </w:p>
        </w:tc>
        <w:tc>
          <w:tcPr>
            <w:tcW w:w="708" w:type="dxa"/>
            <w:vAlign w:val="center"/>
          </w:tcPr>
          <w:p w14:paraId="009B0CF9">
            <w:pPr>
              <w:widowControl/>
              <w:jc w:val="center"/>
              <w:textAlignment w:val="center"/>
              <w:rPr>
                <w:color w:val="auto"/>
                <w:sz w:val="22"/>
                <w:szCs w:val="22"/>
                <w:highlight w:val="none"/>
              </w:rPr>
            </w:pPr>
          </w:p>
        </w:tc>
        <w:tc>
          <w:tcPr>
            <w:tcW w:w="708" w:type="dxa"/>
            <w:vAlign w:val="center"/>
          </w:tcPr>
          <w:p w14:paraId="2B7B2363">
            <w:pPr>
              <w:spacing w:line="460" w:lineRule="exact"/>
              <w:jc w:val="center"/>
              <w:rPr>
                <w:color w:val="auto"/>
                <w:sz w:val="22"/>
                <w:szCs w:val="22"/>
                <w:highlight w:val="none"/>
              </w:rPr>
            </w:pPr>
          </w:p>
        </w:tc>
        <w:tc>
          <w:tcPr>
            <w:tcW w:w="1143" w:type="dxa"/>
            <w:vAlign w:val="center"/>
          </w:tcPr>
          <w:p w14:paraId="5001624C">
            <w:pPr>
              <w:spacing w:line="460" w:lineRule="exact"/>
              <w:ind w:right="-11"/>
              <w:jc w:val="center"/>
              <w:rPr>
                <w:color w:val="auto"/>
                <w:sz w:val="22"/>
                <w:szCs w:val="22"/>
                <w:highlight w:val="none"/>
              </w:rPr>
            </w:pPr>
          </w:p>
        </w:tc>
        <w:tc>
          <w:tcPr>
            <w:tcW w:w="1000" w:type="dxa"/>
            <w:vAlign w:val="center"/>
          </w:tcPr>
          <w:p w14:paraId="67E0C4ED">
            <w:pPr>
              <w:spacing w:line="460" w:lineRule="exact"/>
              <w:ind w:right="-11"/>
              <w:jc w:val="center"/>
              <w:rPr>
                <w:color w:val="auto"/>
                <w:sz w:val="22"/>
                <w:szCs w:val="22"/>
                <w:highlight w:val="none"/>
              </w:rPr>
            </w:pPr>
          </w:p>
        </w:tc>
        <w:tc>
          <w:tcPr>
            <w:tcW w:w="1159" w:type="dxa"/>
            <w:vAlign w:val="center"/>
          </w:tcPr>
          <w:p w14:paraId="06C66191">
            <w:pPr>
              <w:spacing w:line="460" w:lineRule="exact"/>
              <w:ind w:right="-11"/>
              <w:jc w:val="center"/>
              <w:rPr>
                <w:color w:val="auto"/>
                <w:sz w:val="22"/>
                <w:szCs w:val="22"/>
                <w:highlight w:val="none"/>
              </w:rPr>
            </w:pPr>
          </w:p>
        </w:tc>
      </w:tr>
      <w:tr w14:paraId="3E9D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2F53350D">
            <w:pPr>
              <w:widowControl/>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1605" w:type="dxa"/>
            <w:vAlign w:val="center"/>
          </w:tcPr>
          <w:p w14:paraId="12AC6E26">
            <w:pPr>
              <w:widowControl/>
              <w:jc w:val="center"/>
              <w:textAlignment w:val="center"/>
              <w:rPr>
                <w:color w:val="auto"/>
                <w:sz w:val="22"/>
                <w:szCs w:val="22"/>
                <w:highlight w:val="none"/>
              </w:rPr>
            </w:pPr>
          </w:p>
        </w:tc>
        <w:tc>
          <w:tcPr>
            <w:tcW w:w="1477" w:type="dxa"/>
            <w:vAlign w:val="center"/>
          </w:tcPr>
          <w:p w14:paraId="37112C26">
            <w:pPr>
              <w:spacing w:line="460" w:lineRule="exact"/>
              <w:jc w:val="center"/>
              <w:rPr>
                <w:color w:val="auto"/>
                <w:sz w:val="22"/>
                <w:szCs w:val="22"/>
                <w:highlight w:val="none"/>
              </w:rPr>
            </w:pPr>
          </w:p>
        </w:tc>
        <w:tc>
          <w:tcPr>
            <w:tcW w:w="1570" w:type="dxa"/>
            <w:vAlign w:val="center"/>
          </w:tcPr>
          <w:p w14:paraId="7212D602">
            <w:pPr>
              <w:spacing w:line="460" w:lineRule="exact"/>
              <w:ind w:right="-11"/>
              <w:jc w:val="center"/>
              <w:rPr>
                <w:color w:val="auto"/>
                <w:sz w:val="22"/>
                <w:szCs w:val="22"/>
                <w:highlight w:val="none"/>
              </w:rPr>
            </w:pPr>
          </w:p>
        </w:tc>
        <w:tc>
          <w:tcPr>
            <w:tcW w:w="708" w:type="dxa"/>
            <w:vAlign w:val="center"/>
          </w:tcPr>
          <w:p w14:paraId="691A116C">
            <w:pPr>
              <w:widowControl/>
              <w:jc w:val="center"/>
              <w:textAlignment w:val="center"/>
              <w:rPr>
                <w:color w:val="auto"/>
                <w:sz w:val="22"/>
                <w:szCs w:val="22"/>
                <w:highlight w:val="none"/>
              </w:rPr>
            </w:pPr>
          </w:p>
        </w:tc>
        <w:tc>
          <w:tcPr>
            <w:tcW w:w="708" w:type="dxa"/>
            <w:vAlign w:val="center"/>
          </w:tcPr>
          <w:p w14:paraId="57E9F30B">
            <w:pPr>
              <w:spacing w:line="460" w:lineRule="exact"/>
              <w:jc w:val="center"/>
              <w:rPr>
                <w:color w:val="auto"/>
                <w:sz w:val="22"/>
                <w:szCs w:val="22"/>
                <w:highlight w:val="none"/>
              </w:rPr>
            </w:pPr>
          </w:p>
        </w:tc>
        <w:tc>
          <w:tcPr>
            <w:tcW w:w="1143" w:type="dxa"/>
            <w:vAlign w:val="center"/>
          </w:tcPr>
          <w:p w14:paraId="0FD48D8C">
            <w:pPr>
              <w:spacing w:line="460" w:lineRule="exact"/>
              <w:ind w:right="-11"/>
              <w:jc w:val="center"/>
              <w:rPr>
                <w:color w:val="auto"/>
                <w:sz w:val="22"/>
                <w:szCs w:val="22"/>
                <w:highlight w:val="none"/>
              </w:rPr>
            </w:pPr>
          </w:p>
        </w:tc>
        <w:tc>
          <w:tcPr>
            <w:tcW w:w="1000" w:type="dxa"/>
            <w:vAlign w:val="center"/>
          </w:tcPr>
          <w:p w14:paraId="7552DF54">
            <w:pPr>
              <w:spacing w:line="460" w:lineRule="exact"/>
              <w:ind w:right="-11"/>
              <w:jc w:val="center"/>
              <w:rPr>
                <w:color w:val="auto"/>
                <w:sz w:val="22"/>
                <w:szCs w:val="22"/>
                <w:highlight w:val="none"/>
              </w:rPr>
            </w:pPr>
          </w:p>
        </w:tc>
        <w:tc>
          <w:tcPr>
            <w:tcW w:w="1159" w:type="dxa"/>
            <w:vAlign w:val="center"/>
          </w:tcPr>
          <w:p w14:paraId="27B9901B">
            <w:pPr>
              <w:spacing w:line="460" w:lineRule="exact"/>
              <w:ind w:right="-11"/>
              <w:jc w:val="center"/>
              <w:rPr>
                <w:color w:val="auto"/>
                <w:sz w:val="22"/>
                <w:szCs w:val="22"/>
                <w:highlight w:val="none"/>
              </w:rPr>
            </w:pPr>
          </w:p>
        </w:tc>
      </w:tr>
      <w:tr w14:paraId="57CE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2CD09E21">
            <w:pPr>
              <w:widowControl/>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1605" w:type="dxa"/>
            <w:vAlign w:val="center"/>
          </w:tcPr>
          <w:p w14:paraId="49AD1C2E">
            <w:pPr>
              <w:widowControl/>
              <w:jc w:val="center"/>
              <w:textAlignment w:val="center"/>
              <w:rPr>
                <w:color w:val="auto"/>
                <w:sz w:val="22"/>
                <w:szCs w:val="22"/>
                <w:highlight w:val="none"/>
              </w:rPr>
            </w:pPr>
          </w:p>
        </w:tc>
        <w:tc>
          <w:tcPr>
            <w:tcW w:w="1477" w:type="dxa"/>
            <w:vAlign w:val="center"/>
          </w:tcPr>
          <w:p w14:paraId="09D1EEFF">
            <w:pPr>
              <w:spacing w:line="460" w:lineRule="exact"/>
              <w:jc w:val="center"/>
              <w:rPr>
                <w:color w:val="auto"/>
                <w:sz w:val="22"/>
                <w:szCs w:val="22"/>
                <w:highlight w:val="none"/>
              </w:rPr>
            </w:pPr>
          </w:p>
        </w:tc>
        <w:tc>
          <w:tcPr>
            <w:tcW w:w="1570" w:type="dxa"/>
            <w:vAlign w:val="center"/>
          </w:tcPr>
          <w:p w14:paraId="166F11F9">
            <w:pPr>
              <w:spacing w:line="460" w:lineRule="exact"/>
              <w:ind w:right="-11"/>
              <w:jc w:val="center"/>
              <w:rPr>
                <w:color w:val="auto"/>
                <w:sz w:val="22"/>
                <w:szCs w:val="22"/>
                <w:highlight w:val="none"/>
              </w:rPr>
            </w:pPr>
          </w:p>
        </w:tc>
        <w:tc>
          <w:tcPr>
            <w:tcW w:w="708" w:type="dxa"/>
            <w:vAlign w:val="center"/>
          </w:tcPr>
          <w:p w14:paraId="08873415">
            <w:pPr>
              <w:widowControl/>
              <w:jc w:val="center"/>
              <w:textAlignment w:val="center"/>
              <w:rPr>
                <w:color w:val="auto"/>
                <w:sz w:val="22"/>
                <w:szCs w:val="22"/>
                <w:highlight w:val="none"/>
              </w:rPr>
            </w:pPr>
          </w:p>
        </w:tc>
        <w:tc>
          <w:tcPr>
            <w:tcW w:w="708" w:type="dxa"/>
            <w:vAlign w:val="center"/>
          </w:tcPr>
          <w:p w14:paraId="614A4E5C">
            <w:pPr>
              <w:spacing w:line="460" w:lineRule="exact"/>
              <w:jc w:val="center"/>
              <w:rPr>
                <w:color w:val="auto"/>
                <w:sz w:val="22"/>
                <w:szCs w:val="22"/>
                <w:highlight w:val="none"/>
              </w:rPr>
            </w:pPr>
          </w:p>
        </w:tc>
        <w:tc>
          <w:tcPr>
            <w:tcW w:w="1143" w:type="dxa"/>
            <w:vAlign w:val="center"/>
          </w:tcPr>
          <w:p w14:paraId="34AFEC53">
            <w:pPr>
              <w:spacing w:line="460" w:lineRule="exact"/>
              <w:ind w:right="-11"/>
              <w:jc w:val="center"/>
              <w:rPr>
                <w:color w:val="auto"/>
                <w:sz w:val="22"/>
                <w:szCs w:val="22"/>
                <w:highlight w:val="none"/>
              </w:rPr>
            </w:pPr>
          </w:p>
        </w:tc>
        <w:tc>
          <w:tcPr>
            <w:tcW w:w="1000" w:type="dxa"/>
            <w:vAlign w:val="center"/>
          </w:tcPr>
          <w:p w14:paraId="60E65209">
            <w:pPr>
              <w:spacing w:line="460" w:lineRule="exact"/>
              <w:ind w:right="-11"/>
              <w:jc w:val="center"/>
              <w:rPr>
                <w:color w:val="auto"/>
                <w:sz w:val="22"/>
                <w:szCs w:val="22"/>
                <w:highlight w:val="none"/>
              </w:rPr>
            </w:pPr>
          </w:p>
        </w:tc>
        <w:tc>
          <w:tcPr>
            <w:tcW w:w="1159" w:type="dxa"/>
            <w:vAlign w:val="center"/>
          </w:tcPr>
          <w:p w14:paraId="2D44EC88">
            <w:pPr>
              <w:spacing w:line="460" w:lineRule="exact"/>
              <w:ind w:right="-11"/>
              <w:jc w:val="center"/>
              <w:rPr>
                <w:color w:val="auto"/>
                <w:sz w:val="22"/>
                <w:szCs w:val="22"/>
                <w:highlight w:val="none"/>
              </w:rPr>
            </w:pPr>
          </w:p>
        </w:tc>
      </w:tr>
      <w:tr w14:paraId="6C90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1DADEDC">
            <w:pPr>
              <w:widowControl/>
              <w:spacing w:line="460" w:lineRule="exact"/>
              <w:jc w:val="center"/>
              <w:textAlignment w:val="center"/>
              <w:rPr>
                <w:color w:val="auto"/>
                <w:kern w:val="0"/>
                <w:sz w:val="22"/>
                <w:szCs w:val="22"/>
                <w:highlight w:val="none"/>
                <w:lang w:bidi="ar"/>
              </w:rPr>
            </w:pPr>
          </w:p>
        </w:tc>
        <w:tc>
          <w:tcPr>
            <w:tcW w:w="1605" w:type="dxa"/>
            <w:vAlign w:val="center"/>
          </w:tcPr>
          <w:p w14:paraId="3561EE97">
            <w:pPr>
              <w:widowControl/>
              <w:jc w:val="center"/>
              <w:textAlignment w:val="center"/>
              <w:rPr>
                <w:color w:val="auto"/>
                <w:kern w:val="0"/>
                <w:szCs w:val="21"/>
                <w:highlight w:val="none"/>
              </w:rPr>
            </w:pPr>
          </w:p>
        </w:tc>
        <w:tc>
          <w:tcPr>
            <w:tcW w:w="1477" w:type="dxa"/>
            <w:vAlign w:val="center"/>
          </w:tcPr>
          <w:p w14:paraId="31127D76">
            <w:pPr>
              <w:spacing w:line="460" w:lineRule="exact"/>
              <w:jc w:val="center"/>
              <w:rPr>
                <w:color w:val="auto"/>
                <w:sz w:val="22"/>
                <w:szCs w:val="22"/>
                <w:highlight w:val="none"/>
              </w:rPr>
            </w:pPr>
          </w:p>
        </w:tc>
        <w:tc>
          <w:tcPr>
            <w:tcW w:w="1570" w:type="dxa"/>
            <w:vAlign w:val="center"/>
          </w:tcPr>
          <w:p w14:paraId="3322CF47">
            <w:pPr>
              <w:spacing w:line="460" w:lineRule="exact"/>
              <w:ind w:right="-11"/>
              <w:jc w:val="center"/>
              <w:rPr>
                <w:color w:val="auto"/>
                <w:sz w:val="22"/>
                <w:szCs w:val="22"/>
                <w:highlight w:val="none"/>
              </w:rPr>
            </w:pPr>
          </w:p>
        </w:tc>
        <w:tc>
          <w:tcPr>
            <w:tcW w:w="708" w:type="dxa"/>
            <w:vAlign w:val="center"/>
          </w:tcPr>
          <w:p w14:paraId="55943CC1">
            <w:pPr>
              <w:widowControl/>
              <w:jc w:val="center"/>
              <w:textAlignment w:val="center"/>
              <w:rPr>
                <w:color w:val="auto"/>
                <w:szCs w:val="21"/>
                <w:highlight w:val="none"/>
              </w:rPr>
            </w:pPr>
          </w:p>
        </w:tc>
        <w:tc>
          <w:tcPr>
            <w:tcW w:w="708" w:type="dxa"/>
            <w:vAlign w:val="center"/>
          </w:tcPr>
          <w:p w14:paraId="1268F26D">
            <w:pPr>
              <w:spacing w:line="460" w:lineRule="exact"/>
              <w:jc w:val="center"/>
              <w:rPr>
                <w:color w:val="auto"/>
                <w:sz w:val="22"/>
                <w:szCs w:val="22"/>
                <w:highlight w:val="none"/>
              </w:rPr>
            </w:pPr>
          </w:p>
        </w:tc>
        <w:tc>
          <w:tcPr>
            <w:tcW w:w="1143" w:type="dxa"/>
            <w:vAlign w:val="center"/>
          </w:tcPr>
          <w:p w14:paraId="0427F694">
            <w:pPr>
              <w:spacing w:line="460" w:lineRule="exact"/>
              <w:ind w:right="-11"/>
              <w:jc w:val="center"/>
              <w:rPr>
                <w:color w:val="auto"/>
                <w:sz w:val="22"/>
                <w:szCs w:val="22"/>
                <w:highlight w:val="none"/>
              </w:rPr>
            </w:pPr>
          </w:p>
        </w:tc>
        <w:tc>
          <w:tcPr>
            <w:tcW w:w="1000" w:type="dxa"/>
            <w:vAlign w:val="center"/>
          </w:tcPr>
          <w:p w14:paraId="3320C224">
            <w:pPr>
              <w:spacing w:line="460" w:lineRule="exact"/>
              <w:ind w:right="-11"/>
              <w:jc w:val="center"/>
              <w:rPr>
                <w:color w:val="auto"/>
                <w:sz w:val="22"/>
                <w:szCs w:val="22"/>
                <w:highlight w:val="none"/>
              </w:rPr>
            </w:pPr>
          </w:p>
        </w:tc>
        <w:tc>
          <w:tcPr>
            <w:tcW w:w="1159" w:type="dxa"/>
            <w:vAlign w:val="center"/>
          </w:tcPr>
          <w:p w14:paraId="059AFA7E">
            <w:pPr>
              <w:spacing w:line="460" w:lineRule="exact"/>
              <w:ind w:right="-11"/>
              <w:jc w:val="center"/>
              <w:rPr>
                <w:color w:val="auto"/>
                <w:sz w:val="22"/>
                <w:szCs w:val="22"/>
                <w:highlight w:val="none"/>
              </w:rPr>
            </w:pPr>
          </w:p>
        </w:tc>
      </w:tr>
      <w:tr w14:paraId="2617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0AF8A18">
            <w:pPr>
              <w:widowControl/>
              <w:spacing w:line="460" w:lineRule="exact"/>
              <w:jc w:val="center"/>
              <w:textAlignment w:val="center"/>
              <w:rPr>
                <w:color w:val="auto"/>
                <w:kern w:val="0"/>
                <w:sz w:val="22"/>
                <w:szCs w:val="22"/>
                <w:highlight w:val="none"/>
                <w:lang w:bidi="ar"/>
              </w:rPr>
            </w:pPr>
          </w:p>
        </w:tc>
        <w:tc>
          <w:tcPr>
            <w:tcW w:w="1605" w:type="dxa"/>
            <w:vAlign w:val="center"/>
          </w:tcPr>
          <w:p w14:paraId="56A67C95">
            <w:pPr>
              <w:widowControl/>
              <w:spacing w:line="460" w:lineRule="exact"/>
              <w:textAlignment w:val="center"/>
              <w:rPr>
                <w:color w:val="auto"/>
                <w:sz w:val="22"/>
                <w:szCs w:val="22"/>
                <w:highlight w:val="none"/>
              </w:rPr>
            </w:pPr>
            <w:r>
              <w:rPr>
                <w:color w:val="auto"/>
                <w:sz w:val="22"/>
                <w:szCs w:val="22"/>
                <w:highlight w:val="none"/>
              </w:rPr>
              <w:t>... ...</w:t>
            </w:r>
          </w:p>
        </w:tc>
        <w:tc>
          <w:tcPr>
            <w:tcW w:w="1477" w:type="dxa"/>
            <w:vAlign w:val="center"/>
          </w:tcPr>
          <w:p w14:paraId="254A62B7">
            <w:pPr>
              <w:spacing w:line="460" w:lineRule="exact"/>
              <w:jc w:val="center"/>
              <w:rPr>
                <w:color w:val="auto"/>
                <w:sz w:val="22"/>
                <w:szCs w:val="22"/>
                <w:highlight w:val="none"/>
              </w:rPr>
            </w:pPr>
          </w:p>
        </w:tc>
        <w:tc>
          <w:tcPr>
            <w:tcW w:w="1570" w:type="dxa"/>
            <w:vAlign w:val="center"/>
          </w:tcPr>
          <w:p w14:paraId="4973B0BF">
            <w:pPr>
              <w:spacing w:line="460" w:lineRule="exact"/>
              <w:ind w:right="-11"/>
              <w:jc w:val="center"/>
              <w:rPr>
                <w:color w:val="auto"/>
                <w:sz w:val="22"/>
                <w:szCs w:val="22"/>
                <w:highlight w:val="none"/>
              </w:rPr>
            </w:pPr>
          </w:p>
        </w:tc>
        <w:tc>
          <w:tcPr>
            <w:tcW w:w="708" w:type="dxa"/>
            <w:vAlign w:val="center"/>
          </w:tcPr>
          <w:p w14:paraId="7966FD84">
            <w:pPr>
              <w:spacing w:line="460" w:lineRule="exact"/>
              <w:jc w:val="center"/>
              <w:rPr>
                <w:color w:val="auto"/>
                <w:sz w:val="22"/>
                <w:szCs w:val="22"/>
                <w:highlight w:val="none"/>
              </w:rPr>
            </w:pPr>
          </w:p>
        </w:tc>
        <w:tc>
          <w:tcPr>
            <w:tcW w:w="708" w:type="dxa"/>
            <w:vAlign w:val="center"/>
          </w:tcPr>
          <w:p w14:paraId="606CE930">
            <w:pPr>
              <w:spacing w:line="460" w:lineRule="exact"/>
              <w:jc w:val="center"/>
              <w:rPr>
                <w:color w:val="auto"/>
                <w:sz w:val="22"/>
                <w:szCs w:val="22"/>
                <w:highlight w:val="none"/>
              </w:rPr>
            </w:pPr>
          </w:p>
        </w:tc>
        <w:tc>
          <w:tcPr>
            <w:tcW w:w="1143" w:type="dxa"/>
            <w:vAlign w:val="center"/>
          </w:tcPr>
          <w:p w14:paraId="609FF65F">
            <w:pPr>
              <w:spacing w:line="460" w:lineRule="exact"/>
              <w:ind w:right="-11"/>
              <w:jc w:val="center"/>
              <w:rPr>
                <w:color w:val="auto"/>
                <w:sz w:val="22"/>
                <w:szCs w:val="22"/>
                <w:highlight w:val="none"/>
              </w:rPr>
            </w:pPr>
          </w:p>
        </w:tc>
        <w:tc>
          <w:tcPr>
            <w:tcW w:w="1000" w:type="dxa"/>
            <w:vAlign w:val="center"/>
          </w:tcPr>
          <w:p w14:paraId="3AAF2849">
            <w:pPr>
              <w:spacing w:line="460" w:lineRule="exact"/>
              <w:ind w:right="-11"/>
              <w:jc w:val="center"/>
              <w:rPr>
                <w:color w:val="auto"/>
                <w:sz w:val="22"/>
                <w:szCs w:val="22"/>
                <w:highlight w:val="none"/>
              </w:rPr>
            </w:pPr>
          </w:p>
        </w:tc>
        <w:tc>
          <w:tcPr>
            <w:tcW w:w="1159" w:type="dxa"/>
            <w:vAlign w:val="center"/>
          </w:tcPr>
          <w:p w14:paraId="5985566A">
            <w:pPr>
              <w:spacing w:line="460" w:lineRule="exact"/>
              <w:ind w:right="-11"/>
              <w:jc w:val="center"/>
              <w:rPr>
                <w:color w:val="auto"/>
                <w:sz w:val="22"/>
                <w:szCs w:val="22"/>
                <w:highlight w:val="none"/>
              </w:rPr>
            </w:pPr>
          </w:p>
        </w:tc>
      </w:tr>
      <w:tr w14:paraId="33DE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46AF74AC">
            <w:pPr>
              <w:spacing w:line="460" w:lineRule="exact"/>
              <w:ind w:right="-11"/>
              <w:jc w:val="center"/>
              <w:rPr>
                <w:color w:val="auto"/>
                <w:sz w:val="22"/>
                <w:szCs w:val="22"/>
                <w:highlight w:val="none"/>
              </w:rPr>
            </w:pPr>
            <w:r>
              <w:rPr>
                <w:color w:val="auto"/>
                <w:sz w:val="22"/>
                <w:szCs w:val="22"/>
                <w:highlight w:val="none"/>
              </w:rPr>
              <w:t>运杂及保险费（含卸货）</w:t>
            </w:r>
          </w:p>
        </w:tc>
        <w:tc>
          <w:tcPr>
            <w:tcW w:w="6288" w:type="dxa"/>
            <w:gridSpan w:val="6"/>
          </w:tcPr>
          <w:p w14:paraId="55A383AA">
            <w:pPr>
              <w:spacing w:line="460" w:lineRule="exact"/>
              <w:rPr>
                <w:color w:val="auto"/>
                <w:sz w:val="22"/>
                <w:szCs w:val="22"/>
                <w:highlight w:val="none"/>
              </w:rPr>
            </w:pPr>
          </w:p>
        </w:tc>
      </w:tr>
      <w:tr w14:paraId="4755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24412F56">
            <w:pPr>
              <w:spacing w:line="460" w:lineRule="exact"/>
              <w:ind w:right="-11"/>
              <w:jc w:val="center"/>
              <w:rPr>
                <w:color w:val="auto"/>
                <w:sz w:val="22"/>
                <w:szCs w:val="22"/>
                <w:highlight w:val="none"/>
              </w:rPr>
            </w:pPr>
            <w:r>
              <w:rPr>
                <w:color w:val="auto"/>
                <w:sz w:val="22"/>
                <w:szCs w:val="22"/>
                <w:highlight w:val="none"/>
              </w:rPr>
              <w:t>安装调试费（包括设备的测试、调试、验收等费用）</w:t>
            </w:r>
          </w:p>
        </w:tc>
        <w:tc>
          <w:tcPr>
            <w:tcW w:w="6288" w:type="dxa"/>
            <w:gridSpan w:val="6"/>
          </w:tcPr>
          <w:p w14:paraId="424C0C31">
            <w:pPr>
              <w:spacing w:line="460" w:lineRule="exact"/>
              <w:rPr>
                <w:color w:val="auto"/>
                <w:sz w:val="22"/>
                <w:szCs w:val="22"/>
                <w:highlight w:val="none"/>
              </w:rPr>
            </w:pPr>
          </w:p>
        </w:tc>
      </w:tr>
      <w:tr w14:paraId="4938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04A6AB4D">
            <w:pPr>
              <w:spacing w:line="460" w:lineRule="exact"/>
              <w:ind w:right="-11"/>
              <w:jc w:val="center"/>
              <w:rPr>
                <w:color w:val="auto"/>
                <w:sz w:val="22"/>
                <w:szCs w:val="22"/>
                <w:highlight w:val="none"/>
              </w:rPr>
            </w:pPr>
            <w:r>
              <w:rPr>
                <w:color w:val="auto"/>
                <w:sz w:val="22"/>
                <w:szCs w:val="22"/>
                <w:highlight w:val="none"/>
              </w:rPr>
              <w:t>培训费、技术服务费、售后服务费等</w:t>
            </w:r>
          </w:p>
        </w:tc>
        <w:tc>
          <w:tcPr>
            <w:tcW w:w="6288" w:type="dxa"/>
            <w:gridSpan w:val="6"/>
          </w:tcPr>
          <w:p w14:paraId="34F94FD0">
            <w:pPr>
              <w:spacing w:line="460" w:lineRule="exact"/>
              <w:rPr>
                <w:color w:val="auto"/>
                <w:sz w:val="22"/>
                <w:szCs w:val="22"/>
                <w:highlight w:val="none"/>
              </w:rPr>
            </w:pPr>
          </w:p>
        </w:tc>
      </w:tr>
      <w:tr w14:paraId="1517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55743690">
            <w:pPr>
              <w:spacing w:line="460" w:lineRule="exact"/>
              <w:ind w:right="-11"/>
              <w:jc w:val="center"/>
              <w:rPr>
                <w:color w:val="auto"/>
                <w:sz w:val="22"/>
                <w:szCs w:val="22"/>
                <w:highlight w:val="none"/>
              </w:rPr>
            </w:pPr>
            <w:r>
              <w:rPr>
                <w:color w:val="auto"/>
                <w:sz w:val="22"/>
                <w:szCs w:val="22"/>
                <w:highlight w:val="none"/>
              </w:rPr>
              <w:t>税金</w:t>
            </w:r>
          </w:p>
        </w:tc>
        <w:tc>
          <w:tcPr>
            <w:tcW w:w="6288" w:type="dxa"/>
            <w:gridSpan w:val="6"/>
          </w:tcPr>
          <w:p w14:paraId="3BB5FA1E">
            <w:pPr>
              <w:spacing w:line="460" w:lineRule="exact"/>
              <w:rPr>
                <w:color w:val="auto"/>
                <w:sz w:val="22"/>
                <w:szCs w:val="22"/>
                <w:highlight w:val="none"/>
              </w:rPr>
            </w:pPr>
          </w:p>
        </w:tc>
      </w:tr>
      <w:tr w14:paraId="2B32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01899D72">
            <w:pPr>
              <w:spacing w:line="460" w:lineRule="exact"/>
              <w:ind w:right="-11"/>
              <w:jc w:val="center"/>
              <w:rPr>
                <w:color w:val="auto"/>
                <w:sz w:val="22"/>
                <w:szCs w:val="22"/>
                <w:highlight w:val="none"/>
              </w:rPr>
            </w:pPr>
            <w:r>
              <w:rPr>
                <w:color w:val="auto"/>
                <w:sz w:val="22"/>
                <w:szCs w:val="22"/>
                <w:highlight w:val="none"/>
              </w:rPr>
              <w:t>总计价</w:t>
            </w:r>
          </w:p>
        </w:tc>
        <w:tc>
          <w:tcPr>
            <w:tcW w:w="6288" w:type="dxa"/>
            <w:gridSpan w:val="6"/>
          </w:tcPr>
          <w:p w14:paraId="0B2ED0EE">
            <w:pPr>
              <w:spacing w:line="460" w:lineRule="exact"/>
              <w:rPr>
                <w:color w:val="auto"/>
                <w:sz w:val="22"/>
                <w:szCs w:val="22"/>
                <w:highlight w:val="none"/>
              </w:rPr>
            </w:pPr>
          </w:p>
        </w:tc>
      </w:tr>
    </w:tbl>
    <w:p w14:paraId="7B387C4A">
      <w:pPr>
        <w:spacing w:line="380" w:lineRule="exact"/>
        <w:rPr>
          <w:rFonts w:ascii="宋体" w:hAnsi="宋体" w:cs="宋体"/>
          <w:b/>
          <w:color w:val="auto"/>
          <w:sz w:val="22"/>
          <w:szCs w:val="22"/>
          <w:highlight w:val="none"/>
        </w:rPr>
      </w:pPr>
    </w:p>
    <w:p w14:paraId="09D50B2A">
      <w:pPr>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说明： 1、此表总计价应与“2、投标报价一览表”中投标报价相一致。</w:t>
      </w:r>
    </w:p>
    <w:p w14:paraId="6D0A1F33">
      <w:pPr>
        <w:spacing w:line="380" w:lineRule="exact"/>
        <w:ind w:firstLine="752" w:firstLineChars="342"/>
        <w:rPr>
          <w:rFonts w:ascii="宋体" w:hAnsi="宋体" w:cs="宋体"/>
          <w:bCs/>
          <w:color w:val="auto"/>
          <w:sz w:val="22"/>
          <w:szCs w:val="22"/>
          <w:highlight w:val="none"/>
        </w:rPr>
      </w:pPr>
      <w:r>
        <w:rPr>
          <w:rFonts w:hint="eastAsia" w:ascii="宋体" w:hAnsi="宋体" w:cs="宋体"/>
          <w:bCs/>
          <w:color w:val="auto"/>
          <w:sz w:val="22"/>
          <w:szCs w:val="22"/>
          <w:highlight w:val="none"/>
        </w:rPr>
        <w:t>2、不提供详细分项报价将视为没有实质性响应招标文件。</w:t>
      </w:r>
    </w:p>
    <w:p w14:paraId="29501B43">
      <w:pPr>
        <w:spacing w:line="380" w:lineRule="exact"/>
        <w:ind w:firstLine="720"/>
        <w:rPr>
          <w:rFonts w:ascii="宋体" w:hAnsi="宋体" w:cs="宋体"/>
          <w:bCs/>
          <w:color w:val="auto"/>
          <w:sz w:val="20"/>
          <w:szCs w:val="22"/>
          <w:highlight w:val="none"/>
        </w:rPr>
      </w:pPr>
      <w:r>
        <w:rPr>
          <w:rFonts w:hint="eastAsia" w:ascii="宋体" w:hAnsi="宋体" w:cs="宋体"/>
          <w:bCs/>
          <w:color w:val="auto"/>
          <w:sz w:val="22"/>
          <w:szCs w:val="22"/>
          <w:highlight w:val="none"/>
        </w:rPr>
        <w:t>3、如果免费请在该项内容栏内注明“免”，如果含在产品价格中则填“含”，如无此项内容则填“无”。</w:t>
      </w:r>
    </w:p>
    <w:p w14:paraId="53FABAFE">
      <w:pPr>
        <w:spacing w:line="400" w:lineRule="exact"/>
        <w:ind w:firstLine="5500" w:firstLineChars="2500"/>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6E8AD6F2">
      <w:pPr>
        <w:spacing w:line="400" w:lineRule="exact"/>
        <w:ind w:firstLine="5500" w:firstLineChars="2500"/>
        <w:jc w:val="left"/>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11E2D277">
      <w:pPr>
        <w:spacing w:line="380" w:lineRule="exact"/>
        <w:ind w:firstLine="5500" w:firstLineChars="2500"/>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115E33E2">
      <w:pPr>
        <w:rPr>
          <w:rFonts w:ascii="宋体" w:hAnsi="宋体" w:cs="宋体"/>
          <w:color w:val="auto"/>
          <w:sz w:val="22"/>
          <w:szCs w:val="22"/>
          <w:highlight w:val="none"/>
        </w:rPr>
      </w:pPr>
    </w:p>
    <w:p w14:paraId="7A5CBC51">
      <w:pPr>
        <w:rPr>
          <w:rFonts w:ascii="宋体" w:hAnsi="宋体" w:cs="宋体"/>
          <w:b/>
          <w:color w:val="auto"/>
          <w:sz w:val="22"/>
          <w:szCs w:val="22"/>
          <w:highlight w:val="none"/>
        </w:rPr>
      </w:pPr>
      <w:r>
        <w:rPr>
          <w:rFonts w:hint="eastAsia" w:ascii="宋体" w:hAnsi="宋体" w:cs="宋体"/>
          <w:b/>
          <w:color w:val="auto"/>
          <w:sz w:val="22"/>
          <w:szCs w:val="22"/>
          <w:highlight w:val="none"/>
        </w:rPr>
        <w:br w:type="page"/>
      </w:r>
    </w:p>
    <w:p w14:paraId="69E829BF">
      <w:pPr>
        <w:spacing w:line="420" w:lineRule="exact"/>
        <w:ind w:left="514" w:leftChars="245"/>
        <w:outlineLvl w:val="3"/>
        <w:rPr>
          <w:rFonts w:ascii="宋体" w:hAnsi="宋体" w:cs="宋体"/>
          <w:b/>
          <w:bCs/>
          <w:color w:val="auto"/>
          <w:sz w:val="22"/>
          <w:szCs w:val="22"/>
          <w:highlight w:val="none"/>
        </w:rPr>
      </w:pPr>
      <w:bookmarkStart w:id="202" w:name="_Toc12035"/>
      <w:bookmarkStart w:id="203" w:name="_Toc19402"/>
      <w:r>
        <w:rPr>
          <w:rFonts w:hint="eastAsia" w:ascii="宋体" w:hAnsi="宋体" w:cs="宋体"/>
          <w:b/>
          <w:bCs/>
          <w:color w:val="auto"/>
          <w:sz w:val="28"/>
          <w:szCs w:val="28"/>
          <w:highlight w:val="none"/>
        </w:rPr>
        <w:t>4、监狱企业的相关证明材料</w:t>
      </w:r>
    </w:p>
    <w:p w14:paraId="4D8B648B">
      <w:pPr>
        <w:spacing w:line="460" w:lineRule="exact"/>
        <w:ind w:firstLine="571" w:firstLineChars="245"/>
        <w:rPr>
          <w:rFonts w:ascii="宋体" w:hAnsi="宋体" w:cs="宋体"/>
          <w:b/>
          <w:bCs/>
          <w:color w:val="auto"/>
          <w:sz w:val="22"/>
          <w:szCs w:val="22"/>
          <w:highlight w:val="none"/>
          <w:u w:val="single"/>
          <w:lang w:val="zh-CN"/>
        </w:rPr>
      </w:pPr>
      <w:r>
        <w:rPr>
          <w:rFonts w:hint="eastAsia" w:ascii="宋体" w:hAnsi="宋体" w:cs="宋体"/>
          <w:b/>
          <w:color w:val="auto"/>
          <w:spacing w:val="6"/>
          <w:sz w:val="22"/>
          <w:szCs w:val="22"/>
          <w:highlight w:val="none"/>
        </w:rPr>
        <w:t>需提供相关证明材料，</w:t>
      </w:r>
      <w:r>
        <w:rPr>
          <w:rFonts w:hint="eastAsia" w:ascii="宋体" w:hAnsi="宋体" w:cs="宋体"/>
          <w:b/>
          <w:bCs/>
          <w:color w:val="auto"/>
          <w:sz w:val="22"/>
          <w:szCs w:val="22"/>
          <w:highlight w:val="none"/>
          <w:u w:val="single"/>
          <w:lang w:val="zh-CN"/>
        </w:rPr>
        <w:t>未提供证明材料或不能清楚辨析</w:t>
      </w:r>
      <w:r>
        <w:rPr>
          <w:rFonts w:hint="eastAsia" w:ascii="宋体" w:hAnsi="宋体" w:cs="宋体"/>
          <w:b/>
          <w:bCs/>
          <w:color w:val="auto"/>
          <w:sz w:val="22"/>
          <w:szCs w:val="22"/>
          <w:highlight w:val="none"/>
          <w:u w:val="single"/>
        </w:rPr>
        <w:t>是监狱企业的按非监狱企业处理，所提供的证明材料应为最新的最近的</w:t>
      </w:r>
      <w:r>
        <w:rPr>
          <w:rFonts w:hint="eastAsia" w:ascii="宋体" w:hAnsi="宋体" w:cs="宋体"/>
          <w:b/>
          <w:bCs/>
          <w:color w:val="auto"/>
          <w:sz w:val="22"/>
          <w:szCs w:val="22"/>
          <w:highlight w:val="none"/>
          <w:u w:val="single"/>
          <w:lang w:val="zh-CN"/>
        </w:rPr>
        <w:t>。</w:t>
      </w:r>
    </w:p>
    <w:p w14:paraId="10139733">
      <w:pPr>
        <w:adjustRightInd w:val="0"/>
        <w:snapToGrid w:val="0"/>
        <w:spacing w:line="300" w:lineRule="auto"/>
        <w:jc w:val="center"/>
        <w:rPr>
          <w:rFonts w:ascii="宋体" w:hAnsi="宋体" w:cs="宋体"/>
          <w:b/>
          <w:color w:val="auto"/>
          <w:spacing w:val="6"/>
          <w:sz w:val="22"/>
          <w:szCs w:val="22"/>
          <w:highlight w:val="none"/>
        </w:rPr>
      </w:pPr>
    </w:p>
    <w:p w14:paraId="40977EB6">
      <w:pPr>
        <w:adjustRightInd w:val="0"/>
        <w:snapToGrid w:val="0"/>
        <w:spacing w:line="300" w:lineRule="auto"/>
        <w:jc w:val="center"/>
        <w:rPr>
          <w:rFonts w:ascii="宋体" w:hAnsi="宋体" w:cs="宋体"/>
          <w:b/>
          <w:color w:val="auto"/>
          <w:spacing w:val="6"/>
          <w:sz w:val="22"/>
          <w:szCs w:val="22"/>
          <w:highlight w:val="none"/>
        </w:rPr>
      </w:pPr>
    </w:p>
    <w:p w14:paraId="48BE9D6D">
      <w:pPr>
        <w:adjustRightInd w:val="0"/>
        <w:snapToGrid w:val="0"/>
        <w:spacing w:line="300" w:lineRule="auto"/>
        <w:jc w:val="center"/>
        <w:rPr>
          <w:rFonts w:ascii="宋体" w:hAnsi="宋体" w:cs="宋体"/>
          <w:b/>
          <w:color w:val="auto"/>
          <w:spacing w:val="6"/>
          <w:sz w:val="22"/>
          <w:szCs w:val="22"/>
          <w:highlight w:val="none"/>
        </w:rPr>
      </w:pPr>
    </w:p>
    <w:p w14:paraId="0BD73DB9">
      <w:pPr>
        <w:adjustRightInd w:val="0"/>
        <w:snapToGrid w:val="0"/>
        <w:spacing w:line="300" w:lineRule="auto"/>
        <w:jc w:val="center"/>
        <w:rPr>
          <w:rFonts w:ascii="宋体" w:hAnsi="宋体" w:cs="宋体"/>
          <w:color w:val="auto"/>
          <w:kern w:val="0"/>
          <w:sz w:val="22"/>
          <w:szCs w:val="22"/>
          <w:highlight w:val="none"/>
        </w:rPr>
      </w:pPr>
      <w:r>
        <w:rPr>
          <w:rFonts w:hint="eastAsia" w:ascii="宋体" w:hAnsi="宋体" w:cs="宋体"/>
          <w:b/>
          <w:color w:val="auto"/>
          <w:spacing w:val="6"/>
          <w:sz w:val="22"/>
          <w:szCs w:val="22"/>
          <w:highlight w:val="none"/>
        </w:rPr>
        <w:t>监狱企业声明函</w:t>
      </w:r>
    </w:p>
    <w:p w14:paraId="37DD3906">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14:paraId="450B78EF">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71B3F130">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根据上述标准，我企业属于监狱企业的理由为：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 </w:t>
      </w:r>
    </w:p>
    <w:p w14:paraId="2226EF9F">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本企业为参加（招标项目名称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）（招标编号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14:paraId="5057BDE2">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7EEDF4D4">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投标人全称（盖章）：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3B2505A3">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日期：    年    月   日 </w:t>
      </w:r>
    </w:p>
    <w:p w14:paraId="16F83B86">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784DD159">
      <w:pPr>
        <w:adjustRightInd w:val="0"/>
        <w:snapToGrid w:val="0"/>
        <w:spacing w:line="460" w:lineRule="exact"/>
        <w:ind w:firstLine="464" w:firstLineChars="200"/>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8309F5">
      <w:pPr>
        <w:spacing w:line="460" w:lineRule="exact"/>
        <w:rPr>
          <w:rFonts w:ascii="宋体" w:hAnsi="宋体" w:cs="宋体"/>
          <w:color w:val="auto"/>
          <w:spacing w:val="20"/>
          <w:sz w:val="22"/>
          <w:szCs w:val="22"/>
          <w:highlight w:val="none"/>
        </w:rPr>
      </w:pPr>
    </w:p>
    <w:p w14:paraId="3CB31B4D">
      <w:pPr>
        <w:spacing w:line="460" w:lineRule="exact"/>
        <w:rPr>
          <w:rFonts w:ascii="宋体" w:hAnsi="宋体" w:cs="宋体"/>
          <w:color w:val="auto"/>
          <w:spacing w:val="20"/>
          <w:sz w:val="22"/>
          <w:szCs w:val="22"/>
          <w:highlight w:val="none"/>
        </w:rPr>
      </w:pPr>
    </w:p>
    <w:p w14:paraId="3E0EE759">
      <w:pPr>
        <w:spacing w:line="380" w:lineRule="exact"/>
        <w:rPr>
          <w:rFonts w:ascii="宋体" w:hAnsi="宋体" w:cs="宋体"/>
          <w:color w:val="auto"/>
          <w:sz w:val="22"/>
          <w:szCs w:val="22"/>
          <w:highlight w:val="none"/>
        </w:rPr>
      </w:pPr>
    </w:p>
    <w:p w14:paraId="4646BB80">
      <w:pPr>
        <w:spacing w:line="380" w:lineRule="exact"/>
        <w:rPr>
          <w:rFonts w:ascii="宋体" w:hAnsi="宋体" w:cs="宋体"/>
          <w:color w:val="auto"/>
          <w:sz w:val="22"/>
          <w:szCs w:val="22"/>
          <w:highlight w:val="none"/>
        </w:rPr>
      </w:pPr>
    </w:p>
    <w:p w14:paraId="04ED06D7">
      <w:pPr>
        <w:spacing w:line="380" w:lineRule="exact"/>
        <w:rPr>
          <w:rFonts w:ascii="宋体" w:hAnsi="宋体" w:cs="宋体"/>
          <w:color w:val="auto"/>
          <w:sz w:val="22"/>
          <w:szCs w:val="22"/>
          <w:highlight w:val="none"/>
        </w:rPr>
      </w:pPr>
    </w:p>
    <w:p w14:paraId="6006C5FD">
      <w:pPr>
        <w:spacing w:line="380" w:lineRule="exact"/>
        <w:rPr>
          <w:rFonts w:ascii="宋体" w:hAnsi="宋体" w:cs="宋体"/>
          <w:color w:val="auto"/>
          <w:sz w:val="22"/>
          <w:szCs w:val="22"/>
          <w:highlight w:val="none"/>
        </w:rPr>
      </w:pPr>
    </w:p>
    <w:p w14:paraId="4B2746A9">
      <w:pPr>
        <w:spacing w:line="380" w:lineRule="exact"/>
        <w:rPr>
          <w:rFonts w:ascii="宋体" w:hAnsi="宋体" w:cs="宋体"/>
          <w:color w:val="auto"/>
          <w:sz w:val="22"/>
          <w:szCs w:val="22"/>
          <w:highlight w:val="none"/>
        </w:rPr>
      </w:pPr>
    </w:p>
    <w:p w14:paraId="03800C03">
      <w:pPr>
        <w:spacing w:line="380" w:lineRule="exact"/>
        <w:rPr>
          <w:rFonts w:ascii="宋体" w:hAnsi="宋体" w:cs="宋体"/>
          <w:color w:val="auto"/>
          <w:sz w:val="22"/>
          <w:szCs w:val="22"/>
          <w:highlight w:val="none"/>
        </w:rPr>
      </w:pPr>
    </w:p>
    <w:p w14:paraId="610EDFF8">
      <w:pPr>
        <w:spacing w:line="380" w:lineRule="exact"/>
        <w:rPr>
          <w:rFonts w:ascii="宋体" w:hAnsi="宋体" w:cs="宋体"/>
          <w:color w:val="auto"/>
          <w:sz w:val="22"/>
          <w:szCs w:val="22"/>
          <w:highlight w:val="none"/>
        </w:rPr>
      </w:pPr>
    </w:p>
    <w:p w14:paraId="46253A85">
      <w:pPr>
        <w:spacing w:line="380" w:lineRule="exact"/>
        <w:rPr>
          <w:rFonts w:ascii="宋体" w:hAnsi="宋体" w:cs="宋体"/>
          <w:color w:val="auto"/>
          <w:sz w:val="22"/>
          <w:szCs w:val="22"/>
          <w:highlight w:val="none"/>
        </w:rPr>
      </w:pPr>
    </w:p>
    <w:p w14:paraId="6F15951A">
      <w:pPr>
        <w:pStyle w:val="24"/>
        <w:rPr>
          <w:rFonts w:ascii="宋体" w:hAnsi="宋体" w:cs="宋体"/>
          <w:color w:val="auto"/>
          <w:highlight w:val="none"/>
        </w:rPr>
      </w:pPr>
    </w:p>
    <w:p w14:paraId="7E894680">
      <w:pPr>
        <w:pStyle w:val="24"/>
        <w:rPr>
          <w:rFonts w:ascii="宋体" w:hAnsi="宋体" w:cs="宋体"/>
          <w:color w:val="auto"/>
          <w:highlight w:val="none"/>
        </w:rPr>
      </w:pPr>
    </w:p>
    <w:p w14:paraId="688FA378">
      <w:pPr>
        <w:tabs>
          <w:tab w:val="left" w:pos="1620"/>
        </w:tabs>
        <w:spacing w:line="460" w:lineRule="exact"/>
        <w:outlineLvl w:val="3"/>
        <w:rPr>
          <w:rFonts w:ascii="宋体" w:hAnsi="宋体" w:cs="宋体"/>
          <w:b/>
          <w:bCs/>
          <w:color w:val="auto"/>
          <w:sz w:val="22"/>
          <w:szCs w:val="22"/>
          <w:highlight w:val="none"/>
        </w:rPr>
      </w:pPr>
      <w:r>
        <w:rPr>
          <w:rFonts w:hint="eastAsia" w:ascii="宋体" w:hAnsi="宋体" w:cs="宋体"/>
          <w:b/>
          <w:bCs/>
          <w:color w:val="auto"/>
          <w:sz w:val="28"/>
          <w:szCs w:val="28"/>
          <w:highlight w:val="none"/>
        </w:rPr>
        <w:t>5、中小企业的相关证明材料</w:t>
      </w:r>
    </w:p>
    <w:p w14:paraId="2D152865">
      <w:pPr>
        <w:spacing w:line="460" w:lineRule="exact"/>
        <w:jc w:val="center"/>
        <w:rPr>
          <w:rFonts w:ascii="宋体" w:hAnsi="宋体" w:cs="宋体"/>
          <w:b/>
          <w:bCs/>
          <w:color w:val="auto"/>
          <w:sz w:val="22"/>
          <w:szCs w:val="22"/>
          <w:highlight w:val="none"/>
        </w:rPr>
      </w:pPr>
    </w:p>
    <w:p w14:paraId="40A262F5">
      <w:pPr>
        <w:spacing w:line="460" w:lineRule="exact"/>
        <w:ind w:firstLine="42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w:t>
      </w:r>
      <w:r>
        <w:rPr>
          <w:rFonts w:hint="eastAsia" w:ascii="宋体" w:hAnsi="宋体" w:cs="宋体"/>
          <w:b/>
          <w:bCs/>
          <w:color w:val="auto"/>
          <w:spacing w:val="20"/>
          <w:sz w:val="22"/>
          <w:szCs w:val="22"/>
          <w:highlight w:val="none"/>
        </w:rPr>
        <w:t>中小企业声明函（货物）</w:t>
      </w:r>
      <w:r>
        <w:rPr>
          <w:rFonts w:hint="eastAsia" w:ascii="宋体" w:hAnsi="宋体" w:cs="宋体"/>
          <w:b/>
          <w:bCs/>
          <w:color w:val="auto"/>
          <w:sz w:val="22"/>
          <w:szCs w:val="22"/>
          <w:highlight w:val="none"/>
        </w:rPr>
        <w:t>》</w:t>
      </w:r>
    </w:p>
    <w:p w14:paraId="37AA4E45">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cs="宋体"/>
          <w:color w:val="auto"/>
          <w:spacing w:val="20"/>
          <w:sz w:val="22"/>
          <w:szCs w:val="22"/>
          <w:highlight w:val="none"/>
          <w:u w:val="single"/>
        </w:rPr>
        <w:t>（单位名称）</w:t>
      </w:r>
      <w:r>
        <w:rPr>
          <w:rFonts w:hint="eastAsia" w:ascii="宋体" w:hAnsi="宋体" w:cs="宋体"/>
          <w:color w:val="auto"/>
          <w:spacing w:val="20"/>
          <w:sz w:val="22"/>
          <w:szCs w:val="22"/>
          <w:highlight w:val="none"/>
        </w:rPr>
        <w:t>的</w:t>
      </w:r>
      <w:r>
        <w:rPr>
          <w:rFonts w:hint="eastAsia" w:ascii="宋体" w:hAnsi="宋体" w:cs="宋体"/>
          <w:color w:val="auto"/>
          <w:spacing w:val="20"/>
          <w:sz w:val="22"/>
          <w:szCs w:val="22"/>
          <w:highlight w:val="none"/>
          <w:u w:val="single"/>
        </w:rPr>
        <w:t>（项目名称）</w:t>
      </w:r>
      <w:r>
        <w:rPr>
          <w:rFonts w:hint="eastAsia" w:ascii="宋体" w:hAnsi="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067D75F2">
      <w:pPr>
        <w:spacing w:line="460" w:lineRule="exact"/>
        <w:ind w:firstLine="539" w:firstLineChars="245"/>
        <w:rPr>
          <w:rFonts w:ascii="宋体" w:hAnsi="宋体" w:cs="宋体"/>
          <w:color w:val="auto"/>
          <w:spacing w:val="20"/>
          <w:sz w:val="22"/>
          <w:szCs w:val="22"/>
          <w:highlight w:val="none"/>
        </w:rPr>
      </w:pPr>
      <w:r>
        <w:rPr>
          <w:rFonts w:hint="eastAsia" w:ascii="宋体" w:hAnsi="宋体" w:cs="宋体"/>
          <w:color w:val="auto"/>
          <w:sz w:val="22"/>
          <w:szCs w:val="22"/>
          <w:highlight w:val="none"/>
          <w:lang w:val="zh-CN"/>
        </w:rPr>
        <w:t>1.</w:t>
      </w:r>
      <w:r>
        <w:rPr>
          <w:rFonts w:hint="eastAsia" w:ascii="宋体" w:hAnsi="宋体" w:cs="宋体"/>
          <w:color w:val="auto"/>
          <w:sz w:val="22"/>
          <w:szCs w:val="22"/>
          <w:highlight w:val="none"/>
          <w:u w:val="single"/>
          <w:lang w:val="zh-CN"/>
        </w:rPr>
        <w:t>（标的名称）</w:t>
      </w:r>
      <w:r>
        <w:rPr>
          <w:rFonts w:hint="eastAsia" w:ascii="宋体" w:hAnsi="宋体" w:cs="宋体"/>
          <w:color w:val="auto"/>
          <w:sz w:val="22"/>
          <w:szCs w:val="22"/>
          <w:highlight w:val="none"/>
          <w:lang w:val="zh-CN"/>
        </w:rPr>
        <w:t xml:space="preserve"> ，属于</w:t>
      </w:r>
      <w:r>
        <w:rPr>
          <w:rFonts w:hint="eastAsia" w:ascii="宋体" w:hAnsi="宋体" w:cs="宋体"/>
          <w:color w:val="auto"/>
          <w:sz w:val="22"/>
          <w:szCs w:val="22"/>
          <w:highlight w:val="none"/>
          <w:u w:val="single"/>
        </w:rPr>
        <w:t xml:space="preserve">           </w:t>
      </w:r>
      <w:r>
        <w:rPr>
          <w:rFonts w:hint="eastAsia" w:ascii="宋体" w:hAnsi="宋体" w:cs="宋体"/>
          <w:color w:val="auto"/>
          <w:spacing w:val="20"/>
          <w:sz w:val="22"/>
          <w:szCs w:val="22"/>
          <w:highlight w:val="none"/>
        </w:rPr>
        <w:t>行业；制造商为</w:t>
      </w:r>
      <w:r>
        <w:rPr>
          <w:rFonts w:hint="eastAsia" w:ascii="宋体" w:hAnsi="宋体" w:cs="宋体"/>
          <w:color w:val="auto"/>
          <w:spacing w:val="20"/>
          <w:sz w:val="22"/>
          <w:szCs w:val="22"/>
          <w:highlight w:val="none"/>
          <w:u w:val="single"/>
        </w:rPr>
        <w:t>（企业名称），</w:t>
      </w:r>
      <w:r>
        <w:rPr>
          <w:rFonts w:hint="eastAsia" w:ascii="宋体" w:hAnsi="宋体" w:cs="宋体"/>
          <w:color w:val="auto"/>
          <w:spacing w:val="20"/>
          <w:sz w:val="22"/>
          <w:szCs w:val="22"/>
          <w:highlight w:val="none"/>
        </w:rPr>
        <w:t>从业人员</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人，营业收入为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万元，资产总额为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万元，属于</w:t>
      </w:r>
      <w:r>
        <w:rPr>
          <w:rFonts w:hint="eastAsia" w:ascii="宋体" w:hAnsi="宋体" w:cs="宋体"/>
          <w:color w:val="auto"/>
          <w:spacing w:val="20"/>
          <w:sz w:val="22"/>
          <w:szCs w:val="22"/>
          <w:highlight w:val="none"/>
          <w:u w:val="single"/>
        </w:rPr>
        <w:t>（中型企业、小型企业、微型企业）</w:t>
      </w:r>
      <w:r>
        <w:rPr>
          <w:rFonts w:hint="eastAsia" w:ascii="宋体" w:hAnsi="宋体" w:cs="宋体"/>
          <w:color w:val="auto"/>
          <w:spacing w:val="20"/>
          <w:sz w:val="22"/>
          <w:szCs w:val="22"/>
          <w:highlight w:val="none"/>
        </w:rPr>
        <w:t>；</w:t>
      </w:r>
    </w:p>
    <w:p w14:paraId="05D56A8E">
      <w:pPr>
        <w:spacing w:line="460" w:lineRule="exact"/>
        <w:ind w:firstLine="520" w:firstLineChars="200"/>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2.</w:t>
      </w:r>
      <w:r>
        <w:rPr>
          <w:rFonts w:hint="eastAsia" w:ascii="宋体" w:hAnsi="宋体" w:cs="宋体"/>
          <w:color w:val="auto"/>
          <w:spacing w:val="20"/>
          <w:sz w:val="22"/>
          <w:szCs w:val="22"/>
          <w:highlight w:val="none"/>
          <w:u w:val="single"/>
        </w:rPr>
        <w:t>（标的名称）</w:t>
      </w:r>
      <w:r>
        <w:rPr>
          <w:rFonts w:hint="eastAsia" w:ascii="宋体" w:hAnsi="宋体" w:cs="宋体"/>
          <w:color w:val="auto"/>
          <w:spacing w:val="20"/>
          <w:sz w:val="22"/>
          <w:szCs w:val="22"/>
          <w:highlight w:val="none"/>
        </w:rPr>
        <w:t xml:space="preserve"> ，属于</w:t>
      </w:r>
      <w:r>
        <w:rPr>
          <w:rFonts w:hint="eastAsia" w:ascii="宋体" w:hAnsi="宋体" w:cs="宋体"/>
          <w:color w:val="auto"/>
          <w:spacing w:val="20"/>
          <w:sz w:val="22"/>
          <w:szCs w:val="22"/>
          <w:highlight w:val="none"/>
          <w:u w:val="single"/>
        </w:rPr>
        <w:t>（采购文件中明确的所属行业）</w:t>
      </w:r>
      <w:r>
        <w:rPr>
          <w:rFonts w:hint="eastAsia" w:ascii="宋体" w:hAnsi="宋体" w:cs="宋体"/>
          <w:color w:val="auto"/>
          <w:spacing w:val="20"/>
          <w:sz w:val="22"/>
          <w:szCs w:val="22"/>
          <w:highlight w:val="none"/>
        </w:rPr>
        <w:t>行业；制造商为（企业名称），从业人员</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人，营业收入为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万元，资产总额为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万元，属于（中型企业、小型企业、微型企业）；</w:t>
      </w:r>
    </w:p>
    <w:p w14:paraId="753402D5">
      <w:pPr>
        <w:spacing w:line="460" w:lineRule="exact"/>
        <w:ind w:firstLine="520" w:firstLineChars="200"/>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w:t>
      </w:r>
    </w:p>
    <w:p w14:paraId="64B0E70B">
      <w:pPr>
        <w:spacing w:line="460" w:lineRule="exact"/>
        <w:ind w:firstLine="520" w:firstLineChars="200"/>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以上企业，不属于大企业的分支机构，不存在控股股东为大企业的情形，也不存在与大企业的负责人为同一人的情形。</w:t>
      </w:r>
    </w:p>
    <w:p w14:paraId="53627F64">
      <w:pPr>
        <w:spacing w:line="460" w:lineRule="exact"/>
        <w:ind w:firstLine="520" w:firstLineChars="200"/>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本企业对上述声明内容的真实性负责。如有虚假，将依法承担相应责任。</w:t>
      </w:r>
    </w:p>
    <w:p w14:paraId="20EB2471">
      <w:pPr>
        <w:spacing w:line="460" w:lineRule="exact"/>
        <w:rPr>
          <w:rFonts w:ascii="宋体" w:hAnsi="宋体" w:cs="宋体"/>
          <w:color w:val="auto"/>
          <w:spacing w:val="20"/>
          <w:sz w:val="22"/>
          <w:szCs w:val="22"/>
          <w:highlight w:val="none"/>
        </w:rPr>
      </w:pPr>
    </w:p>
    <w:p w14:paraId="0034B762">
      <w:pPr>
        <w:pStyle w:val="9"/>
        <w:rPr>
          <w:rFonts w:ascii="宋体" w:hAnsi="宋体" w:cs="宋体"/>
          <w:color w:val="auto"/>
          <w:sz w:val="22"/>
          <w:szCs w:val="22"/>
          <w:highlight w:val="none"/>
        </w:rPr>
      </w:pPr>
    </w:p>
    <w:p w14:paraId="3910F7E4">
      <w:pPr>
        <w:spacing w:line="460" w:lineRule="exact"/>
        <w:jc w:val="center"/>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          企业名称（盖章）：</w:t>
      </w:r>
    </w:p>
    <w:p w14:paraId="785AA0CB">
      <w:pPr>
        <w:spacing w:line="460" w:lineRule="exact"/>
        <w:jc w:val="center"/>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 日 期：</w:t>
      </w:r>
    </w:p>
    <w:p w14:paraId="5D5DC8E1">
      <w:pPr>
        <w:pStyle w:val="9"/>
        <w:rPr>
          <w:rFonts w:ascii="宋体" w:hAnsi="宋体" w:cs="宋体"/>
          <w:color w:val="auto"/>
          <w:spacing w:val="20"/>
          <w:sz w:val="22"/>
          <w:szCs w:val="22"/>
          <w:highlight w:val="none"/>
        </w:rPr>
      </w:pPr>
    </w:p>
    <w:p w14:paraId="3B6EEA69">
      <w:pPr>
        <w:rPr>
          <w:rFonts w:ascii="宋体" w:hAnsi="宋体" w:cs="宋体"/>
          <w:color w:val="auto"/>
          <w:spacing w:val="20"/>
          <w:sz w:val="22"/>
          <w:szCs w:val="22"/>
          <w:highlight w:val="none"/>
        </w:rPr>
      </w:pPr>
    </w:p>
    <w:p w14:paraId="51641791">
      <w:pPr>
        <w:pStyle w:val="9"/>
        <w:rPr>
          <w:rFonts w:ascii="宋体" w:hAnsi="宋体" w:cs="宋体"/>
          <w:color w:val="auto"/>
          <w:spacing w:val="20"/>
          <w:sz w:val="22"/>
          <w:szCs w:val="22"/>
          <w:highlight w:val="none"/>
        </w:rPr>
      </w:pPr>
    </w:p>
    <w:p w14:paraId="1E498725">
      <w:pPr>
        <w:rPr>
          <w:rFonts w:ascii="宋体" w:hAnsi="宋体" w:cs="宋体"/>
          <w:color w:val="auto"/>
          <w:spacing w:val="20"/>
          <w:sz w:val="22"/>
          <w:szCs w:val="22"/>
          <w:highlight w:val="none"/>
        </w:rPr>
      </w:pPr>
    </w:p>
    <w:p w14:paraId="01C903B2">
      <w:pPr>
        <w:pStyle w:val="52"/>
        <w:ind w:left="840" w:hanging="420"/>
        <w:rPr>
          <w:color w:val="auto"/>
          <w:highlight w:val="none"/>
        </w:rPr>
      </w:pPr>
    </w:p>
    <w:p w14:paraId="7FC54939">
      <w:pPr>
        <w:pStyle w:val="52"/>
        <w:ind w:left="940" w:hanging="520"/>
        <w:rPr>
          <w:rFonts w:ascii="宋体" w:hAnsi="宋体"/>
          <w:color w:val="auto"/>
          <w:spacing w:val="20"/>
          <w:sz w:val="22"/>
          <w:szCs w:val="22"/>
          <w:highlight w:val="none"/>
        </w:rPr>
      </w:pPr>
    </w:p>
    <w:p w14:paraId="57548E44">
      <w:pPr>
        <w:rPr>
          <w:rFonts w:ascii="宋体" w:hAnsi="宋体" w:cs="宋体"/>
          <w:color w:val="auto"/>
          <w:spacing w:val="20"/>
          <w:sz w:val="22"/>
          <w:szCs w:val="22"/>
          <w:highlight w:val="none"/>
        </w:rPr>
      </w:pPr>
    </w:p>
    <w:p w14:paraId="6B4A244D">
      <w:pPr>
        <w:pStyle w:val="52"/>
        <w:ind w:left="940" w:hanging="520"/>
        <w:rPr>
          <w:rFonts w:ascii="宋体" w:hAnsi="宋体"/>
          <w:color w:val="auto"/>
          <w:spacing w:val="20"/>
          <w:sz w:val="22"/>
          <w:szCs w:val="22"/>
          <w:highlight w:val="none"/>
        </w:rPr>
      </w:pPr>
    </w:p>
    <w:p w14:paraId="09CA6DA5">
      <w:pPr>
        <w:rPr>
          <w:rFonts w:ascii="宋体" w:hAnsi="宋体" w:cs="宋体"/>
          <w:color w:val="auto"/>
          <w:spacing w:val="20"/>
          <w:sz w:val="22"/>
          <w:szCs w:val="22"/>
          <w:highlight w:val="none"/>
        </w:rPr>
      </w:pPr>
    </w:p>
    <w:p w14:paraId="19C32F92">
      <w:pPr>
        <w:pStyle w:val="52"/>
        <w:ind w:left="940" w:hanging="520"/>
        <w:rPr>
          <w:rFonts w:ascii="宋体" w:hAnsi="宋体"/>
          <w:color w:val="auto"/>
          <w:spacing w:val="20"/>
          <w:sz w:val="22"/>
          <w:szCs w:val="22"/>
          <w:highlight w:val="none"/>
        </w:rPr>
      </w:pPr>
    </w:p>
    <w:p w14:paraId="67791884">
      <w:pPr>
        <w:rPr>
          <w:color w:val="auto"/>
          <w:highlight w:val="none"/>
        </w:rPr>
      </w:pPr>
    </w:p>
    <w:p w14:paraId="77815878">
      <w:pPr>
        <w:rPr>
          <w:color w:val="auto"/>
          <w:highlight w:val="none"/>
        </w:rPr>
      </w:pPr>
    </w:p>
    <w:p w14:paraId="253966D4">
      <w:pPr>
        <w:spacing w:line="420" w:lineRule="exact"/>
        <w:ind w:left="514" w:leftChars="245"/>
        <w:outlineLvl w:val="3"/>
        <w:rPr>
          <w:rFonts w:ascii="宋体" w:hAnsi="宋体" w:cs="宋体"/>
          <w:b/>
          <w:bCs/>
          <w:color w:val="auto"/>
          <w:sz w:val="22"/>
          <w:szCs w:val="22"/>
          <w:highlight w:val="none"/>
        </w:rPr>
      </w:pPr>
      <w:r>
        <w:rPr>
          <w:rFonts w:hint="eastAsia" w:ascii="宋体" w:hAnsi="宋体" w:cs="宋体"/>
          <w:b/>
          <w:bCs/>
          <w:color w:val="auto"/>
          <w:sz w:val="28"/>
          <w:szCs w:val="28"/>
          <w:highlight w:val="none"/>
        </w:rPr>
        <w:t>6、残疾人福利性单位的相关证明材料</w:t>
      </w:r>
    </w:p>
    <w:p w14:paraId="0E0444C0">
      <w:pPr>
        <w:spacing w:line="460" w:lineRule="exact"/>
        <w:ind w:firstLine="780" w:firstLineChars="300"/>
        <w:rPr>
          <w:rFonts w:ascii="宋体" w:hAnsi="宋体" w:cs="宋体"/>
          <w:color w:val="auto"/>
          <w:spacing w:val="20"/>
          <w:sz w:val="22"/>
          <w:szCs w:val="22"/>
          <w:highlight w:val="none"/>
        </w:rPr>
      </w:pPr>
    </w:p>
    <w:p w14:paraId="68051FDF">
      <w:pPr>
        <w:spacing w:line="460" w:lineRule="exact"/>
        <w:rPr>
          <w:rFonts w:ascii="宋体" w:hAnsi="宋体" w:cs="宋体"/>
          <w:color w:val="auto"/>
          <w:spacing w:val="20"/>
          <w:sz w:val="22"/>
          <w:szCs w:val="22"/>
          <w:highlight w:val="none"/>
        </w:rPr>
      </w:pPr>
    </w:p>
    <w:p w14:paraId="43E31E8E">
      <w:pPr>
        <w:spacing w:line="460" w:lineRule="exact"/>
        <w:rPr>
          <w:rFonts w:ascii="宋体" w:hAnsi="宋体" w:cs="宋体"/>
          <w:color w:val="auto"/>
          <w:spacing w:val="20"/>
          <w:sz w:val="22"/>
          <w:szCs w:val="22"/>
          <w:highlight w:val="none"/>
        </w:rPr>
      </w:pPr>
    </w:p>
    <w:p w14:paraId="480AFFC2">
      <w:pPr>
        <w:spacing w:line="460" w:lineRule="exact"/>
        <w:jc w:val="center"/>
        <w:rPr>
          <w:rFonts w:ascii="宋体" w:hAnsi="宋体" w:cs="宋体"/>
          <w:color w:val="auto"/>
          <w:spacing w:val="6"/>
          <w:sz w:val="22"/>
          <w:szCs w:val="22"/>
          <w:highlight w:val="none"/>
        </w:rPr>
      </w:pPr>
      <w:r>
        <w:rPr>
          <w:rFonts w:hint="eastAsia" w:ascii="宋体" w:hAnsi="宋体" w:cs="宋体"/>
          <w:b/>
          <w:color w:val="auto"/>
          <w:spacing w:val="6"/>
          <w:sz w:val="22"/>
          <w:szCs w:val="22"/>
          <w:highlight w:val="none"/>
        </w:rPr>
        <w:t>残疾人福利性单位声明函</w:t>
      </w:r>
    </w:p>
    <w:p w14:paraId="16C63614">
      <w:pPr>
        <w:widowControl/>
        <w:adjustRightInd w:val="0"/>
        <w:snapToGrid w:val="0"/>
        <w:spacing w:line="460" w:lineRule="exact"/>
        <w:ind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041954FA">
      <w:pPr>
        <w:snapToGrid w:val="0"/>
        <w:spacing w:line="460" w:lineRule="exact"/>
        <w:jc w:val="center"/>
        <w:rPr>
          <w:rFonts w:ascii="宋体" w:hAnsi="宋体" w:cs="宋体"/>
          <w:b/>
          <w:bCs/>
          <w:color w:val="auto"/>
          <w:sz w:val="22"/>
          <w:szCs w:val="22"/>
          <w:highlight w:val="none"/>
        </w:rPr>
      </w:pPr>
    </w:p>
    <w:p w14:paraId="2AA42459">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（采购人名称）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（招标项目名称）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489DBF5F">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43DC4654">
      <w:pPr>
        <w:snapToGrid w:val="0"/>
        <w:spacing w:line="460" w:lineRule="exact"/>
        <w:ind w:firstLine="464" w:firstLineChars="200"/>
        <w:rPr>
          <w:rFonts w:ascii="宋体" w:hAnsi="宋体" w:cs="宋体"/>
          <w:color w:val="auto"/>
          <w:spacing w:val="6"/>
          <w:sz w:val="22"/>
          <w:szCs w:val="22"/>
          <w:highlight w:val="none"/>
        </w:rPr>
      </w:pPr>
    </w:p>
    <w:p w14:paraId="7C2350B4">
      <w:pPr>
        <w:snapToGrid w:val="0"/>
        <w:spacing w:line="460" w:lineRule="exact"/>
        <w:ind w:firstLine="464" w:firstLineChars="200"/>
        <w:rPr>
          <w:rFonts w:ascii="宋体" w:hAnsi="宋体" w:cs="宋体"/>
          <w:color w:val="auto"/>
          <w:spacing w:val="6"/>
          <w:sz w:val="22"/>
          <w:szCs w:val="22"/>
          <w:highlight w:val="none"/>
        </w:rPr>
      </w:pPr>
    </w:p>
    <w:p w14:paraId="0DB850F0">
      <w:pPr>
        <w:adjustRightInd w:val="0"/>
        <w:snapToGrid w:val="0"/>
        <w:spacing w:line="460" w:lineRule="exact"/>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投标人全称（盖章）：</w:t>
      </w:r>
      <w:r>
        <w:rPr>
          <w:rFonts w:hint="eastAsia" w:ascii="宋体" w:hAnsi="宋体" w:cs="宋体"/>
          <w:color w:val="auto"/>
          <w:kern w:val="0"/>
          <w:sz w:val="22"/>
          <w:szCs w:val="22"/>
          <w:highlight w:val="none"/>
          <w:u w:val="single"/>
        </w:rPr>
        <w:t xml:space="preserve">                    </w:t>
      </w:r>
    </w:p>
    <w:p w14:paraId="721A7FCB">
      <w:pPr>
        <w:pStyle w:val="24"/>
        <w:spacing w:line="460" w:lineRule="exact"/>
        <w:ind w:left="437" w:leftChars="208"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5C8053EA">
      <w:pPr>
        <w:rPr>
          <w:rFonts w:ascii="宋体" w:hAnsi="宋体" w:cs="宋体"/>
          <w:b/>
          <w:color w:val="auto"/>
          <w:sz w:val="22"/>
          <w:szCs w:val="22"/>
          <w:highlight w:val="none"/>
        </w:rPr>
      </w:pPr>
      <w:r>
        <w:rPr>
          <w:rFonts w:hint="eastAsia" w:ascii="宋体" w:hAnsi="宋体" w:cs="宋体"/>
          <w:b/>
          <w:color w:val="auto"/>
          <w:sz w:val="22"/>
          <w:szCs w:val="22"/>
          <w:highlight w:val="none"/>
        </w:rPr>
        <w:br w:type="page"/>
      </w:r>
    </w:p>
    <w:p w14:paraId="3D3239AE">
      <w:pPr>
        <w:pStyle w:val="24"/>
        <w:spacing w:line="460" w:lineRule="exact"/>
        <w:ind w:left="433" w:hanging="433" w:hangingChars="196"/>
        <w:outlineLvl w:val="1"/>
        <w:rPr>
          <w:rFonts w:ascii="宋体" w:hAnsi="宋体" w:cs="宋体"/>
          <w:b/>
          <w:color w:val="auto"/>
          <w:sz w:val="22"/>
          <w:szCs w:val="22"/>
          <w:highlight w:val="none"/>
        </w:rPr>
      </w:pPr>
      <w:bookmarkStart w:id="204" w:name="_Toc5377"/>
      <w:bookmarkStart w:id="205" w:name="_Toc27335"/>
      <w:bookmarkStart w:id="206" w:name="_Toc24418"/>
      <w:bookmarkStart w:id="207" w:name="_Toc14839"/>
      <w:bookmarkStart w:id="208" w:name="_Toc20449"/>
      <w:r>
        <w:rPr>
          <w:rFonts w:hint="eastAsia" w:ascii="宋体" w:hAnsi="宋体" w:cs="宋体"/>
          <w:b/>
          <w:color w:val="auto"/>
          <w:sz w:val="22"/>
          <w:szCs w:val="22"/>
          <w:highlight w:val="none"/>
        </w:rPr>
        <w:t>附件二</w:t>
      </w:r>
      <w:bookmarkEnd w:id="202"/>
      <w:bookmarkEnd w:id="203"/>
      <w:bookmarkEnd w:id="204"/>
      <w:bookmarkEnd w:id="205"/>
      <w:bookmarkEnd w:id="206"/>
      <w:bookmarkEnd w:id="207"/>
      <w:bookmarkEnd w:id="208"/>
    </w:p>
    <w:p w14:paraId="320B131B">
      <w:pPr>
        <w:spacing w:line="460" w:lineRule="exact"/>
        <w:jc w:val="center"/>
        <w:outlineLvl w:val="2"/>
        <w:rPr>
          <w:rFonts w:ascii="宋体" w:hAnsi="宋体" w:cs="宋体"/>
          <w:color w:val="auto"/>
          <w:sz w:val="28"/>
          <w:szCs w:val="28"/>
          <w:highlight w:val="none"/>
        </w:rPr>
      </w:pPr>
      <w:bookmarkStart w:id="209" w:name="_Toc25309"/>
      <w:bookmarkStart w:id="210" w:name="_Toc20562"/>
      <w:bookmarkStart w:id="211" w:name="_Toc21109"/>
      <w:bookmarkStart w:id="212" w:name="_Toc5795"/>
      <w:bookmarkStart w:id="213" w:name="_Toc669"/>
      <w:bookmarkStart w:id="214" w:name="_Toc4718"/>
      <w:bookmarkStart w:id="215" w:name="_Toc5796"/>
      <w:r>
        <w:rPr>
          <w:rFonts w:hint="eastAsia" w:ascii="宋体" w:hAnsi="宋体" w:cs="宋体"/>
          <w:b/>
          <w:bCs/>
          <w:color w:val="auto"/>
          <w:sz w:val="28"/>
          <w:szCs w:val="28"/>
          <w:highlight w:val="none"/>
        </w:rPr>
        <w:t>资格证明文件</w:t>
      </w:r>
      <w:bookmarkEnd w:id="209"/>
      <w:bookmarkEnd w:id="210"/>
      <w:bookmarkEnd w:id="211"/>
      <w:bookmarkEnd w:id="212"/>
      <w:bookmarkEnd w:id="213"/>
      <w:bookmarkEnd w:id="214"/>
      <w:bookmarkEnd w:id="215"/>
      <w:r>
        <w:rPr>
          <w:rFonts w:hint="eastAsia" w:ascii="宋体" w:hAnsi="宋体" w:cs="宋体"/>
          <w:color w:val="auto"/>
          <w:sz w:val="28"/>
          <w:szCs w:val="28"/>
          <w:highlight w:val="none"/>
        </w:rPr>
        <w:t xml:space="preserve"> </w:t>
      </w:r>
    </w:p>
    <w:p w14:paraId="5786B1EC">
      <w:pPr>
        <w:spacing w:line="400" w:lineRule="exact"/>
        <w:outlineLvl w:val="3"/>
        <w:rPr>
          <w:rFonts w:ascii="宋体" w:hAnsi="宋体" w:cs="宋体"/>
          <w:b/>
          <w:bCs/>
          <w:color w:val="auto"/>
          <w:sz w:val="24"/>
          <w:highlight w:val="none"/>
        </w:rPr>
      </w:pPr>
      <w:r>
        <w:rPr>
          <w:rFonts w:hint="eastAsia" w:ascii="宋体" w:hAnsi="宋体" w:cs="宋体"/>
          <w:b/>
          <w:bCs/>
          <w:color w:val="auto"/>
          <w:sz w:val="24"/>
          <w:highlight w:val="none"/>
        </w:rPr>
        <w:t>1、有效营业执照（复印件盖单位公章）</w:t>
      </w:r>
    </w:p>
    <w:p w14:paraId="282FEFB4">
      <w:pPr>
        <w:spacing w:line="400" w:lineRule="exact"/>
        <w:outlineLvl w:val="3"/>
        <w:rPr>
          <w:rFonts w:ascii="宋体" w:hAnsi="宋体" w:cs="宋体"/>
          <w:b/>
          <w:bCs/>
          <w:color w:val="auto"/>
          <w:sz w:val="24"/>
          <w:highlight w:val="none"/>
        </w:rPr>
      </w:pPr>
      <w:r>
        <w:rPr>
          <w:rFonts w:hint="eastAsia" w:ascii="宋体" w:hAnsi="宋体" w:cs="宋体"/>
          <w:b/>
          <w:bCs/>
          <w:color w:val="auto"/>
          <w:sz w:val="24"/>
          <w:highlight w:val="none"/>
        </w:rPr>
        <w:t>2、最近一年财务报表(复印件，新成立的公司提供情况说明)；</w:t>
      </w:r>
    </w:p>
    <w:p w14:paraId="6CA2EF7E">
      <w:pPr>
        <w:spacing w:line="460" w:lineRule="exact"/>
        <w:ind w:left="514" w:leftChars="245"/>
        <w:jc w:val="left"/>
        <w:rPr>
          <w:rFonts w:ascii="宋体" w:hAnsi="宋体" w:cs="宋体"/>
          <w:b/>
          <w:bCs/>
          <w:color w:val="auto"/>
          <w:szCs w:val="21"/>
          <w:highlight w:val="none"/>
        </w:rPr>
      </w:pPr>
    </w:p>
    <w:p w14:paraId="5AC1DF7B">
      <w:pPr>
        <w:spacing w:line="460" w:lineRule="exact"/>
        <w:jc w:val="left"/>
        <w:outlineLvl w:val="3"/>
        <w:rPr>
          <w:rFonts w:ascii="宋体" w:hAnsi="宋体" w:cs="宋体"/>
          <w:color w:val="auto"/>
          <w:szCs w:val="21"/>
          <w:highlight w:val="none"/>
        </w:rPr>
      </w:pPr>
      <w:r>
        <w:rPr>
          <w:rFonts w:hint="eastAsia" w:ascii="宋体" w:hAnsi="宋体" w:cs="宋体"/>
          <w:b/>
          <w:bCs/>
          <w:color w:val="auto"/>
          <w:sz w:val="24"/>
          <w:highlight w:val="none"/>
        </w:rPr>
        <w:t>3、具有履行合同所必需的场地、设备和专业技术能力的承诺函；</w:t>
      </w:r>
    </w:p>
    <w:p w14:paraId="1CEFEA6F">
      <w:pPr>
        <w:shd w:val="clear" w:color="auto" w:fill="FFFFFF"/>
        <w:snapToGrid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温州医科大学、温州历程招标有限公司</w:t>
      </w:r>
      <w:r>
        <w:rPr>
          <w:rFonts w:hint="eastAsia" w:ascii="宋体" w:hAnsi="宋体" w:cs="宋体"/>
          <w:color w:val="auto"/>
          <w:kern w:val="0"/>
          <w:sz w:val="22"/>
          <w:szCs w:val="22"/>
          <w:highlight w:val="none"/>
        </w:rPr>
        <w:t>：</w:t>
      </w:r>
    </w:p>
    <w:p w14:paraId="2925697C">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（投标人）</w:t>
      </w:r>
      <w:r>
        <w:rPr>
          <w:rFonts w:hint="eastAsia" w:ascii="宋体" w:hAnsi="宋体" w:cs="宋体"/>
          <w:color w:val="auto"/>
          <w:kern w:val="0"/>
          <w:sz w:val="22"/>
          <w:szCs w:val="22"/>
          <w:highlight w:val="none"/>
        </w:rPr>
        <w:t>承诺具有履行合同所必需的场地、设备和专业技术能力。如有虚假，采购人可取消我方任何资格（投标/中标/签订合同），我方对此无任何异议。</w:t>
      </w:r>
    </w:p>
    <w:p w14:paraId="4AAA1D3A">
      <w:pPr>
        <w:widowControl/>
        <w:snapToGrid w:val="0"/>
        <w:spacing w:line="460" w:lineRule="exact"/>
        <w:ind w:firstLine="440" w:firstLineChars="200"/>
        <w:jc w:val="left"/>
        <w:rPr>
          <w:rFonts w:ascii="宋体" w:hAnsi="宋体" w:cs="宋体"/>
          <w:color w:val="auto"/>
          <w:kern w:val="0"/>
          <w:sz w:val="22"/>
          <w:szCs w:val="22"/>
          <w:highlight w:val="none"/>
        </w:rPr>
      </w:pPr>
    </w:p>
    <w:p w14:paraId="7A7A96B9">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5ACAD8CB">
      <w:pPr>
        <w:widowControl/>
        <w:snapToGrid w:val="0"/>
        <w:spacing w:line="460" w:lineRule="exact"/>
        <w:ind w:firstLine="440" w:firstLineChars="200"/>
        <w:jc w:val="left"/>
        <w:rPr>
          <w:rFonts w:ascii="宋体" w:hAnsi="宋体" w:cs="宋体"/>
          <w:color w:val="auto"/>
          <w:kern w:val="0"/>
          <w:sz w:val="22"/>
          <w:szCs w:val="22"/>
          <w:highlight w:val="none"/>
        </w:rPr>
      </w:pPr>
    </w:p>
    <w:p w14:paraId="3D306E88">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kern w:val="0"/>
          <w:sz w:val="22"/>
          <w:szCs w:val="22"/>
          <w:highlight w:val="none"/>
        </w:rPr>
        <w:t xml:space="preserve"> ：</w:t>
      </w:r>
    </w:p>
    <w:p w14:paraId="22AECF68">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21184C69">
      <w:pPr>
        <w:widowControl/>
        <w:snapToGrid w:val="0"/>
        <w:spacing w:line="460" w:lineRule="exact"/>
        <w:ind w:firstLine="440" w:firstLineChars="200"/>
        <w:jc w:val="left"/>
        <w:rPr>
          <w:rFonts w:ascii="宋体" w:hAnsi="宋体" w:cs="宋体"/>
          <w:color w:val="auto"/>
          <w:kern w:val="0"/>
          <w:sz w:val="22"/>
          <w:szCs w:val="22"/>
          <w:highlight w:val="none"/>
        </w:rPr>
      </w:pPr>
    </w:p>
    <w:p w14:paraId="72397E9F">
      <w:pPr>
        <w:pStyle w:val="24"/>
        <w:spacing w:line="460" w:lineRule="exact"/>
        <w:ind w:left="479" w:leftChars="228" w:firstLine="5280" w:firstLineChars="24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025EF33C">
      <w:pPr>
        <w:pStyle w:val="24"/>
        <w:spacing w:line="460" w:lineRule="exact"/>
        <w:ind w:left="0" w:firstLine="0" w:firstLineChars="0"/>
        <w:rPr>
          <w:rFonts w:ascii="宋体" w:hAnsi="宋体" w:cs="宋体"/>
          <w:color w:val="auto"/>
          <w:kern w:val="0"/>
          <w:highlight w:val="none"/>
        </w:rPr>
      </w:pPr>
    </w:p>
    <w:p w14:paraId="0B78621A">
      <w:pPr>
        <w:spacing w:line="460" w:lineRule="exact"/>
        <w:jc w:val="left"/>
        <w:outlineLvl w:val="3"/>
        <w:rPr>
          <w:rFonts w:ascii="宋体" w:hAnsi="宋体" w:cs="宋体"/>
          <w:color w:val="auto"/>
          <w:sz w:val="20"/>
          <w:szCs w:val="22"/>
          <w:highlight w:val="none"/>
        </w:rPr>
      </w:pPr>
      <w:r>
        <w:rPr>
          <w:rFonts w:hint="eastAsia" w:ascii="宋体" w:hAnsi="宋体" w:cs="宋体"/>
          <w:b/>
          <w:bCs/>
          <w:color w:val="auto"/>
          <w:sz w:val="24"/>
          <w:highlight w:val="none"/>
        </w:rPr>
        <w:t>4、依法缴纳税收和社会保障资金的承诺函；</w:t>
      </w:r>
    </w:p>
    <w:p w14:paraId="39D3DB7B">
      <w:pPr>
        <w:shd w:val="clear" w:color="auto" w:fill="FFFFFF"/>
        <w:snapToGrid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温州医科大学、温州历程招标有限公司</w:t>
      </w:r>
      <w:r>
        <w:rPr>
          <w:rFonts w:hint="eastAsia" w:ascii="宋体" w:hAnsi="宋体" w:cs="宋体"/>
          <w:color w:val="auto"/>
          <w:kern w:val="0"/>
          <w:sz w:val="22"/>
          <w:szCs w:val="22"/>
          <w:highlight w:val="none"/>
        </w:rPr>
        <w:t>：</w:t>
      </w:r>
    </w:p>
    <w:p w14:paraId="5283E0BE">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14:paraId="04645211">
      <w:pPr>
        <w:spacing w:line="460" w:lineRule="exact"/>
        <w:ind w:firstLine="440" w:firstLineChars="200"/>
        <w:rPr>
          <w:rFonts w:ascii="宋体" w:hAnsi="宋体" w:cs="宋体"/>
          <w:color w:val="auto"/>
          <w:kern w:val="0"/>
          <w:sz w:val="22"/>
          <w:szCs w:val="22"/>
          <w:highlight w:val="none"/>
        </w:rPr>
      </w:pPr>
    </w:p>
    <w:p w14:paraId="7AFDE844">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2BF78232">
      <w:pPr>
        <w:widowControl/>
        <w:snapToGrid w:val="0"/>
        <w:spacing w:line="460" w:lineRule="exact"/>
        <w:ind w:firstLine="440" w:firstLineChars="200"/>
        <w:jc w:val="left"/>
        <w:rPr>
          <w:rFonts w:ascii="宋体" w:hAnsi="宋体" w:cs="宋体"/>
          <w:color w:val="auto"/>
          <w:kern w:val="0"/>
          <w:sz w:val="22"/>
          <w:szCs w:val="22"/>
          <w:highlight w:val="none"/>
        </w:rPr>
      </w:pPr>
    </w:p>
    <w:p w14:paraId="3580A098">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kern w:val="0"/>
          <w:sz w:val="22"/>
          <w:szCs w:val="22"/>
          <w:highlight w:val="none"/>
        </w:rPr>
        <w:t xml:space="preserve"> ：</w:t>
      </w:r>
    </w:p>
    <w:p w14:paraId="4847E044">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6E8C721F">
      <w:pPr>
        <w:widowControl/>
        <w:snapToGrid w:val="0"/>
        <w:spacing w:line="460" w:lineRule="exact"/>
        <w:ind w:firstLine="440" w:firstLineChars="200"/>
        <w:jc w:val="left"/>
        <w:rPr>
          <w:rFonts w:ascii="宋体" w:hAnsi="宋体" w:cs="宋体"/>
          <w:color w:val="auto"/>
          <w:kern w:val="0"/>
          <w:sz w:val="22"/>
          <w:szCs w:val="22"/>
          <w:highlight w:val="none"/>
        </w:rPr>
      </w:pPr>
    </w:p>
    <w:p w14:paraId="0CA95045">
      <w:pPr>
        <w:pStyle w:val="24"/>
        <w:spacing w:line="460" w:lineRule="exact"/>
        <w:ind w:left="-420" w:leftChars="-200" w:firstLine="6160" w:firstLineChars="28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321CA9E7">
      <w:pPr>
        <w:pStyle w:val="24"/>
        <w:spacing w:line="460" w:lineRule="exact"/>
        <w:ind w:left="0" w:firstLine="0" w:firstLineChars="0"/>
        <w:rPr>
          <w:rFonts w:ascii="宋体" w:hAnsi="宋体" w:cs="宋体"/>
          <w:color w:val="auto"/>
          <w:kern w:val="0"/>
          <w:highlight w:val="none"/>
        </w:rPr>
      </w:pPr>
    </w:p>
    <w:p w14:paraId="5AB84E7A">
      <w:pPr>
        <w:pStyle w:val="24"/>
        <w:spacing w:line="460" w:lineRule="exact"/>
        <w:ind w:left="0" w:firstLine="0" w:firstLineChars="0"/>
        <w:rPr>
          <w:rFonts w:ascii="宋体" w:hAnsi="宋体" w:cs="宋体"/>
          <w:color w:val="auto"/>
          <w:kern w:val="0"/>
          <w:highlight w:val="none"/>
        </w:rPr>
      </w:pPr>
    </w:p>
    <w:p w14:paraId="3AFC7CCE">
      <w:pPr>
        <w:pStyle w:val="24"/>
        <w:spacing w:line="460" w:lineRule="exact"/>
        <w:ind w:left="0" w:firstLine="0" w:firstLineChars="0"/>
        <w:rPr>
          <w:rFonts w:ascii="宋体" w:hAnsi="宋体" w:cs="宋体"/>
          <w:color w:val="auto"/>
          <w:kern w:val="0"/>
          <w:highlight w:val="none"/>
        </w:rPr>
      </w:pPr>
    </w:p>
    <w:p w14:paraId="0830A285">
      <w:pPr>
        <w:pStyle w:val="24"/>
        <w:spacing w:line="460" w:lineRule="exact"/>
        <w:ind w:left="0" w:firstLine="0" w:firstLineChars="0"/>
        <w:rPr>
          <w:rFonts w:ascii="宋体" w:hAnsi="宋体" w:cs="宋体"/>
          <w:color w:val="auto"/>
          <w:kern w:val="0"/>
          <w:highlight w:val="none"/>
        </w:rPr>
      </w:pPr>
    </w:p>
    <w:p w14:paraId="42570B20">
      <w:pPr>
        <w:spacing w:line="460" w:lineRule="exact"/>
        <w:outlineLvl w:val="3"/>
        <w:rPr>
          <w:rFonts w:ascii="宋体" w:hAnsi="宋体" w:cs="宋体"/>
          <w:b/>
          <w:bCs/>
          <w:color w:val="auto"/>
          <w:sz w:val="22"/>
          <w:szCs w:val="22"/>
          <w:highlight w:val="none"/>
        </w:rPr>
      </w:pPr>
      <w:r>
        <w:rPr>
          <w:rFonts w:hint="eastAsia" w:ascii="宋体" w:hAnsi="宋体" w:cs="宋体"/>
          <w:b/>
          <w:bCs/>
          <w:color w:val="auto"/>
          <w:sz w:val="24"/>
          <w:highlight w:val="none"/>
        </w:rPr>
        <w:t>5、参加政府采购活动前3年内在经营活动中没有重大违法记录的声明函</w:t>
      </w:r>
      <w:r>
        <w:rPr>
          <w:rFonts w:hint="eastAsia" w:ascii="宋体" w:hAnsi="宋体" w:cs="宋体"/>
          <w:b/>
          <w:bCs/>
          <w:color w:val="auto"/>
          <w:sz w:val="22"/>
          <w:szCs w:val="22"/>
          <w:highlight w:val="none"/>
        </w:rPr>
        <w:t>；</w:t>
      </w:r>
    </w:p>
    <w:p w14:paraId="079B4746">
      <w:pPr>
        <w:shd w:val="clear" w:color="auto" w:fill="FFFFFF"/>
        <w:snapToGrid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温州医科大学、温州历程招标有限公司</w:t>
      </w:r>
      <w:r>
        <w:rPr>
          <w:rFonts w:hint="eastAsia" w:ascii="宋体" w:hAnsi="宋体" w:cs="宋体"/>
          <w:color w:val="auto"/>
          <w:kern w:val="0"/>
          <w:sz w:val="22"/>
          <w:szCs w:val="22"/>
          <w:highlight w:val="none"/>
        </w:rPr>
        <w:t>：</w:t>
      </w:r>
    </w:p>
    <w:p w14:paraId="69D13649">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（投标人）</w:t>
      </w:r>
      <w:r>
        <w:rPr>
          <w:rFonts w:hint="eastAsia" w:ascii="宋体" w:hAnsi="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5AE53907">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0280702F">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kern w:val="0"/>
          <w:sz w:val="22"/>
          <w:szCs w:val="22"/>
          <w:highlight w:val="none"/>
        </w:rPr>
        <w:t xml:space="preserve"> ：</w:t>
      </w:r>
    </w:p>
    <w:p w14:paraId="7D2815C0">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449CC8BF">
      <w:pPr>
        <w:widowControl/>
        <w:snapToGrid w:val="0"/>
        <w:spacing w:line="460" w:lineRule="exact"/>
        <w:ind w:firstLine="440" w:firstLineChars="200"/>
        <w:jc w:val="left"/>
        <w:rPr>
          <w:rFonts w:ascii="宋体" w:hAnsi="宋体" w:cs="宋体"/>
          <w:color w:val="auto"/>
          <w:kern w:val="0"/>
          <w:sz w:val="22"/>
          <w:szCs w:val="22"/>
          <w:highlight w:val="none"/>
        </w:rPr>
      </w:pPr>
    </w:p>
    <w:p w14:paraId="5D81A365">
      <w:pPr>
        <w:pStyle w:val="24"/>
        <w:spacing w:line="460" w:lineRule="exact"/>
        <w:ind w:left="514" w:leftChars="245" w:firstLine="5720" w:firstLineChars="2600"/>
        <w:rPr>
          <w:rFonts w:ascii="宋体" w:hAnsi="宋体" w:cs="宋体"/>
          <w:color w:val="auto"/>
          <w:highlight w:val="none"/>
        </w:rPr>
      </w:pPr>
      <w:r>
        <w:rPr>
          <w:rFonts w:hint="eastAsia" w:ascii="宋体" w:hAnsi="宋体" w:cs="宋体"/>
          <w:color w:val="auto"/>
          <w:kern w:val="0"/>
          <w:sz w:val="22"/>
          <w:szCs w:val="22"/>
          <w:highlight w:val="none"/>
        </w:rPr>
        <w:t>日期：     年  月  日</w:t>
      </w:r>
    </w:p>
    <w:p w14:paraId="659AD402">
      <w:pPr>
        <w:spacing w:line="460" w:lineRule="exact"/>
        <w:ind w:left="514" w:leftChars="245"/>
        <w:rPr>
          <w:rFonts w:ascii="宋体" w:hAnsi="宋体" w:cs="宋体"/>
          <w:b/>
          <w:bCs/>
          <w:color w:val="auto"/>
          <w:sz w:val="22"/>
          <w:szCs w:val="22"/>
          <w:highlight w:val="none"/>
        </w:rPr>
      </w:pPr>
    </w:p>
    <w:p w14:paraId="286DE4CD">
      <w:pPr>
        <w:pStyle w:val="24"/>
        <w:ind w:left="0" w:firstLine="0" w:firstLineChars="0"/>
        <w:rPr>
          <w:rFonts w:ascii="宋体" w:hAnsi="宋体" w:cs="宋体"/>
          <w:color w:val="auto"/>
          <w:highlight w:val="none"/>
        </w:rPr>
      </w:pPr>
    </w:p>
    <w:p w14:paraId="664B8E7C">
      <w:pPr>
        <w:spacing w:line="460" w:lineRule="exact"/>
        <w:outlineLvl w:val="3"/>
        <w:rPr>
          <w:rFonts w:ascii="宋体" w:hAnsi="宋体" w:cs="宋体"/>
          <w:b/>
          <w:bCs/>
          <w:color w:val="auto"/>
          <w:szCs w:val="21"/>
          <w:highlight w:val="none"/>
        </w:rPr>
      </w:pPr>
      <w:r>
        <w:rPr>
          <w:rFonts w:hint="eastAsia" w:ascii="宋体" w:hAnsi="宋体" w:cs="宋体"/>
          <w:b/>
          <w:bCs/>
          <w:color w:val="auto"/>
          <w:sz w:val="24"/>
          <w:highlight w:val="none"/>
        </w:rPr>
        <w:t>6、单位负责人为同一人或者存在直接控股、管理关系的不同供应商，不得参加同一合同项下的政府采购活动承诺函；</w:t>
      </w:r>
    </w:p>
    <w:p w14:paraId="475997EA">
      <w:pPr>
        <w:shd w:val="clear" w:color="auto" w:fill="FFFFFF"/>
        <w:snapToGrid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温州医科大学、温州历程招标有限公司</w:t>
      </w:r>
      <w:r>
        <w:rPr>
          <w:rFonts w:hint="eastAsia" w:ascii="宋体" w:hAnsi="宋体" w:cs="宋体"/>
          <w:color w:val="auto"/>
          <w:kern w:val="0"/>
          <w:sz w:val="22"/>
          <w:szCs w:val="22"/>
          <w:highlight w:val="none"/>
        </w:rPr>
        <w:t>：</w:t>
      </w:r>
    </w:p>
    <w:p w14:paraId="47CA5921">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我方郑重承诺，我方此次参加</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项目的投标，与参加本次项目同一合同项下政府采购活动的其他供应商不存在单位负责人为同一人或者直接控股、管理关系。如有虚假或隐瞒，愿意承担一切后果。</w:t>
      </w:r>
    </w:p>
    <w:p w14:paraId="5320C08E">
      <w:pPr>
        <w:shd w:val="clear" w:color="auto" w:fill="FFFFFF"/>
        <w:snapToGrid w:val="0"/>
        <w:spacing w:line="460" w:lineRule="exact"/>
        <w:jc w:val="center"/>
        <w:rPr>
          <w:rFonts w:ascii="宋体" w:hAnsi="宋体" w:cs="宋体"/>
          <w:b/>
          <w:color w:val="auto"/>
          <w:kern w:val="36"/>
          <w:sz w:val="22"/>
          <w:szCs w:val="22"/>
          <w:highlight w:val="none"/>
        </w:rPr>
      </w:pPr>
    </w:p>
    <w:p w14:paraId="70FF141D">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2F8F586B">
      <w:pPr>
        <w:widowControl/>
        <w:snapToGrid w:val="0"/>
        <w:spacing w:line="460" w:lineRule="exact"/>
        <w:ind w:firstLine="440" w:firstLineChars="200"/>
        <w:jc w:val="left"/>
        <w:rPr>
          <w:rFonts w:ascii="宋体" w:hAnsi="宋体" w:cs="宋体"/>
          <w:color w:val="auto"/>
          <w:kern w:val="0"/>
          <w:sz w:val="22"/>
          <w:szCs w:val="22"/>
          <w:highlight w:val="none"/>
        </w:rPr>
      </w:pPr>
    </w:p>
    <w:p w14:paraId="412982CF">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kern w:val="0"/>
          <w:sz w:val="22"/>
          <w:szCs w:val="22"/>
          <w:highlight w:val="none"/>
        </w:rPr>
        <w:t>：</w:t>
      </w:r>
    </w:p>
    <w:p w14:paraId="0BA49F79">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4CA297DA">
      <w:pPr>
        <w:widowControl/>
        <w:adjustRightInd w:val="0"/>
        <w:snapToGrid w:val="0"/>
        <w:spacing w:line="460" w:lineRule="exact"/>
        <w:ind w:firstLine="440" w:firstLineChars="200"/>
        <w:jc w:val="left"/>
        <w:rPr>
          <w:rFonts w:ascii="宋体" w:hAnsi="宋体" w:cs="宋体"/>
          <w:color w:val="auto"/>
          <w:kern w:val="0"/>
          <w:sz w:val="22"/>
          <w:szCs w:val="22"/>
          <w:highlight w:val="none"/>
        </w:rPr>
      </w:pPr>
    </w:p>
    <w:p w14:paraId="2961247C">
      <w:pPr>
        <w:pStyle w:val="24"/>
        <w:spacing w:line="460" w:lineRule="exact"/>
        <w:ind w:left="514" w:leftChars="245" w:firstLine="5720" w:firstLineChars="2600"/>
        <w:rPr>
          <w:rFonts w:ascii="宋体" w:hAnsi="宋体" w:cs="宋体"/>
          <w:color w:val="auto"/>
          <w:kern w:val="0"/>
          <w:highlight w:val="none"/>
        </w:rPr>
      </w:pPr>
      <w:r>
        <w:rPr>
          <w:rFonts w:hint="eastAsia" w:ascii="宋体" w:hAnsi="宋体" w:cs="宋体"/>
          <w:color w:val="auto"/>
          <w:kern w:val="0"/>
          <w:sz w:val="22"/>
          <w:szCs w:val="22"/>
          <w:highlight w:val="none"/>
        </w:rPr>
        <w:t>日期：     年  月  日</w:t>
      </w:r>
    </w:p>
    <w:p w14:paraId="162E17F6">
      <w:pPr>
        <w:pStyle w:val="24"/>
        <w:spacing w:line="460" w:lineRule="exact"/>
        <w:ind w:left="0" w:firstLine="0" w:firstLineChars="0"/>
        <w:rPr>
          <w:rFonts w:ascii="宋体" w:hAnsi="宋体" w:cs="宋体"/>
          <w:color w:val="auto"/>
          <w:kern w:val="0"/>
          <w:highlight w:val="none"/>
        </w:rPr>
      </w:pPr>
    </w:p>
    <w:p w14:paraId="489D301B">
      <w:pPr>
        <w:pStyle w:val="24"/>
        <w:spacing w:line="460" w:lineRule="exact"/>
        <w:ind w:left="0" w:firstLine="0" w:firstLineChars="0"/>
        <w:rPr>
          <w:rFonts w:ascii="宋体" w:hAnsi="宋体" w:cs="宋体"/>
          <w:color w:val="auto"/>
          <w:kern w:val="0"/>
          <w:highlight w:val="none"/>
        </w:rPr>
      </w:pPr>
    </w:p>
    <w:p w14:paraId="04E2BA8D">
      <w:pPr>
        <w:spacing w:line="400" w:lineRule="exact"/>
        <w:outlineLvl w:val="3"/>
        <w:rPr>
          <w:rFonts w:ascii="宋体" w:hAnsi="宋体" w:cs="宋体"/>
          <w:b/>
          <w:bCs/>
          <w:color w:val="auto"/>
          <w:sz w:val="24"/>
          <w:highlight w:val="none"/>
        </w:rPr>
      </w:pPr>
      <w:r>
        <w:rPr>
          <w:rFonts w:hint="eastAsia" w:ascii="宋体" w:hAnsi="宋体" w:cs="宋体"/>
          <w:b/>
          <w:bCs/>
          <w:color w:val="auto"/>
          <w:sz w:val="24"/>
          <w:highlight w:val="none"/>
        </w:rPr>
        <w:t>7、投标人不属于公益一类事业单位承诺函；</w:t>
      </w:r>
    </w:p>
    <w:p w14:paraId="7FB6DDC9">
      <w:pPr>
        <w:shd w:val="clear" w:color="auto" w:fill="FFFFFF"/>
        <w:snapToGrid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温州医科大学、温州历程招标有限公司</w:t>
      </w:r>
      <w:r>
        <w:rPr>
          <w:rFonts w:hint="eastAsia" w:ascii="宋体" w:hAnsi="宋体" w:cs="宋体"/>
          <w:color w:val="auto"/>
          <w:kern w:val="0"/>
          <w:sz w:val="22"/>
          <w:szCs w:val="22"/>
          <w:highlight w:val="none"/>
        </w:rPr>
        <w:t>：</w:t>
      </w:r>
    </w:p>
    <w:p w14:paraId="4B5F524E">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我方郑重承诺，我单位不属于公益一类事业单位，可承接</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项目的相关服务内容。如有虚假或隐瞒，愿意承担一切后果。</w:t>
      </w:r>
    </w:p>
    <w:p w14:paraId="68323EF8">
      <w:pPr>
        <w:shd w:val="clear" w:color="auto" w:fill="FFFFFF"/>
        <w:snapToGrid w:val="0"/>
        <w:spacing w:line="460" w:lineRule="exact"/>
        <w:jc w:val="center"/>
        <w:rPr>
          <w:rFonts w:ascii="宋体" w:hAnsi="宋体" w:cs="宋体"/>
          <w:b/>
          <w:color w:val="auto"/>
          <w:kern w:val="36"/>
          <w:sz w:val="22"/>
          <w:szCs w:val="22"/>
          <w:highlight w:val="none"/>
        </w:rPr>
      </w:pPr>
    </w:p>
    <w:p w14:paraId="485E0263">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475D0A42">
      <w:pPr>
        <w:widowControl/>
        <w:snapToGrid w:val="0"/>
        <w:spacing w:line="460" w:lineRule="exact"/>
        <w:ind w:firstLine="440" w:firstLineChars="200"/>
        <w:jc w:val="left"/>
        <w:rPr>
          <w:rFonts w:ascii="宋体" w:hAnsi="宋体" w:cs="宋体"/>
          <w:color w:val="auto"/>
          <w:kern w:val="0"/>
          <w:sz w:val="22"/>
          <w:szCs w:val="22"/>
          <w:highlight w:val="none"/>
        </w:rPr>
      </w:pPr>
    </w:p>
    <w:p w14:paraId="57E636F8">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kern w:val="0"/>
          <w:sz w:val="22"/>
          <w:szCs w:val="22"/>
          <w:highlight w:val="none"/>
        </w:rPr>
        <w:t xml:space="preserve"> ：</w:t>
      </w:r>
    </w:p>
    <w:p w14:paraId="4364ED0E">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05EF9ADE">
      <w:pPr>
        <w:widowControl/>
        <w:adjustRightInd w:val="0"/>
        <w:snapToGrid w:val="0"/>
        <w:spacing w:line="460" w:lineRule="exact"/>
        <w:ind w:firstLine="440" w:firstLineChars="200"/>
        <w:jc w:val="left"/>
        <w:rPr>
          <w:rFonts w:ascii="宋体" w:hAnsi="宋体" w:cs="宋体"/>
          <w:color w:val="auto"/>
          <w:kern w:val="0"/>
          <w:sz w:val="22"/>
          <w:szCs w:val="22"/>
          <w:highlight w:val="none"/>
        </w:rPr>
      </w:pPr>
    </w:p>
    <w:p w14:paraId="2565213C">
      <w:pPr>
        <w:widowControl/>
        <w:adjustRightInd w:val="0"/>
        <w:snapToGrid w:val="0"/>
        <w:spacing w:line="460" w:lineRule="exact"/>
        <w:ind w:firstLine="6160" w:firstLineChars="2800"/>
        <w:jc w:val="left"/>
        <w:rPr>
          <w:rFonts w:ascii="宋体" w:hAnsi="宋体" w:cs="宋体"/>
          <w:color w:val="auto"/>
          <w:kern w:val="0"/>
          <w:sz w:val="24"/>
          <w:highlight w:val="none"/>
        </w:rPr>
      </w:pPr>
      <w:r>
        <w:rPr>
          <w:rFonts w:hint="eastAsia" w:ascii="宋体" w:hAnsi="宋体" w:cs="宋体"/>
          <w:color w:val="auto"/>
          <w:kern w:val="0"/>
          <w:sz w:val="22"/>
          <w:szCs w:val="22"/>
          <w:highlight w:val="none"/>
        </w:rPr>
        <w:t>日期：     年  月  日</w:t>
      </w:r>
    </w:p>
    <w:p w14:paraId="399DB3F4">
      <w:pPr>
        <w:pStyle w:val="24"/>
        <w:spacing w:line="460" w:lineRule="exact"/>
        <w:ind w:left="514" w:leftChars="245" w:firstLine="0" w:firstLineChars="0"/>
        <w:rPr>
          <w:rFonts w:ascii="宋体" w:hAnsi="宋体" w:cs="宋体"/>
          <w:color w:val="auto"/>
          <w:highlight w:val="none"/>
        </w:rPr>
      </w:pPr>
    </w:p>
    <w:p w14:paraId="7194EB09">
      <w:pPr>
        <w:pStyle w:val="24"/>
        <w:spacing w:line="460" w:lineRule="exact"/>
        <w:ind w:left="514" w:leftChars="245" w:firstLine="0" w:firstLineChars="0"/>
        <w:rPr>
          <w:rFonts w:ascii="宋体" w:hAnsi="宋体" w:cs="宋体"/>
          <w:color w:val="auto"/>
          <w:highlight w:val="none"/>
        </w:rPr>
      </w:pPr>
    </w:p>
    <w:p w14:paraId="3707313D">
      <w:pPr>
        <w:pStyle w:val="24"/>
        <w:spacing w:line="460" w:lineRule="exact"/>
        <w:ind w:left="514" w:leftChars="245" w:firstLine="0" w:firstLineChars="0"/>
        <w:rPr>
          <w:rFonts w:ascii="宋体" w:hAnsi="宋体" w:cs="宋体"/>
          <w:color w:val="auto"/>
          <w:highlight w:val="none"/>
        </w:rPr>
      </w:pPr>
    </w:p>
    <w:p w14:paraId="470B2FF6">
      <w:pPr>
        <w:pStyle w:val="24"/>
        <w:spacing w:line="460" w:lineRule="exact"/>
        <w:ind w:left="514" w:leftChars="245" w:firstLine="0" w:firstLineChars="0"/>
        <w:rPr>
          <w:rFonts w:ascii="宋体" w:hAnsi="宋体" w:cs="宋体"/>
          <w:color w:val="auto"/>
          <w:highlight w:val="none"/>
        </w:rPr>
      </w:pPr>
    </w:p>
    <w:p w14:paraId="2BDF81E6">
      <w:pPr>
        <w:spacing w:line="400" w:lineRule="exact"/>
        <w:outlineLvl w:val="3"/>
        <w:rPr>
          <w:rFonts w:ascii="宋体" w:hAnsi="宋体" w:cs="宋体"/>
          <w:b/>
          <w:bCs/>
          <w:color w:val="auto"/>
          <w:sz w:val="24"/>
          <w:highlight w:val="none"/>
        </w:rPr>
      </w:pPr>
      <w:r>
        <w:rPr>
          <w:rFonts w:hint="eastAsia" w:ascii="宋体" w:hAnsi="宋体" w:cs="宋体"/>
          <w:b/>
          <w:bCs/>
          <w:color w:val="auto"/>
          <w:sz w:val="24"/>
          <w:highlight w:val="none"/>
        </w:rPr>
        <w:t>8、投标人信用查询：</w:t>
      </w:r>
    </w:p>
    <w:p w14:paraId="0751E7D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1、投标人信用信息查询的查询渠道：“信用中国”(www.creditchina.gov.cn)；“中国政府采购网”（http://www.ccgp.gov.cn/）；</w:t>
      </w:r>
    </w:p>
    <w:p w14:paraId="1723FE45">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2、投标人信用信息查询截止时点：招标公告发布之日至投标截止时间前。</w:t>
      </w:r>
    </w:p>
    <w:p w14:paraId="5ED0B246">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3、投标人信用信息查询记录和证据留存的具体方式：网页截图；</w:t>
      </w:r>
    </w:p>
    <w:p w14:paraId="7604C4C9">
      <w:pPr>
        <w:tabs>
          <w:tab w:val="left" w:pos="360"/>
        </w:tabs>
        <w:spacing w:line="46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14:paraId="1307C8E0">
      <w:pPr>
        <w:spacing w:line="460" w:lineRule="exact"/>
        <w:rPr>
          <w:rFonts w:ascii="宋体" w:hAnsi="宋体" w:cs="宋体"/>
          <w:b/>
          <w:bCs/>
          <w:color w:val="auto"/>
          <w:sz w:val="22"/>
          <w:szCs w:val="22"/>
          <w:highlight w:val="none"/>
        </w:rPr>
      </w:pPr>
    </w:p>
    <w:p w14:paraId="323D7753">
      <w:pPr>
        <w:spacing w:line="460" w:lineRule="exact"/>
        <w:rPr>
          <w:rFonts w:ascii="宋体" w:hAnsi="宋体" w:cs="宋体"/>
          <w:b/>
          <w:bCs/>
          <w:color w:val="auto"/>
          <w:sz w:val="22"/>
          <w:szCs w:val="22"/>
          <w:highlight w:val="none"/>
        </w:rPr>
      </w:pPr>
    </w:p>
    <w:p w14:paraId="2A701888">
      <w:pPr>
        <w:spacing w:line="460" w:lineRule="exact"/>
        <w:rPr>
          <w:rFonts w:ascii="宋体" w:hAnsi="宋体" w:cs="宋体"/>
          <w:b/>
          <w:bCs/>
          <w:color w:val="auto"/>
          <w:sz w:val="22"/>
          <w:szCs w:val="22"/>
          <w:highlight w:val="none"/>
        </w:rPr>
      </w:pPr>
    </w:p>
    <w:p w14:paraId="10E4079C">
      <w:pPr>
        <w:spacing w:line="460" w:lineRule="exact"/>
        <w:rPr>
          <w:rFonts w:ascii="宋体" w:hAnsi="宋体" w:cs="宋体"/>
          <w:b/>
          <w:bCs/>
          <w:color w:val="auto"/>
          <w:sz w:val="22"/>
          <w:szCs w:val="22"/>
          <w:highlight w:val="none"/>
        </w:rPr>
      </w:pPr>
    </w:p>
    <w:p w14:paraId="1C0BF4E9">
      <w:pPr>
        <w:spacing w:line="460" w:lineRule="exact"/>
        <w:rPr>
          <w:rFonts w:ascii="宋体" w:hAnsi="宋体" w:cs="宋体"/>
          <w:b/>
          <w:bCs/>
          <w:color w:val="auto"/>
          <w:sz w:val="22"/>
          <w:szCs w:val="22"/>
          <w:highlight w:val="none"/>
        </w:rPr>
      </w:pPr>
    </w:p>
    <w:p w14:paraId="23371BBA">
      <w:pPr>
        <w:rPr>
          <w:rFonts w:ascii="宋体" w:hAnsi="宋体" w:cs="宋体"/>
          <w:color w:val="auto"/>
          <w:highlight w:val="none"/>
        </w:rPr>
      </w:pPr>
    </w:p>
    <w:p w14:paraId="0C545CB6">
      <w:pPr>
        <w:spacing w:line="460" w:lineRule="exact"/>
        <w:jc w:val="center"/>
        <w:outlineLvl w:val="3"/>
        <w:rPr>
          <w:rFonts w:ascii="宋体" w:hAnsi="宋体" w:cs="宋体"/>
          <w:b/>
          <w:bCs/>
          <w:color w:val="auto"/>
          <w:sz w:val="22"/>
          <w:szCs w:val="22"/>
          <w:highlight w:val="none"/>
        </w:rPr>
      </w:pPr>
      <w:r>
        <w:rPr>
          <w:rFonts w:hint="eastAsia" w:ascii="宋体" w:hAnsi="宋体" w:cs="宋体"/>
          <w:b/>
          <w:bCs/>
          <w:color w:val="auto"/>
          <w:sz w:val="28"/>
          <w:szCs w:val="28"/>
          <w:highlight w:val="none"/>
        </w:rPr>
        <w:t>9、政府采购活动现场确认声明书</w:t>
      </w:r>
    </w:p>
    <w:p w14:paraId="787D1D7A">
      <w:pPr>
        <w:spacing w:line="460" w:lineRule="exact"/>
        <w:rPr>
          <w:rFonts w:ascii="宋体" w:hAnsi="宋体" w:cs="宋体"/>
          <w:b/>
          <w:bCs/>
          <w:color w:val="auto"/>
          <w:sz w:val="22"/>
          <w:szCs w:val="22"/>
          <w:highlight w:val="none"/>
        </w:rPr>
      </w:pPr>
    </w:p>
    <w:p w14:paraId="33E121D7">
      <w:pPr>
        <w:spacing w:line="460" w:lineRule="exact"/>
        <w:rPr>
          <w:rFonts w:ascii="宋体" w:hAnsi="宋体" w:cs="宋体"/>
          <w:b/>
          <w:bCs/>
          <w:color w:val="auto"/>
          <w:sz w:val="22"/>
          <w:szCs w:val="22"/>
          <w:highlight w:val="none"/>
        </w:rPr>
      </w:pPr>
      <w:r>
        <w:rPr>
          <w:rFonts w:hint="eastAsia" w:ascii="宋体" w:hAnsi="宋体" w:cs="宋体"/>
          <w:color w:val="auto"/>
          <w:kern w:val="0"/>
          <w:sz w:val="22"/>
          <w:szCs w:val="22"/>
          <w:highlight w:val="none"/>
        </w:rPr>
        <w:t>温州历程招标有限公司：</w:t>
      </w:r>
    </w:p>
    <w:p w14:paraId="5D0F614D">
      <w:pPr>
        <w:spacing w:line="460" w:lineRule="exact"/>
        <w:ind w:firstLine="440" w:firstLineChars="200"/>
        <w:rPr>
          <w:rFonts w:ascii="宋体" w:hAnsi="宋体" w:cs="宋体"/>
          <w:color w:val="auto"/>
          <w:highlight w:val="none"/>
        </w:rPr>
      </w:pPr>
      <w:r>
        <w:rPr>
          <w:rFonts w:hint="eastAsia" w:ascii="宋体" w:hAnsi="宋体" w:cs="宋体"/>
          <w:color w:val="auto"/>
          <w:kern w:val="0"/>
          <w:sz w:val="22"/>
          <w:szCs w:val="22"/>
          <w:highlight w:val="none"/>
        </w:rPr>
        <w:t>本人经由</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（供应商名称）负责人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（姓名）合法授权参加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项目（编号：</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）采购活动，经与本单位法人代表（负责人）联系确认，现就有关公平竞争事项郑重声明如下：</w:t>
      </w:r>
    </w:p>
    <w:p w14:paraId="730BC604">
      <w:pPr>
        <w:numPr>
          <w:ilvl w:val="0"/>
          <w:numId w:val="4"/>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本单位与采购人之间 □不存在利害关系 □存在下列利害关系：</w:t>
      </w:r>
    </w:p>
    <w:p w14:paraId="17682817">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A.投资关系    </w:t>
      </w:r>
    </w:p>
    <w:p w14:paraId="1D29361E">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B.行政隶属关系    </w:t>
      </w:r>
    </w:p>
    <w:p w14:paraId="00FEFBB7">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C.业务指导关系  </w:t>
      </w:r>
    </w:p>
    <w:p w14:paraId="1A4D8EE7">
      <w:pPr>
        <w:spacing w:line="460" w:lineRule="exact"/>
        <w:ind w:firstLine="660" w:firstLineChars="300"/>
        <w:rPr>
          <w:rFonts w:ascii="宋体" w:hAnsi="宋体" w:cs="宋体"/>
          <w:color w:val="auto"/>
          <w:sz w:val="22"/>
          <w:szCs w:val="22"/>
          <w:highlight w:val="none"/>
        </w:rPr>
      </w:pPr>
      <w:r>
        <w:rPr>
          <w:rFonts w:hint="eastAsia" w:ascii="宋体" w:hAnsi="宋体" w:cs="宋体"/>
          <w:color w:val="auto"/>
          <w:kern w:val="0"/>
          <w:sz w:val="22"/>
          <w:szCs w:val="22"/>
          <w:highlight w:val="none"/>
        </w:rPr>
        <w:t>D.其他可能影响采购公正的利害关系</w:t>
      </w:r>
      <w:r>
        <w:rPr>
          <w:rStyle w:val="122"/>
          <w:rFonts w:hint="default"/>
          <w:color w:val="auto"/>
          <w:sz w:val="22"/>
          <w:szCs w:val="22"/>
          <w:highlight w:val="none"/>
        </w:rPr>
        <w:t xml:space="preserve">（如有，请如实说明）                 </w:t>
      </w:r>
      <w:r>
        <w:rPr>
          <w:rFonts w:hint="eastAsia" w:ascii="宋体" w:hAnsi="宋体" w:cs="宋体"/>
          <w:color w:val="auto"/>
          <w:kern w:val="0"/>
          <w:sz w:val="22"/>
          <w:szCs w:val="22"/>
          <w:highlight w:val="none"/>
        </w:rPr>
        <w:t>。</w:t>
      </w:r>
    </w:p>
    <w:p w14:paraId="000FABBC">
      <w:pPr>
        <w:numPr>
          <w:ilvl w:val="0"/>
          <w:numId w:val="4"/>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现已清楚知道参加本项目采购活动的其他所有供应商名称，本单位 </w:t>
      </w:r>
    </w:p>
    <w:p w14:paraId="75D76627">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□与其他所有供应商之间均不存在利害关系 </w:t>
      </w:r>
    </w:p>
    <w:p w14:paraId="29D50C0B">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□与</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0B71AB65">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A.法定代表人或负责人或实际控制人是同一人</w:t>
      </w:r>
    </w:p>
    <w:p w14:paraId="4BD51805">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B.法定代表人或负责人或实际控制人是夫妻关系</w:t>
      </w:r>
    </w:p>
    <w:p w14:paraId="00B90953">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C.法定代表人或负责人或实际控制人是直系血亲关系</w:t>
      </w:r>
    </w:p>
    <w:p w14:paraId="5E6CCF2A">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D.法定代表人或负责人或实际控制人存在三代以内旁系血亲关系</w:t>
      </w:r>
    </w:p>
    <w:p w14:paraId="0FDB96D7">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E.法定代表人或负责人或实际控制人存在近姻亲关系</w:t>
      </w:r>
    </w:p>
    <w:p w14:paraId="3860C668">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F.法定代表人或负责人或实际控制人存在股份控制或实际控制关系</w:t>
      </w:r>
    </w:p>
    <w:p w14:paraId="41FED7BC">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G.存在共同直接或间接投资设立子公司、联营企业和合营企业情况</w:t>
      </w:r>
    </w:p>
    <w:p w14:paraId="25A54527">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H.存在分级代理或代销关系、同一生产制造商关系、管理关系、重要业务（占主营业务收入50%以上）或重要财务往来关系（如融资）等其他实质性控制关系</w:t>
      </w:r>
    </w:p>
    <w:p w14:paraId="04B4D3F2">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I.其他利害关系情况</w:t>
      </w:r>
      <w:r>
        <w:rPr>
          <w:rFonts w:hint="eastAsia" w:ascii="宋体" w:hAnsi="宋体" w:cs="宋体"/>
          <w:color w:val="auto"/>
          <w:kern w:val="0"/>
          <w:sz w:val="22"/>
          <w:szCs w:val="22"/>
          <w:highlight w:val="none"/>
          <w:u w:val="single"/>
        </w:rPr>
        <w:t xml:space="preserve">                              。</w:t>
      </w:r>
    </w:p>
    <w:p w14:paraId="12743CE5">
      <w:pPr>
        <w:pStyle w:val="24"/>
        <w:spacing w:line="460" w:lineRule="exact"/>
        <w:ind w:left="0"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（三）现已清楚知道并严格遵守政府采购法律法规和现场纪律</w:t>
      </w:r>
    </w:p>
    <w:p w14:paraId="6CE524B5">
      <w:pPr>
        <w:pStyle w:val="24"/>
        <w:spacing w:line="460" w:lineRule="exact"/>
        <w:ind w:left="0"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（四）我发现</w:t>
      </w:r>
      <w:r>
        <w:rPr>
          <w:rStyle w:val="122"/>
          <w:rFonts w:hint="default"/>
          <w:color w:val="auto"/>
          <w:sz w:val="22"/>
          <w:szCs w:val="22"/>
          <w:highlight w:val="none"/>
        </w:rPr>
        <w:t xml:space="preserve">                  与                  （供应商名称）</w:t>
      </w:r>
      <w:r>
        <w:rPr>
          <w:rFonts w:hint="eastAsia" w:ascii="宋体" w:hAnsi="宋体" w:cs="宋体"/>
          <w:color w:val="auto"/>
          <w:kern w:val="0"/>
          <w:sz w:val="22"/>
          <w:szCs w:val="22"/>
          <w:highlight w:val="none"/>
        </w:rPr>
        <w:t>之间存在或可能存在上述第二条第</w:t>
      </w:r>
      <w:r>
        <w:rPr>
          <w:rStyle w:val="122"/>
          <w:rFonts w:hint="default"/>
          <w:color w:val="auto"/>
          <w:sz w:val="22"/>
          <w:szCs w:val="22"/>
          <w:highlight w:val="none"/>
        </w:rPr>
        <w:t xml:space="preserve">        </w:t>
      </w:r>
      <w:r>
        <w:rPr>
          <w:rFonts w:hint="eastAsia" w:ascii="宋体" w:hAnsi="宋体" w:cs="宋体"/>
          <w:color w:val="auto"/>
          <w:kern w:val="0"/>
          <w:sz w:val="22"/>
          <w:szCs w:val="22"/>
          <w:highlight w:val="none"/>
        </w:rPr>
        <w:t>项利害关系。</w:t>
      </w:r>
    </w:p>
    <w:p w14:paraId="7E7D08DE">
      <w:pPr>
        <w:pStyle w:val="24"/>
        <w:spacing w:line="460" w:lineRule="exact"/>
        <w:ind w:left="0" w:firstLine="0" w:firstLineChars="0"/>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供应商代表签名:</w:t>
      </w:r>
    </w:p>
    <w:p w14:paraId="771B3049">
      <w:pPr>
        <w:pStyle w:val="24"/>
        <w:spacing w:line="460" w:lineRule="exact"/>
        <w:ind w:left="0" w:firstLine="0" w:firstLineChars="0"/>
        <w:jc w:val="right"/>
        <w:rPr>
          <w:rFonts w:ascii="宋体" w:hAnsi="宋体" w:cs="宋体"/>
          <w:b/>
          <w:color w:val="auto"/>
          <w:kern w:val="0"/>
          <w:sz w:val="22"/>
          <w:szCs w:val="22"/>
          <w:highlight w:val="none"/>
        </w:rPr>
      </w:pPr>
    </w:p>
    <w:p w14:paraId="76DF7338">
      <w:pPr>
        <w:pStyle w:val="24"/>
        <w:spacing w:line="460" w:lineRule="exact"/>
        <w:ind w:left="0" w:firstLine="0" w:firstLineChars="0"/>
        <w:jc w:val="righ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日期:202  年    月    日</w:t>
      </w:r>
    </w:p>
    <w:p w14:paraId="5D12DFDE">
      <w:pPr>
        <w:widowControl/>
        <w:spacing w:before="100" w:beforeAutospacing="1" w:after="100" w:afterAutospacing="1" w:line="360" w:lineRule="auto"/>
        <w:jc w:val="center"/>
        <w:outlineLvl w:val="3"/>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10、联合体协议书（如联合体需提供）</w:t>
      </w:r>
    </w:p>
    <w:p w14:paraId="7378367C">
      <w:pPr>
        <w:widowControl/>
        <w:spacing w:before="100" w:beforeAutospacing="1" w:after="100" w:afterAutospacing="1" w:line="360" w:lineRule="auto"/>
        <w:jc w:val="center"/>
        <w:outlineLvl w:val="3"/>
        <w:rPr>
          <w:rFonts w:ascii="新宋体" w:hAnsi="新宋体" w:eastAsia="新宋体" w:cs="新宋体"/>
          <w:b/>
          <w:color w:val="auto"/>
          <w:kern w:val="0"/>
          <w:sz w:val="22"/>
          <w:szCs w:val="22"/>
          <w:highlight w:val="none"/>
        </w:rPr>
      </w:pPr>
    </w:p>
    <w:p w14:paraId="6CE3793E">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w:t>
      </w:r>
    </w:p>
    <w:p w14:paraId="61DA3D60">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乙方：</w:t>
      </w:r>
    </w:p>
    <w:p w14:paraId="70F9A7A9">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各方经协商，就项目名称为</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编号为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的采购活动联合进行投标之事宜，达成如下协议：</w:t>
      </w:r>
    </w:p>
    <w:p w14:paraId="3269D7C9">
      <w:pPr>
        <w:widowControl/>
        <w:spacing w:line="460" w:lineRule="exact"/>
        <w:jc w:val="left"/>
        <w:rPr>
          <w:rFonts w:ascii="宋体" w:hAnsi="宋体" w:cs="宋体"/>
          <w:color w:val="auto"/>
          <w:position w:val="2"/>
          <w:szCs w:val="21"/>
          <w:highlight w:val="none"/>
        </w:rPr>
      </w:pPr>
      <w:r>
        <w:rPr>
          <w:rFonts w:hint="eastAsia" w:ascii="新宋体" w:hAnsi="新宋体" w:eastAsia="新宋体" w:cs="新宋体"/>
          <w:color w:val="auto"/>
          <w:kern w:val="0"/>
          <w:sz w:val="22"/>
          <w:szCs w:val="22"/>
          <w:highlight w:val="none"/>
        </w:rPr>
        <w:t xml:space="preserve">    一、各方一致决定，</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为联合体牵头人，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为联合体成员，并按照招标文件的规定分别提交资格文件。</w:t>
      </w:r>
      <w:r>
        <w:rPr>
          <w:rFonts w:hint="eastAsia" w:ascii="宋体" w:hAnsi="宋体" w:cs="宋体"/>
          <w:color w:val="auto"/>
          <w:position w:val="2"/>
          <w:szCs w:val="21"/>
          <w:highlight w:val="none"/>
        </w:rPr>
        <w:t>联合体牵头人合法代表联合体各成员负责本采购活动投标文件编制和合同谈判活动，代表联合体提交和接收相关的资料、信息及指示，并处理与之有关的一切事务，并负责合同实施阶段的主办、组织和协调工作。</w:t>
      </w:r>
    </w:p>
    <w:p w14:paraId="64ED01EC">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二、在本次投标过程中，牵头人的法定代表人或授权代理人根据招标文件规定及招标内容而对采购人所作的任何合法承诺，包括书面澄清及响应等均对联合体各方产生约束力。如果成交并签订合同，则联合体各方将共同履行对采购人所负有的全部义务并就采购合同约定的事项对采购人承担连带责任。</w:t>
      </w:r>
    </w:p>
    <w:p w14:paraId="231F25AE">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三、联合体其余各方保证对牵头人为响应本次投标而提供的服务提供全部质量保证支持。</w:t>
      </w:r>
    </w:p>
    <w:p w14:paraId="38FDD675">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四、本次联合体投标中，双方各承担以下的工作和责任：</w:t>
      </w:r>
    </w:p>
    <w:p w14:paraId="45E73C7C">
      <w:pPr>
        <w:widowControl/>
        <w:spacing w:line="460" w:lineRule="exact"/>
        <w:ind w:firstLine="440" w:firstLineChars="20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1、甲方承担的工作和责任为（详细说明）:  </w:t>
      </w:r>
      <w:r>
        <w:rPr>
          <w:rFonts w:hint="eastAsia" w:ascii="新宋体" w:hAnsi="新宋体" w:eastAsia="新宋体" w:cs="新宋体"/>
          <w:color w:val="auto"/>
          <w:kern w:val="0"/>
          <w:sz w:val="22"/>
          <w:szCs w:val="22"/>
          <w:highlight w:val="none"/>
          <w:u w:val="single"/>
        </w:rPr>
        <w:t xml:space="preserve">                                。</w:t>
      </w:r>
    </w:p>
    <w:p w14:paraId="54E1BE4B">
      <w:pPr>
        <w:widowControl/>
        <w:spacing w:line="460" w:lineRule="exact"/>
        <w:ind w:firstLine="440" w:firstLineChars="200"/>
        <w:jc w:val="left"/>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2、乙方承担的工作和责任为（详细说明）： </w:t>
      </w:r>
      <w:r>
        <w:rPr>
          <w:rFonts w:hint="eastAsia" w:ascii="新宋体" w:hAnsi="新宋体" w:eastAsia="新宋体" w:cs="新宋体"/>
          <w:color w:val="auto"/>
          <w:kern w:val="0"/>
          <w:sz w:val="22"/>
          <w:szCs w:val="22"/>
          <w:highlight w:val="none"/>
          <w:u w:val="single"/>
        </w:rPr>
        <w:t xml:space="preserve">                                。</w:t>
      </w:r>
    </w:p>
    <w:p w14:paraId="77CC1EA6">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3、如中标，联合体将遵守以下规定： </w:t>
      </w:r>
    </w:p>
    <w:p w14:paraId="675A0F6E">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联合体牵头人和成员共同与采购人签订合同书，并就中标项目向采购人承担合同规定的联合或各自的义务、责任和风险，就合同约定的事项对采购人承担连带责任。在整个合同实施过程的全部事宜均联合体牵头人代表联合体成员接受采购人的指令、指示和通知。</w:t>
      </w:r>
    </w:p>
    <w:p w14:paraId="5C525C18">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五、有关本次联合体投标的其他事宜：</w:t>
      </w:r>
      <w:r>
        <w:rPr>
          <w:rFonts w:hint="eastAsia" w:ascii="新宋体" w:hAnsi="新宋体" w:eastAsia="新宋体" w:cs="新宋体"/>
          <w:color w:val="auto"/>
          <w:kern w:val="0"/>
          <w:sz w:val="22"/>
          <w:szCs w:val="22"/>
          <w:highlight w:val="none"/>
          <w:u w:val="single"/>
        </w:rPr>
        <w:t xml:space="preserve">                               。</w:t>
      </w:r>
    </w:p>
    <w:p w14:paraId="4D341056">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六、本协议提交采购人后，联合体各方不得以任何形式对上述实质内容进行修改或撤销。</w:t>
      </w:r>
    </w:p>
    <w:p w14:paraId="18A1991A">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七、本协议签约各方各持一份，交采购机构两份。</w:t>
      </w:r>
    </w:p>
    <w:p w14:paraId="0AE6D5EE">
      <w:pPr>
        <w:pStyle w:val="24"/>
        <w:spacing w:line="460" w:lineRule="exact"/>
        <w:ind w:left="0" w:firstLine="0" w:firstLineChars="0"/>
        <w:jc w:val="righ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甲方单位：       （公章）                乙方单位：         （公章）</w:t>
      </w:r>
    </w:p>
    <w:p w14:paraId="1FDF1A65">
      <w:pPr>
        <w:pStyle w:val="24"/>
        <w:spacing w:line="460" w:lineRule="exact"/>
        <w:ind w:left="0" w:firstLine="0" w:firstLineChars="0"/>
        <w:jc w:val="righ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法定代表人：（签字或盖章）                     法定代表人：（签字或盖章）</w:t>
      </w:r>
    </w:p>
    <w:p w14:paraId="58344666">
      <w:pPr>
        <w:pStyle w:val="24"/>
        <w:spacing w:line="460" w:lineRule="exact"/>
        <w:ind w:left="0" w:firstLine="0" w:firstLineChars="0"/>
        <w:jc w:val="right"/>
        <w:rPr>
          <w:rFonts w:ascii="宋体" w:hAnsi="宋体" w:cs="宋体"/>
          <w:b/>
          <w:bCs/>
          <w:color w:val="auto"/>
          <w:sz w:val="22"/>
          <w:szCs w:val="22"/>
          <w:highlight w:val="none"/>
        </w:rPr>
      </w:pPr>
      <w:r>
        <w:rPr>
          <w:rFonts w:hint="eastAsia" w:ascii="新宋体" w:hAnsi="新宋体" w:eastAsia="新宋体" w:cs="新宋体"/>
          <w:color w:val="auto"/>
          <w:kern w:val="0"/>
          <w:sz w:val="22"/>
          <w:szCs w:val="22"/>
          <w:highlight w:val="none"/>
        </w:rPr>
        <w:t>日期：    年   月   日                 日期：     年   月   日</w:t>
      </w:r>
    </w:p>
    <w:p w14:paraId="221F19A7">
      <w:p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bookmarkStart w:id="216" w:name="_Toc16516"/>
      <w:bookmarkStart w:id="217" w:name="_Toc16751"/>
      <w:bookmarkStart w:id="218" w:name="_Toc31356"/>
      <w:bookmarkStart w:id="219" w:name="_Toc3264"/>
      <w:bookmarkStart w:id="220" w:name="_Toc26459"/>
      <w:bookmarkStart w:id="221" w:name="_Toc25804"/>
      <w:r>
        <w:rPr>
          <w:rFonts w:hint="eastAsia" w:ascii="宋体" w:hAnsi="宋体" w:cs="宋体"/>
          <w:b/>
          <w:color w:val="auto"/>
          <w:sz w:val="22"/>
          <w:szCs w:val="22"/>
          <w:highlight w:val="none"/>
        </w:rPr>
        <w:t>附件三</w:t>
      </w:r>
      <w:bookmarkEnd w:id="216"/>
      <w:bookmarkEnd w:id="217"/>
      <w:bookmarkEnd w:id="218"/>
      <w:bookmarkEnd w:id="219"/>
      <w:bookmarkEnd w:id="220"/>
      <w:bookmarkEnd w:id="221"/>
    </w:p>
    <w:p w14:paraId="6F7887B9">
      <w:pPr>
        <w:spacing w:line="460" w:lineRule="exact"/>
        <w:jc w:val="center"/>
        <w:outlineLvl w:val="2"/>
        <w:rPr>
          <w:rFonts w:ascii="宋体" w:hAnsi="宋体" w:cs="宋体"/>
          <w:b/>
          <w:bCs/>
          <w:color w:val="auto"/>
          <w:sz w:val="28"/>
          <w:szCs w:val="28"/>
          <w:highlight w:val="none"/>
          <w:lang w:val="zh-CN"/>
        </w:rPr>
      </w:pPr>
      <w:bookmarkStart w:id="222" w:name="_Toc21625"/>
      <w:bookmarkStart w:id="223" w:name="_Toc13787"/>
      <w:bookmarkStart w:id="224" w:name="_Toc5643"/>
      <w:bookmarkStart w:id="225" w:name="_Toc13639"/>
      <w:bookmarkStart w:id="226" w:name="_Toc27080"/>
      <w:bookmarkStart w:id="227" w:name="_Toc29102"/>
      <w:bookmarkStart w:id="228" w:name="_Toc24444"/>
      <w:r>
        <w:rPr>
          <w:rFonts w:hint="eastAsia" w:ascii="宋体" w:hAnsi="宋体" w:cs="宋体"/>
          <w:b/>
          <w:bCs/>
          <w:color w:val="auto"/>
          <w:sz w:val="28"/>
          <w:szCs w:val="28"/>
          <w:highlight w:val="none"/>
          <w:lang w:val="zh-CN"/>
        </w:rPr>
        <w:t>商务技术文件</w:t>
      </w:r>
      <w:bookmarkEnd w:id="222"/>
      <w:bookmarkEnd w:id="223"/>
      <w:bookmarkEnd w:id="224"/>
      <w:bookmarkEnd w:id="225"/>
      <w:bookmarkEnd w:id="226"/>
      <w:bookmarkEnd w:id="227"/>
      <w:bookmarkEnd w:id="228"/>
    </w:p>
    <w:p w14:paraId="4B5C7D7F">
      <w:pPr>
        <w:spacing w:line="400" w:lineRule="exact"/>
        <w:jc w:val="center"/>
        <w:rPr>
          <w:rFonts w:ascii="宋体" w:hAnsi="宋体" w:cs="宋体"/>
          <w:b/>
          <w:bCs/>
          <w:color w:val="auto"/>
          <w:sz w:val="28"/>
          <w:szCs w:val="28"/>
          <w:highlight w:val="none"/>
        </w:rPr>
      </w:pPr>
    </w:p>
    <w:p w14:paraId="1E3F76B9">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1、法定代表人授权书</w:t>
      </w:r>
    </w:p>
    <w:p w14:paraId="2CA057A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温州医科大学：</w:t>
      </w:r>
    </w:p>
    <w:p w14:paraId="1A1B71A0">
      <w:pPr>
        <w:spacing w:line="460" w:lineRule="exact"/>
        <w:rPr>
          <w:rFonts w:ascii="宋体" w:hAnsi="宋体" w:cs="宋体"/>
          <w:color w:val="auto"/>
          <w:sz w:val="22"/>
          <w:szCs w:val="22"/>
          <w:highlight w:val="none"/>
          <w:u w:val="single"/>
        </w:rPr>
      </w:pPr>
    </w:p>
    <w:p w14:paraId="72762FA9">
      <w:pPr>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（全权代表姓名）为全权代表，参加贵处组织的（项目名称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的招标活动，全权代表我方处理招标活动中的一切事宜。</w:t>
      </w:r>
    </w:p>
    <w:p w14:paraId="59019D4C">
      <w:pPr>
        <w:spacing w:line="460" w:lineRule="exact"/>
        <w:ind w:firstLine="2955"/>
        <w:rPr>
          <w:rFonts w:ascii="宋体" w:hAnsi="宋体" w:cs="宋体"/>
          <w:color w:val="auto"/>
          <w:sz w:val="22"/>
          <w:szCs w:val="22"/>
          <w:highlight w:val="none"/>
        </w:rPr>
      </w:pPr>
    </w:p>
    <w:p w14:paraId="6B86D4DC">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6C316E7">
      <w:pPr>
        <w:spacing w:line="460" w:lineRule="exact"/>
        <w:ind w:firstLine="4081" w:firstLineChars="1855"/>
        <w:rPr>
          <w:rFonts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687ADB80">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14:paraId="4848582B">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   期：  </w:t>
      </w:r>
    </w:p>
    <w:p w14:paraId="358510B0">
      <w:pPr>
        <w:spacing w:line="380" w:lineRule="exact"/>
        <w:rPr>
          <w:rFonts w:ascii="宋体" w:hAnsi="宋体" w:cs="宋体"/>
          <w:color w:val="auto"/>
          <w:sz w:val="22"/>
          <w:szCs w:val="22"/>
          <w:highlight w:val="none"/>
        </w:rPr>
      </w:pPr>
    </w:p>
    <w:p w14:paraId="05E4F0BE">
      <w:pPr>
        <w:spacing w:line="380" w:lineRule="exact"/>
        <w:rPr>
          <w:rFonts w:ascii="宋体" w:hAnsi="宋体" w:cs="宋体"/>
          <w:color w:val="auto"/>
          <w:sz w:val="22"/>
          <w:szCs w:val="22"/>
          <w:highlight w:val="none"/>
        </w:rPr>
      </w:pPr>
    </w:p>
    <w:p w14:paraId="7C8E73DE">
      <w:pPr>
        <w:spacing w:line="380" w:lineRule="exact"/>
        <w:rPr>
          <w:rFonts w:ascii="宋体" w:hAnsi="宋体" w:cs="宋体"/>
          <w:color w:val="auto"/>
          <w:sz w:val="22"/>
          <w:szCs w:val="22"/>
          <w:highlight w:val="none"/>
        </w:rPr>
      </w:pPr>
    </w:p>
    <w:p w14:paraId="6CCA40DF">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附：</w:t>
      </w:r>
    </w:p>
    <w:p w14:paraId="22932592">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 xml:space="preserve">授权代表姓名：                               </w:t>
      </w:r>
    </w:p>
    <w:p w14:paraId="3C65483D">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职务：</w:t>
      </w:r>
    </w:p>
    <w:p w14:paraId="6919BF51">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详细通讯地址：</w:t>
      </w:r>
    </w:p>
    <w:p w14:paraId="4CAB7564">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电话：</w:t>
      </w:r>
    </w:p>
    <w:p w14:paraId="75D87C3C">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传真：</w:t>
      </w:r>
    </w:p>
    <w:p w14:paraId="39860C58">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邮政编码:</w:t>
      </w:r>
    </w:p>
    <w:p w14:paraId="4D8D0867">
      <w:pPr>
        <w:spacing w:line="380" w:lineRule="exact"/>
        <w:rPr>
          <w:rFonts w:ascii="宋体" w:hAnsi="宋体" w:cs="宋体"/>
          <w:color w:val="auto"/>
          <w:sz w:val="22"/>
          <w:szCs w:val="22"/>
          <w:highlight w:val="none"/>
        </w:rPr>
      </w:pPr>
    </w:p>
    <w:p w14:paraId="2CC0D755">
      <w:pPr>
        <w:spacing w:line="460" w:lineRule="exact"/>
        <w:jc w:val="center"/>
        <w:rPr>
          <w:rFonts w:ascii="宋体" w:hAnsi="宋体" w:cs="宋体"/>
          <w:b/>
          <w:bCs/>
          <w:color w:val="auto"/>
          <w:sz w:val="28"/>
          <w:szCs w:val="28"/>
          <w:highlight w:val="none"/>
        </w:rPr>
      </w:pPr>
    </w:p>
    <w:p w14:paraId="3BBF77C8">
      <w:pPr>
        <w:spacing w:line="460" w:lineRule="exact"/>
        <w:jc w:val="center"/>
        <w:rPr>
          <w:rFonts w:ascii="宋体" w:hAnsi="宋体" w:cs="宋体"/>
          <w:b/>
          <w:bCs/>
          <w:color w:val="auto"/>
          <w:sz w:val="28"/>
          <w:szCs w:val="28"/>
          <w:highlight w:val="none"/>
        </w:rPr>
      </w:pPr>
    </w:p>
    <w:p w14:paraId="30EBDE02">
      <w:pPr>
        <w:spacing w:line="460" w:lineRule="exact"/>
        <w:jc w:val="center"/>
        <w:rPr>
          <w:rFonts w:ascii="宋体" w:hAnsi="宋体" w:cs="宋体"/>
          <w:b/>
          <w:bCs/>
          <w:color w:val="auto"/>
          <w:sz w:val="28"/>
          <w:szCs w:val="28"/>
          <w:highlight w:val="none"/>
        </w:rPr>
      </w:pPr>
    </w:p>
    <w:p w14:paraId="1BA59DB5">
      <w:pPr>
        <w:spacing w:line="460" w:lineRule="exact"/>
        <w:jc w:val="center"/>
        <w:rPr>
          <w:rFonts w:ascii="宋体" w:hAnsi="宋体" w:cs="宋体"/>
          <w:b/>
          <w:bCs/>
          <w:color w:val="auto"/>
          <w:sz w:val="28"/>
          <w:szCs w:val="28"/>
          <w:highlight w:val="none"/>
        </w:rPr>
      </w:pPr>
    </w:p>
    <w:p w14:paraId="49E186EC">
      <w:pPr>
        <w:spacing w:line="460" w:lineRule="exact"/>
        <w:jc w:val="center"/>
        <w:rPr>
          <w:rFonts w:ascii="宋体" w:hAnsi="宋体" w:cs="宋体"/>
          <w:b/>
          <w:bCs/>
          <w:color w:val="auto"/>
          <w:sz w:val="28"/>
          <w:szCs w:val="28"/>
          <w:highlight w:val="none"/>
        </w:rPr>
      </w:pPr>
    </w:p>
    <w:p w14:paraId="7AFE9695">
      <w:pPr>
        <w:spacing w:line="460" w:lineRule="exact"/>
        <w:jc w:val="center"/>
        <w:rPr>
          <w:rFonts w:ascii="宋体" w:hAnsi="宋体" w:cs="宋体"/>
          <w:b/>
          <w:bCs/>
          <w:color w:val="auto"/>
          <w:sz w:val="28"/>
          <w:szCs w:val="28"/>
          <w:highlight w:val="none"/>
        </w:rPr>
      </w:pPr>
    </w:p>
    <w:p w14:paraId="115F0765">
      <w:pPr>
        <w:spacing w:line="460" w:lineRule="exact"/>
        <w:jc w:val="center"/>
        <w:rPr>
          <w:rFonts w:ascii="宋体" w:hAnsi="宋体" w:cs="宋体"/>
          <w:b/>
          <w:bCs/>
          <w:color w:val="auto"/>
          <w:sz w:val="28"/>
          <w:szCs w:val="28"/>
          <w:highlight w:val="none"/>
        </w:rPr>
      </w:pPr>
      <w:r>
        <w:rPr>
          <w:rFonts w:hint="eastAsia" w:ascii="宋体" w:hAnsi="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1FC127">
                            <w:r>
                              <w:rPr>
                                <w:rFonts w:hint="eastAsia" w:ascii="新宋体" w:hAnsi="新宋体" w:eastAsia="新宋体"/>
                                <w:sz w:val="22"/>
                                <w:szCs w:val="22"/>
                              </w:rPr>
                              <w:t xml:space="preserve">  法定代表人身份证（正反面）：</w:t>
                            </w:r>
                          </w:p>
                        </w:txbxContent>
                      </wps:txbx>
                      <wps:bodyPr wrap="square" upright="1"/>
                    </wps:wsp>
                  </a:graphicData>
                </a:graphic>
              </wp:anchor>
            </w:drawing>
          </mc:Choice>
          <mc:Fallback>
            <w:pict>
              <v:shape id="Text Box 2" o:spid="_x0000_s1026" o:spt="202" type="#_x0000_t202" style="position:absolute;left:0pt;margin-left:8.95pt;margin-top:25.25pt;height:236.55pt;width:492.45pt;z-index:251660288;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3CNo2AAAAAoBAAAPAAAAAAAAAAEAIAAA&#10;ACIAAABkcnMvZG93bnJldi54bWxQSwECFAAUAAAACACHTuJAepCT5gwCAABSBAAADgAAAAAAAAAB&#10;ACAAAAAnAQAAZHJzL2Uyb0RvYy54bWxQSwUGAAAAAAYABgBZAQAApQUAAAAA&#10;">
                <v:fill on="t" focussize="0,0"/>
                <v:stroke color="#000000" joinstyle="miter"/>
                <v:imagedata o:title=""/>
                <o:lock v:ext="edit" aspectratio="f"/>
                <v:textbox>
                  <w:txbxContent>
                    <w:p w14:paraId="7D1FC127">
                      <w:r>
                        <w:rPr>
                          <w:rFonts w:hint="eastAsia" w:ascii="新宋体" w:hAnsi="新宋体" w:eastAsia="新宋体"/>
                          <w:sz w:val="22"/>
                          <w:szCs w:val="22"/>
                        </w:rPr>
                        <w:t xml:space="preserve">  法定代表人身份证（正反面）：</w:t>
                      </w:r>
                    </w:p>
                  </w:txbxContent>
                </v:textbox>
              </v:shape>
            </w:pict>
          </mc:Fallback>
        </mc:AlternateContent>
      </w:r>
    </w:p>
    <w:p w14:paraId="62E35C0A">
      <w:pPr>
        <w:spacing w:line="460" w:lineRule="exact"/>
        <w:jc w:val="center"/>
        <w:rPr>
          <w:rFonts w:ascii="宋体" w:hAnsi="宋体" w:cs="宋体"/>
          <w:b/>
          <w:bCs/>
          <w:color w:val="auto"/>
          <w:sz w:val="28"/>
          <w:szCs w:val="28"/>
          <w:highlight w:val="none"/>
        </w:rPr>
      </w:pPr>
    </w:p>
    <w:p w14:paraId="6ADD4F62">
      <w:pPr>
        <w:spacing w:line="460" w:lineRule="exact"/>
        <w:jc w:val="center"/>
        <w:rPr>
          <w:rFonts w:ascii="宋体" w:hAnsi="宋体" w:cs="宋体"/>
          <w:b/>
          <w:bCs/>
          <w:color w:val="auto"/>
          <w:sz w:val="28"/>
          <w:szCs w:val="28"/>
          <w:highlight w:val="none"/>
        </w:rPr>
      </w:pPr>
    </w:p>
    <w:p w14:paraId="616F94FA">
      <w:pPr>
        <w:spacing w:line="460" w:lineRule="exact"/>
        <w:jc w:val="center"/>
        <w:rPr>
          <w:rFonts w:ascii="宋体" w:hAnsi="宋体" w:cs="宋体"/>
          <w:b/>
          <w:bCs/>
          <w:color w:val="auto"/>
          <w:sz w:val="28"/>
          <w:szCs w:val="28"/>
          <w:highlight w:val="none"/>
        </w:rPr>
      </w:pPr>
    </w:p>
    <w:p w14:paraId="145CBB2B">
      <w:pPr>
        <w:spacing w:line="460" w:lineRule="exact"/>
        <w:jc w:val="center"/>
        <w:rPr>
          <w:rFonts w:ascii="宋体" w:hAnsi="宋体" w:cs="宋体"/>
          <w:b/>
          <w:bCs/>
          <w:color w:val="auto"/>
          <w:sz w:val="28"/>
          <w:szCs w:val="28"/>
          <w:highlight w:val="none"/>
        </w:rPr>
      </w:pPr>
    </w:p>
    <w:p w14:paraId="14B1F8D8">
      <w:pPr>
        <w:spacing w:line="460" w:lineRule="exact"/>
        <w:jc w:val="center"/>
        <w:rPr>
          <w:rFonts w:ascii="宋体" w:hAnsi="宋体" w:cs="宋体"/>
          <w:b/>
          <w:bCs/>
          <w:color w:val="auto"/>
          <w:sz w:val="28"/>
          <w:szCs w:val="28"/>
          <w:highlight w:val="none"/>
        </w:rPr>
      </w:pPr>
    </w:p>
    <w:p w14:paraId="19D3945A">
      <w:pPr>
        <w:spacing w:line="460" w:lineRule="exact"/>
        <w:jc w:val="center"/>
        <w:rPr>
          <w:rFonts w:ascii="宋体" w:hAnsi="宋体" w:cs="宋体"/>
          <w:b/>
          <w:bCs/>
          <w:color w:val="auto"/>
          <w:sz w:val="28"/>
          <w:szCs w:val="28"/>
          <w:highlight w:val="none"/>
        </w:rPr>
      </w:pPr>
    </w:p>
    <w:p w14:paraId="3DC1CA28">
      <w:pPr>
        <w:spacing w:line="460" w:lineRule="exact"/>
        <w:jc w:val="center"/>
        <w:rPr>
          <w:rFonts w:ascii="宋体" w:hAnsi="宋体" w:cs="宋体"/>
          <w:b/>
          <w:bCs/>
          <w:color w:val="auto"/>
          <w:sz w:val="28"/>
          <w:szCs w:val="28"/>
          <w:highlight w:val="none"/>
        </w:rPr>
      </w:pPr>
    </w:p>
    <w:p w14:paraId="2AA284F3">
      <w:pPr>
        <w:spacing w:line="460" w:lineRule="exact"/>
        <w:jc w:val="center"/>
        <w:rPr>
          <w:rFonts w:ascii="宋体" w:hAnsi="宋体" w:cs="宋体"/>
          <w:b/>
          <w:bCs/>
          <w:color w:val="auto"/>
          <w:sz w:val="28"/>
          <w:szCs w:val="28"/>
          <w:highlight w:val="none"/>
        </w:rPr>
      </w:pPr>
    </w:p>
    <w:p w14:paraId="09EEBFA1">
      <w:pPr>
        <w:spacing w:line="460" w:lineRule="exact"/>
        <w:jc w:val="center"/>
        <w:rPr>
          <w:rFonts w:ascii="宋体" w:hAnsi="宋体" w:cs="宋体"/>
          <w:b/>
          <w:bCs/>
          <w:color w:val="auto"/>
          <w:sz w:val="28"/>
          <w:szCs w:val="28"/>
          <w:highlight w:val="none"/>
        </w:rPr>
      </w:pPr>
    </w:p>
    <w:p w14:paraId="642C9800">
      <w:pPr>
        <w:spacing w:line="460" w:lineRule="exact"/>
        <w:jc w:val="center"/>
        <w:rPr>
          <w:rFonts w:ascii="宋体" w:hAnsi="宋体" w:cs="宋体"/>
          <w:b/>
          <w:bCs/>
          <w:color w:val="auto"/>
          <w:sz w:val="28"/>
          <w:szCs w:val="28"/>
          <w:highlight w:val="none"/>
        </w:rPr>
      </w:pPr>
    </w:p>
    <w:p w14:paraId="6CC95B65">
      <w:pPr>
        <w:spacing w:line="460" w:lineRule="exact"/>
        <w:jc w:val="center"/>
        <w:rPr>
          <w:rFonts w:ascii="宋体" w:hAnsi="宋体" w:cs="宋体"/>
          <w:b/>
          <w:bCs/>
          <w:color w:val="auto"/>
          <w:sz w:val="28"/>
          <w:szCs w:val="28"/>
          <w:highlight w:val="none"/>
        </w:rPr>
      </w:pPr>
    </w:p>
    <w:p w14:paraId="6EA8BF13">
      <w:pPr>
        <w:spacing w:line="460" w:lineRule="exact"/>
        <w:jc w:val="center"/>
        <w:rPr>
          <w:rFonts w:ascii="宋体" w:hAnsi="宋体" w:cs="宋体"/>
          <w:b/>
          <w:bCs/>
          <w:color w:val="auto"/>
          <w:sz w:val="28"/>
          <w:szCs w:val="28"/>
          <w:highlight w:val="none"/>
        </w:rPr>
      </w:pPr>
    </w:p>
    <w:p w14:paraId="04ADDED3">
      <w:pPr>
        <w:spacing w:line="460" w:lineRule="exact"/>
        <w:jc w:val="center"/>
        <w:rPr>
          <w:rFonts w:ascii="宋体" w:hAnsi="宋体" w:cs="宋体"/>
          <w:b/>
          <w:bCs/>
          <w:color w:val="auto"/>
          <w:sz w:val="28"/>
          <w:szCs w:val="28"/>
          <w:highlight w:val="none"/>
        </w:rPr>
      </w:pPr>
      <w:r>
        <w:rPr>
          <w:rFonts w:hint="eastAsia" w:ascii="宋体" w:hAnsi="宋体" w:cs="宋体"/>
          <w:color w:val="auto"/>
          <w:sz w:val="22"/>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7A76B4">
                            <w:r>
                              <w:rPr>
                                <w:rFonts w:hint="eastAsia" w:ascii="新宋体" w:hAnsi="新宋体" w:eastAsia="新宋体"/>
                                <w:sz w:val="22"/>
                                <w:szCs w:val="22"/>
                              </w:rPr>
                              <w:t xml:space="preserve">  授权代表身份证（正反面）：</w:t>
                            </w:r>
                          </w:p>
                        </w:txbxContent>
                      </wps:txbx>
                      <wps:bodyPr wrap="square" upright="1"/>
                    </wps:wsp>
                  </a:graphicData>
                </a:graphic>
              </wp:anchor>
            </w:drawing>
          </mc:Choice>
          <mc:Fallback>
            <w:pict>
              <v:shape id="文本框 26" o:spid="_x0000_s1026" o:spt="202" type="#_x0000_t202" style="position:absolute;left:0pt;margin-left:6.95pt;margin-top:-4.25pt;height:305.15pt;width:496.35pt;z-index:251661312;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hqi13YAAAA&#10;CgEAAA8AAAAAAAAAAQAgAAAAIgAAAGRycy9kb3ducmV2LnhtbFBLAQIUABQAAAAIAIdO4kBdSQlB&#10;HQIAAFQEAAAOAAAAAAAAAAEAIAAAACcBAABkcnMvZTJvRG9jLnhtbFBLBQYAAAAABgAGAFkBAAC2&#10;BQAAAAA=&#10;">
                <v:fill on="t" focussize="0,0"/>
                <v:stroke color="#000000" joinstyle="miter"/>
                <v:imagedata o:title=""/>
                <o:lock v:ext="edit" aspectratio="f"/>
                <v:textbox>
                  <w:txbxContent>
                    <w:p w14:paraId="0A7A76B4">
                      <w:r>
                        <w:rPr>
                          <w:rFonts w:hint="eastAsia" w:ascii="新宋体" w:hAnsi="新宋体" w:eastAsia="新宋体"/>
                          <w:sz w:val="22"/>
                          <w:szCs w:val="22"/>
                        </w:rPr>
                        <w:t xml:space="preserve">  授权代表身份证（正反面）：</w:t>
                      </w:r>
                    </w:p>
                  </w:txbxContent>
                </v:textbox>
              </v:shape>
            </w:pict>
          </mc:Fallback>
        </mc:AlternateContent>
      </w:r>
    </w:p>
    <w:p w14:paraId="0FD1A8EC">
      <w:pPr>
        <w:spacing w:line="460" w:lineRule="exact"/>
        <w:jc w:val="center"/>
        <w:rPr>
          <w:rFonts w:ascii="宋体" w:hAnsi="宋体" w:cs="宋体"/>
          <w:b/>
          <w:bCs/>
          <w:color w:val="auto"/>
          <w:sz w:val="28"/>
          <w:szCs w:val="28"/>
          <w:highlight w:val="none"/>
        </w:rPr>
      </w:pPr>
    </w:p>
    <w:p w14:paraId="3678321B">
      <w:pPr>
        <w:spacing w:line="460" w:lineRule="exact"/>
        <w:jc w:val="center"/>
        <w:rPr>
          <w:rFonts w:ascii="宋体" w:hAnsi="宋体" w:cs="宋体"/>
          <w:b/>
          <w:bCs/>
          <w:color w:val="auto"/>
          <w:sz w:val="28"/>
          <w:szCs w:val="28"/>
          <w:highlight w:val="none"/>
        </w:rPr>
      </w:pPr>
    </w:p>
    <w:p w14:paraId="685B7E0C">
      <w:pPr>
        <w:spacing w:line="460" w:lineRule="exact"/>
        <w:jc w:val="center"/>
        <w:rPr>
          <w:rFonts w:ascii="宋体" w:hAnsi="宋体" w:cs="宋体"/>
          <w:b/>
          <w:bCs/>
          <w:color w:val="auto"/>
          <w:sz w:val="28"/>
          <w:szCs w:val="28"/>
          <w:highlight w:val="none"/>
        </w:rPr>
      </w:pPr>
    </w:p>
    <w:p w14:paraId="6C64271B">
      <w:pPr>
        <w:spacing w:line="460" w:lineRule="exact"/>
        <w:jc w:val="center"/>
        <w:rPr>
          <w:rFonts w:ascii="宋体" w:hAnsi="宋体" w:cs="宋体"/>
          <w:b/>
          <w:bCs/>
          <w:color w:val="auto"/>
          <w:sz w:val="28"/>
          <w:szCs w:val="28"/>
          <w:highlight w:val="none"/>
        </w:rPr>
      </w:pPr>
    </w:p>
    <w:p w14:paraId="2DFE43F8">
      <w:pPr>
        <w:spacing w:line="460" w:lineRule="exact"/>
        <w:jc w:val="center"/>
        <w:rPr>
          <w:rFonts w:ascii="宋体" w:hAnsi="宋体" w:cs="宋体"/>
          <w:b/>
          <w:bCs/>
          <w:color w:val="auto"/>
          <w:sz w:val="28"/>
          <w:szCs w:val="28"/>
          <w:highlight w:val="none"/>
        </w:rPr>
      </w:pPr>
    </w:p>
    <w:p w14:paraId="7F933421">
      <w:pPr>
        <w:spacing w:line="460" w:lineRule="exact"/>
        <w:jc w:val="center"/>
        <w:rPr>
          <w:rFonts w:ascii="宋体" w:hAnsi="宋体" w:cs="宋体"/>
          <w:b/>
          <w:bCs/>
          <w:color w:val="auto"/>
          <w:sz w:val="28"/>
          <w:szCs w:val="28"/>
          <w:highlight w:val="none"/>
        </w:rPr>
      </w:pPr>
    </w:p>
    <w:p w14:paraId="395ACE8F">
      <w:pPr>
        <w:spacing w:line="460" w:lineRule="exact"/>
        <w:jc w:val="center"/>
        <w:rPr>
          <w:rFonts w:ascii="宋体" w:hAnsi="宋体" w:cs="宋体"/>
          <w:b/>
          <w:bCs/>
          <w:color w:val="auto"/>
          <w:sz w:val="28"/>
          <w:szCs w:val="28"/>
          <w:highlight w:val="none"/>
        </w:rPr>
      </w:pPr>
    </w:p>
    <w:p w14:paraId="49AE3A31">
      <w:pPr>
        <w:spacing w:line="460" w:lineRule="exact"/>
        <w:jc w:val="center"/>
        <w:rPr>
          <w:rFonts w:ascii="宋体" w:hAnsi="宋体" w:cs="宋体"/>
          <w:b/>
          <w:bCs/>
          <w:color w:val="auto"/>
          <w:sz w:val="28"/>
          <w:szCs w:val="28"/>
          <w:highlight w:val="none"/>
        </w:rPr>
      </w:pPr>
    </w:p>
    <w:p w14:paraId="28C69D27">
      <w:pPr>
        <w:spacing w:line="460" w:lineRule="exact"/>
        <w:jc w:val="center"/>
        <w:rPr>
          <w:rFonts w:ascii="宋体" w:hAnsi="宋体" w:cs="宋体"/>
          <w:b/>
          <w:bCs/>
          <w:color w:val="auto"/>
          <w:sz w:val="28"/>
          <w:szCs w:val="28"/>
          <w:highlight w:val="none"/>
        </w:rPr>
      </w:pPr>
    </w:p>
    <w:p w14:paraId="154CEF22">
      <w:pPr>
        <w:spacing w:line="460" w:lineRule="exact"/>
        <w:jc w:val="center"/>
        <w:rPr>
          <w:rFonts w:ascii="宋体" w:hAnsi="宋体" w:cs="宋体"/>
          <w:b/>
          <w:bCs/>
          <w:color w:val="auto"/>
          <w:sz w:val="28"/>
          <w:szCs w:val="28"/>
          <w:highlight w:val="none"/>
        </w:rPr>
      </w:pPr>
    </w:p>
    <w:p w14:paraId="12E270B8">
      <w:pPr>
        <w:spacing w:line="460" w:lineRule="exact"/>
        <w:jc w:val="center"/>
        <w:rPr>
          <w:rFonts w:ascii="宋体" w:hAnsi="宋体" w:cs="宋体"/>
          <w:b/>
          <w:bCs/>
          <w:color w:val="auto"/>
          <w:sz w:val="28"/>
          <w:szCs w:val="28"/>
          <w:highlight w:val="none"/>
        </w:rPr>
      </w:pPr>
    </w:p>
    <w:p w14:paraId="5282A6AC">
      <w:pPr>
        <w:spacing w:line="460" w:lineRule="exact"/>
        <w:jc w:val="center"/>
        <w:rPr>
          <w:rFonts w:ascii="宋体" w:hAnsi="宋体" w:cs="宋体"/>
          <w:b/>
          <w:bCs/>
          <w:color w:val="auto"/>
          <w:sz w:val="28"/>
          <w:szCs w:val="28"/>
          <w:highlight w:val="none"/>
        </w:rPr>
      </w:pPr>
    </w:p>
    <w:p w14:paraId="4CEEDB70">
      <w:pPr>
        <w:spacing w:line="460" w:lineRule="exact"/>
        <w:jc w:val="center"/>
        <w:rPr>
          <w:rFonts w:ascii="宋体" w:hAnsi="宋体" w:cs="宋体"/>
          <w:b/>
          <w:bCs/>
          <w:color w:val="auto"/>
          <w:sz w:val="28"/>
          <w:szCs w:val="28"/>
          <w:highlight w:val="none"/>
        </w:rPr>
      </w:pPr>
    </w:p>
    <w:p w14:paraId="7D979512">
      <w:pPr>
        <w:spacing w:line="460" w:lineRule="exact"/>
        <w:jc w:val="center"/>
        <w:rPr>
          <w:rFonts w:ascii="宋体" w:hAnsi="宋体" w:cs="宋体"/>
          <w:b/>
          <w:bCs/>
          <w:color w:val="auto"/>
          <w:sz w:val="28"/>
          <w:szCs w:val="28"/>
          <w:highlight w:val="none"/>
        </w:rPr>
      </w:pPr>
    </w:p>
    <w:p w14:paraId="0EF42F5C">
      <w:pPr>
        <w:spacing w:line="460" w:lineRule="exact"/>
        <w:jc w:val="center"/>
        <w:outlineLvl w:val="3"/>
        <w:rPr>
          <w:rFonts w:ascii="宋体" w:hAnsi="宋体" w:cs="宋体"/>
          <w:b/>
          <w:bCs/>
          <w:color w:val="auto"/>
          <w:sz w:val="22"/>
          <w:szCs w:val="22"/>
          <w:highlight w:val="none"/>
        </w:rPr>
        <w:sectPr>
          <w:headerReference r:id="rId5" w:type="default"/>
          <w:pgSz w:w="11906" w:h="16838"/>
          <w:pgMar w:top="1134" w:right="1134" w:bottom="1134" w:left="1134" w:header="850" w:footer="992" w:gutter="0"/>
          <w:cols w:space="720" w:num="1"/>
          <w:docGrid w:type="lines" w:linePitch="312" w:charSpace="0"/>
        </w:sectPr>
      </w:pPr>
    </w:p>
    <w:p w14:paraId="118C8602">
      <w:pPr>
        <w:spacing w:line="38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2、投标人情况表</w:t>
      </w:r>
    </w:p>
    <w:p w14:paraId="352003D3">
      <w:pPr>
        <w:tabs>
          <w:tab w:val="left" w:pos="78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6F2B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3F22318F">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单位名称（盖章）</w:t>
            </w:r>
          </w:p>
        </w:tc>
        <w:tc>
          <w:tcPr>
            <w:tcW w:w="2804" w:type="dxa"/>
            <w:gridSpan w:val="2"/>
          </w:tcPr>
          <w:p w14:paraId="5BAC6313">
            <w:pPr>
              <w:spacing w:line="480" w:lineRule="exact"/>
              <w:rPr>
                <w:rFonts w:ascii="宋体" w:hAnsi="宋体" w:cs="宋体"/>
                <w:color w:val="auto"/>
                <w:sz w:val="22"/>
                <w:szCs w:val="22"/>
                <w:highlight w:val="none"/>
              </w:rPr>
            </w:pPr>
          </w:p>
        </w:tc>
        <w:tc>
          <w:tcPr>
            <w:tcW w:w="1115" w:type="dxa"/>
            <w:gridSpan w:val="2"/>
          </w:tcPr>
          <w:p w14:paraId="4D7196BD">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电 话</w:t>
            </w:r>
          </w:p>
        </w:tc>
        <w:tc>
          <w:tcPr>
            <w:tcW w:w="2588" w:type="dxa"/>
            <w:gridSpan w:val="2"/>
          </w:tcPr>
          <w:p w14:paraId="15245992">
            <w:pPr>
              <w:spacing w:line="480" w:lineRule="exact"/>
              <w:rPr>
                <w:rFonts w:ascii="宋体" w:hAnsi="宋体" w:cs="宋体"/>
                <w:color w:val="auto"/>
                <w:sz w:val="22"/>
                <w:szCs w:val="22"/>
                <w:highlight w:val="none"/>
              </w:rPr>
            </w:pPr>
          </w:p>
        </w:tc>
        <w:tc>
          <w:tcPr>
            <w:tcW w:w="1488" w:type="dxa"/>
          </w:tcPr>
          <w:p w14:paraId="55EBA5E9">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1502" w:type="dxa"/>
          </w:tcPr>
          <w:p w14:paraId="6988CF97">
            <w:pPr>
              <w:spacing w:line="480" w:lineRule="exact"/>
              <w:rPr>
                <w:rFonts w:ascii="宋体" w:hAnsi="宋体" w:cs="宋体"/>
                <w:color w:val="auto"/>
                <w:sz w:val="22"/>
                <w:szCs w:val="22"/>
                <w:highlight w:val="none"/>
              </w:rPr>
            </w:pPr>
          </w:p>
        </w:tc>
        <w:tc>
          <w:tcPr>
            <w:tcW w:w="1488" w:type="dxa"/>
          </w:tcPr>
          <w:p w14:paraId="1029D932">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企业负责人</w:t>
            </w:r>
          </w:p>
        </w:tc>
        <w:tc>
          <w:tcPr>
            <w:tcW w:w="1115" w:type="dxa"/>
          </w:tcPr>
          <w:p w14:paraId="5A1E8B07">
            <w:pPr>
              <w:spacing w:line="480" w:lineRule="exact"/>
              <w:rPr>
                <w:rFonts w:ascii="宋体" w:hAnsi="宋体" w:cs="宋体"/>
                <w:color w:val="auto"/>
                <w:sz w:val="22"/>
                <w:szCs w:val="22"/>
                <w:highlight w:val="none"/>
              </w:rPr>
            </w:pPr>
          </w:p>
        </w:tc>
        <w:tc>
          <w:tcPr>
            <w:tcW w:w="1461" w:type="dxa"/>
            <w:gridSpan w:val="2"/>
          </w:tcPr>
          <w:p w14:paraId="3C9AE63E">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14:paraId="1727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5F686825">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p>
        </w:tc>
        <w:tc>
          <w:tcPr>
            <w:tcW w:w="2804" w:type="dxa"/>
            <w:gridSpan w:val="2"/>
          </w:tcPr>
          <w:p w14:paraId="1E440B1A">
            <w:pPr>
              <w:spacing w:line="480" w:lineRule="exact"/>
              <w:rPr>
                <w:rFonts w:ascii="宋体" w:hAnsi="宋体" w:cs="宋体"/>
                <w:color w:val="auto"/>
                <w:sz w:val="22"/>
                <w:szCs w:val="22"/>
                <w:highlight w:val="none"/>
              </w:rPr>
            </w:pPr>
          </w:p>
        </w:tc>
        <w:tc>
          <w:tcPr>
            <w:tcW w:w="1115" w:type="dxa"/>
            <w:gridSpan w:val="2"/>
          </w:tcPr>
          <w:p w14:paraId="6B0E1E30">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传 真</w:t>
            </w:r>
          </w:p>
        </w:tc>
        <w:tc>
          <w:tcPr>
            <w:tcW w:w="2588" w:type="dxa"/>
            <w:gridSpan w:val="2"/>
          </w:tcPr>
          <w:p w14:paraId="59EB879E">
            <w:pPr>
              <w:spacing w:line="480" w:lineRule="exact"/>
              <w:rPr>
                <w:rFonts w:ascii="宋体" w:hAnsi="宋体" w:cs="宋体"/>
                <w:color w:val="auto"/>
                <w:sz w:val="22"/>
                <w:szCs w:val="22"/>
                <w:highlight w:val="none"/>
              </w:rPr>
            </w:pPr>
          </w:p>
        </w:tc>
        <w:tc>
          <w:tcPr>
            <w:tcW w:w="1488" w:type="dxa"/>
          </w:tcPr>
          <w:p w14:paraId="32244302">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1502" w:type="dxa"/>
          </w:tcPr>
          <w:p w14:paraId="692E9320">
            <w:pPr>
              <w:spacing w:line="480" w:lineRule="exact"/>
              <w:rPr>
                <w:rFonts w:ascii="宋体" w:hAnsi="宋体" w:cs="宋体"/>
                <w:color w:val="auto"/>
                <w:sz w:val="22"/>
                <w:szCs w:val="22"/>
                <w:highlight w:val="none"/>
              </w:rPr>
            </w:pPr>
          </w:p>
        </w:tc>
        <w:tc>
          <w:tcPr>
            <w:tcW w:w="1488" w:type="dxa"/>
          </w:tcPr>
          <w:p w14:paraId="06DC3FEC">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授权代表</w:t>
            </w:r>
          </w:p>
        </w:tc>
        <w:tc>
          <w:tcPr>
            <w:tcW w:w="1115" w:type="dxa"/>
          </w:tcPr>
          <w:p w14:paraId="4F621EC4">
            <w:pPr>
              <w:spacing w:line="480" w:lineRule="exact"/>
              <w:rPr>
                <w:rFonts w:ascii="宋体" w:hAnsi="宋体" w:cs="宋体"/>
                <w:color w:val="auto"/>
                <w:sz w:val="22"/>
                <w:szCs w:val="22"/>
                <w:highlight w:val="none"/>
              </w:rPr>
            </w:pPr>
          </w:p>
        </w:tc>
        <w:tc>
          <w:tcPr>
            <w:tcW w:w="1461" w:type="dxa"/>
            <w:gridSpan w:val="2"/>
          </w:tcPr>
          <w:p w14:paraId="6DED8208">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14:paraId="621B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6C524604">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14:paraId="69DC817F">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6507" w:type="dxa"/>
            <w:gridSpan w:val="6"/>
            <w:vAlign w:val="center"/>
          </w:tcPr>
          <w:p w14:paraId="0E4311F7">
            <w:pPr>
              <w:spacing w:line="480" w:lineRule="exact"/>
              <w:jc w:val="center"/>
              <w:rPr>
                <w:rFonts w:ascii="宋体" w:hAnsi="宋体" w:cs="宋体"/>
                <w:color w:val="auto"/>
                <w:sz w:val="22"/>
                <w:szCs w:val="22"/>
                <w:highlight w:val="none"/>
              </w:rPr>
            </w:pPr>
          </w:p>
        </w:tc>
        <w:tc>
          <w:tcPr>
            <w:tcW w:w="1488" w:type="dxa"/>
            <w:vAlign w:val="center"/>
          </w:tcPr>
          <w:p w14:paraId="435CF6F4">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单位优势</w:t>
            </w:r>
          </w:p>
          <w:p w14:paraId="25E71CF9">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及特长</w:t>
            </w:r>
          </w:p>
        </w:tc>
        <w:tc>
          <w:tcPr>
            <w:tcW w:w="5566" w:type="dxa"/>
            <w:gridSpan w:val="5"/>
          </w:tcPr>
          <w:p w14:paraId="1A444B1F">
            <w:pPr>
              <w:spacing w:line="480" w:lineRule="exact"/>
              <w:rPr>
                <w:rFonts w:ascii="宋体" w:hAnsi="宋体" w:cs="宋体"/>
                <w:color w:val="auto"/>
                <w:sz w:val="22"/>
                <w:szCs w:val="22"/>
                <w:highlight w:val="none"/>
              </w:rPr>
            </w:pPr>
          </w:p>
        </w:tc>
      </w:tr>
      <w:tr w14:paraId="4E18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08B2C309">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单位概况</w:t>
            </w:r>
          </w:p>
        </w:tc>
        <w:tc>
          <w:tcPr>
            <w:tcW w:w="1115" w:type="dxa"/>
            <w:vMerge w:val="restart"/>
          </w:tcPr>
          <w:p w14:paraId="35F8FA5A">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职工总数</w:t>
            </w:r>
          </w:p>
        </w:tc>
        <w:tc>
          <w:tcPr>
            <w:tcW w:w="1689" w:type="dxa"/>
            <w:vMerge w:val="restart"/>
          </w:tcPr>
          <w:p w14:paraId="5A412482">
            <w:pPr>
              <w:spacing w:line="480" w:lineRule="exact"/>
              <w:ind w:firstLine="1540" w:firstLineChars="700"/>
              <w:rPr>
                <w:rFonts w:ascii="宋体" w:hAnsi="宋体" w:cs="宋体"/>
                <w:color w:val="auto"/>
                <w:sz w:val="22"/>
                <w:szCs w:val="22"/>
                <w:highlight w:val="none"/>
              </w:rPr>
            </w:pPr>
          </w:p>
        </w:tc>
        <w:tc>
          <w:tcPr>
            <w:tcW w:w="3703" w:type="dxa"/>
            <w:gridSpan w:val="4"/>
            <w:vMerge w:val="restart"/>
          </w:tcPr>
          <w:p w14:paraId="4E7F1A21">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各人员构成情况</w:t>
            </w:r>
          </w:p>
        </w:tc>
        <w:tc>
          <w:tcPr>
            <w:tcW w:w="1488" w:type="dxa"/>
            <w:vMerge w:val="restart"/>
            <w:vAlign w:val="center"/>
          </w:tcPr>
          <w:p w14:paraId="60067607">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上一年主要  经济指标</w:t>
            </w:r>
          </w:p>
        </w:tc>
        <w:tc>
          <w:tcPr>
            <w:tcW w:w="1502" w:type="dxa"/>
            <w:vAlign w:val="center"/>
          </w:tcPr>
          <w:p w14:paraId="5199D2DC">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指标名称</w:t>
            </w:r>
          </w:p>
        </w:tc>
        <w:tc>
          <w:tcPr>
            <w:tcW w:w="1488" w:type="dxa"/>
            <w:tcBorders>
              <w:tr2bl w:val="single" w:color="auto" w:sz="4" w:space="0"/>
            </w:tcBorders>
            <w:vAlign w:val="center"/>
          </w:tcPr>
          <w:p w14:paraId="351D3933">
            <w:pPr>
              <w:spacing w:line="480" w:lineRule="exact"/>
              <w:jc w:val="center"/>
              <w:rPr>
                <w:rFonts w:ascii="宋体" w:hAnsi="宋体" w:cs="宋体"/>
                <w:color w:val="auto"/>
                <w:sz w:val="22"/>
                <w:szCs w:val="22"/>
                <w:highlight w:val="none"/>
              </w:rPr>
            </w:pPr>
          </w:p>
        </w:tc>
        <w:tc>
          <w:tcPr>
            <w:tcW w:w="1470" w:type="dxa"/>
            <w:gridSpan w:val="2"/>
            <w:vAlign w:val="center"/>
          </w:tcPr>
          <w:p w14:paraId="1EDBAA9A">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实际完成</w:t>
            </w:r>
          </w:p>
        </w:tc>
        <w:tc>
          <w:tcPr>
            <w:tcW w:w="1106" w:type="dxa"/>
            <w:tcBorders>
              <w:tr2bl w:val="single" w:color="auto" w:sz="4" w:space="0"/>
            </w:tcBorders>
            <w:vAlign w:val="center"/>
          </w:tcPr>
          <w:p w14:paraId="11B151EE">
            <w:pPr>
              <w:spacing w:line="480" w:lineRule="exact"/>
              <w:jc w:val="center"/>
              <w:rPr>
                <w:rFonts w:ascii="宋体" w:hAnsi="宋体" w:cs="宋体"/>
                <w:color w:val="auto"/>
                <w:sz w:val="22"/>
                <w:szCs w:val="22"/>
                <w:highlight w:val="none"/>
              </w:rPr>
            </w:pPr>
          </w:p>
        </w:tc>
      </w:tr>
      <w:tr w14:paraId="4D35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61236F2A">
            <w:pPr>
              <w:spacing w:line="480" w:lineRule="exact"/>
              <w:rPr>
                <w:rFonts w:ascii="宋体" w:hAnsi="宋体" w:cs="宋体"/>
                <w:color w:val="auto"/>
                <w:sz w:val="22"/>
                <w:szCs w:val="22"/>
                <w:highlight w:val="none"/>
              </w:rPr>
            </w:pPr>
          </w:p>
        </w:tc>
        <w:tc>
          <w:tcPr>
            <w:tcW w:w="1115" w:type="dxa"/>
            <w:vMerge w:val="continue"/>
          </w:tcPr>
          <w:p w14:paraId="29252CFA">
            <w:pPr>
              <w:spacing w:line="480" w:lineRule="exact"/>
              <w:rPr>
                <w:rFonts w:ascii="宋体" w:hAnsi="宋体" w:cs="宋体"/>
                <w:color w:val="auto"/>
                <w:sz w:val="22"/>
                <w:szCs w:val="22"/>
                <w:highlight w:val="none"/>
              </w:rPr>
            </w:pPr>
          </w:p>
        </w:tc>
        <w:tc>
          <w:tcPr>
            <w:tcW w:w="1689" w:type="dxa"/>
            <w:vMerge w:val="continue"/>
          </w:tcPr>
          <w:p w14:paraId="334B8FFE">
            <w:pPr>
              <w:spacing w:line="480" w:lineRule="exact"/>
              <w:rPr>
                <w:rFonts w:ascii="宋体" w:hAnsi="宋体" w:cs="宋体"/>
                <w:color w:val="auto"/>
                <w:sz w:val="22"/>
                <w:szCs w:val="22"/>
                <w:highlight w:val="none"/>
              </w:rPr>
            </w:pPr>
          </w:p>
        </w:tc>
        <w:tc>
          <w:tcPr>
            <w:tcW w:w="3703" w:type="dxa"/>
            <w:gridSpan w:val="4"/>
            <w:vMerge w:val="continue"/>
          </w:tcPr>
          <w:p w14:paraId="5632D0F9">
            <w:pPr>
              <w:spacing w:line="480" w:lineRule="exact"/>
              <w:rPr>
                <w:rFonts w:ascii="宋体" w:hAnsi="宋体" w:cs="宋体"/>
                <w:color w:val="auto"/>
                <w:sz w:val="22"/>
                <w:szCs w:val="22"/>
                <w:highlight w:val="none"/>
              </w:rPr>
            </w:pPr>
          </w:p>
        </w:tc>
        <w:tc>
          <w:tcPr>
            <w:tcW w:w="1488" w:type="dxa"/>
            <w:vMerge w:val="continue"/>
          </w:tcPr>
          <w:p w14:paraId="79F18C1E">
            <w:pPr>
              <w:spacing w:line="480" w:lineRule="exact"/>
              <w:rPr>
                <w:rFonts w:ascii="宋体" w:hAnsi="宋体" w:cs="宋体"/>
                <w:color w:val="auto"/>
                <w:sz w:val="22"/>
                <w:szCs w:val="22"/>
                <w:highlight w:val="none"/>
              </w:rPr>
            </w:pPr>
          </w:p>
        </w:tc>
        <w:tc>
          <w:tcPr>
            <w:tcW w:w="1502" w:type="dxa"/>
            <w:vAlign w:val="center"/>
          </w:tcPr>
          <w:p w14:paraId="25B0CAA7">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总产值</w:t>
            </w:r>
          </w:p>
        </w:tc>
        <w:tc>
          <w:tcPr>
            <w:tcW w:w="1488" w:type="dxa"/>
            <w:vAlign w:val="center"/>
          </w:tcPr>
          <w:p w14:paraId="59B86083">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70" w:type="dxa"/>
            <w:gridSpan w:val="2"/>
            <w:vAlign w:val="center"/>
          </w:tcPr>
          <w:p w14:paraId="4BF665CA">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总产值</w:t>
            </w:r>
          </w:p>
        </w:tc>
        <w:tc>
          <w:tcPr>
            <w:tcW w:w="1106" w:type="dxa"/>
            <w:vAlign w:val="center"/>
          </w:tcPr>
          <w:p w14:paraId="456F1581">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r>
      <w:tr w14:paraId="79EF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4AD505A8">
            <w:pPr>
              <w:spacing w:line="480" w:lineRule="exact"/>
              <w:rPr>
                <w:rFonts w:ascii="宋体" w:hAnsi="宋体" w:cs="宋体"/>
                <w:color w:val="auto"/>
                <w:sz w:val="22"/>
                <w:szCs w:val="22"/>
                <w:highlight w:val="none"/>
              </w:rPr>
            </w:pPr>
          </w:p>
        </w:tc>
        <w:tc>
          <w:tcPr>
            <w:tcW w:w="1115" w:type="dxa"/>
            <w:vMerge w:val="restart"/>
          </w:tcPr>
          <w:p w14:paraId="4CA6E43B">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流动资金</w:t>
            </w:r>
          </w:p>
        </w:tc>
        <w:tc>
          <w:tcPr>
            <w:tcW w:w="1689" w:type="dxa"/>
            <w:vMerge w:val="restart"/>
          </w:tcPr>
          <w:p w14:paraId="20284DC3">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67513A1E">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万元 </w:t>
            </w:r>
          </w:p>
        </w:tc>
        <w:tc>
          <w:tcPr>
            <w:tcW w:w="728" w:type="dxa"/>
            <w:vMerge w:val="restart"/>
          </w:tcPr>
          <w:p w14:paraId="12B2D562">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1487" w:type="dxa"/>
            <w:gridSpan w:val="2"/>
            <w:vAlign w:val="center"/>
          </w:tcPr>
          <w:p w14:paraId="4EE91832">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自有资金</w:t>
            </w:r>
          </w:p>
        </w:tc>
        <w:tc>
          <w:tcPr>
            <w:tcW w:w="1488" w:type="dxa"/>
            <w:vAlign w:val="center"/>
          </w:tcPr>
          <w:p w14:paraId="1208FE58">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14:paraId="28A69665">
            <w:pPr>
              <w:spacing w:line="480" w:lineRule="exact"/>
              <w:rPr>
                <w:rFonts w:ascii="宋体" w:hAnsi="宋体" w:cs="宋体"/>
                <w:color w:val="auto"/>
                <w:sz w:val="22"/>
                <w:szCs w:val="22"/>
                <w:highlight w:val="none"/>
              </w:rPr>
            </w:pPr>
          </w:p>
        </w:tc>
        <w:tc>
          <w:tcPr>
            <w:tcW w:w="1502" w:type="dxa"/>
            <w:vAlign w:val="center"/>
          </w:tcPr>
          <w:p w14:paraId="183C1C0B">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实现利润</w:t>
            </w:r>
          </w:p>
        </w:tc>
        <w:tc>
          <w:tcPr>
            <w:tcW w:w="1488" w:type="dxa"/>
            <w:vAlign w:val="center"/>
          </w:tcPr>
          <w:p w14:paraId="020D5BFB">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70" w:type="dxa"/>
            <w:gridSpan w:val="2"/>
            <w:vAlign w:val="center"/>
          </w:tcPr>
          <w:p w14:paraId="13CAB46B">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实现利润</w:t>
            </w:r>
          </w:p>
        </w:tc>
        <w:tc>
          <w:tcPr>
            <w:tcW w:w="1106" w:type="dxa"/>
            <w:vAlign w:val="center"/>
          </w:tcPr>
          <w:p w14:paraId="319D7F35">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r>
      <w:tr w14:paraId="305A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0EECD12C">
            <w:pPr>
              <w:spacing w:line="480" w:lineRule="exact"/>
              <w:rPr>
                <w:rFonts w:ascii="宋体" w:hAnsi="宋体" w:cs="宋体"/>
                <w:color w:val="auto"/>
                <w:sz w:val="22"/>
                <w:szCs w:val="22"/>
                <w:highlight w:val="none"/>
              </w:rPr>
            </w:pPr>
          </w:p>
        </w:tc>
        <w:tc>
          <w:tcPr>
            <w:tcW w:w="1115" w:type="dxa"/>
            <w:vMerge w:val="continue"/>
            <w:tcBorders>
              <w:bottom w:val="single" w:color="auto" w:sz="4" w:space="0"/>
            </w:tcBorders>
          </w:tcPr>
          <w:p w14:paraId="7A1B8A1E">
            <w:pPr>
              <w:spacing w:line="480" w:lineRule="exact"/>
              <w:rPr>
                <w:rFonts w:ascii="宋体" w:hAnsi="宋体" w:cs="宋体"/>
                <w:color w:val="auto"/>
                <w:sz w:val="22"/>
                <w:szCs w:val="22"/>
                <w:highlight w:val="none"/>
              </w:rPr>
            </w:pPr>
          </w:p>
        </w:tc>
        <w:tc>
          <w:tcPr>
            <w:tcW w:w="1689" w:type="dxa"/>
            <w:vMerge w:val="continue"/>
            <w:tcBorders>
              <w:bottom w:val="single" w:color="auto" w:sz="4" w:space="0"/>
            </w:tcBorders>
          </w:tcPr>
          <w:p w14:paraId="1E7E503D">
            <w:pPr>
              <w:spacing w:line="480" w:lineRule="exact"/>
              <w:rPr>
                <w:rFonts w:ascii="宋体" w:hAnsi="宋体" w:cs="宋体"/>
                <w:color w:val="auto"/>
                <w:sz w:val="22"/>
                <w:szCs w:val="22"/>
                <w:highlight w:val="none"/>
              </w:rPr>
            </w:pPr>
          </w:p>
        </w:tc>
        <w:tc>
          <w:tcPr>
            <w:tcW w:w="728" w:type="dxa"/>
            <w:vMerge w:val="continue"/>
            <w:tcBorders>
              <w:bottom w:val="single" w:color="auto" w:sz="4" w:space="0"/>
            </w:tcBorders>
          </w:tcPr>
          <w:p w14:paraId="5F80BA6A">
            <w:pPr>
              <w:spacing w:line="480" w:lineRule="exact"/>
              <w:rPr>
                <w:rFonts w:ascii="宋体" w:hAnsi="宋体" w:cs="宋体"/>
                <w:color w:val="auto"/>
                <w:sz w:val="22"/>
                <w:szCs w:val="22"/>
                <w:highlight w:val="none"/>
              </w:rPr>
            </w:pPr>
          </w:p>
        </w:tc>
        <w:tc>
          <w:tcPr>
            <w:tcW w:w="1487" w:type="dxa"/>
            <w:gridSpan w:val="2"/>
            <w:tcBorders>
              <w:bottom w:val="single" w:color="auto" w:sz="4" w:space="0"/>
            </w:tcBorders>
          </w:tcPr>
          <w:p w14:paraId="2A167A7E">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银行贷款</w:t>
            </w:r>
          </w:p>
        </w:tc>
        <w:tc>
          <w:tcPr>
            <w:tcW w:w="1488" w:type="dxa"/>
            <w:tcBorders>
              <w:bottom w:val="single" w:color="auto" w:sz="4" w:space="0"/>
            </w:tcBorders>
          </w:tcPr>
          <w:p w14:paraId="04598C2B">
            <w:pPr>
              <w:spacing w:line="48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88" w:type="dxa"/>
            <w:vMerge w:val="continue"/>
            <w:tcBorders>
              <w:bottom w:val="single" w:color="auto" w:sz="4" w:space="0"/>
            </w:tcBorders>
          </w:tcPr>
          <w:p w14:paraId="6453E5FD">
            <w:pPr>
              <w:spacing w:line="480" w:lineRule="exact"/>
              <w:rPr>
                <w:rFonts w:ascii="宋体" w:hAnsi="宋体" w:cs="宋体"/>
                <w:color w:val="auto"/>
                <w:sz w:val="22"/>
                <w:szCs w:val="22"/>
                <w:highlight w:val="none"/>
              </w:rPr>
            </w:pPr>
          </w:p>
        </w:tc>
        <w:tc>
          <w:tcPr>
            <w:tcW w:w="1502" w:type="dxa"/>
            <w:vMerge w:val="restart"/>
            <w:tcBorders>
              <w:bottom w:val="single" w:color="auto" w:sz="4" w:space="0"/>
            </w:tcBorders>
            <w:vAlign w:val="center"/>
          </w:tcPr>
          <w:p w14:paraId="1DCBA2DF">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主要业绩</w:t>
            </w:r>
          </w:p>
        </w:tc>
        <w:tc>
          <w:tcPr>
            <w:tcW w:w="4064" w:type="dxa"/>
            <w:gridSpan w:val="4"/>
            <w:vMerge w:val="restart"/>
            <w:tcBorders>
              <w:bottom w:val="single" w:color="auto" w:sz="4" w:space="0"/>
            </w:tcBorders>
            <w:vAlign w:val="center"/>
          </w:tcPr>
          <w:p w14:paraId="2E07E097">
            <w:pPr>
              <w:spacing w:line="480" w:lineRule="exact"/>
              <w:jc w:val="center"/>
              <w:rPr>
                <w:rFonts w:ascii="宋体" w:hAnsi="宋体" w:cs="宋体"/>
                <w:color w:val="auto"/>
                <w:sz w:val="22"/>
                <w:szCs w:val="22"/>
                <w:highlight w:val="none"/>
              </w:rPr>
            </w:pPr>
          </w:p>
        </w:tc>
      </w:tr>
      <w:tr w14:paraId="5DAB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63EC2262">
            <w:pPr>
              <w:spacing w:line="480" w:lineRule="exact"/>
              <w:rPr>
                <w:rFonts w:ascii="宋体" w:hAnsi="宋体" w:cs="宋体"/>
                <w:color w:val="auto"/>
                <w:sz w:val="22"/>
                <w:szCs w:val="22"/>
                <w:highlight w:val="none"/>
              </w:rPr>
            </w:pPr>
          </w:p>
        </w:tc>
        <w:tc>
          <w:tcPr>
            <w:tcW w:w="1115" w:type="dxa"/>
            <w:vMerge w:val="restart"/>
          </w:tcPr>
          <w:p w14:paraId="16EB3DE4">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固定资产</w:t>
            </w:r>
          </w:p>
        </w:tc>
        <w:tc>
          <w:tcPr>
            <w:tcW w:w="1689" w:type="dxa"/>
            <w:vMerge w:val="restart"/>
          </w:tcPr>
          <w:p w14:paraId="0A674ED9">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原值   万元</w:t>
            </w:r>
          </w:p>
          <w:p w14:paraId="46F101C1">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净值   万元</w:t>
            </w:r>
          </w:p>
        </w:tc>
        <w:tc>
          <w:tcPr>
            <w:tcW w:w="728" w:type="dxa"/>
            <w:vMerge w:val="restart"/>
          </w:tcPr>
          <w:p w14:paraId="36E2CF97">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资金性质</w:t>
            </w:r>
          </w:p>
        </w:tc>
        <w:tc>
          <w:tcPr>
            <w:tcW w:w="1487" w:type="dxa"/>
            <w:gridSpan w:val="2"/>
          </w:tcPr>
          <w:p w14:paraId="401DAEC5">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生产性</w:t>
            </w:r>
          </w:p>
        </w:tc>
        <w:tc>
          <w:tcPr>
            <w:tcW w:w="1488" w:type="dxa"/>
          </w:tcPr>
          <w:p w14:paraId="35C475D3">
            <w:pPr>
              <w:spacing w:line="48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14:paraId="2E9A41A8">
            <w:pPr>
              <w:spacing w:line="480" w:lineRule="exact"/>
              <w:rPr>
                <w:rFonts w:ascii="宋体" w:hAnsi="宋体" w:cs="宋体"/>
                <w:color w:val="auto"/>
                <w:sz w:val="22"/>
                <w:szCs w:val="22"/>
                <w:highlight w:val="none"/>
              </w:rPr>
            </w:pPr>
          </w:p>
        </w:tc>
        <w:tc>
          <w:tcPr>
            <w:tcW w:w="1502" w:type="dxa"/>
            <w:vMerge w:val="continue"/>
          </w:tcPr>
          <w:p w14:paraId="38FC88C4">
            <w:pPr>
              <w:spacing w:line="480" w:lineRule="exact"/>
              <w:rPr>
                <w:rFonts w:ascii="宋体" w:hAnsi="宋体" w:cs="宋体"/>
                <w:color w:val="auto"/>
                <w:sz w:val="22"/>
                <w:szCs w:val="22"/>
                <w:highlight w:val="none"/>
              </w:rPr>
            </w:pPr>
          </w:p>
        </w:tc>
        <w:tc>
          <w:tcPr>
            <w:tcW w:w="4064" w:type="dxa"/>
            <w:gridSpan w:val="4"/>
            <w:vMerge w:val="continue"/>
          </w:tcPr>
          <w:p w14:paraId="65DBB1C4">
            <w:pPr>
              <w:spacing w:line="480" w:lineRule="exact"/>
              <w:rPr>
                <w:rFonts w:ascii="宋体" w:hAnsi="宋体" w:cs="宋体"/>
                <w:color w:val="auto"/>
                <w:sz w:val="22"/>
                <w:szCs w:val="22"/>
                <w:highlight w:val="none"/>
              </w:rPr>
            </w:pPr>
          </w:p>
        </w:tc>
      </w:tr>
      <w:tr w14:paraId="6881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62BE0813">
            <w:pPr>
              <w:spacing w:line="480" w:lineRule="exact"/>
              <w:rPr>
                <w:rFonts w:ascii="宋体" w:hAnsi="宋体" w:cs="宋体"/>
                <w:color w:val="auto"/>
                <w:sz w:val="22"/>
                <w:szCs w:val="22"/>
                <w:highlight w:val="none"/>
              </w:rPr>
            </w:pPr>
          </w:p>
        </w:tc>
        <w:tc>
          <w:tcPr>
            <w:tcW w:w="1115" w:type="dxa"/>
            <w:vMerge w:val="continue"/>
          </w:tcPr>
          <w:p w14:paraId="4E7847AB">
            <w:pPr>
              <w:spacing w:line="480" w:lineRule="exact"/>
              <w:rPr>
                <w:rFonts w:ascii="宋体" w:hAnsi="宋体" w:cs="宋体"/>
                <w:color w:val="auto"/>
                <w:sz w:val="22"/>
                <w:szCs w:val="22"/>
                <w:highlight w:val="none"/>
              </w:rPr>
            </w:pPr>
          </w:p>
        </w:tc>
        <w:tc>
          <w:tcPr>
            <w:tcW w:w="1689" w:type="dxa"/>
            <w:vMerge w:val="continue"/>
          </w:tcPr>
          <w:p w14:paraId="25A81EF8">
            <w:pPr>
              <w:spacing w:line="480" w:lineRule="exact"/>
              <w:rPr>
                <w:rFonts w:ascii="宋体" w:hAnsi="宋体" w:cs="宋体"/>
                <w:color w:val="auto"/>
                <w:sz w:val="22"/>
                <w:szCs w:val="22"/>
                <w:highlight w:val="none"/>
              </w:rPr>
            </w:pPr>
          </w:p>
        </w:tc>
        <w:tc>
          <w:tcPr>
            <w:tcW w:w="728" w:type="dxa"/>
            <w:vMerge w:val="continue"/>
          </w:tcPr>
          <w:p w14:paraId="28FC1440">
            <w:pPr>
              <w:spacing w:line="480" w:lineRule="exact"/>
              <w:rPr>
                <w:rFonts w:ascii="宋体" w:hAnsi="宋体" w:cs="宋体"/>
                <w:color w:val="auto"/>
                <w:sz w:val="22"/>
                <w:szCs w:val="22"/>
                <w:highlight w:val="none"/>
              </w:rPr>
            </w:pPr>
          </w:p>
        </w:tc>
        <w:tc>
          <w:tcPr>
            <w:tcW w:w="1487" w:type="dxa"/>
            <w:gridSpan w:val="2"/>
          </w:tcPr>
          <w:p w14:paraId="72F98113">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非生产性</w:t>
            </w:r>
          </w:p>
        </w:tc>
        <w:tc>
          <w:tcPr>
            <w:tcW w:w="1488" w:type="dxa"/>
          </w:tcPr>
          <w:p w14:paraId="705C541D">
            <w:pPr>
              <w:spacing w:line="48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14:paraId="756C4EB2">
            <w:pPr>
              <w:spacing w:line="480" w:lineRule="exact"/>
              <w:rPr>
                <w:rFonts w:ascii="宋体" w:hAnsi="宋体" w:cs="宋体"/>
                <w:color w:val="auto"/>
                <w:sz w:val="22"/>
                <w:szCs w:val="22"/>
                <w:highlight w:val="none"/>
              </w:rPr>
            </w:pPr>
          </w:p>
        </w:tc>
        <w:tc>
          <w:tcPr>
            <w:tcW w:w="1502" w:type="dxa"/>
            <w:vMerge w:val="continue"/>
          </w:tcPr>
          <w:p w14:paraId="72D19A5E">
            <w:pPr>
              <w:spacing w:line="480" w:lineRule="exact"/>
              <w:rPr>
                <w:rFonts w:ascii="宋体" w:hAnsi="宋体" w:cs="宋体"/>
                <w:color w:val="auto"/>
                <w:sz w:val="22"/>
                <w:szCs w:val="22"/>
                <w:highlight w:val="none"/>
              </w:rPr>
            </w:pPr>
          </w:p>
        </w:tc>
        <w:tc>
          <w:tcPr>
            <w:tcW w:w="4064" w:type="dxa"/>
            <w:gridSpan w:val="4"/>
            <w:vMerge w:val="continue"/>
          </w:tcPr>
          <w:p w14:paraId="0977019A">
            <w:pPr>
              <w:spacing w:line="480" w:lineRule="exact"/>
              <w:rPr>
                <w:rFonts w:ascii="宋体" w:hAnsi="宋体" w:cs="宋体"/>
                <w:color w:val="auto"/>
                <w:sz w:val="22"/>
                <w:szCs w:val="22"/>
                <w:highlight w:val="none"/>
              </w:rPr>
            </w:pPr>
          </w:p>
        </w:tc>
      </w:tr>
    </w:tbl>
    <w:p w14:paraId="02B294AE">
      <w:pPr>
        <w:spacing w:line="460" w:lineRule="exact"/>
        <w:rPr>
          <w:rFonts w:ascii="宋体" w:hAnsi="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14:paraId="5D67BB86">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3、</w:t>
      </w:r>
      <w:r>
        <w:rPr>
          <w:rFonts w:hint="eastAsia" w:ascii="宋体" w:hAnsi="宋体" w:cs="宋体"/>
          <w:b/>
          <w:bCs/>
          <w:color w:val="auto"/>
          <w:sz w:val="28"/>
          <w:szCs w:val="28"/>
          <w:highlight w:val="none"/>
          <w:lang w:val="zh-CN"/>
        </w:rPr>
        <w:t>偏离表（</w:t>
      </w:r>
      <w:r>
        <w:rPr>
          <w:rFonts w:hint="eastAsia" w:ascii="宋体" w:hAnsi="宋体" w:cs="宋体"/>
          <w:b/>
          <w:bCs/>
          <w:color w:val="auto"/>
          <w:sz w:val="28"/>
          <w:szCs w:val="28"/>
          <w:highlight w:val="none"/>
        </w:rPr>
        <w:t>商务、技术偏离</w:t>
      </w:r>
      <w:r>
        <w:rPr>
          <w:rFonts w:hint="eastAsia" w:ascii="宋体" w:hAnsi="宋体" w:cs="宋体"/>
          <w:b/>
          <w:bCs/>
          <w:color w:val="auto"/>
          <w:sz w:val="28"/>
          <w:szCs w:val="28"/>
          <w:highlight w:val="none"/>
          <w:lang w:val="zh-CN"/>
        </w:rPr>
        <w:t>）</w:t>
      </w:r>
    </w:p>
    <w:p w14:paraId="46C5FB04">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项目编号： </w:t>
      </w:r>
    </w:p>
    <w:p w14:paraId="166C7F84">
      <w:pPr>
        <w:keepNext/>
        <w:spacing w:line="360" w:lineRule="auto"/>
        <w:rPr>
          <w:rFonts w:ascii="宋体" w:hAnsi="宋体" w:cs="宋体"/>
          <w:b/>
          <w:bCs/>
          <w:color w:val="auto"/>
          <w:sz w:val="22"/>
          <w:szCs w:val="22"/>
          <w:highlight w:val="none"/>
        </w:rPr>
      </w:pPr>
      <w:r>
        <w:rPr>
          <w:rFonts w:hint="eastAsia" w:ascii="宋体" w:hAnsi="宋体" w:cs="宋体"/>
          <w:color w:val="auto"/>
          <w:sz w:val="22"/>
          <w:szCs w:val="22"/>
          <w:highlight w:val="none"/>
        </w:rPr>
        <w:t xml:space="preserve">项目名称： </w:t>
      </w:r>
    </w:p>
    <w:tbl>
      <w:tblPr>
        <w:tblStyle w:val="53"/>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49C0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468D1BD6">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  号</w:t>
            </w:r>
          </w:p>
        </w:tc>
        <w:tc>
          <w:tcPr>
            <w:tcW w:w="3687" w:type="dxa"/>
            <w:shd w:val="clear" w:color="auto" w:fill="FFFFFF"/>
            <w:vAlign w:val="center"/>
          </w:tcPr>
          <w:p w14:paraId="1C93E268">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招标文件</w:t>
            </w:r>
          </w:p>
          <w:p w14:paraId="2526F982">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规格要求</w:t>
            </w:r>
          </w:p>
        </w:tc>
        <w:tc>
          <w:tcPr>
            <w:tcW w:w="3402" w:type="dxa"/>
            <w:shd w:val="clear" w:color="auto" w:fill="FFFFFF"/>
            <w:vAlign w:val="center"/>
          </w:tcPr>
          <w:p w14:paraId="3893522A">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投标文件</w:t>
            </w:r>
          </w:p>
          <w:p w14:paraId="3E47D0B5">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对应规格</w:t>
            </w:r>
          </w:p>
        </w:tc>
        <w:tc>
          <w:tcPr>
            <w:tcW w:w="1580" w:type="dxa"/>
            <w:shd w:val="clear" w:color="auto" w:fill="FFFFFF"/>
            <w:vAlign w:val="center"/>
          </w:tcPr>
          <w:p w14:paraId="0A41DCDD">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说   明</w:t>
            </w:r>
          </w:p>
        </w:tc>
      </w:tr>
      <w:tr w14:paraId="1164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53D154A1">
            <w:pPr>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3687" w:type="dxa"/>
            <w:vAlign w:val="center"/>
          </w:tcPr>
          <w:p w14:paraId="428D8DC2">
            <w:pPr>
              <w:jc w:val="center"/>
              <w:rPr>
                <w:rFonts w:ascii="宋体" w:hAnsi="宋体" w:cs="宋体"/>
                <w:color w:val="auto"/>
                <w:sz w:val="22"/>
                <w:szCs w:val="22"/>
                <w:highlight w:val="none"/>
              </w:rPr>
            </w:pPr>
          </w:p>
        </w:tc>
        <w:tc>
          <w:tcPr>
            <w:tcW w:w="3402" w:type="dxa"/>
            <w:vAlign w:val="center"/>
          </w:tcPr>
          <w:p w14:paraId="12839C79">
            <w:pPr>
              <w:jc w:val="center"/>
              <w:rPr>
                <w:rFonts w:ascii="宋体" w:hAnsi="宋体" w:cs="宋体"/>
                <w:color w:val="auto"/>
                <w:sz w:val="22"/>
                <w:szCs w:val="22"/>
                <w:highlight w:val="none"/>
              </w:rPr>
            </w:pPr>
          </w:p>
        </w:tc>
        <w:tc>
          <w:tcPr>
            <w:tcW w:w="1580" w:type="dxa"/>
            <w:vAlign w:val="center"/>
          </w:tcPr>
          <w:p w14:paraId="0207ABD2">
            <w:pPr>
              <w:jc w:val="center"/>
              <w:rPr>
                <w:rFonts w:ascii="宋体" w:hAnsi="宋体" w:cs="宋体"/>
                <w:color w:val="auto"/>
                <w:sz w:val="22"/>
                <w:szCs w:val="22"/>
                <w:highlight w:val="none"/>
              </w:rPr>
            </w:pPr>
          </w:p>
        </w:tc>
      </w:tr>
      <w:tr w14:paraId="2B00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B4B3C98">
            <w:pPr>
              <w:jc w:val="center"/>
              <w:rPr>
                <w:rFonts w:ascii="宋体" w:hAnsi="宋体" w:cs="宋体"/>
                <w:color w:val="auto"/>
                <w:sz w:val="22"/>
                <w:szCs w:val="22"/>
                <w:highlight w:val="none"/>
              </w:rPr>
            </w:pPr>
          </w:p>
        </w:tc>
        <w:tc>
          <w:tcPr>
            <w:tcW w:w="3687" w:type="dxa"/>
            <w:vAlign w:val="center"/>
          </w:tcPr>
          <w:p w14:paraId="2C6BF7F1">
            <w:pPr>
              <w:jc w:val="center"/>
              <w:rPr>
                <w:rFonts w:ascii="宋体" w:hAnsi="宋体" w:cs="宋体"/>
                <w:color w:val="auto"/>
                <w:sz w:val="22"/>
                <w:szCs w:val="22"/>
                <w:highlight w:val="none"/>
              </w:rPr>
            </w:pPr>
          </w:p>
        </w:tc>
        <w:tc>
          <w:tcPr>
            <w:tcW w:w="3402" w:type="dxa"/>
            <w:vAlign w:val="center"/>
          </w:tcPr>
          <w:p w14:paraId="6A6A71B2">
            <w:pPr>
              <w:jc w:val="center"/>
              <w:rPr>
                <w:rFonts w:ascii="宋体" w:hAnsi="宋体" w:cs="宋体"/>
                <w:color w:val="auto"/>
                <w:sz w:val="22"/>
                <w:szCs w:val="22"/>
                <w:highlight w:val="none"/>
              </w:rPr>
            </w:pPr>
          </w:p>
        </w:tc>
        <w:tc>
          <w:tcPr>
            <w:tcW w:w="1580" w:type="dxa"/>
            <w:vAlign w:val="center"/>
          </w:tcPr>
          <w:p w14:paraId="34EA6913">
            <w:pPr>
              <w:jc w:val="center"/>
              <w:rPr>
                <w:rFonts w:ascii="宋体" w:hAnsi="宋体" w:cs="宋体"/>
                <w:color w:val="auto"/>
                <w:sz w:val="22"/>
                <w:szCs w:val="22"/>
                <w:highlight w:val="none"/>
              </w:rPr>
            </w:pPr>
          </w:p>
        </w:tc>
      </w:tr>
      <w:tr w14:paraId="3263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54BC600">
            <w:pPr>
              <w:jc w:val="center"/>
              <w:rPr>
                <w:rFonts w:ascii="宋体" w:hAnsi="宋体" w:cs="宋体"/>
                <w:color w:val="auto"/>
                <w:sz w:val="22"/>
                <w:szCs w:val="22"/>
                <w:highlight w:val="none"/>
              </w:rPr>
            </w:pPr>
          </w:p>
        </w:tc>
        <w:tc>
          <w:tcPr>
            <w:tcW w:w="3687" w:type="dxa"/>
            <w:vAlign w:val="center"/>
          </w:tcPr>
          <w:p w14:paraId="281FCB0B">
            <w:pPr>
              <w:jc w:val="center"/>
              <w:rPr>
                <w:rFonts w:ascii="宋体" w:hAnsi="宋体" w:cs="宋体"/>
                <w:color w:val="auto"/>
                <w:sz w:val="22"/>
                <w:szCs w:val="22"/>
                <w:highlight w:val="none"/>
              </w:rPr>
            </w:pPr>
          </w:p>
        </w:tc>
        <w:tc>
          <w:tcPr>
            <w:tcW w:w="3402" w:type="dxa"/>
            <w:vAlign w:val="center"/>
          </w:tcPr>
          <w:p w14:paraId="01623BCC">
            <w:pPr>
              <w:jc w:val="center"/>
              <w:rPr>
                <w:rFonts w:ascii="宋体" w:hAnsi="宋体" w:cs="宋体"/>
                <w:color w:val="auto"/>
                <w:sz w:val="22"/>
                <w:szCs w:val="22"/>
                <w:highlight w:val="none"/>
              </w:rPr>
            </w:pPr>
          </w:p>
        </w:tc>
        <w:tc>
          <w:tcPr>
            <w:tcW w:w="1580" w:type="dxa"/>
            <w:vAlign w:val="center"/>
          </w:tcPr>
          <w:p w14:paraId="26A98DB8">
            <w:pPr>
              <w:jc w:val="center"/>
              <w:rPr>
                <w:rFonts w:ascii="宋体" w:hAnsi="宋体" w:cs="宋体"/>
                <w:color w:val="auto"/>
                <w:sz w:val="22"/>
                <w:szCs w:val="22"/>
                <w:highlight w:val="none"/>
              </w:rPr>
            </w:pPr>
          </w:p>
        </w:tc>
      </w:tr>
      <w:tr w14:paraId="5BEF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295AABC">
            <w:pPr>
              <w:jc w:val="center"/>
              <w:rPr>
                <w:rFonts w:ascii="宋体" w:hAnsi="宋体" w:cs="宋体"/>
                <w:color w:val="auto"/>
                <w:sz w:val="22"/>
                <w:szCs w:val="22"/>
                <w:highlight w:val="none"/>
              </w:rPr>
            </w:pPr>
          </w:p>
        </w:tc>
        <w:tc>
          <w:tcPr>
            <w:tcW w:w="3687" w:type="dxa"/>
            <w:vAlign w:val="center"/>
          </w:tcPr>
          <w:p w14:paraId="2BA2BDED">
            <w:pPr>
              <w:jc w:val="center"/>
              <w:rPr>
                <w:rFonts w:ascii="宋体" w:hAnsi="宋体" w:cs="宋体"/>
                <w:color w:val="auto"/>
                <w:sz w:val="22"/>
                <w:szCs w:val="22"/>
                <w:highlight w:val="none"/>
              </w:rPr>
            </w:pPr>
          </w:p>
        </w:tc>
        <w:tc>
          <w:tcPr>
            <w:tcW w:w="3402" w:type="dxa"/>
            <w:vAlign w:val="center"/>
          </w:tcPr>
          <w:p w14:paraId="68AC3925">
            <w:pPr>
              <w:jc w:val="center"/>
              <w:rPr>
                <w:rFonts w:ascii="宋体" w:hAnsi="宋体" w:cs="宋体"/>
                <w:color w:val="auto"/>
                <w:sz w:val="22"/>
                <w:szCs w:val="22"/>
                <w:highlight w:val="none"/>
              </w:rPr>
            </w:pPr>
          </w:p>
        </w:tc>
        <w:tc>
          <w:tcPr>
            <w:tcW w:w="1580" w:type="dxa"/>
            <w:vAlign w:val="center"/>
          </w:tcPr>
          <w:p w14:paraId="2DF535F7">
            <w:pPr>
              <w:jc w:val="center"/>
              <w:rPr>
                <w:rFonts w:ascii="宋体" w:hAnsi="宋体" w:cs="宋体"/>
                <w:color w:val="auto"/>
                <w:sz w:val="22"/>
                <w:szCs w:val="22"/>
                <w:highlight w:val="none"/>
              </w:rPr>
            </w:pPr>
          </w:p>
        </w:tc>
      </w:tr>
      <w:tr w14:paraId="2330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DD29A18">
            <w:pPr>
              <w:jc w:val="center"/>
              <w:rPr>
                <w:rFonts w:ascii="宋体" w:hAnsi="宋体" w:cs="宋体"/>
                <w:color w:val="auto"/>
                <w:sz w:val="22"/>
                <w:szCs w:val="22"/>
                <w:highlight w:val="none"/>
              </w:rPr>
            </w:pPr>
          </w:p>
        </w:tc>
        <w:tc>
          <w:tcPr>
            <w:tcW w:w="3687" w:type="dxa"/>
            <w:vAlign w:val="center"/>
          </w:tcPr>
          <w:p w14:paraId="5ABBC2A7">
            <w:pPr>
              <w:jc w:val="center"/>
              <w:rPr>
                <w:rFonts w:ascii="宋体" w:hAnsi="宋体" w:cs="宋体"/>
                <w:color w:val="auto"/>
                <w:sz w:val="22"/>
                <w:szCs w:val="22"/>
                <w:highlight w:val="none"/>
              </w:rPr>
            </w:pPr>
          </w:p>
        </w:tc>
        <w:tc>
          <w:tcPr>
            <w:tcW w:w="3402" w:type="dxa"/>
            <w:vAlign w:val="center"/>
          </w:tcPr>
          <w:p w14:paraId="0996AFC4">
            <w:pPr>
              <w:jc w:val="center"/>
              <w:rPr>
                <w:rFonts w:ascii="宋体" w:hAnsi="宋体" w:cs="宋体"/>
                <w:color w:val="auto"/>
                <w:sz w:val="22"/>
                <w:szCs w:val="22"/>
                <w:highlight w:val="none"/>
              </w:rPr>
            </w:pPr>
          </w:p>
        </w:tc>
        <w:tc>
          <w:tcPr>
            <w:tcW w:w="1580" w:type="dxa"/>
            <w:vAlign w:val="center"/>
          </w:tcPr>
          <w:p w14:paraId="348F6563">
            <w:pPr>
              <w:jc w:val="center"/>
              <w:rPr>
                <w:rFonts w:ascii="宋体" w:hAnsi="宋体" w:cs="宋体"/>
                <w:color w:val="auto"/>
                <w:sz w:val="22"/>
                <w:szCs w:val="22"/>
                <w:highlight w:val="none"/>
              </w:rPr>
            </w:pPr>
          </w:p>
        </w:tc>
      </w:tr>
      <w:tr w14:paraId="034E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DC37B29">
            <w:pPr>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3687" w:type="dxa"/>
            <w:vAlign w:val="center"/>
          </w:tcPr>
          <w:p w14:paraId="1BDDDF4F">
            <w:pPr>
              <w:jc w:val="center"/>
              <w:rPr>
                <w:rFonts w:ascii="宋体" w:hAnsi="宋体" w:cs="宋体"/>
                <w:color w:val="auto"/>
                <w:sz w:val="22"/>
                <w:szCs w:val="22"/>
                <w:highlight w:val="none"/>
              </w:rPr>
            </w:pPr>
          </w:p>
        </w:tc>
        <w:tc>
          <w:tcPr>
            <w:tcW w:w="3402" w:type="dxa"/>
            <w:vAlign w:val="center"/>
          </w:tcPr>
          <w:p w14:paraId="01F20E27">
            <w:pPr>
              <w:jc w:val="center"/>
              <w:rPr>
                <w:rFonts w:ascii="宋体" w:hAnsi="宋体" w:cs="宋体"/>
                <w:color w:val="auto"/>
                <w:sz w:val="22"/>
                <w:szCs w:val="22"/>
                <w:highlight w:val="none"/>
              </w:rPr>
            </w:pPr>
          </w:p>
        </w:tc>
        <w:tc>
          <w:tcPr>
            <w:tcW w:w="1580" w:type="dxa"/>
            <w:vAlign w:val="center"/>
          </w:tcPr>
          <w:p w14:paraId="4BE8B67C">
            <w:pPr>
              <w:jc w:val="center"/>
              <w:rPr>
                <w:rFonts w:ascii="宋体" w:hAnsi="宋体" w:cs="宋体"/>
                <w:color w:val="auto"/>
                <w:sz w:val="22"/>
                <w:szCs w:val="22"/>
                <w:highlight w:val="none"/>
              </w:rPr>
            </w:pPr>
          </w:p>
        </w:tc>
      </w:tr>
      <w:tr w14:paraId="4BE3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386F1EC">
            <w:pPr>
              <w:jc w:val="center"/>
              <w:rPr>
                <w:rFonts w:ascii="宋体" w:hAnsi="宋体" w:cs="宋体"/>
                <w:color w:val="auto"/>
                <w:sz w:val="22"/>
                <w:szCs w:val="22"/>
                <w:highlight w:val="none"/>
              </w:rPr>
            </w:pPr>
          </w:p>
        </w:tc>
        <w:tc>
          <w:tcPr>
            <w:tcW w:w="3687" w:type="dxa"/>
            <w:vAlign w:val="center"/>
          </w:tcPr>
          <w:p w14:paraId="7FCE4DE7">
            <w:pPr>
              <w:jc w:val="center"/>
              <w:rPr>
                <w:rFonts w:ascii="宋体" w:hAnsi="宋体" w:cs="宋体"/>
                <w:color w:val="auto"/>
                <w:sz w:val="22"/>
                <w:szCs w:val="22"/>
                <w:highlight w:val="none"/>
              </w:rPr>
            </w:pPr>
          </w:p>
        </w:tc>
        <w:tc>
          <w:tcPr>
            <w:tcW w:w="3402" w:type="dxa"/>
            <w:vAlign w:val="center"/>
          </w:tcPr>
          <w:p w14:paraId="259DD5FB">
            <w:pPr>
              <w:jc w:val="center"/>
              <w:rPr>
                <w:rFonts w:ascii="宋体" w:hAnsi="宋体" w:cs="宋体"/>
                <w:color w:val="auto"/>
                <w:sz w:val="22"/>
                <w:szCs w:val="22"/>
                <w:highlight w:val="none"/>
              </w:rPr>
            </w:pPr>
          </w:p>
        </w:tc>
        <w:tc>
          <w:tcPr>
            <w:tcW w:w="1580" w:type="dxa"/>
            <w:vAlign w:val="center"/>
          </w:tcPr>
          <w:p w14:paraId="12BE75A9">
            <w:pPr>
              <w:jc w:val="center"/>
              <w:rPr>
                <w:rFonts w:ascii="宋体" w:hAnsi="宋体" w:cs="宋体"/>
                <w:color w:val="auto"/>
                <w:sz w:val="22"/>
                <w:szCs w:val="22"/>
                <w:highlight w:val="none"/>
              </w:rPr>
            </w:pPr>
          </w:p>
        </w:tc>
      </w:tr>
      <w:tr w14:paraId="3C43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A88A84B">
            <w:pPr>
              <w:jc w:val="center"/>
              <w:rPr>
                <w:rFonts w:ascii="宋体" w:hAnsi="宋体" w:cs="宋体"/>
                <w:color w:val="auto"/>
                <w:sz w:val="22"/>
                <w:szCs w:val="22"/>
                <w:highlight w:val="none"/>
              </w:rPr>
            </w:pPr>
          </w:p>
        </w:tc>
        <w:tc>
          <w:tcPr>
            <w:tcW w:w="3687" w:type="dxa"/>
            <w:vAlign w:val="center"/>
          </w:tcPr>
          <w:p w14:paraId="6F2F3BCB">
            <w:pPr>
              <w:jc w:val="center"/>
              <w:rPr>
                <w:rFonts w:ascii="宋体" w:hAnsi="宋体" w:cs="宋体"/>
                <w:color w:val="auto"/>
                <w:sz w:val="22"/>
                <w:szCs w:val="22"/>
                <w:highlight w:val="none"/>
              </w:rPr>
            </w:pPr>
          </w:p>
        </w:tc>
        <w:tc>
          <w:tcPr>
            <w:tcW w:w="3402" w:type="dxa"/>
            <w:vAlign w:val="center"/>
          </w:tcPr>
          <w:p w14:paraId="35C9865C">
            <w:pPr>
              <w:jc w:val="center"/>
              <w:rPr>
                <w:rFonts w:ascii="宋体" w:hAnsi="宋体" w:cs="宋体"/>
                <w:color w:val="auto"/>
                <w:sz w:val="22"/>
                <w:szCs w:val="22"/>
                <w:highlight w:val="none"/>
              </w:rPr>
            </w:pPr>
          </w:p>
        </w:tc>
        <w:tc>
          <w:tcPr>
            <w:tcW w:w="1580" w:type="dxa"/>
            <w:vAlign w:val="center"/>
          </w:tcPr>
          <w:p w14:paraId="7690AAB6">
            <w:pPr>
              <w:jc w:val="center"/>
              <w:rPr>
                <w:rFonts w:ascii="宋体" w:hAnsi="宋体" w:cs="宋体"/>
                <w:color w:val="auto"/>
                <w:sz w:val="22"/>
                <w:szCs w:val="22"/>
                <w:highlight w:val="none"/>
              </w:rPr>
            </w:pPr>
          </w:p>
        </w:tc>
      </w:tr>
      <w:tr w14:paraId="53F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6C979A6">
            <w:pPr>
              <w:jc w:val="center"/>
              <w:rPr>
                <w:rFonts w:ascii="宋体" w:hAnsi="宋体" w:cs="宋体"/>
                <w:color w:val="auto"/>
                <w:sz w:val="22"/>
                <w:szCs w:val="22"/>
                <w:highlight w:val="none"/>
              </w:rPr>
            </w:pPr>
          </w:p>
        </w:tc>
        <w:tc>
          <w:tcPr>
            <w:tcW w:w="3687" w:type="dxa"/>
            <w:vAlign w:val="center"/>
          </w:tcPr>
          <w:p w14:paraId="4A0A5F2E">
            <w:pPr>
              <w:jc w:val="center"/>
              <w:rPr>
                <w:rFonts w:ascii="宋体" w:hAnsi="宋体" w:cs="宋体"/>
                <w:color w:val="auto"/>
                <w:sz w:val="22"/>
                <w:szCs w:val="22"/>
                <w:highlight w:val="none"/>
              </w:rPr>
            </w:pPr>
          </w:p>
        </w:tc>
        <w:tc>
          <w:tcPr>
            <w:tcW w:w="3402" w:type="dxa"/>
            <w:vAlign w:val="center"/>
          </w:tcPr>
          <w:p w14:paraId="27BC7D25">
            <w:pPr>
              <w:jc w:val="center"/>
              <w:rPr>
                <w:rFonts w:ascii="宋体" w:hAnsi="宋体" w:cs="宋体"/>
                <w:color w:val="auto"/>
                <w:sz w:val="22"/>
                <w:szCs w:val="22"/>
                <w:highlight w:val="none"/>
              </w:rPr>
            </w:pPr>
          </w:p>
        </w:tc>
        <w:tc>
          <w:tcPr>
            <w:tcW w:w="1580" w:type="dxa"/>
            <w:vAlign w:val="center"/>
          </w:tcPr>
          <w:p w14:paraId="5F7FEE41">
            <w:pPr>
              <w:jc w:val="center"/>
              <w:rPr>
                <w:rFonts w:ascii="宋体" w:hAnsi="宋体" w:cs="宋体"/>
                <w:color w:val="auto"/>
                <w:sz w:val="22"/>
                <w:szCs w:val="22"/>
                <w:highlight w:val="none"/>
              </w:rPr>
            </w:pPr>
          </w:p>
        </w:tc>
      </w:tr>
      <w:tr w14:paraId="584B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56FFFCE">
            <w:pPr>
              <w:jc w:val="center"/>
              <w:rPr>
                <w:rFonts w:ascii="宋体" w:hAnsi="宋体" w:cs="宋体"/>
                <w:color w:val="auto"/>
                <w:sz w:val="22"/>
                <w:szCs w:val="22"/>
                <w:highlight w:val="none"/>
              </w:rPr>
            </w:pPr>
          </w:p>
        </w:tc>
        <w:tc>
          <w:tcPr>
            <w:tcW w:w="3687" w:type="dxa"/>
            <w:vAlign w:val="center"/>
          </w:tcPr>
          <w:p w14:paraId="53248100">
            <w:pPr>
              <w:jc w:val="center"/>
              <w:rPr>
                <w:rFonts w:ascii="宋体" w:hAnsi="宋体" w:cs="宋体"/>
                <w:color w:val="auto"/>
                <w:sz w:val="22"/>
                <w:szCs w:val="22"/>
                <w:highlight w:val="none"/>
              </w:rPr>
            </w:pPr>
          </w:p>
        </w:tc>
        <w:tc>
          <w:tcPr>
            <w:tcW w:w="3402" w:type="dxa"/>
            <w:vAlign w:val="center"/>
          </w:tcPr>
          <w:p w14:paraId="56B55535">
            <w:pPr>
              <w:jc w:val="center"/>
              <w:rPr>
                <w:rFonts w:ascii="宋体" w:hAnsi="宋体" w:cs="宋体"/>
                <w:color w:val="auto"/>
                <w:sz w:val="22"/>
                <w:szCs w:val="22"/>
                <w:highlight w:val="none"/>
              </w:rPr>
            </w:pPr>
          </w:p>
        </w:tc>
        <w:tc>
          <w:tcPr>
            <w:tcW w:w="1580" w:type="dxa"/>
            <w:vAlign w:val="center"/>
          </w:tcPr>
          <w:p w14:paraId="05DB15D8">
            <w:pPr>
              <w:jc w:val="center"/>
              <w:rPr>
                <w:rFonts w:ascii="宋体" w:hAnsi="宋体" w:cs="宋体"/>
                <w:color w:val="auto"/>
                <w:sz w:val="22"/>
                <w:szCs w:val="22"/>
                <w:highlight w:val="none"/>
              </w:rPr>
            </w:pPr>
          </w:p>
        </w:tc>
      </w:tr>
      <w:tr w14:paraId="2952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FE6532C">
            <w:pPr>
              <w:jc w:val="center"/>
              <w:rPr>
                <w:rFonts w:ascii="宋体" w:hAnsi="宋体" w:cs="宋体"/>
                <w:color w:val="auto"/>
                <w:sz w:val="22"/>
                <w:szCs w:val="22"/>
                <w:highlight w:val="none"/>
              </w:rPr>
            </w:pPr>
          </w:p>
        </w:tc>
        <w:tc>
          <w:tcPr>
            <w:tcW w:w="3687" w:type="dxa"/>
            <w:vAlign w:val="center"/>
          </w:tcPr>
          <w:p w14:paraId="6183B2EA">
            <w:pPr>
              <w:jc w:val="center"/>
              <w:rPr>
                <w:rFonts w:ascii="宋体" w:hAnsi="宋体" w:cs="宋体"/>
                <w:color w:val="auto"/>
                <w:sz w:val="22"/>
                <w:szCs w:val="22"/>
                <w:highlight w:val="none"/>
              </w:rPr>
            </w:pPr>
          </w:p>
        </w:tc>
        <w:tc>
          <w:tcPr>
            <w:tcW w:w="3402" w:type="dxa"/>
            <w:vAlign w:val="center"/>
          </w:tcPr>
          <w:p w14:paraId="1801001D">
            <w:pPr>
              <w:jc w:val="center"/>
              <w:rPr>
                <w:rFonts w:ascii="宋体" w:hAnsi="宋体" w:cs="宋体"/>
                <w:color w:val="auto"/>
                <w:sz w:val="22"/>
                <w:szCs w:val="22"/>
                <w:highlight w:val="none"/>
              </w:rPr>
            </w:pPr>
          </w:p>
        </w:tc>
        <w:tc>
          <w:tcPr>
            <w:tcW w:w="1580" w:type="dxa"/>
            <w:vAlign w:val="center"/>
          </w:tcPr>
          <w:p w14:paraId="5A6CDD4E">
            <w:pPr>
              <w:jc w:val="center"/>
              <w:rPr>
                <w:rFonts w:ascii="宋体" w:hAnsi="宋体" w:cs="宋体"/>
                <w:color w:val="auto"/>
                <w:sz w:val="22"/>
                <w:szCs w:val="22"/>
                <w:highlight w:val="none"/>
              </w:rPr>
            </w:pPr>
          </w:p>
        </w:tc>
      </w:tr>
    </w:tbl>
    <w:p w14:paraId="7D0F06E8">
      <w:pPr>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b/>
          <w:bCs/>
          <w:color w:val="auto"/>
          <w:sz w:val="22"/>
          <w:szCs w:val="22"/>
          <w:highlight w:val="none"/>
        </w:rPr>
        <w:t>注： 如有偏离，必须在偏离表中进行详细对比说明并注明正偏离和负偏离，如不说明偏离情况，视为完全响应采购文件要求无偏离</w:t>
      </w:r>
    </w:p>
    <w:p w14:paraId="46763DF3">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5EEA0769">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15916234">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4E64475E">
      <w:pPr>
        <w:rPr>
          <w:rFonts w:ascii="宋体" w:hAnsi="宋体" w:cs="宋体"/>
          <w:b/>
          <w:color w:val="auto"/>
          <w:sz w:val="24"/>
          <w:highlight w:val="none"/>
        </w:rPr>
      </w:pPr>
      <w:bookmarkStart w:id="229" w:name="_Toc415152386"/>
      <w:r>
        <w:rPr>
          <w:rFonts w:hint="eastAsia" w:ascii="宋体" w:hAnsi="宋体" w:cs="宋体"/>
          <w:b/>
          <w:color w:val="auto"/>
          <w:sz w:val="24"/>
          <w:highlight w:val="none"/>
        </w:rPr>
        <w:br w:type="page"/>
      </w:r>
    </w:p>
    <w:p w14:paraId="4AEA3141">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4、详细供货清单说明一览表</w:t>
      </w:r>
    </w:p>
    <w:p w14:paraId="11CAF31B">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项目编号： </w:t>
      </w:r>
    </w:p>
    <w:p w14:paraId="6A156943">
      <w:pPr>
        <w:keepNext/>
        <w:spacing w:line="360" w:lineRule="auto"/>
        <w:rPr>
          <w:color w:val="auto"/>
          <w:highlight w:val="none"/>
        </w:rPr>
      </w:pPr>
      <w:r>
        <w:rPr>
          <w:rFonts w:hint="eastAsia" w:ascii="宋体" w:hAnsi="宋体" w:cs="宋体"/>
          <w:color w:val="auto"/>
          <w:sz w:val="22"/>
          <w:szCs w:val="22"/>
          <w:highlight w:val="none"/>
        </w:rPr>
        <w:t xml:space="preserve">项目名称： </w:t>
      </w:r>
    </w:p>
    <w:tbl>
      <w:tblPr>
        <w:tblStyle w:val="53"/>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880"/>
        <w:gridCol w:w="1661"/>
        <w:gridCol w:w="1260"/>
        <w:gridCol w:w="1219"/>
      </w:tblGrid>
      <w:tr w14:paraId="72CC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4994B612">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692" w:type="dxa"/>
            <w:shd w:val="clear" w:color="auto" w:fill="FFFFFF"/>
            <w:vAlign w:val="center"/>
          </w:tcPr>
          <w:p w14:paraId="22C0F497">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设备名称</w:t>
            </w:r>
          </w:p>
        </w:tc>
        <w:tc>
          <w:tcPr>
            <w:tcW w:w="2880" w:type="dxa"/>
            <w:shd w:val="clear" w:color="auto" w:fill="FFFFFF"/>
            <w:vAlign w:val="center"/>
          </w:tcPr>
          <w:p w14:paraId="1E4F65FD">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规格及技术参数</w:t>
            </w:r>
          </w:p>
        </w:tc>
        <w:tc>
          <w:tcPr>
            <w:tcW w:w="1661" w:type="dxa"/>
            <w:shd w:val="clear" w:color="auto" w:fill="FFFFFF"/>
            <w:vAlign w:val="center"/>
          </w:tcPr>
          <w:p w14:paraId="04A69019">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w:t>
            </w:r>
          </w:p>
          <w:p w14:paraId="453962D8">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（生产厂家）</w:t>
            </w:r>
          </w:p>
        </w:tc>
        <w:tc>
          <w:tcPr>
            <w:tcW w:w="1260" w:type="dxa"/>
            <w:shd w:val="clear" w:color="auto" w:fill="FFFFFF"/>
            <w:vAlign w:val="center"/>
          </w:tcPr>
          <w:p w14:paraId="25430BC8">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219" w:type="dxa"/>
            <w:shd w:val="clear" w:color="auto" w:fill="FFFFFF"/>
            <w:vAlign w:val="center"/>
          </w:tcPr>
          <w:p w14:paraId="6E44A3FE">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质保期</w:t>
            </w:r>
          </w:p>
        </w:tc>
      </w:tr>
      <w:tr w14:paraId="574D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4920F1B">
            <w:pPr>
              <w:spacing w:line="360" w:lineRule="auto"/>
              <w:jc w:val="center"/>
              <w:rPr>
                <w:rFonts w:ascii="新宋体" w:hAnsi="新宋体" w:eastAsia="新宋体"/>
                <w:color w:val="auto"/>
                <w:sz w:val="22"/>
                <w:szCs w:val="22"/>
                <w:highlight w:val="none"/>
              </w:rPr>
            </w:pPr>
          </w:p>
        </w:tc>
        <w:tc>
          <w:tcPr>
            <w:tcW w:w="1692" w:type="dxa"/>
            <w:vAlign w:val="center"/>
          </w:tcPr>
          <w:p w14:paraId="05F0F8C0">
            <w:pPr>
              <w:spacing w:line="360" w:lineRule="auto"/>
              <w:jc w:val="center"/>
              <w:rPr>
                <w:rFonts w:ascii="新宋体" w:hAnsi="新宋体" w:eastAsia="新宋体"/>
                <w:b/>
                <w:bCs/>
                <w:color w:val="auto"/>
                <w:sz w:val="22"/>
                <w:szCs w:val="22"/>
                <w:highlight w:val="none"/>
              </w:rPr>
            </w:pPr>
          </w:p>
        </w:tc>
        <w:tc>
          <w:tcPr>
            <w:tcW w:w="2880" w:type="dxa"/>
            <w:vAlign w:val="center"/>
          </w:tcPr>
          <w:p w14:paraId="33CBF55B">
            <w:pPr>
              <w:spacing w:line="360" w:lineRule="auto"/>
              <w:jc w:val="center"/>
              <w:rPr>
                <w:rFonts w:ascii="新宋体" w:hAnsi="新宋体" w:eastAsia="新宋体"/>
                <w:b/>
                <w:bCs/>
                <w:color w:val="auto"/>
                <w:sz w:val="22"/>
                <w:szCs w:val="22"/>
                <w:highlight w:val="none"/>
              </w:rPr>
            </w:pPr>
          </w:p>
        </w:tc>
        <w:tc>
          <w:tcPr>
            <w:tcW w:w="1661" w:type="dxa"/>
            <w:vAlign w:val="center"/>
          </w:tcPr>
          <w:p w14:paraId="632E3A8C">
            <w:pPr>
              <w:spacing w:line="360" w:lineRule="auto"/>
              <w:jc w:val="center"/>
              <w:rPr>
                <w:rFonts w:ascii="新宋体" w:hAnsi="新宋体" w:eastAsia="新宋体"/>
                <w:b/>
                <w:bCs/>
                <w:color w:val="auto"/>
                <w:sz w:val="22"/>
                <w:szCs w:val="22"/>
                <w:highlight w:val="none"/>
              </w:rPr>
            </w:pPr>
          </w:p>
        </w:tc>
        <w:tc>
          <w:tcPr>
            <w:tcW w:w="1260" w:type="dxa"/>
            <w:vAlign w:val="center"/>
          </w:tcPr>
          <w:p w14:paraId="0CF5F0D9">
            <w:pPr>
              <w:spacing w:line="360" w:lineRule="auto"/>
              <w:jc w:val="center"/>
              <w:rPr>
                <w:rFonts w:ascii="新宋体" w:hAnsi="新宋体" w:eastAsia="新宋体"/>
                <w:b/>
                <w:bCs/>
                <w:color w:val="auto"/>
                <w:sz w:val="22"/>
                <w:szCs w:val="22"/>
                <w:highlight w:val="none"/>
              </w:rPr>
            </w:pPr>
          </w:p>
        </w:tc>
        <w:tc>
          <w:tcPr>
            <w:tcW w:w="1219" w:type="dxa"/>
          </w:tcPr>
          <w:p w14:paraId="3E9026AA">
            <w:pPr>
              <w:rPr>
                <w:rFonts w:ascii="新宋体" w:hAnsi="新宋体" w:eastAsia="新宋体"/>
                <w:color w:val="auto"/>
                <w:sz w:val="22"/>
                <w:szCs w:val="22"/>
                <w:highlight w:val="none"/>
              </w:rPr>
            </w:pPr>
          </w:p>
        </w:tc>
      </w:tr>
      <w:tr w14:paraId="3075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2D9965E">
            <w:pPr>
              <w:spacing w:line="360" w:lineRule="auto"/>
              <w:jc w:val="center"/>
              <w:rPr>
                <w:rFonts w:ascii="新宋体" w:hAnsi="新宋体" w:eastAsia="新宋体"/>
                <w:color w:val="auto"/>
                <w:sz w:val="22"/>
                <w:szCs w:val="22"/>
                <w:highlight w:val="none"/>
              </w:rPr>
            </w:pPr>
          </w:p>
        </w:tc>
        <w:tc>
          <w:tcPr>
            <w:tcW w:w="1692" w:type="dxa"/>
            <w:vAlign w:val="center"/>
          </w:tcPr>
          <w:p w14:paraId="6FEB66D4">
            <w:pPr>
              <w:spacing w:line="360" w:lineRule="auto"/>
              <w:jc w:val="center"/>
              <w:rPr>
                <w:rFonts w:ascii="新宋体" w:hAnsi="新宋体" w:eastAsia="新宋体"/>
                <w:b/>
                <w:bCs/>
                <w:color w:val="auto"/>
                <w:sz w:val="22"/>
                <w:szCs w:val="22"/>
                <w:highlight w:val="none"/>
              </w:rPr>
            </w:pPr>
          </w:p>
        </w:tc>
        <w:tc>
          <w:tcPr>
            <w:tcW w:w="2880" w:type="dxa"/>
            <w:vAlign w:val="center"/>
          </w:tcPr>
          <w:p w14:paraId="5CA6FB65">
            <w:pPr>
              <w:spacing w:line="360" w:lineRule="auto"/>
              <w:jc w:val="center"/>
              <w:rPr>
                <w:rFonts w:ascii="新宋体" w:hAnsi="新宋体" w:eastAsia="新宋体"/>
                <w:b/>
                <w:bCs/>
                <w:color w:val="auto"/>
                <w:sz w:val="22"/>
                <w:szCs w:val="22"/>
                <w:highlight w:val="none"/>
              </w:rPr>
            </w:pPr>
          </w:p>
        </w:tc>
        <w:tc>
          <w:tcPr>
            <w:tcW w:w="1661" w:type="dxa"/>
            <w:vAlign w:val="center"/>
          </w:tcPr>
          <w:p w14:paraId="156486A4">
            <w:pPr>
              <w:spacing w:line="360" w:lineRule="auto"/>
              <w:jc w:val="center"/>
              <w:rPr>
                <w:rFonts w:ascii="新宋体" w:hAnsi="新宋体" w:eastAsia="新宋体"/>
                <w:b/>
                <w:bCs/>
                <w:color w:val="auto"/>
                <w:sz w:val="22"/>
                <w:szCs w:val="22"/>
                <w:highlight w:val="none"/>
              </w:rPr>
            </w:pPr>
          </w:p>
        </w:tc>
        <w:tc>
          <w:tcPr>
            <w:tcW w:w="1260" w:type="dxa"/>
            <w:vAlign w:val="center"/>
          </w:tcPr>
          <w:p w14:paraId="20E9AA8B">
            <w:pPr>
              <w:spacing w:line="360" w:lineRule="auto"/>
              <w:jc w:val="center"/>
              <w:rPr>
                <w:rFonts w:ascii="新宋体" w:hAnsi="新宋体" w:eastAsia="新宋体"/>
                <w:b/>
                <w:bCs/>
                <w:color w:val="auto"/>
                <w:sz w:val="22"/>
                <w:szCs w:val="22"/>
                <w:highlight w:val="none"/>
              </w:rPr>
            </w:pPr>
          </w:p>
        </w:tc>
        <w:tc>
          <w:tcPr>
            <w:tcW w:w="1219" w:type="dxa"/>
          </w:tcPr>
          <w:p w14:paraId="79269A3B">
            <w:pPr>
              <w:rPr>
                <w:rFonts w:ascii="新宋体" w:hAnsi="新宋体" w:eastAsia="新宋体"/>
                <w:color w:val="auto"/>
                <w:sz w:val="22"/>
                <w:szCs w:val="22"/>
                <w:highlight w:val="none"/>
              </w:rPr>
            </w:pPr>
          </w:p>
        </w:tc>
      </w:tr>
      <w:tr w14:paraId="65C0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E04CC3F">
            <w:pPr>
              <w:spacing w:line="360" w:lineRule="auto"/>
              <w:jc w:val="center"/>
              <w:rPr>
                <w:rFonts w:ascii="新宋体" w:hAnsi="新宋体" w:eastAsia="新宋体"/>
                <w:color w:val="auto"/>
                <w:sz w:val="22"/>
                <w:szCs w:val="22"/>
                <w:highlight w:val="none"/>
              </w:rPr>
            </w:pPr>
          </w:p>
        </w:tc>
        <w:tc>
          <w:tcPr>
            <w:tcW w:w="1692" w:type="dxa"/>
            <w:vAlign w:val="center"/>
          </w:tcPr>
          <w:p w14:paraId="280346DC">
            <w:pPr>
              <w:spacing w:line="360" w:lineRule="auto"/>
              <w:jc w:val="center"/>
              <w:rPr>
                <w:rFonts w:ascii="新宋体" w:hAnsi="新宋体" w:eastAsia="新宋体"/>
                <w:b/>
                <w:bCs/>
                <w:color w:val="auto"/>
                <w:sz w:val="22"/>
                <w:szCs w:val="22"/>
                <w:highlight w:val="none"/>
              </w:rPr>
            </w:pPr>
          </w:p>
        </w:tc>
        <w:tc>
          <w:tcPr>
            <w:tcW w:w="2880" w:type="dxa"/>
            <w:vAlign w:val="center"/>
          </w:tcPr>
          <w:p w14:paraId="1541DEE3">
            <w:pPr>
              <w:spacing w:line="360" w:lineRule="auto"/>
              <w:jc w:val="center"/>
              <w:rPr>
                <w:rFonts w:ascii="新宋体" w:hAnsi="新宋体" w:eastAsia="新宋体"/>
                <w:b/>
                <w:bCs/>
                <w:color w:val="auto"/>
                <w:sz w:val="22"/>
                <w:szCs w:val="22"/>
                <w:highlight w:val="none"/>
              </w:rPr>
            </w:pPr>
          </w:p>
        </w:tc>
        <w:tc>
          <w:tcPr>
            <w:tcW w:w="1661" w:type="dxa"/>
            <w:vAlign w:val="center"/>
          </w:tcPr>
          <w:p w14:paraId="3D4E280D">
            <w:pPr>
              <w:spacing w:line="360" w:lineRule="auto"/>
              <w:jc w:val="center"/>
              <w:rPr>
                <w:rFonts w:ascii="新宋体" w:hAnsi="新宋体" w:eastAsia="新宋体"/>
                <w:b/>
                <w:bCs/>
                <w:color w:val="auto"/>
                <w:sz w:val="22"/>
                <w:szCs w:val="22"/>
                <w:highlight w:val="none"/>
              </w:rPr>
            </w:pPr>
          </w:p>
        </w:tc>
        <w:tc>
          <w:tcPr>
            <w:tcW w:w="1260" w:type="dxa"/>
            <w:vAlign w:val="center"/>
          </w:tcPr>
          <w:p w14:paraId="6C1EC196">
            <w:pPr>
              <w:spacing w:line="360" w:lineRule="auto"/>
              <w:jc w:val="center"/>
              <w:rPr>
                <w:rFonts w:ascii="新宋体" w:hAnsi="新宋体" w:eastAsia="新宋体"/>
                <w:b/>
                <w:bCs/>
                <w:color w:val="auto"/>
                <w:sz w:val="22"/>
                <w:szCs w:val="22"/>
                <w:highlight w:val="none"/>
              </w:rPr>
            </w:pPr>
          </w:p>
        </w:tc>
        <w:tc>
          <w:tcPr>
            <w:tcW w:w="1219" w:type="dxa"/>
          </w:tcPr>
          <w:p w14:paraId="3C606111">
            <w:pPr>
              <w:rPr>
                <w:rFonts w:ascii="新宋体" w:hAnsi="新宋体" w:eastAsia="新宋体"/>
                <w:color w:val="auto"/>
                <w:sz w:val="22"/>
                <w:szCs w:val="22"/>
                <w:highlight w:val="none"/>
              </w:rPr>
            </w:pPr>
          </w:p>
        </w:tc>
      </w:tr>
      <w:tr w14:paraId="7A8A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A9EDE0D">
            <w:pPr>
              <w:spacing w:line="360" w:lineRule="auto"/>
              <w:jc w:val="center"/>
              <w:rPr>
                <w:rFonts w:ascii="新宋体" w:hAnsi="新宋体" w:eastAsia="新宋体"/>
                <w:color w:val="auto"/>
                <w:sz w:val="22"/>
                <w:szCs w:val="22"/>
                <w:highlight w:val="none"/>
              </w:rPr>
            </w:pPr>
          </w:p>
        </w:tc>
        <w:tc>
          <w:tcPr>
            <w:tcW w:w="1692" w:type="dxa"/>
            <w:vAlign w:val="center"/>
          </w:tcPr>
          <w:p w14:paraId="06EC93F8">
            <w:pPr>
              <w:spacing w:line="360" w:lineRule="auto"/>
              <w:jc w:val="center"/>
              <w:rPr>
                <w:rFonts w:ascii="新宋体" w:hAnsi="新宋体" w:eastAsia="新宋体"/>
                <w:b/>
                <w:bCs/>
                <w:color w:val="auto"/>
                <w:sz w:val="22"/>
                <w:szCs w:val="22"/>
                <w:highlight w:val="none"/>
              </w:rPr>
            </w:pPr>
          </w:p>
        </w:tc>
        <w:tc>
          <w:tcPr>
            <w:tcW w:w="2880" w:type="dxa"/>
            <w:vAlign w:val="center"/>
          </w:tcPr>
          <w:p w14:paraId="7F9B5360">
            <w:pPr>
              <w:spacing w:line="360" w:lineRule="auto"/>
              <w:jc w:val="center"/>
              <w:rPr>
                <w:rFonts w:ascii="新宋体" w:hAnsi="新宋体" w:eastAsia="新宋体"/>
                <w:b/>
                <w:bCs/>
                <w:color w:val="auto"/>
                <w:sz w:val="22"/>
                <w:szCs w:val="22"/>
                <w:highlight w:val="none"/>
              </w:rPr>
            </w:pPr>
          </w:p>
        </w:tc>
        <w:tc>
          <w:tcPr>
            <w:tcW w:w="1661" w:type="dxa"/>
            <w:vAlign w:val="center"/>
          </w:tcPr>
          <w:p w14:paraId="11DAE2D4">
            <w:pPr>
              <w:spacing w:line="360" w:lineRule="auto"/>
              <w:jc w:val="center"/>
              <w:rPr>
                <w:rFonts w:ascii="新宋体" w:hAnsi="新宋体" w:eastAsia="新宋体"/>
                <w:b/>
                <w:bCs/>
                <w:color w:val="auto"/>
                <w:sz w:val="22"/>
                <w:szCs w:val="22"/>
                <w:highlight w:val="none"/>
              </w:rPr>
            </w:pPr>
          </w:p>
        </w:tc>
        <w:tc>
          <w:tcPr>
            <w:tcW w:w="1260" w:type="dxa"/>
            <w:vAlign w:val="center"/>
          </w:tcPr>
          <w:p w14:paraId="21FD306C">
            <w:pPr>
              <w:spacing w:line="360" w:lineRule="auto"/>
              <w:jc w:val="center"/>
              <w:rPr>
                <w:rFonts w:ascii="新宋体" w:hAnsi="新宋体" w:eastAsia="新宋体"/>
                <w:b/>
                <w:bCs/>
                <w:color w:val="auto"/>
                <w:sz w:val="22"/>
                <w:szCs w:val="22"/>
                <w:highlight w:val="none"/>
              </w:rPr>
            </w:pPr>
          </w:p>
        </w:tc>
        <w:tc>
          <w:tcPr>
            <w:tcW w:w="1219" w:type="dxa"/>
          </w:tcPr>
          <w:p w14:paraId="3498F6C8">
            <w:pPr>
              <w:rPr>
                <w:rFonts w:ascii="新宋体" w:hAnsi="新宋体" w:eastAsia="新宋体"/>
                <w:color w:val="auto"/>
                <w:sz w:val="22"/>
                <w:szCs w:val="22"/>
                <w:highlight w:val="none"/>
              </w:rPr>
            </w:pPr>
          </w:p>
        </w:tc>
      </w:tr>
      <w:tr w14:paraId="02DD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6D5A3EA">
            <w:pPr>
              <w:spacing w:line="360" w:lineRule="auto"/>
              <w:jc w:val="center"/>
              <w:rPr>
                <w:rFonts w:ascii="新宋体" w:hAnsi="新宋体" w:eastAsia="新宋体"/>
                <w:color w:val="auto"/>
                <w:sz w:val="22"/>
                <w:szCs w:val="22"/>
                <w:highlight w:val="none"/>
              </w:rPr>
            </w:pPr>
          </w:p>
        </w:tc>
        <w:tc>
          <w:tcPr>
            <w:tcW w:w="1692" w:type="dxa"/>
            <w:vAlign w:val="center"/>
          </w:tcPr>
          <w:p w14:paraId="788C1E2C">
            <w:pPr>
              <w:spacing w:line="360" w:lineRule="auto"/>
              <w:jc w:val="center"/>
              <w:rPr>
                <w:rFonts w:ascii="新宋体" w:hAnsi="新宋体" w:eastAsia="新宋体"/>
                <w:b/>
                <w:bCs/>
                <w:color w:val="auto"/>
                <w:sz w:val="22"/>
                <w:szCs w:val="22"/>
                <w:highlight w:val="none"/>
              </w:rPr>
            </w:pPr>
          </w:p>
        </w:tc>
        <w:tc>
          <w:tcPr>
            <w:tcW w:w="2880" w:type="dxa"/>
            <w:vAlign w:val="center"/>
          </w:tcPr>
          <w:p w14:paraId="61705C58">
            <w:pPr>
              <w:spacing w:line="360" w:lineRule="auto"/>
              <w:jc w:val="center"/>
              <w:rPr>
                <w:rFonts w:ascii="新宋体" w:hAnsi="新宋体" w:eastAsia="新宋体"/>
                <w:b/>
                <w:bCs/>
                <w:color w:val="auto"/>
                <w:sz w:val="22"/>
                <w:szCs w:val="22"/>
                <w:highlight w:val="none"/>
              </w:rPr>
            </w:pPr>
          </w:p>
        </w:tc>
        <w:tc>
          <w:tcPr>
            <w:tcW w:w="1661" w:type="dxa"/>
            <w:vAlign w:val="center"/>
          </w:tcPr>
          <w:p w14:paraId="01739143">
            <w:pPr>
              <w:spacing w:line="360" w:lineRule="auto"/>
              <w:jc w:val="center"/>
              <w:rPr>
                <w:rFonts w:ascii="新宋体" w:hAnsi="新宋体" w:eastAsia="新宋体"/>
                <w:b/>
                <w:bCs/>
                <w:color w:val="auto"/>
                <w:sz w:val="22"/>
                <w:szCs w:val="22"/>
                <w:highlight w:val="none"/>
              </w:rPr>
            </w:pPr>
          </w:p>
        </w:tc>
        <w:tc>
          <w:tcPr>
            <w:tcW w:w="1260" w:type="dxa"/>
            <w:vAlign w:val="center"/>
          </w:tcPr>
          <w:p w14:paraId="3003335A">
            <w:pPr>
              <w:spacing w:line="360" w:lineRule="auto"/>
              <w:jc w:val="center"/>
              <w:rPr>
                <w:rFonts w:ascii="新宋体" w:hAnsi="新宋体" w:eastAsia="新宋体"/>
                <w:b/>
                <w:bCs/>
                <w:color w:val="auto"/>
                <w:sz w:val="22"/>
                <w:szCs w:val="22"/>
                <w:highlight w:val="none"/>
              </w:rPr>
            </w:pPr>
          </w:p>
        </w:tc>
        <w:tc>
          <w:tcPr>
            <w:tcW w:w="1219" w:type="dxa"/>
          </w:tcPr>
          <w:p w14:paraId="31386327">
            <w:pPr>
              <w:rPr>
                <w:rFonts w:ascii="新宋体" w:hAnsi="新宋体" w:eastAsia="新宋体"/>
                <w:color w:val="auto"/>
                <w:sz w:val="22"/>
                <w:szCs w:val="22"/>
                <w:highlight w:val="none"/>
              </w:rPr>
            </w:pPr>
          </w:p>
        </w:tc>
      </w:tr>
      <w:tr w14:paraId="0F44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1718EAC">
            <w:pPr>
              <w:spacing w:line="360" w:lineRule="auto"/>
              <w:jc w:val="center"/>
              <w:rPr>
                <w:rFonts w:ascii="新宋体" w:hAnsi="新宋体" w:eastAsia="新宋体"/>
                <w:color w:val="auto"/>
                <w:sz w:val="22"/>
                <w:szCs w:val="22"/>
                <w:highlight w:val="none"/>
              </w:rPr>
            </w:pPr>
          </w:p>
        </w:tc>
        <w:tc>
          <w:tcPr>
            <w:tcW w:w="1692" w:type="dxa"/>
            <w:vAlign w:val="center"/>
          </w:tcPr>
          <w:p w14:paraId="635FA6FE">
            <w:pPr>
              <w:spacing w:line="360" w:lineRule="auto"/>
              <w:jc w:val="center"/>
              <w:rPr>
                <w:rFonts w:ascii="新宋体" w:hAnsi="新宋体" w:eastAsia="新宋体"/>
                <w:b/>
                <w:bCs/>
                <w:color w:val="auto"/>
                <w:sz w:val="22"/>
                <w:szCs w:val="22"/>
                <w:highlight w:val="none"/>
              </w:rPr>
            </w:pPr>
          </w:p>
        </w:tc>
        <w:tc>
          <w:tcPr>
            <w:tcW w:w="2880" w:type="dxa"/>
            <w:vAlign w:val="center"/>
          </w:tcPr>
          <w:p w14:paraId="085FC491">
            <w:pPr>
              <w:spacing w:line="360" w:lineRule="auto"/>
              <w:jc w:val="center"/>
              <w:rPr>
                <w:rFonts w:ascii="新宋体" w:hAnsi="新宋体" w:eastAsia="新宋体"/>
                <w:b/>
                <w:bCs/>
                <w:color w:val="auto"/>
                <w:sz w:val="22"/>
                <w:szCs w:val="22"/>
                <w:highlight w:val="none"/>
              </w:rPr>
            </w:pPr>
          </w:p>
        </w:tc>
        <w:tc>
          <w:tcPr>
            <w:tcW w:w="1661" w:type="dxa"/>
            <w:vAlign w:val="center"/>
          </w:tcPr>
          <w:p w14:paraId="4F8C4425">
            <w:pPr>
              <w:spacing w:line="360" w:lineRule="auto"/>
              <w:jc w:val="center"/>
              <w:rPr>
                <w:rFonts w:ascii="新宋体" w:hAnsi="新宋体" w:eastAsia="新宋体"/>
                <w:b/>
                <w:bCs/>
                <w:color w:val="auto"/>
                <w:sz w:val="22"/>
                <w:szCs w:val="22"/>
                <w:highlight w:val="none"/>
              </w:rPr>
            </w:pPr>
          </w:p>
        </w:tc>
        <w:tc>
          <w:tcPr>
            <w:tcW w:w="1260" w:type="dxa"/>
            <w:vAlign w:val="center"/>
          </w:tcPr>
          <w:p w14:paraId="287B78F7">
            <w:pPr>
              <w:spacing w:line="360" w:lineRule="auto"/>
              <w:jc w:val="center"/>
              <w:rPr>
                <w:rFonts w:ascii="新宋体" w:hAnsi="新宋体" w:eastAsia="新宋体"/>
                <w:b/>
                <w:bCs/>
                <w:color w:val="auto"/>
                <w:sz w:val="22"/>
                <w:szCs w:val="22"/>
                <w:highlight w:val="none"/>
              </w:rPr>
            </w:pPr>
          </w:p>
        </w:tc>
        <w:tc>
          <w:tcPr>
            <w:tcW w:w="1219" w:type="dxa"/>
          </w:tcPr>
          <w:p w14:paraId="03478E40">
            <w:pPr>
              <w:rPr>
                <w:rFonts w:ascii="新宋体" w:hAnsi="新宋体" w:eastAsia="新宋体"/>
                <w:color w:val="auto"/>
                <w:sz w:val="22"/>
                <w:szCs w:val="22"/>
                <w:highlight w:val="none"/>
              </w:rPr>
            </w:pPr>
          </w:p>
        </w:tc>
      </w:tr>
      <w:tr w14:paraId="07C9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6471251">
            <w:pPr>
              <w:spacing w:line="360" w:lineRule="auto"/>
              <w:jc w:val="center"/>
              <w:rPr>
                <w:rFonts w:ascii="新宋体" w:hAnsi="新宋体" w:eastAsia="新宋体"/>
                <w:color w:val="auto"/>
                <w:sz w:val="22"/>
                <w:szCs w:val="22"/>
                <w:highlight w:val="none"/>
              </w:rPr>
            </w:pPr>
          </w:p>
        </w:tc>
        <w:tc>
          <w:tcPr>
            <w:tcW w:w="1692" w:type="dxa"/>
            <w:vAlign w:val="center"/>
          </w:tcPr>
          <w:p w14:paraId="44405AB1">
            <w:pPr>
              <w:spacing w:line="360" w:lineRule="auto"/>
              <w:jc w:val="center"/>
              <w:rPr>
                <w:rFonts w:ascii="新宋体" w:hAnsi="新宋体" w:eastAsia="新宋体"/>
                <w:color w:val="auto"/>
                <w:sz w:val="22"/>
                <w:szCs w:val="22"/>
                <w:highlight w:val="none"/>
              </w:rPr>
            </w:pPr>
          </w:p>
        </w:tc>
        <w:tc>
          <w:tcPr>
            <w:tcW w:w="2880" w:type="dxa"/>
            <w:vAlign w:val="center"/>
          </w:tcPr>
          <w:p w14:paraId="4BFD5A3D">
            <w:pPr>
              <w:spacing w:line="360" w:lineRule="auto"/>
              <w:jc w:val="center"/>
              <w:rPr>
                <w:rFonts w:ascii="新宋体" w:hAnsi="新宋体" w:eastAsia="新宋体"/>
                <w:b/>
                <w:bCs/>
                <w:color w:val="auto"/>
                <w:sz w:val="22"/>
                <w:szCs w:val="22"/>
                <w:highlight w:val="none"/>
              </w:rPr>
            </w:pPr>
          </w:p>
        </w:tc>
        <w:tc>
          <w:tcPr>
            <w:tcW w:w="1661" w:type="dxa"/>
            <w:vAlign w:val="center"/>
          </w:tcPr>
          <w:p w14:paraId="5BBDC96B">
            <w:pPr>
              <w:spacing w:line="360" w:lineRule="auto"/>
              <w:jc w:val="center"/>
              <w:rPr>
                <w:rFonts w:ascii="新宋体" w:hAnsi="新宋体" w:eastAsia="新宋体"/>
                <w:b/>
                <w:bCs/>
                <w:color w:val="auto"/>
                <w:sz w:val="22"/>
                <w:szCs w:val="22"/>
                <w:highlight w:val="none"/>
              </w:rPr>
            </w:pPr>
          </w:p>
        </w:tc>
        <w:tc>
          <w:tcPr>
            <w:tcW w:w="1260" w:type="dxa"/>
            <w:vAlign w:val="center"/>
          </w:tcPr>
          <w:p w14:paraId="2094E84D">
            <w:pPr>
              <w:spacing w:line="360" w:lineRule="auto"/>
              <w:jc w:val="center"/>
              <w:rPr>
                <w:rFonts w:ascii="新宋体" w:hAnsi="新宋体" w:eastAsia="新宋体"/>
                <w:b/>
                <w:bCs/>
                <w:color w:val="auto"/>
                <w:sz w:val="22"/>
                <w:szCs w:val="22"/>
                <w:highlight w:val="none"/>
              </w:rPr>
            </w:pPr>
          </w:p>
        </w:tc>
        <w:tc>
          <w:tcPr>
            <w:tcW w:w="1219" w:type="dxa"/>
          </w:tcPr>
          <w:p w14:paraId="63A3D466">
            <w:pPr>
              <w:rPr>
                <w:rFonts w:ascii="新宋体" w:hAnsi="新宋体" w:eastAsia="新宋体"/>
                <w:color w:val="auto"/>
                <w:sz w:val="22"/>
                <w:szCs w:val="22"/>
                <w:highlight w:val="none"/>
              </w:rPr>
            </w:pPr>
          </w:p>
        </w:tc>
      </w:tr>
      <w:tr w14:paraId="7A19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9A4E004">
            <w:pPr>
              <w:spacing w:line="360" w:lineRule="auto"/>
              <w:jc w:val="center"/>
              <w:rPr>
                <w:rFonts w:ascii="新宋体" w:hAnsi="新宋体" w:eastAsia="新宋体"/>
                <w:color w:val="auto"/>
                <w:sz w:val="22"/>
                <w:szCs w:val="22"/>
                <w:highlight w:val="none"/>
              </w:rPr>
            </w:pPr>
          </w:p>
        </w:tc>
        <w:tc>
          <w:tcPr>
            <w:tcW w:w="1692" w:type="dxa"/>
            <w:vAlign w:val="center"/>
          </w:tcPr>
          <w:p w14:paraId="55BACF2D">
            <w:pPr>
              <w:spacing w:line="360" w:lineRule="auto"/>
              <w:jc w:val="center"/>
              <w:rPr>
                <w:rFonts w:ascii="新宋体" w:hAnsi="新宋体" w:eastAsia="新宋体"/>
                <w:b/>
                <w:bCs/>
                <w:color w:val="auto"/>
                <w:sz w:val="22"/>
                <w:szCs w:val="22"/>
                <w:highlight w:val="none"/>
              </w:rPr>
            </w:pPr>
          </w:p>
        </w:tc>
        <w:tc>
          <w:tcPr>
            <w:tcW w:w="2880" w:type="dxa"/>
            <w:vAlign w:val="center"/>
          </w:tcPr>
          <w:p w14:paraId="015FCFB4">
            <w:pPr>
              <w:spacing w:line="360" w:lineRule="auto"/>
              <w:jc w:val="center"/>
              <w:rPr>
                <w:rFonts w:ascii="新宋体" w:hAnsi="新宋体" w:eastAsia="新宋体"/>
                <w:color w:val="auto"/>
                <w:sz w:val="22"/>
                <w:szCs w:val="22"/>
                <w:highlight w:val="none"/>
              </w:rPr>
            </w:pPr>
          </w:p>
        </w:tc>
        <w:tc>
          <w:tcPr>
            <w:tcW w:w="1661" w:type="dxa"/>
            <w:vAlign w:val="center"/>
          </w:tcPr>
          <w:p w14:paraId="5B76AC96">
            <w:pPr>
              <w:spacing w:line="360" w:lineRule="auto"/>
              <w:jc w:val="center"/>
              <w:rPr>
                <w:rFonts w:ascii="新宋体" w:hAnsi="新宋体" w:eastAsia="新宋体"/>
                <w:b/>
                <w:bCs/>
                <w:color w:val="auto"/>
                <w:sz w:val="22"/>
                <w:szCs w:val="22"/>
                <w:highlight w:val="none"/>
              </w:rPr>
            </w:pPr>
          </w:p>
        </w:tc>
        <w:tc>
          <w:tcPr>
            <w:tcW w:w="1260" w:type="dxa"/>
            <w:vAlign w:val="center"/>
          </w:tcPr>
          <w:p w14:paraId="5CA2E5D6">
            <w:pPr>
              <w:spacing w:line="360" w:lineRule="auto"/>
              <w:jc w:val="center"/>
              <w:rPr>
                <w:rFonts w:ascii="新宋体" w:hAnsi="新宋体" w:eastAsia="新宋体"/>
                <w:b/>
                <w:bCs/>
                <w:color w:val="auto"/>
                <w:sz w:val="22"/>
                <w:szCs w:val="22"/>
                <w:highlight w:val="none"/>
              </w:rPr>
            </w:pPr>
          </w:p>
        </w:tc>
        <w:tc>
          <w:tcPr>
            <w:tcW w:w="1219" w:type="dxa"/>
          </w:tcPr>
          <w:p w14:paraId="0D545AEB">
            <w:pPr>
              <w:rPr>
                <w:rFonts w:ascii="新宋体" w:hAnsi="新宋体" w:eastAsia="新宋体"/>
                <w:color w:val="auto"/>
                <w:sz w:val="22"/>
                <w:szCs w:val="22"/>
                <w:highlight w:val="none"/>
              </w:rPr>
            </w:pPr>
          </w:p>
        </w:tc>
      </w:tr>
      <w:tr w14:paraId="33B4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193013E">
            <w:pPr>
              <w:spacing w:line="360" w:lineRule="auto"/>
              <w:jc w:val="center"/>
              <w:rPr>
                <w:rFonts w:ascii="新宋体" w:hAnsi="新宋体" w:eastAsia="新宋体"/>
                <w:color w:val="auto"/>
                <w:sz w:val="22"/>
                <w:szCs w:val="22"/>
                <w:highlight w:val="none"/>
              </w:rPr>
            </w:pPr>
          </w:p>
        </w:tc>
        <w:tc>
          <w:tcPr>
            <w:tcW w:w="1692" w:type="dxa"/>
            <w:vAlign w:val="center"/>
          </w:tcPr>
          <w:p w14:paraId="0B8DD0DC">
            <w:pPr>
              <w:spacing w:line="360" w:lineRule="auto"/>
              <w:jc w:val="center"/>
              <w:rPr>
                <w:rFonts w:ascii="新宋体" w:hAnsi="新宋体" w:eastAsia="新宋体"/>
                <w:color w:val="auto"/>
                <w:sz w:val="22"/>
                <w:szCs w:val="22"/>
                <w:highlight w:val="none"/>
              </w:rPr>
            </w:pPr>
          </w:p>
        </w:tc>
        <w:tc>
          <w:tcPr>
            <w:tcW w:w="2880" w:type="dxa"/>
          </w:tcPr>
          <w:p w14:paraId="53D118C7">
            <w:pPr>
              <w:spacing w:line="360" w:lineRule="auto"/>
              <w:rPr>
                <w:rFonts w:ascii="新宋体" w:hAnsi="新宋体" w:eastAsia="新宋体"/>
                <w:b/>
                <w:bCs/>
                <w:color w:val="auto"/>
                <w:sz w:val="22"/>
                <w:szCs w:val="22"/>
                <w:highlight w:val="none"/>
              </w:rPr>
            </w:pPr>
          </w:p>
        </w:tc>
        <w:tc>
          <w:tcPr>
            <w:tcW w:w="1661" w:type="dxa"/>
            <w:vAlign w:val="center"/>
          </w:tcPr>
          <w:p w14:paraId="520AA3C8">
            <w:pPr>
              <w:spacing w:line="360" w:lineRule="auto"/>
              <w:jc w:val="center"/>
              <w:rPr>
                <w:rFonts w:ascii="新宋体" w:hAnsi="新宋体" w:eastAsia="新宋体"/>
                <w:b/>
                <w:bCs/>
                <w:color w:val="auto"/>
                <w:sz w:val="22"/>
                <w:szCs w:val="22"/>
                <w:highlight w:val="none"/>
              </w:rPr>
            </w:pPr>
          </w:p>
        </w:tc>
        <w:tc>
          <w:tcPr>
            <w:tcW w:w="1260" w:type="dxa"/>
            <w:vAlign w:val="center"/>
          </w:tcPr>
          <w:p w14:paraId="770ED5F7">
            <w:pPr>
              <w:spacing w:line="360" w:lineRule="auto"/>
              <w:jc w:val="center"/>
              <w:rPr>
                <w:rFonts w:ascii="新宋体" w:hAnsi="新宋体" w:eastAsia="新宋体"/>
                <w:b/>
                <w:bCs/>
                <w:color w:val="auto"/>
                <w:sz w:val="22"/>
                <w:szCs w:val="22"/>
                <w:highlight w:val="none"/>
              </w:rPr>
            </w:pPr>
          </w:p>
        </w:tc>
        <w:tc>
          <w:tcPr>
            <w:tcW w:w="1219" w:type="dxa"/>
          </w:tcPr>
          <w:p w14:paraId="4FC86C70">
            <w:pPr>
              <w:rPr>
                <w:rFonts w:ascii="新宋体" w:hAnsi="新宋体" w:eastAsia="新宋体"/>
                <w:color w:val="auto"/>
                <w:sz w:val="22"/>
                <w:szCs w:val="22"/>
                <w:highlight w:val="none"/>
              </w:rPr>
            </w:pPr>
          </w:p>
        </w:tc>
      </w:tr>
      <w:tr w14:paraId="08FD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98E5035">
            <w:pPr>
              <w:spacing w:line="360" w:lineRule="auto"/>
              <w:jc w:val="center"/>
              <w:rPr>
                <w:rFonts w:ascii="新宋体" w:hAnsi="新宋体" w:eastAsia="新宋体"/>
                <w:color w:val="auto"/>
                <w:sz w:val="22"/>
                <w:szCs w:val="22"/>
                <w:highlight w:val="none"/>
              </w:rPr>
            </w:pPr>
          </w:p>
        </w:tc>
        <w:tc>
          <w:tcPr>
            <w:tcW w:w="1692" w:type="dxa"/>
            <w:vAlign w:val="center"/>
          </w:tcPr>
          <w:p w14:paraId="496AD49D">
            <w:pPr>
              <w:spacing w:line="360" w:lineRule="auto"/>
              <w:jc w:val="center"/>
              <w:rPr>
                <w:rFonts w:ascii="新宋体" w:hAnsi="新宋体" w:eastAsia="新宋体"/>
                <w:b/>
                <w:bCs/>
                <w:color w:val="auto"/>
                <w:sz w:val="22"/>
                <w:szCs w:val="22"/>
                <w:highlight w:val="none"/>
              </w:rPr>
            </w:pPr>
          </w:p>
        </w:tc>
        <w:tc>
          <w:tcPr>
            <w:tcW w:w="2880" w:type="dxa"/>
          </w:tcPr>
          <w:p w14:paraId="5A560E14">
            <w:pPr>
              <w:spacing w:line="360" w:lineRule="auto"/>
              <w:rPr>
                <w:rFonts w:ascii="新宋体" w:hAnsi="新宋体" w:eastAsia="新宋体"/>
                <w:color w:val="auto"/>
                <w:sz w:val="22"/>
                <w:szCs w:val="22"/>
                <w:highlight w:val="none"/>
              </w:rPr>
            </w:pPr>
          </w:p>
        </w:tc>
        <w:tc>
          <w:tcPr>
            <w:tcW w:w="1661" w:type="dxa"/>
            <w:vAlign w:val="center"/>
          </w:tcPr>
          <w:p w14:paraId="196240D0">
            <w:pPr>
              <w:spacing w:line="360" w:lineRule="auto"/>
              <w:jc w:val="center"/>
              <w:rPr>
                <w:rFonts w:ascii="新宋体" w:hAnsi="新宋体" w:eastAsia="新宋体"/>
                <w:b/>
                <w:bCs/>
                <w:color w:val="auto"/>
                <w:sz w:val="22"/>
                <w:szCs w:val="22"/>
                <w:highlight w:val="none"/>
              </w:rPr>
            </w:pPr>
          </w:p>
        </w:tc>
        <w:tc>
          <w:tcPr>
            <w:tcW w:w="1260" w:type="dxa"/>
            <w:vAlign w:val="center"/>
          </w:tcPr>
          <w:p w14:paraId="49CC5364">
            <w:pPr>
              <w:spacing w:line="360" w:lineRule="auto"/>
              <w:jc w:val="center"/>
              <w:rPr>
                <w:rFonts w:ascii="新宋体" w:hAnsi="新宋体" w:eastAsia="新宋体"/>
                <w:b/>
                <w:bCs/>
                <w:color w:val="auto"/>
                <w:sz w:val="22"/>
                <w:szCs w:val="22"/>
                <w:highlight w:val="none"/>
              </w:rPr>
            </w:pPr>
          </w:p>
        </w:tc>
        <w:tc>
          <w:tcPr>
            <w:tcW w:w="1219" w:type="dxa"/>
          </w:tcPr>
          <w:p w14:paraId="70B0C4C8">
            <w:pPr>
              <w:rPr>
                <w:rFonts w:ascii="新宋体" w:hAnsi="新宋体" w:eastAsia="新宋体"/>
                <w:color w:val="auto"/>
                <w:sz w:val="22"/>
                <w:szCs w:val="22"/>
                <w:highlight w:val="none"/>
              </w:rPr>
            </w:pPr>
          </w:p>
        </w:tc>
      </w:tr>
      <w:tr w14:paraId="3BBA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3E7408E">
            <w:pPr>
              <w:spacing w:line="360" w:lineRule="auto"/>
              <w:jc w:val="center"/>
              <w:rPr>
                <w:rFonts w:ascii="新宋体" w:hAnsi="新宋体" w:eastAsia="新宋体"/>
                <w:color w:val="auto"/>
                <w:sz w:val="22"/>
                <w:szCs w:val="22"/>
                <w:highlight w:val="none"/>
              </w:rPr>
            </w:pPr>
          </w:p>
        </w:tc>
        <w:tc>
          <w:tcPr>
            <w:tcW w:w="1692" w:type="dxa"/>
            <w:vAlign w:val="center"/>
          </w:tcPr>
          <w:p w14:paraId="74FFA1EB">
            <w:pPr>
              <w:spacing w:line="360" w:lineRule="auto"/>
              <w:jc w:val="center"/>
              <w:rPr>
                <w:rFonts w:ascii="新宋体" w:hAnsi="新宋体" w:eastAsia="新宋体"/>
                <w:color w:val="auto"/>
                <w:sz w:val="22"/>
                <w:szCs w:val="22"/>
                <w:highlight w:val="none"/>
              </w:rPr>
            </w:pPr>
          </w:p>
        </w:tc>
        <w:tc>
          <w:tcPr>
            <w:tcW w:w="2880" w:type="dxa"/>
          </w:tcPr>
          <w:p w14:paraId="7F1F68E3">
            <w:pPr>
              <w:spacing w:line="360" w:lineRule="auto"/>
              <w:rPr>
                <w:rFonts w:ascii="新宋体" w:hAnsi="新宋体" w:eastAsia="新宋体"/>
                <w:color w:val="auto"/>
                <w:sz w:val="22"/>
                <w:szCs w:val="22"/>
                <w:highlight w:val="none"/>
              </w:rPr>
            </w:pPr>
          </w:p>
        </w:tc>
        <w:tc>
          <w:tcPr>
            <w:tcW w:w="1661" w:type="dxa"/>
            <w:vAlign w:val="center"/>
          </w:tcPr>
          <w:p w14:paraId="67AA5AE8">
            <w:pPr>
              <w:spacing w:line="360" w:lineRule="auto"/>
              <w:jc w:val="center"/>
              <w:rPr>
                <w:rFonts w:ascii="新宋体" w:hAnsi="新宋体" w:eastAsia="新宋体"/>
                <w:b/>
                <w:bCs/>
                <w:color w:val="auto"/>
                <w:sz w:val="22"/>
                <w:szCs w:val="22"/>
                <w:highlight w:val="none"/>
              </w:rPr>
            </w:pPr>
          </w:p>
        </w:tc>
        <w:tc>
          <w:tcPr>
            <w:tcW w:w="1260" w:type="dxa"/>
            <w:vAlign w:val="center"/>
          </w:tcPr>
          <w:p w14:paraId="0C1F827C">
            <w:pPr>
              <w:spacing w:line="360" w:lineRule="auto"/>
              <w:jc w:val="center"/>
              <w:rPr>
                <w:rFonts w:ascii="新宋体" w:hAnsi="新宋体" w:eastAsia="新宋体"/>
                <w:b/>
                <w:bCs/>
                <w:color w:val="auto"/>
                <w:sz w:val="22"/>
                <w:szCs w:val="22"/>
                <w:highlight w:val="none"/>
              </w:rPr>
            </w:pPr>
          </w:p>
        </w:tc>
        <w:tc>
          <w:tcPr>
            <w:tcW w:w="1219" w:type="dxa"/>
          </w:tcPr>
          <w:p w14:paraId="21E5E5D2">
            <w:pPr>
              <w:rPr>
                <w:rFonts w:ascii="新宋体" w:hAnsi="新宋体" w:eastAsia="新宋体"/>
                <w:color w:val="auto"/>
                <w:sz w:val="22"/>
                <w:szCs w:val="22"/>
                <w:highlight w:val="none"/>
              </w:rPr>
            </w:pPr>
          </w:p>
        </w:tc>
      </w:tr>
      <w:tr w14:paraId="6100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9DC4DB8">
            <w:pPr>
              <w:spacing w:line="360" w:lineRule="auto"/>
              <w:jc w:val="center"/>
              <w:rPr>
                <w:rFonts w:ascii="新宋体" w:hAnsi="新宋体" w:eastAsia="新宋体"/>
                <w:color w:val="auto"/>
                <w:sz w:val="22"/>
                <w:szCs w:val="22"/>
                <w:highlight w:val="none"/>
              </w:rPr>
            </w:pPr>
          </w:p>
        </w:tc>
        <w:tc>
          <w:tcPr>
            <w:tcW w:w="1692" w:type="dxa"/>
            <w:vAlign w:val="center"/>
          </w:tcPr>
          <w:p w14:paraId="4D675CF5">
            <w:pPr>
              <w:spacing w:line="360" w:lineRule="auto"/>
              <w:jc w:val="center"/>
              <w:rPr>
                <w:rFonts w:ascii="新宋体" w:hAnsi="新宋体" w:eastAsia="新宋体"/>
                <w:color w:val="auto"/>
                <w:sz w:val="22"/>
                <w:szCs w:val="22"/>
                <w:highlight w:val="none"/>
              </w:rPr>
            </w:pPr>
          </w:p>
        </w:tc>
        <w:tc>
          <w:tcPr>
            <w:tcW w:w="2880" w:type="dxa"/>
          </w:tcPr>
          <w:p w14:paraId="2F984A04">
            <w:pPr>
              <w:spacing w:line="360" w:lineRule="auto"/>
              <w:rPr>
                <w:rFonts w:ascii="新宋体" w:hAnsi="新宋体" w:eastAsia="新宋体"/>
                <w:color w:val="auto"/>
                <w:sz w:val="22"/>
                <w:szCs w:val="22"/>
                <w:highlight w:val="none"/>
              </w:rPr>
            </w:pPr>
          </w:p>
        </w:tc>
        <w:tc>
          <w:tcPr>
            <w:tcW w:w="1661" w:type="dxa"/>
            <w:vAlign w:val="center"/>
          </w:tcPr>
          <w:p w14:paraId="39418BAD">
            <w:pPr>
              <w:spacing w:line="360" w:lineRule="auto"/>
              <w:jc w:val="center"/>
              <w:rPr>
                <w:rFonts w:ascii="新宋体" w:hAnsi="新宋体" w:eastAsia="新宋体"/>
                <w:b/>
                <w:bCs/>
                <w:color w:val="auto"/>
                <w:sz w:val="22"/>
                <w:szCs w:val="22"/>
                <w:highlight w:val="none"/>
              </w:rPr>
            </w:pPr>
          </w:p>
        </w:tc>
        <w:tc>
          <w:tcPr>
            <w:tcW w:w="1260" w:type="dxa"/>
            <w:vAlign w:val="center"/>
          </w:tcPr>
          <w:p w14:paraId="396292A1">
            <w:pPr>
              <w:spacing w:line="360" w:lineRule="auto"/>
              <w:jc w:val="center"/>
              <w:rPr>
                <w:rFonts w:ascii="新宋体" w:hAnsi="新宋体" w:eastAsia="新宋体"/>
                <w:b/>
                <w:bCs/>
                <w:color w:val="auto"/>
                <w:sz w:val="22"/>
                <w:szCs w:val="22"/>
                <w:highlight w:val="none"/>
              </w:rPr>
            </w:pPr>
          </w:p>
        </w:tc>
        <w:tc>
          <w:tcPr>
            <w:tcW w:w="1219" w:type="dxa"/>
          </w:tcPr>
          <w:p w14:paraId="7F513A85">
            <w:pPr>
              <w:rPr>
                <w:rFonts w:ascii="新宋体" w:hAnsi="新宋体" w:eastAsia="新宋体"/>
                <w:color w:val="auto"/>
                <w:sz w:val="22"/>
                <w:szCs w:val="22"/>
                <w:highlight w:val="none"/>
              </w:rPr>
            </w:pPr>
          </w:p>
        </w:tc>
      </w:tr>
      <w:tr w14:paraId="5597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1B76ED3">
            <w:pPr>
              <w:spacing w:line="360" w:lineRule="auto"/>
              <w:jc w:val="center"/>
              <w:rPr>
                <w:rFonts w:ascii="新宋体" w:hAnsi="新宋体" w:eastAsia="新宋体"/>
                <w:color w:val="auto"/>
                <w:sz w:val="22"/>
                <w:szCs w:val="22"/>
                <w:highlight w:val="none"/>
              </w:rPr>
            </w:pPr>
          </w:p>
        </w:tc>
        <w:tc>
          <w:tcPr>
            <w:tcW w:w="1692" w:type="dxa"/>
            <w:vAlign w:val="center"/>
          </w:tcPr>
          <w:p w14:paraId="2D4B59EB">
            <w:pPr>
              <w:spacing w:line="360" w:lineRule="auto"/>
              <w:jc w:val="center"/>
              <w:rPr>
                <w:rFonts w:ascii="新宋体" w:hAnsi="新宋体" w:eastAsia="新宋体"/>
                <w:b/>
                <w:bCs/>
                <w:color w:val="auto"/>
                <w:sz w:val="22"/>
                <w:szCs w:val="22"/>
                <w:highlight w:val="none"/>
              </w:rPr>
            </w:pPr>
          </w:p>
        </w:tc>
        <w:tc>
          <w:tcPr>
            <w:tcW w:w="2880" w:type="dxa"/>
            <w:vAlign w:val="center"/>
          </w:tcPr>
          <w:p w14:paraId="0EE07D03">
            <w:pPr>
              <w:spacing w:line="360" w:lineRule="auto"/>
              <w:jc w:val="center"/>
              <w:rPr>
                <w:rFonts w:ascii="新宋体" w:hAnsi="新宋体" w:eastAsia="新宋体"/>
                <w:b/>
                <w:bCs/>
                <w:color w:val="auto"/>
                <w:sz w:val="22"/>
                <w:szCs w:val="22"/>
                <w:highlight w:val="none"/>
              </w:rPr>
            </w:pPr>
          </w:p>
        </w:tc>
        <w:tc>
          <w:tcPr>
            <w:tcW w:w="1661" w:type="dxa"/>
            <w:vAlign w:val="center"/>
          </w:tcPr>
          <w:p w14:paraId="2FCC025C">
            <w:pPr>
              <w:spacing w:line="360" w:lineRule="auto"/>
              <w:jc w:val="center"/>
              <w:rPr>
                <w:rFonts w:ascii="新宋体" w:hAnsi="新宋体" w:eastAsia="新宋体"/>
                <w:b/>
                <w:bCs/>
                <w:color w:val="auto"/>
                <w:sz w:val="22"/>
                <w:szCs w:val="22"/>
                <w:highlight w:val="none"/>
              </w:rPr>
            </w:pPr>
          </w:p>
        </w:tc>
        <w:tc>
          <w:tcPr>
            <w:tcW w:w="1260" w:type="dxa"/>
            <w:vAlign w:val="center"/>
          </w:tcPr>
          <w:p w14:paraId="640149E0">
            <w:pPr>
              <w:spacing w:line="360" w:lineRule="auto"/>
              <w:jc w:val="center"/>
              <w:rPr>
                <w:rFonts w:ascii="新宋体" w:hAnsi="新宋体" w:eastAsia="新宋体"/>
                <w:b/>
                <w:bCs/>
                <w:color w:val="auto"/>
                <w:sz w:val="22"/>
                <w:szCs w:val="22"/>
                <w:highlight w:val="none"/>
              </w:rPr>
            </w:pPr>
          </w:p>
        </w:tc>
        <w:tc>
          <w:tcPr>
            <w:tcW w:w="1219" w:type="dxa"/>
          </w:tcPr>
          <w:p w14:paraId="53E93DC4">
            <w:pPr>
              <w:rPr>
                <w:rFonts w:ascii="新宋体" w:hAnsi="新宋体" w:eastAsia="新宋体"/>
                <w:color w:val="auto"/>
                <w:sz w:val="22"/>
                <w:szCs w:val="22"/>
                <w:highlight w:val="none"/>
              </w:rPr>
            </w:pPr>
          </w:p>
        </w:tc>
      </w:tr>
      <w:tr w14:paraId="669E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4576587">
            <w:pPr>
              <w:spacing w:line="360" w:lineRule="auto"/>
              <w:jc w:val="center"/>
              <w:rPr>
                <w:rFonts w:ascii="新宋体" w:hAnsi="新宋体" w:eastAsia="新宋体"/>
                <w:color w:val="auto"/>
                <w:sz w:val="22"/>
                <w:szCs w:val="22"/>
                <w:highlight w:val="none"/>
              </w:rPr>
            </w:pPr>
          </w:p>
        </w:tc>
        <w:tc>
          <w:tcPr>
            <w:tcW w:w="1692" w:type="dxa"/>
            <w:vAlign w:val="center"/>
          </w:tcPr>
          <w:p w14:paraId="04AEF1A7">
            <w:pPr>
              <w:spacing w:line="360" w:lineRule="auto"/>
              <w:rPr>
                <w:rFonts w:ascii="新宋体" w:hAnsi="新宋体" w:eastAsia="新宋体"/>
                <w:b/>
                <w:bCs/>
                <w:color w:val="auto"/>
                <w:sz w:val="22"/>
                <w:szCs w:val="22"/>
                <w:highlight w:val="none"/>
              </w:rPr>
            </w:pPr>
          </w:p>
        </w:tc>
        <w:tc>
          <w:tcPr>
            <w:tcW w:w="2880" w:type="dxa"/>
            <w:vAlign w:val="center"/>
          </w:tcPr>
          <w:p w14:paraId="0E80D34A">
            <w:pPr>
              <w:spacing w:line="360" w:lineRule="auto"/>
              <w:jc w:val="center"/>
              <w:rPr>
                <w:rFonts w:ascii="新宋体" w:hAnsi="新宋体" w:eastAsia="新宋体"/>
                <w:b/>
                <w:bCs/>
                <w:color w:val="auto"/>
                <w:sz w:val="22"/>
                <w:szCs w:val="22"/>
                <w:highlight w:val="none"/>
              </w:rPr>
            </w:pPr>
          </w:p>
        </w:tc>
        <w:tc>
          <w:tcPr>
            <w:tcW w:w="1661" w:type="dxa"/>
            <w:vAlign w:val="center"/>
          </w:tcPr>
          <w:p w14:paraId="405CA0B4">
            <w:pPr>
              <w:spacing w:line="360" w:lineRule="auto"/>
              <w:jc w:val="center"/>
              <w:rPr>
                <w:rFonts w:ascii="新宋体" w:hAnsi="新宋体" w:eastAsia="新宋体"/>
                <w:b/>
                <w:bCs/>
                <w:color w:val="auto"/>
                <w:sz w:val="22"/>
                <w:szCs w:val="22"/>
                <w:highlight w:val="none"/>
              </w:rPr>
            </w:pPr>
          </w:p>
        </w:tc>
        <w:tc>
          <w:tcPr>
            <w:tcW w:w="1260" w:type="dxa"/>
            <w:vAlign w:val="center"/>
          </w:tcPr>
          <w:p w14:paraId="35838C16">
            <w:pPr>
              <w:spacing w:line="360" w:lineRule="auto"/>
              <w:jc w:val="center"/>
              <w:rPr>
                <w:rFonts w:ascii="新宋体" w:hAnsi="新宋体" w:eastAsia="新宋体"/>
                <w:b/>
                <w:bCs/>
                <w:color w:val="auto"/>
                <w:sz w:val="22"/>
                <w:szCs w:val="22"/>
                <w:highlight w:val="none"/>
              </w:rPr>
            </w:pPr>
          </w:p>
        </w:tc>
        <w:tc>
          <w:tcPr>
            <w:tcW w:w="1219" w:type="dxa"/>
          </w:tcPr>
          <w:p w14:paraId="0CDCAF4E">
            <w:pPr>
              <w:rPr>
                <w:rFonts w:ascii="新宋体" w:hAnsi="新宋体" w:eastAsia="新宋体"/>
                <w:color w:val="auto"/>
                <w:sz w:val="22"/>
                <w:szCs w:val="22"/>
                <w:highlight w:val="none"/>
              </w:rPr>
            </w:pPr>
          </w:p>
        </w:tc>
      </w:tr>
      <w:tr w14:paraId="07AE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B4B6A46">
            <w:pPr>
              <w:spacing w:line="360" w:lineRule="auto"/>
              <w:jc w:val="center"/>
              <w:rPr>
                <w:rFonts w:ascii="新宋体" w:hAnsi="新宋体" w:eastAsia="新宋体"/>
                <w:b/>
                <w:bCs/>
                <w:color w:val="auto"/>
                <w:sz w:val="22"/>
                <w:szCs w:val="22"/>
                <w:highlight w:val="none"/>
              </w:rPr>
            </w:pPr>
          </w:p>
        </w:tc>
        <w:tc>
          <w:tcPr>
            <w:tcW w:w="1692" w:type="dxa"/>
            <w:vAlign w:val="center"/>
          </w:tcPr>
          <w:p w14:paraId="4BF5C41B">
            <w:pPr>
              <w:spacing w:line="360" w:lineRule="auto"/>
              <w:rPr>
                <w:rFonts w:ascii="新宋体" w:hAnsi="新宋体" w:eastAsia="新宋体"/>
                <w:b/>
                <w:bCs/>
                <w:color w:val="auto"/>
                <w:sz w:val="22"/>
                <w:szCs w:val="22"/>
                <w:highlight w:val="none"/>
              </w:rPr>
            </w:pPr>
          </w:p>
        </w:tc>
        <w:tc>
          <w:tcPr>
            <w:tcW w:w="2880" w:type="dxa"/>
            <w:vAlign w:val="center"/>
          </w:tcPr>
          <w:p w14:paraId="5D1A1B52">
            <w:pPr>
              <w:spacing w:line="360" w:lineRule="auto"/>
              <w:jc w:val="center"/>
              <w:rPr>
                <w:rFonts w:ascii="新宋体" w:hAnsi="新宋体" w:eastAsia="新宋体"/>
                <w:b/>
                <w:bCs/>
                <w:color w:val="auto"/>
                <w:sz w:val="22"/>
                <w:szCs w:val="22"/>
                <w:highlight w:val="none"/>
              </w:rPr>
            </w:pPr>
          </w:p>
        </w:tc>
        <w:tc>
          <w:tcPr>
            <w:tcW w:w="1661" w:type="dxa"/>
            <w:vAlign w:val="center"/>
          </w:tcPr>
          <w:p w14:paraId="02D0E485">
            <w:pPr>
              <w:spacing w:line="360" w:lineRule="auto"/>
              <w:jc w:val="center"/>
              <w:rPr>
                <w:rFonts w:ascii="新宋体" w:hAnsi="新宋体" w:eastAsia="新宋体"/>
                <w:b/>
                <w:bCs/>
                <w:color w:val="auto"/>
                <w:sz w:val="22"/>
                <w:szCs w:val="22"/>
                <w:highlight w:val="none"/>
              </w:rPr>
            </w:pPr>
          </w:p>
        </w:tc>
        <w:tc>
          <w:tcPr>
            <w:tcW w:w="1260" w:type="dxa"/>
            <w:vAlign w:val="center"/>
          </w:tcPr>
          <w:p w14:paraId="22F88D5A">
            <w:pPr>
              <w:spacing w:line="360" w:lineRule="auto"/>
              <w:jc w:val="center"/>
              <w:rPr>
                <w:rFonts w:ascii="新宋体" w:hAnsi="新宋体" w:eastAsia="新宋体"/>
                <w:b/>
                <w:bCs/>
                <w:color w:val="auto"/>
                <w:sz w:val="22"/>
                <w:szCs w:val="22"/>
                <w:highlight w:val="none"/>
              </w:rPr>
            </w:pPr>
          </w:p>
        </w:tc>
        <w:tc>
          <w:tcPr>
            <w:tcW w:w="1219" w:type="dxa"/>
          </w:tcPr>
          <w:p w14:paraId="0647EE3F">
            <w:pPr>
              <w:rPr>
                <w:rFonts w:ascii="新宋体" w:hAnsi="新宋体" w:eastAsia="新宋体"/>
                <w:color w:val="auto"/>
                <w:sz w:val="22"/>
                <w:szCs w:val="22"/>
                <w:highlight w:val="none"/>
              </w:rPr>
            </w:pPr>
          </w:p>
        </w:tc>
      </w:tr>
      <w:tr w14:paraId="4078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7CDD370">
            <w:pPr>
              <w:spacing w:line="360" w:lineRule="auto"/>
              <w:jc w:val="center"/>
              <w:rPr>
                <w:rFonts w:ascii="新宋体" w:hAnsi="新宋体" w:eastAsia="新宋体"/>
                <w:bCs/>
                <w:color w:val="auto"/>
                <w:sz w:val="22"/>
                <w:szCs w:val="22"/>
                <w:highlight w:val="none"/>
              </w:rPr>
            </w:pPr>
          </w:p>
        </w:tc>
        <w:tc>
          <w:tcPr>
            <w:tcW w:w="1692" w:type="dxa"/>
            <w:vAlign w:val="center"/>
          </w:tcPr>
          <w:p w14:paraId="58A0C047">
            <w:pPr>
              <w:spacing w:line="360" w:lineRule="auto"/>
              <w:rPr>
                <w:rFonts w:ascii="新宋体" w:hAnsi="新宋体" w:eastAsia="新宋体"/>
                <w:color w:val="auto"/>
                <w:sz w:val="22"/>
                <w:szCs w:val="22"/>
                <w:highlight w:val="none"/>
              </w:rPr>
            </w:pPr>
          </w:p>
        </w:tc>
        <w:tc>
          <w:tcPr>
            <w:tcW w:w="2880" w:type="dxa"/>
            <w:vAlign w:val="center"/>
          </w:tcPr>
          <w:p w14:paraId="6EC9C0B3">
            <w:pPr>
              <w:spacing w:line="360" w:lineRule="auto"/>
              <w:jc w:val="center"/>
              <w:rPr>
                <w:rFonts w:ascii="新宋体" w:hAnsi="新宋体" w:eastAsia="新宋体"/>
                <w:b/>
                <w:bCs/>
                <w:color w:val="auto"/>
                <w:sz w:val="22"/>
                <w:szCs w:val="22"/>
                <w:highlight w:val="none"/>
              </w:rPr>
            </w:pPr>
          </w:p>
        </w:tc>
        <w:tc>
          <w:tcPr>
            <w:tcW w:w="1661" w:type="dxa"/>
            <w:vAlign w:val="center"/>
          </w:tcPr>
          <w:p w14:paraId="0DAF06C2">
            <w:pPr>
              <w:spacing w:line="360" w:lineRule="auto"/>
              <w:jc w:val="center"/>
              <w:rPr>
                <w:rFonts w:ascii="新宋体" w:hAnsi="新宋体" w:eastAsia="新宋体"/>
                <w:b/>
                <w:bCs/>
                <w:color w:val="auto"/>
                <w:sz w:val="22"/>
                <w:szCs w:val="22"/>
                <w:highlight w:val="none"/>
              </w:rPr>
            </w:pPr>
          </w:p>
        </w:tc>
        <w:tc>
          <w:tcPr>
            <w:tcW w:w="1260" w:type="dxa"/>
            <w:vAlign w:val="center"/>
          </w:tcPr>
          <w:p w14:paraId="7F1A12DF">
            <w:pPr>
              <w:spacing w:line="360" w:lineRule="auto"/>
              <w:jc w:val="center"/>
              <w:rPr>
                <w:rFonts w:ascii="新宋体" w:hAnsi="新宋体" w:eastAsia="新宋体"/>
                <w:b/>
                <w:bCs/>
                <w:color w:val="auto"/>
                <w:sz w:val="22"/>
                <w:szCs w:val="22"/>
                <w:highlight w:val="none"/>
              </w:rPr>
            </w:pPr>
          </w:p>
        </w:tc>
        <w:tc>
          <w:tcPr>
            <w:tcW w:w="1219" w:type="dxa"/>
          </w:tcPr>
          <w:p w14:paraId="2B517C98">
            <w:pPr>
              <w:rPr>
                <w:rFonts w:ascii="新宋体" w:hAnsi="新宋体" w:eastAsia="新宋体"/>
                <w:color w:val="auto"/>
                <w:sz w:val="22"/>
                <w:szCs w:val="22"/>
                <w:highlight w:val="none"/>
              </w:rPr>
            </w:pPr>
          </w:p>
        </w:tc>
      </w:tr>
      <w:tr w14:paraId="3CBD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9BF5CF3">
            <w:pPr>
              <w:spacing w:line="360" w:lineRule="auto"/>
              <w:jc w:val="center"/>
              <w:rPr>
                <w:rFonts w:ascii="新宋体" w:hAnsi="新宋体" w:eastAsia="新宋体"/>
                <w:b/>
                <w:bCs/>
                <w:color w:val="auto"/>
                <w:sz w:val="22"/>
                <w:szCs w:val="22"/>
                <w:highlight w:val="none"/>
              </w:rPr>
            </w:pPr>
          </w:p>
        </w:tc>
        <w:tc>
          <w:tcPr>
            <w:tcW w:w="1692" w:type="dxa"/>
            <w:vAlign w:val="center"/>
          </w:tcPr>
          <w:p w14:paraId="2E00407F">
            <w:pPr>
              <w:spacing w:line="360" w:lineRule="auto"/>
              <w:rPr>
                <w:rFonts w:ascii="新宋体" w:hAnsi="新宋体" w:eastAsia="新宋体"/>
                <w:b/>
                <w:bCs/>
                <w:color w:val="auto"/>
                <w:sz w:val="22"/>
                <w:szCs w:val="22"/>
                <w:highlight w:val="none"/>
              </w:rPr>
            </w:pPr>
          </w:p>
        </w:tc>
        <w:tc>
          <w:tcPr>
            <w:tcW w:w="2880" w:type="dxa"/>
            <w:vAlign w:val="center"/>
          </w:tcPr>
          <w:p w14:paraId="02164559">
            <w:pPr>
              <w:spacing w:line="360" w:lineRule="auto"/>
              <w:jc w:val="center"/>
              <w:rPr>
                <w:rFonts w:ascii="新宋体" w:hAnsi="新宋体" w:eastAsia="新宋体"/>
                <w:b/>
                <w:bCs/>
                <w:color w:val="auto"/>
                <w:sz w:val="22"/>
                <w:szCs w:val="22"/>
                <w:highlight w:val="none"/>
              </w:rPr>
            </w:pPr>
          </w:p>
        </w:tc>
        <w:tc>
          <w:tcPr>
            <w:tcW w:w="1661" w:type="dxa"/>
            <w:vAlign w:val="center"/>
          </w:tcPr>
          <w:p w14:paraId="12F103CF">
            <w:pPr>
              <w:spacing w:line="360" w:lineRule="auto"/>
              <w:jc w:val="center"/>
              <w:rPr>
                <w:rFonts w:ascii="新宋体" w:hAnsi="新宋体" w:eastAsia="新宋体"/>
                <w:b/>
                <w:bCs/>
                <w:color w:val="auto"/>
                <w:sz w:val="22"/>
                <w:szCs w:val="22"/>
                <w:highlight w:val="none"/>
              </w:rPr>
            </w:pPr>
          </w:p>
        </w:tc>
        <w:tc>
          <w:tcPr>
            <w:tcW w:w="1260" w:type="dxa"/>
            <w:vAlign w:val="center"/>
          </w:tcPr>
          <w:p w14:paraId="3AA6CAC8">
            <w:pPr>
              <w:spacing w:line="360" w:lineRule="auto"/>
              <w:jc w:val="center"/>
              <w:rPr>
                <w:rFonts w:ascii="新宋体" w:hAnsi="新宋体" w:eastAsia="新宋体"/>
                <w:b/>
                <w:bCs/>
                <w:color w:val="auto"/>
                <w:sz w:val="22"/>
                <w:szCs w:val="22"/>
                <w:highlight w:val="none"/>
              </w:rPr>
            </w:pPr>
          </w:p>
        </w:tc>
        <w:tc>
          <w:tcPr>
            <w:tcW w:w="1219" w:type="dxa"/>
          </w:tcPr>
          <w:p w14:paraId="33FEE73F">
            <w:pPr>
              <w:rPr>
                <w:rFonts w:ascii="新宋体" w:hAnsi="新宋体" w:eastAsia="新宋体"/>
                <w:color w:val="auto"/>
                <w:sz w:val="22"/>
                <w:szCs w:val="22"/>
                <w:highlight w:val="none"/>
              </w:rPr>
            </w:pPr>
          </w:p>
        </w:tc>
      </w:tr>
      <w:tr w14:paraId="635B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9B72534">
            <w:pPr>
              <w:spacing w:line="360" w:lineRule="auto"/>
              <w:jc w:val="center"/>
              <w:rPr>
                <w:rFonts w:ascii="新宋体" w:hAnsi="新宋体" w:eastAsia="新宋体"/>
                <w:b/>
                <w:bCs/>
                <w:color w:val="auto"/>
                <w:sz w:val="22"/>
                <w:szCs w:val="22"/>
                <w:highlight w:val="none"/>
              </w:rPr>
            </w:pPr>
          </w:p>
        </w:tc>
        <w:tc>
          <w:tcPr>
            <w:tcW w:w="1692" w:type="dxa"/>
            <w:vAlign w:val="center"/>
          </w:tcPr>
          <w:p w14:paraId="2478B826">
            <w:pPr>
              <w:spacing w:line="360" w:lineRule="auto"/>
              <w:rPr>
                <w:rFonts w:ascii="新宋体" w:hAnsi="新宋体" w:eastAsia="新宋体"/>
                <w:color w:val="auto"/>
                <w:sz w:val="22"/>
                <w:szCs w:val="22"/>
                <w:highlight w:val="none"/>
              </w:rPr>
            </w:pPr>
          </w:p>
        </w:tc>
        <w:tc>
          <w:tcPr>
            <w:tcW w:w="2880" w:type="dxa"/>
            <w:vAlign w:val="center"/>
          </w:tcPr>
          <w:p w14:paraId="50832695">
            <w:pPr>
              <w:spacing w:line="360" w:lineRule="auto"/>
              <w:jc w:val="center"/>
              <w:rPr>
                <w:rFonts w:ascii="新宋体" w:hAnsi="新宋体" w:eastAsia="新宋体"/>
                <w:b/>
                <w:bCs/>
                <w:color w:val="auto"/>
                <w:sz w:val="22"/>
                <w:szCs w:val="22"/>
                <w:highlight w:val="none"/>
              </w:rPr>
            </w:pPr>
          </w:p>
        </w:tc>
        <w:tc>
          <w:tcPr>
            <w:tcW w:w="1661" w:type="dxa"/>
            <w:vAlign w:val="center"/>
          </w:tcPr>
          <w:p w14:paraId="1DF9F110">
            <w:pPr>
              <w:spacing w:line="360" w:lineRule="auto"/>
              <w:jc w:val="center"/>
              <w:rPr>
                <w:rFonts w:ascii="新宋体" w:hAnsi="新宋体" w:eastAsia="新宋体"/>
                <w:b/>
                <w:bCs/>
                <w:color w:val="auto"/>
                <w:sz w:val="22"/>
                <w:szCs w:val="22"/>
                <w:highlight w:val="none"/>
              </w:rPr>
            </w:pPr>
          </w:p>
        </w:tc>
        <w:tc>
          <w:tcPr>
            <w:tcW w:w="1260" w:type="dxa"/>
            <w:vAlign w:val="center"/>
          </w:tcPr>
          <w:p w14:paraId="419D7842">
            <w:pPr>
              <w:spacing w:line="360" w:lineRule="auto"/>
              <w:jc w:val="center"/>
              <w:rPr>
                <w:rFonts w:ascii="新宋体" w:hAnsi="新宋体" w:eastAsia="新宋体"/>
                <w:b/>
                <w:bCs/>
                <w:color w:val="auto"/>
                <w:sz w:val="22"/>
                <w:szCs w:val="22"/>
                <w:highlight w:val="none"/>
              </w:rPr>
            </w:pPr>
          </w:p>
        </w:tc>
        <w:tc>
          <w:tcPr>
            <w:tcW w:w="1219" w:type="dxa"/>
          </w:tcPr>
          <w:p w14:paraId="4AA141BB">
            <w:pPr>
              <w:rPr>
                <w:rFonts w:ascii="新宋体" w:hAnsi="新宋体" w:eastAsia="新宋体"/>
                <w:color w:val="auto"/>
                <w:sz w:val="22"/>
                <w:szCs w:val="22"/>
                <w:highlight w:val="none"/>
              </w:rPr>
            </w:pPr>
          </w:p>
        </w:tc>
      </w:tr>
      <w:tr w14:paraId="7D6A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615568B">
            <w:pPr>
              <w:spacing w:line="360" w:lineRule="auto"/>
              <w:jc w:val="center"/>
              <w:rPr>
                <w:rFonts w:ascii="新宋体" w:hAnsi="新宋体" w:eastAsia="新宋体"/>
                <w:b/>
                <w:bCs/>
                <w:color w:val="auto"/>
                <w:sz w:val="22"/>
                <w:szCs w:val="22"/>
                <w:highlight w:val="none"/>
              </w:rPr>
            </w:pPr>
          </w:p>
        </w:tc>
        <w:tc>
          <w:tcPr>
            <w:tcW w:w="1692" w:type="dxa"/>
            <w:vAlign w:val="center"/>
          </w:tcPr>
          <w:p w14:paraId="074C0C60">
            <w:pPr>
              <w:spacing w:line="360" w:lineRule="auto"/>
              <w:rPr>
                <w:rFonts w:ascii="新宋体" w:hAnsi="新宋体" w:eastAsia="新宋体"/>
                <w:b/>
                <w:bCs/>
                <w:color w:val="auto"/>
                <w:sz w:val="22"/>
                <w:szCs w:val="22"/>
                <w:highlight w:val="none"/>
              </w:rPr>
            </w:pPr>
          </w:p>
        </w:tc>
        <w:tc>
          <w:tcPr>
            <w:tcW w:w="2880" w:type="dxa"/>
            <w:vAlign w:val="center"/>
          </w:tcPr>
          <w:p w14:paraId="0B5FDCBF">
            <w:pPr>
              <w:spacing w:line="360" w:lineRule="auto"/>
              <w:jc w:val="center"/>
              <w:rPr>
                <w:rFonts w:ascii="新宋体" w:hAnsi="新宋体" w:eastAsia="新宋体"/>
                <w:b/>
                <w:bCs/>
                <w:color w:val="auto"/>
                <w:sz w:val="22"/>
                <w:szCs w:val="22"/>
                <w:highlight w:val="none"/>
              </w:rPr>
            </w:pPr>
          </w:p>
        </w:tc>
        <w:tc>
          <w:tcPr>
            <w:tcW w:w="1661" w:type="dxa"/>
            <w:vAlign w:val="center"/>
          </w:tcPr>
          <w:p w14:paraId="69AF9D2E">
            <w:pPr>
              <w:spacing w:line="360" w:lineRule="auto"/>
              <w:jc w:val="center"/>
              <w:rPr>
                <w:rFonts w:ascii="新宋体" w:hAnsi="新宋体" w:eastAsia="新宋体"/>
                <w:b/>
                <w:bCs/>
                <w:color w:val="auto"/>
                <w:sz w:val="22"/>
                <w:szCs w:val="22"/>
                <w:highlight w:val="none"/>
              </w:rPr>
            </w:pPr>
          </w:p>
        </w:tc>
        <w:tc>
          <w:tcPr>
            <w:tcW w:w="1260" w:type="dxa"/>
            <w:vAlign w:val="center"/>
          </w:tcPr>
          <w:p w14:paraId="482C7712">
            <w:pPr>
              <w:spacing w:line="360" w:lineRule="auto"/>
              <w:jc w:val="center"/>
              <w:rPr>
                <w:rFonts w:ascii="新宋体" w:hAnsi="新宋体" w:eastAsia="新宋体"/>
                <w:b/>
                <w:bCs/>
                <w:color w:val="auto"/>
                <w:sz w:val="22"/>
                <w:szCs w:val="22"/>
                <w:highlight w:val="none"/>
              </w:rPr>
            </w:pPr>
          </w:p>
        </w:tc>
        <w:tc>
          <w:tcPr>
            <w:tcW w:w="1219" w:type="dxa"/>
          </w:tcPr>
          <w:p w14:paraId="4F9921F0">
            <w:pPr>
              <w:rPr>
                <w:rFonts w:ascii="新宋体" w:hAnsi="新宋体" w:eastAsia="新宋体"/>
                <w:color w:val="auto"/>
                <w:sz w:val="22"/>
                <w:szCs w:val="22"/>
                <w:highlight w:val="none"/>
              </w:rPr>
            </w:pPr>
          </w:p>
        </w:tc>
      </w:tr>
      <w:tr w14:paraId="6837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72A674C">
            <w:pPr>
              <w:spacing w:line="360" w:lineRule="auto"/>
              <w:jc w:val="center"/>
              <w:rPr>
                <w:rFonts w:ascii="新宋体" w:hAnsi="新宋体" w:eastAsia="新宋体"/>
                <w:b/>
                <w:bCs/>
                <w:color w:val="auto"/>
                <w:sz w:val="22"/>
                <w:szCs w:val="22"/>
                <w:highlight w:val="none"/>
              </w:rPr>
            </w:pPr>
          </w:p>
        </w:tc>
        <w:tc>
          <w:tcPr>
            <w:tcW w:w="1692" w:type="dxa"/>
            <w:vAlign w:val="center"/>
          </w:tcPr>
          <w:p w14:paraId="602E5361">
            <w:pPr>
              <w:spacing w:line="360" w:lineRule="auto"/>
              <w:rPr>
                <w:rFonts w:ascii="新宋体" w:hAnsi="新宋体" w:eastAsia="新宋体"/>
                <w:b/>
                <w:bCs/>
                <w:color w:val="auto"/>
                <w:sz w:val="22"/>
                <w:szCs w:val="22"/>
                <w:highlight w:val="none"/>
              </w:rPr>
            </w:pPr>
          </w:p>
        </w:tc>
        <w:tc>
          <w:tcPr>
            <w:tcW w:w="2880" w:type="dxa"/>
            <w:vAlign w:val="center"/>
          </w:tcPr>
          <w:p w14:paraId="0067D2F7">
            <w:pPr>
              <w:spacing w:line="360" w:lineRule="auto"/>
              <w:jc w:val="center"/>
              <w:rPr>
                <w:rFonts w:ascii="新宋体" w:hAnsi="新宋体" w:eastAsia="新宋体"/>
                <w:b/>
                <w:bCs/>
                <w:color w:val="auto"/>
                <w:sz w:val="22"/>
                <w:szCs w:val="22"/>
                <w:highlight w:val="none"/>
              </w:rPr>
            </w:pPr>
          </w:p>
        </w:tc>
        <w:tc>
          <w:tcPr>
            <w:tcW w:w="1661" w:type="dxa"/>
            <w:vAlign w:val="center"/>
          </w:tcPr>
          <w:p w14:paraId="0B79CCFC">
            <w:pPr>
              <w:spacing w:line="360" w:lineRule="auto"/>
              <w:jc w:val="center"/>
              <w:rPr>
                <w:rFonts w:ascii="新宋体" w:hAnsi="新宋体" w:eastAsia="新宋体"/>
                <w:b/>
                <w:bCs/>
                <w:color w:val="auto"/>
                <w:sz w:val="22"/>
                <w:szCs w:val="22"/>
                <w:highlight w:val="none"/>
              </w:rPr>
            </w:pPr>
          </w:p>
        </w:tc>
        <w:tc>
          <w:tcPr>
            <w:tcW w:w="1260" w:type="dxa"/>
            <w:vAlign w:val="center"/>
          </w:tcPr>
          <w:p w14:paraId="09F7E1A2">
            <w:pPr>
              <w:spacing w:line="360" w:lineRule="auto"/>
              <w:jc w:val="center"/>
              <w:rPr>
                <w:rFonts w:ascii="新宋体" w:hAnsi="新宋体" w:eastAsia="新宋体"/>
                <w:b/>
                <w:bCs/>
                <w:color w:val="auto"/>
                <w:sz w:val="22"/>
                <w:szCs w:val="22"/>
                <w:highlight w:val="none"/>
              </w:rPr>
            </w:pPr>
          </w:p>
        </w:tc>
        <w:tc>
          <w:tcPr>
            <w:tcW w:w="1219" w:type="dxa"/>
          </w:tcPr>
          <w:p w14:paraId="7B7065E1">
            <w:pPr>
              <w:rPr>
                <w:rFonts w:ascii="新宋体" w:hAnsi="新宋体" w:eastAsia="新宋体"/>
                <w:color w:val="auto"/>
                <w:sz w:val="22"/>
                <w:szCs w:val="22"/>
                <w:highlight w:val="none"/>
              </w:rPr>
            </w:pPr>
          </w:p>
        </w:tc>
      </w:tr>
      <w:tr w14:paraId="6CF7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935C4BE">
            <w:pPr>
              <w:spacing w:line="360" w:lineRule="auto"/>
              <w:jc w:val="center"/>
              <w:rPr>
                <w:rFonts w:ascii="新宋体" w:hAnsi="新宋体" w:eastAsia="新宋体"/>
                <w:color w:val="auto"/>
                <w:sz w:val="22"/>
                <w:szCs w:val="22"/>
                <w:highlight w:val="none"/>
              </w:rPr>
            </w:pPr>
          </w:p>
        </w:tc>
        <w:tc>
          <w:tcPr>
            <w:tcW w:w="1692" w:type="dxa"/>
            <w:vAlign w:val="center"/>
          </w:tcPr>
          <w:p w14:paraId="220C9E74">
            <w:pPr>
              <w:spacing w:line="360" w:lineRule="auto"/>
              <w:rPr>
                <w:rFonts w:ascii="新宋体" w:hAnsi="新宋体" w:eastAsia="新宋体"/>
                <w:color w:val="auto"/>
                <w:sz w:val="22"/>
                <w:szCs w:val="22"/>
                <w:highlight w:val="none"/>
              </w:rPr>
            </w:pPr>
          </w:p>
        </w:tc>
        <w:tc>
          <w:tcPr>
            <w:tcW w:w="2880" w:type="dxa"/>
            <w:vAlign w:val="center"/>
          </w:tcPr>
          <w:p w14:paraId="1B61797F">
            <w:pPr>
              <w:spacing w:line="360" w:lineRule="auto"/>
              <w:jc w:val="center"/>
              <w:rPr>
                <w:rFonts w:ascii="新宋体" w:hAnsi="新宋体" w:eastAsia="新宋体"/>
                <w:b/>
                <w:bCs/>
                <w:color w:val="auto"/>
                <w:sz w:val="22"/>
                <w:szCs w:val="22"/>
                <w:highlight w:val="none"/>
              </w:rPr>
            </w:pPr>
          </w:p>
        </w:tc>
        <w:tc>
          <w:tcPr>
            <w:tcW w:w="1661" w:type="dxa"/>
            <w:vAlign w:val="center"/>
          </w:tcPr>
          <w:p w14:paraId="3E409080">
            <w:pPr>
              <w:spacing w:line="360" w:lineRule="auto"/>
              <w:jc w:val="center"/>
              <w:rPr>
                <w:rFonts w:ascii="新宋体" w:hAnsi="新宋体" w:eastAsia="新宋体"/>
                <w:b/>
                <w:bCs/>
                <w:color w:val="auto"/>
                <w:sz w:val="22"/>
                <w:szCs w:val="22"/>
                <w:highlight w:val="none"/>
              </w:rPr>
            </w:pPr>
          </w:p>
        </w:tc>
        <w:tc>
          <w:tcPr>
            <w:tcW w:w="1260" w:type="dxa"/>
            <w:vAlign w:val="center"/>
          </w:tcPr>
          <w:p w14:paraId="6585EBF1">
            <w:pPr>
              <w:spacing w:line="360" w:lineRule="auto"/>
              <w:jc w:val="center"/>
              <w:rPr>
                <w:rFonts w:ascii="新宋体" w:hAnsi="新宋体" w:eastAsia="新宋体"/>
                <w:b/>
                <w:bCs/>
                <w:color w:val="auto"/>
                <w:sz w:val="22"/>
                <w:szCs w:val="22"/>
                <w:highlight w:val="none"/>
              </w:rPr>
            </w:pPr>
          </w:p>
        </w:tc>
        <w:tc>
          <w:tcPr>
            <w:tcW w:w="1219" w:type="dxa"/>
          </w:tcPr>
          <w:p w14:paraId="649F4336">
            <w:pPr>
              <w:rPr>
                <w:rFonts w:ascii="新宋体" w:hAnsi="新宋体" w:eastAsia="新宋体"/>
                <w:color w:val="auto"/>
                <w:sz w:val="22"/>
                <w:szCs w:val="22"/>
                <w:highlight w:val="none"/>
              </w:rPr>
            </w:pPr>
          </w:p>
        </w:tc>
      </w:tr>
      <w:tr w14:paraId="495D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C89B252">
            <w:pPr>
              <w:spacing w:line="360" w:lineRule="auto"/>
              <w:rPr>
                <w:rFonts w:ascii="新宋体" w:hAnsi="新宋体" w:eastAsia="新宋体"/>
                <w:color w:val="auto"/>
                <w:sz w:val="22"/>
                <w:szCs w:val="22"/>
                <w:highlight w:val="none"/>
              </w:rPr>
            </w:pPr>
          </w:p>
        </w:tc>
        <w:tc>
          <w:tcPr>
            <w:tcW w:w="1692" w:type="dxa"/>
            <w:vAlign w:val="center"/>
          </w:tcPr>
          <w:p w14:paraId="3A0F0179">
            <w:pPr>
              <w:spacing w:line="360" w:lineRule="auto"/>
              <w:rPr>
                <w:rFonts w:ascii="新宋体" w:hAnsi="新宋体" w:eastAsia="新宋体"/>
                <w:color w:val="auto"/>
                <w:sz w:val="22"/>
                <w:szCs w:val="22"/>
                <w:highlight w:val="none"/>
              </w:rPr>
            </w:pPr>
          </w:p>
        </w:tc>
        <w:tc>
          <w:tcPr>
            <w:tcW w:w="2880" w:type="dxa"/>
            <w:vAlign w:val="center"/>
          </w:tcPr>
          <w:p w14:paraId="35160698">
            <w:pPr>
              <w:spacing w:line="360" w:lineRule="auto"/>
              <w:jc w:val="center"/>
              <w:rPr>
                <w:rFonts w:ascii="新宋体" w:hAnsi="新宋体" w:eastAsia="新宋体"/>
                <w:b/>
                <w:bCs/>
                <w:color w:val="auto"/>
                <w:sz w:val="22"/>
                <w:szCs w:val="22"/>
                <w:highlight w:val="none"/>
              </w:rPr>
            </w:pPr>
          </w:p>
        </w:tc>
        <w:tc>
          <w:tcPr>
            <w:tcW w:w="1661" w:type="dxa"/>
            <w:vAlign w:val="center"/>
          </w:tcPr>
          <w:p w14:paraId="309EC3D2">
            <w:pPr>
              <w:spacing w:line="360" w:lineRule="auto"/>
              <w:jc w:val="center"/>
              <w:rPr>
                <w:rFonts w:ascii="新宋体" w:hAnsi="新宋体" w:eastAsia="新宋体"/>
                <w:b/>
                <w:bCs/>
                <w:color w:val="auto"/>
                <w:sz w:val="22"/>
                <w:szCs w:val="22"/>
                <w:highlight w:val="none"/>
              </w:rPr>
            </w:pPr>
          </w:p>
        </w:tc>
        <w:tc>
          <w:tcPr>
            <w:tcW w:w="1260" w:type="dxa"/>
            <w:vAlign w:val="center"/>
          </w:tcPr>
          <w:p w14:paraId="7E73BD4C">
            <w:pPr>
              <w:spacing w:line="360" w:lineRule="auto"/>
              <w:jc w:val="center"/>
              <w:rPr>
                <w:rFonts w:ascii="新宋体" w:hAnsi="新宋体" w:eastAsia="新宋体"/>
                <w:b/>
                <w:bCs/>
                <w:color w:val="auto"/>
                <w:sz w:val="22"/>
                <w:szCs w:val="22"/>
                <w:highlight w:val="none"/>
              </w:rPr>
            </w:pPr>
          </w:p>
        </w:tc>
        <w:tc>
          <w:tcPr>
            <w:tcW w:w="1219" w:type="dxa"/>
          </w:tcPr>
          <w:p w14:paraId="4BDEAF5A">
            <w:pPr>
              <w:rPr>
                <w:rFonts w:ascii="新宋体" w:hAnsi="新宋体" w:eastAsia="新宋体"/>
                <w:color w:val="auto"/>
                <w:sz w:val="22"/>
                <w:szCs w:val="22"/>
                <w:highlight w:val="none"/>
              </w:rPr>
            </w:pPr>
          </w:p>
        </w:tc>
      </w:tr>
      <w:tr w14:paraId="0845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904DFB4">
            <w:pPr>
              <w:spacing w:line="360" w:lineRule="auto"/>
              <w:jc w:val="center"/>
              <w:rPr>
                <w:rFonts w:ascii="新宋体" w:hAnsi="新宋体" w:eastAsia="新宋体"/>
                <w:b/>
                <w:bCs/>
                <w:color w:val="auto"/>
                <w:sz w:val="22"/>
                <w:szCs w:val="22"/>
                <w:highlight w:val="none"/>
              </w:rPr>
            </w:pPr>
          </w:p>
        </w:tc>
        <w:tc>
          <w:tcPr>
            <w:tcW w:w="1692" w:type="dxa"/>
          </w:tcPr>
          <w:p w14:paraId="489E42DC">
            <w:pPr>
              <w:spacing w:line="360" w:lineRule="auto"/>
              <w:rPr>
                <w:rFonts w:ascii="新宋体" w:hAnsi="新宋体" w:eastAsia="新宋体"/>
                <w:color w:val="auto"/>
                <w:sz w:val="22"/>
                <w:szCs w:val="22"/>
                <w:highlight w:val="none"/>
              </w:rPr>
            </w:pPr>
          </w:p>
        </w:tc>
        <w:tc>
          <w:tcPr>
            <w:tcW w:w="2880" w:type="dxa"/>
            <w:vAlign w:val="center"/>
          </w:tcPr>
          <w:p w14:paraId="1269C045">
            <w:pPr>
              <w:spacing w:line="360" w:lineRule="auto"/>
              <w:jc w:val="center"/>
              <w:rPr>
                <w:rFonts w:ascii="新宋体" w:hAnsi="新宋体" w:eastAsia="新宋体"/>
                <w:b/>
                <w:bCs/>
                <w:color w:val="auto"/>
                <w:sz w:val="22"/>
                <w:szCs w:val="22"/>
                <w:highlight w:val="none"/>
              </w:rPr>
            </w:pPr>
          </w:p>
        </w:tc>
        <w:tc>
          <w:tcPr>
            <w:tcW w:w="1661" w:type="dxa"/>
            <w:vAlign w:val="center"/>
          </w:tcPr>
          <w:p w14:paraId="34CAB548">
            <w:pPr>
              <w:spacing w:line="360" w:lineRule="auto"/>
              <w:jc w:val="center"/>
              <w:rPr>
                <w:rFonts w:ascii="新宋体" w:hAnsi="新宋体" w:eastAsia="新宋体"/>
                <w:b/>
                <w:bCs/>
                <w:color w:val="auto"/>
                <w:sz w:val="22"/>
                <w:szCs w:val="22"/>
                <w:highlight w:val="none"/>
              </w:rPr>
            </w:pPr>
          </w:p>
        </w:tc>
        <w:tc>
          <w:tcPr>
            <w:tcW w:w="1260" w:type="dxa"/>
            <w:vAlign w:val="center"/>
          </w:tcPr>
          <w:p w14:paraId="2B9B86B5">
            <w:pPr>
              <w:spacing w:line="360" w:lineRule="auto"/>
              <w:jc w:val="center"/>
              <w:rPr>
                <w:rFonts w:ascii="新宋体" w:hAnsi="新宋体" w:eastAsia="新宋体"/>
                <w:b/>
                <w:bCs/>
                <w:color w:val="auto"/>
                <w:sz w:val="22"/>
                <w:szCs w:val="22"/>
                <w:highlight w:val="none"/>
              </w:rPr>
            </w:pPr>
          </w:p>
        </w:tc>
        <w:tc>
          <w:tcPr>
            <w:tcW w:w="1219" w:type="dxa"/>
          </w:tcPr>
          <w:p w14:paraId="0029C1E9">
            <w:pPr>
              <w:rPr>
                <w:rFonts w:ascii="新宋体" w:hAnsi="新宋体" w:eastAsia="新宋体"/>
                <w:color w:val="auto"/>
                <w:sz w:val="22"/>
                <w:szCs w:val="22"/>
                <w:highlight w:val="none"/>
              </w:rPr>
            </w:pPr>
          </w:p>
        </w:tc>
      </w:tr>
    </w:tbl>
    <w:p w14:paraId="09184E2C">
      <w:pPr>
        <w:pStyle w:val="30"/>
        <w:spacing w:line="400" w:lineRule="atLeast"/>
        <w:rPr>
          <w:rFonts w:hAnsi="宋体" w:cs="宋体"/>
          <w:color w:val="auto"/>
          <w:sz w:val="22"/>
          <w:szCs w:val="22"/>
          <w:highlight w:val="none"/>
        </w:rPr>
      </w:pPr>
    </w:p>
    <w:p w14:paraId="35C5E9B6">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53816DFA">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14D73A59">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0EC55BCE">
      <w:pPr>
        <w:spacing w:line="460" w:lineRule="exact"/>
        <w:ind w:firstLine="5060" w:firstLineChars="2300"/>
        <w:rPr>
          <w:rFonts w:ascii="宋体" w:hAnsi="宋体" w:cs="宋体"/>
          <w:color w:val="auto"/>
          <w:sz w:val="22"/>
          <w:szCs w:val="22"/>
          <w:highlight w:val="none"/>
        </w:rPr>
      </w:pPr>
    </w:p>
    <w:p w14:paraId="4F224CC8">
      <w:pPr>
        <w:rPr>
          <w:rFonts w:ascii="宋体" w:hAnsi="宋体" w:cs="宋体"/>
          <w:b/>
          <w:color w:val="auto"/>
          <w:sz w:val="24"/>
          <w:highlight w:val="none"/>
        </w:rPr>
      </w:pPr>
      <w:r>
        <w:rPr>
          <w:rFonts w:hint="eastAsia" w:ascii="宋体" w:hAnsi="宋体" w:cs="宋体"/>
          <w:b/>
          <w:color w:val="auto"/>
          <w:sz w:val="24"/>
          <w:highlight w:val="none"/>
        </w:rPr>
        <w:br w:type="page"/>
      </w:r>
    </w:p>
    <w:p w14:paraId="4268D2C3">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5、备品、易损件、备件、专用工具清单</w:t>
      </w:r>
    </w:p>
    <w:p w14:paraId="280D017A">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项目编号： </w:t>
      </w:r>
    </w:p>
    <w:p w14:paraId="7541D4D8">
      <w:pPr>
        <w:keepNext/>
        <w:spacing w:line="360" w:lineRule="auto"/>
        <w:rPr>
          <w:color w:val="auto"/>
          <w:highlight w:val="none"/>
        </w:rPr>
      </w:pPr>
      <w:r>
        <w:rPr>
          <w:rFonts w:hint="eastAsia" w:ascii="宋体" w:hAnsi="宋体" w:cs="宋体"/>
          <w:color w:val="auto"/>
          <w:sz w:val="22"/>
          <w:szCs w:val="22"/>
          <w:highlight w:val="none"/>
        </w:rPr>
        <w:t xml:space="preserve">项目名称：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00E4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2331632D">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3E847A74">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0B1CF213">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2A217A09">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208591C9">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2A18234A">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147F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BA7AAD5">
            <w:pPr>
              <w:spacing w:line="400" w:lineRule="exact"/>
              <w:jc w:val="center"/>
              <w:rPr>
                <w:rFonts w:ascii="新宋体" w:hAnsi="新宋体" w:eastAsia="新宋体" w:cs="新宋体"/>
                <w:color w:val="auto"/>
                <w:sz w:val="22"/>
                <w:szCs w:val="22"/>
                <w:highlight w:val="none"/>
              </w:rPr>
            </w:pPr>
          </w:p>
        </w:tc>
        <w:tc>
          <w:tcPr>
            <w:tcW w:w="1240" w:type="dxa"/>
          </w:tcPr>
          <w:p w14:paraId="5A30F09A">
            <w:pPr>
              <w:spacing w:line="400" w:lineRule="exact"/>
              <w:rPr>
                <w:rFonts w:ascii="新宋体" w:hAnsi="新宋体" w:eastAsia="新宋体" w:cs="新宋体"/>
                <w:color w:val="auto"/>
                <w:sz w:val="22"/>
                <w:szCs w:val="22"/>
                <w:highlight w:val="none"/>
              </w:rPr>
            </w:pPr>
          </w:p>
        </w:tc>
        <w:tc>
          <w:tcPr>
            <w:tcW w:w="1404" w:type="dxa"/>
          </w:tcPr>
          <w:p w14:paraId="128016E7">
            <w:pPr>
              <w:spacing w:line="400" w:lineRule="exact"/>
              <w:rPr>
                <w:rFonts w:ascii="新宋体" w:hAnsi="新宋体" w:eastAsia="新宋体" w:cs="新宋体"/>
                <w:color w:val="auto"/>
                <w:sz w:val="22"/>
                <w:szCs w:val="22"/>
                <w:highlight w:val="none"/>
              </w:rPr>
            </w:pPr>
          </w:p>
        </w:tc>
        <w:tc>
          <w:tcPr>
            <w:tcW w:w="796" w:type="dxa"/>
          </w:tcPr>
          <w:p w14:paraId="0612EAB5">
            <w:pPr>
              <w:spacing w:line="400" w:lineRule="exact"/>
              <w:rPr>
                <w:rFonts w:ascii="新宋体" w:hAnsi="新宋体" w:eastAsia="新宋体" w:cs="新宋体"/>
                <w:color w:val="auto"/>
                <w:sz w:val="22"/>
                <w:szCs w:val="22"/>
                <w:highlight w:val="none"/>
              </w:rPr>
            </w:pPr>
          </w:p>
        </w:tc>
        <w:tc>
          <w:tcPr>
            <w:tcW w:w="3704" w:type="dxa"/>
          </w:tcPr>
          <w:p w14:paraId="109ABE46">
            <w:pPr>
              <w:spacing w:line="400" w:lineRule="exact"/>
              <w:rPr>
                <w:rFonts w:ascii="新宋体" w:hAnsi="新宋体" w:eastAsia="新宋体" w:cs="新宋体"/>
                <w:color w:val="auto"/>
                <w:sz w:val="22"/>
                <w:szCs w:val="22"/>
                <w:highlight w:val="none"/>
              </w:rPr>
            </w:pPr>
          </w:p>
        </w:tc>
        <w:tc>
          <w:tcPr>
            <w:tcW w:w="1568" w:type="dxa"/>
          </w:tcPr>
          <w:p w14:paraId="0823B695">
            <w:pPr>
              <w:spacing w:line="400" w:lineRule="exact"/>
              <w:rPr>
                <w:rFonts w:ascii="新宋体" w:hAnsi="新宋体" w:eastAsia="新宋体" w:cs="新宋体"/>
                <w:color w:val="auto"/>
                <w:sz w:val="22"/>
                <w:szCs w:val="22"/>
                <w:highlight w:val="none"/>
              </w:rPr>
            </w:pPr>
          </w:p>
        </w:tc>
      </w:tr>
      <w:tr w14:paraId="3243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2E149C7">
            <w:pPr>
              <w:spacing w:line="400" w:lineRule="exact"/>
              <w:jc w:val="center"/>
              <w:rPr>
                <w:rFonts w:ascii="新宋体" w:hAnsi="新宋体" w:eastAsia="新宋体" w:cs="新宋体"/>
                <w:color w:val="auto"/>
                <w:sz w:val="22"/>
                <w:szCs w:val="22"/>
                <w:highlight w:val="none"/>
              </w:rPr>
            </w:pPr>
          </w:p>
        </w:tc>
        <w:tc>
          <w:tcPr>
            <w:tcW w:w="1240" w:type="dxa"/>
          </w:tcPr>
          <w:p w14:paraId="38EE1C60">
            <w:pPr>
              <w:spacing w:line="400" w:lineRule="exact"/>
              <w:rPr>
                <w:rFonts w:ascii="新宋体" w:hAnsi="新宋体" w:eastAsia="新宋体" w:cs="新宋体"/>
                <w:color w:val="auto"/>
                <w:sz w:val="22"/>
                <w:szCs w:val="22"/>
                <w:highlight w:val="none"/>
              </w:rPr>
            </w:pPr>
          </w:p>
        </w:tc>
        <w:tc>
          <w:tcPr>
            <w:tcW w:w="1404" w:type="dxa"/>
          </w:tcPr>
          <w:p w14:paraId="355ED06D">
            <w:pPr>
              <w:spacing w:line="400" w:lineRule="exact"/>
              <w:rPr>
                <w:rFonts w:ascii="新宋体" w:hAnsi="新宋体" w:eastAsia="新宋体" w:cs="新宋体"/>
                <w:color w:val="auto"/>
                <w:sz w:val="22"/>
                <w:szCs w:val="22"/>
                <w:highlight w:val="none"/>
              </w:rPr>
            </w:pPr>
          </w:p>
        </w:tc>
        <w:tc>
          <w:tcPr>
            <w:tcW w:w="796" w:type="dxa"/>
          </w:tcPr>
          <w:p w14:paraId="342AAC04">
            <w:pPr>
              <w:spacing w:line="400" w:lineRule="exact"/>
              <w:rPr>
                <w:rFonts w:ascii="新宋体" w:hAnsi="新宋体" w:eastAsia="新宋体" w:cs="新宋体"/>
                <w:color w:val="auto"/>
                <w:sz w:val="22"/>
                <w:szCs w:val="22"/>
                <w:highlight w:val="none"/>
              </w:rPr>
            </w:pPr>
          </w:p>
        </w:tc>
        <w:tc>
          <w:tcPr>
            <w:tcW w:w="3704" w:type="dxa"/>
          </w:tcPr>
          <w:p w14:paraId="74AEF0E5">
            <w:pPr>
              <w:spacing w:line="400" w:lineRule="exact"/>
              <w:rPr>
                <w:rFonts w:ascii="新宋体" w:hAnsi="新宋体" w:eastAsia="新宋体" w:cs="新宋体"/>
                <w:color w:val="auto"/>
                <w:sz w:val="22"/>
                <w:szCs w:val="22"/>
                <w:highlight w:val="none"/>
              </w:rPr>
            </w:pPr>
          </w:p>
        </w:tc>
        <w:tc>
          <w:tcPr>
            <w:tcW w:w="1568" w:type="dxa"/>
          </w:tcPr>
          <w:p w14:paraId="2C2F3CE6">
            <w:pPr>
              <w:spacing w:line="400" w:lineRule="exact"/>
              <w:rPr>
                <w:rFonts w:ascii="新宋体" w:hAnsi="新宋体" w:eastAsia="新宋体" w:cs="新宋体"/>
                <w:color w:val="auto"/>
                <w:sz w:val="22"/>
                <w:szCs w:val="22"/>
                <w:highlight w:val="none"/>
              </w:rPr>
            </w:pPr>
          </w:p>
        </w:tc>
      </w:tr>
      <w:tr w14:paraId="2767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A4B4CE6">
            <w:pPr>
              <w:spacing w:line="400" w:lineRule="exact"/>
              <w:jc w:val="center"/>
              <w:rPr>
                <w:rFonts w:ascii="新宋体" w:hAnsi="新宋体" w:eastAsia="新宋体" w:cs="新宋体"/>
                <w:color w:val="auto"/>
                <w:sz w:val="22"/>
                <w:szCs w:val="22"/>
                <w:highlight w:val="none"/>
              </w:rPr>
            </w:pPr>
          </w:p>
        </w:tc>
        <w:tc>
          <w:tcPr>
            <w:tcW w:w="1240" w:type="dxa"/>
          </w:tcPr>
          <w:p w14:paraId="51613059">
            <w:pPr>
              <w:spacing w:line="400" w:lineRule="exact"/>
              <w:rPr>
                <w:rFonts w:ascii="新宋体" w:hAnsi="新宋体" w:eastAsia="新宋体" w:cs="新宋体"/>
                <w:color w:val="auto"/>
                <w:sz w:val="22"/>
                <w:szCs w:val="22"/>
                <w:highlight w:val="none"/>
              </w:rPr>
            </w:pPr>
          </w:p>
        </w:tc>
        <w:tc>
          <w:tcPr>
            <w:tcW w:w="1404" w:type="dxa"/>
          </w:tcPr>
          <w:p w14:paraId="56C459EC">
            <w:pPr>
              <w:spacing w:line="400" w:lineRule="exact"/>
              <w:rPr>
                <w:rFonts w:ascii="新宋体" w:hAnsi="新宋体" w:eastAsia="新宋体" w:cs="新宋体"/>
                <w:color w:val="auto"/>
                <w:sz w:val="22"/>
                <w:szCs w:val="22"/>
                <w:highlight w:val="none"/>
              </w:rPr>
            </w:pPr>
          </w:p>
        </w:tc>
        <w:tc>
          <w:tcPr>
            <w:tcW w:w="796" w:type="dxa"/>
          </w:tcPr>
          <w:p w14:paraId="3968CB64">
            <w:pPr>
              <w:spacing w:line="400" w:lineRule="exact"/>
              <w:rPr>
                <w:rFonts w:ascii="新宋体" w:hAnsi="新宋体" w:eastAsia="新宋体" w:cs="新宋体"/>
                <w:color w:val="auto"/>
                <w:sz w:val="22"/>
                <w:szCs w:val="22"/>
                <w:highlight w:val="none"/>
              </w:rPr>
            </w:pPr>
          </w:p>
        </w:tc>
        <w:tc>
          <w:tcPr>
            <w:tcW w:w="3704" w:type="dxa"/>
          </w:tcPr>
          <w:p w14:paraId="38E78112">
            <w:pPr>
              <w:spacing w:line="400" w:lineRule="exact"/>
              <w:rPr>
                <w:rFonts w:ascii="新宋体" w:hAnsi="新宋体" w:eastAsia="新宋体" w:cs="新宋体"/>
                <w:color w:val="auto"/>
                <w:sz w:val="22"/>
                <w:szCs w:val="22"/>
                <w:highlight w:val="none"/>
              </w:rPr>
            </w:pPr>
          </w:p>
        </w:tc>
        <w:tc>
          <w:tcPr>
            <w:tcW w:w="1568" w:type="dxa"/>
          </w:tcPr>
          <w:p w14:paraId="5CDE19F9">
            <w:pPr>
              <w:spacing w:line="400" w:lineRule="exact"/>
              <w:rPr>
                <w:rFonts w:ascii="新宋体" w:hAnsi="新宋体" w:eastAsia="新宋体" w:cs="新宋体"/>
                <w:color w:val="auto"/>
                <w:sz w:val="22"/>
                <w:szCs w:val="22"/>
                <w:highlight w:val="none"/>
              </w:rPr>
            </w:pPr>
          </w:p>
        </w:tc>
      </w:tr>
      <w:tr w14:paraId="47C5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DF61533">
            <w:pPr>
              <w:spacing w:line="400" w:lineRule="exact"/>
              <w:jc w:val="center"/>
              <w:rPr>
                <w:rFonts w:ascii="新宋体" w:hAnsi="新宋体" w:eastAsia="新宋体" w:cs="新宋体"/>
                <w:color w:val="auto"/>
                <w:sz w:val="22"/>
                <w:szCs w:val="22"/>
                <w:highlight w:val="none"/>
              </w:rPr>
            </w:pPr>
          </w:p>
        </w:tc>
        <w:tc>
          <w:tcPr>
            <w:tcW w:w="1240" w:type="dxa"/>
          </w:tcPr>
          <w:p w14:paraId="57A56A42">
            <w:pPr>
              <w:spacing w:line="400" w:lineRule="exact"/>
              <w:rPr>
                <w:rFonts w:ascii="新宋体" w:hAnsi="新宋体" w:eastAsia="新宋体" w:cs="新宋体"/>
                <w:color w:val="auto"/>
                <w:sz w:val="22"/>
                <w:szCs w:val="22"/>
                <w:highlight w:val="none"/>
              </w:rPr>
            </w:pPr>
          </w:p>
        </w:tc>
        <w:tc>
          <w:tcPr>
            <w:tcW w:w="1404" w:type="dxa"/>
          </w:tcPr>
          <w:p w14:paraId="053BCD3F">
            <w:pPr>
              <w:spacing w:line="400" w:lineRule="exact"/>
              <w:rPr>
                <w:rFonts w:ascii="新宋体" w:hAnsi="新宋体" w:eastAsia="新宋体" w:cs="新宋体"/>
                <w:color w:val="auto"/>
                <w:sz w:val="22"/>
                <w:szCs w:val="22"/>
                <w:highlight w:val="none"/>
              </w:rPr>
            </w:pPr>
          </w:p>
        </w:tc>
        <w:tc>
          <w:tcPr>
            <w:tcW w:w="796" w:type="dxa"/>
          </w:tcPr>
          <w:p w14:paraId="37A7BB27">
            <w:pPr>
              <w:spacing w:line="400" w:lineRule="exact"/>
              <w:rPr>
                <w:rFonts w:ascii="新宋体" w:hAnsi="新宋体" w:eastAsia="新宋体" w:cs="新宋体"/>
                <w:color w:val="auto"/>
                <w:sz w:val="22"/>
                <w:szCs w:val="22"/>
                <w:highlight w:val="none"/>
              </w:rPr>
            </w:pPr>
          </w:p>
        </w:tc>
        <w:tc>
          <w:tcPr>
            <w:tcW w:w="3704" w:type="dxa"/>
          </w:tcPr>
          <w:p w14:paraId="581593DB">
            <w:pPr>
              <w:spacing w:line="400" w:lineRule="exact"/>
              <w:rPr>
                <w:rFonts w:ascii="新宋体" w:hAnsi="新宋体" w:eastAsia="新宋体" w:cs="新宋体"/>
                <w:color w:val="auto"/>
                <w:sz w:val="22"/>
                <w:szCs w:val="22"/>
                <w:highlight w:val="none"/>
              </w:rPr>
            </w:pPr>
          </w:p>
        </w:tc>
        <w:tc>
          <w:tcPr>
            <w:tcW w:w="1568" w:type="dxa"/>
          </w:tcPr>
          <w:p w14:paraId="66C35AB2">
            <w:pPr>
              <w:spacing w:line="400" w:lineRule="exact"/>
              <w:rPr>
                <w:rFonts w:ascii="新宋体" w:hAnsi="新宋体" w:eastAsia="新宋体" w:cs="新宋体"/>
                <w:color w:val="auto"/>
                <w:sz w:val="22"/>
                <w:szCs w:val="22"/>
                <w:highlight w:val="none"/>
              </w:rPr>
            </w:pPr>
          </w:p>
        </w:tc>
      </w:tr>
      <w:tr w14:paraId="29D8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AF5660C">
            <w:pPr>
              <w:spacing w:line="400" w:lineRule="exact"/>
              <w:jc w:val="center"/>
              <w:rPr>
                <w:rFonts w:ascii="新宋体" w:hAnsi="新宋体" w:eastAsia="新宋体" w:cs="新宋体"/>
                <w:color w:val="auto"/>
                <w:sz w:val="22"/>
                <w:szCs w:val="22"/>
                <w:highlight w:val="none"/>
              </w:rPr>
            </w:pPr>
          </w:p>
        </w:tc>
        <w:tc>
          <w:tcPr>
            <w:tcW w:w="1240" w:type="dxa"/>
          </w:tcPr>
          <w:p w14:paraId="310A0F3F">
            <w:pPr>
              <w:spacing w:line="400" w:lineRule="exact"/>
              <w:rPr>
                <w:rFonts w:ascii="新宋体" w:hAnsi="新宋体" w:eastAsia="新宋体" w:cs="新宋体"/>
                <w:color w:val="auto"/>
                <w:sz w:val="22"/>
                <w:szCs w:val="22"/>
                <w:highlight w:val="none"/>
              </w:rPr>
            </w:pPr>
          </w:p>
        </w:tc>
        <w:tc>
          <w:tcPr>
            <w:tcW w:w="1404" w:type="dxa"/>
          </w:tcPr>
          <w:p w14:paraId="07393F24">
            <w:pPr>
              <w:spacing w:line="400" w:lineRule="exact"/>
              <w:rPr>
                <w:rFonts w:ascii="新宋体" w:hAnsi="新宋体" w:eastAsia="新宋体" w:cs="新宋体"/>
                <w:color w:val="auto"/>
                <w:sz w:val="22"/>
                <w:szCs w:val="22"/>
                <w:highlight w:val="none"/>
              </w:rPr>
            </w:pPr>
          </w:p>
        </w:tc>
        <w:tc>
          <w:tcPr>
            <w:tcW w:w="796" w:type="dxa"/>
          </w:tcPr>
          <w:p w14:paraId="10414E08">
            <w:pPr>
              <w:spacing w:line="400" w:lineRule="exact"/>
              <w:rPr>
                <w:rFonts w:ascii="新宋体" w:hAnsi="新宋体" w:eastAsia="新宋体" w:cs="新宋体"/>
                <w:color w:val="auto"/>
                <w:sz w:val="22"/>
                <w:szCs w:val="22"/>
                <w:highlight w:val="none"/>
              </w:rPr>
            </w:pPr>
          </w:p>
        </w:tc>
        <w:tc>
          <w:tcPr>
            <w:tcW w:w="3704" w:type="dxa"/>
          </w:tcPr>
          <w:p w14:paraId="35EBB877">
            <w:pPr>
              <w:spacing w:line="400" w:lineRule="exact"/>
              <w:rPr>
                <w:rFonts w:ascii="新宋体" w:hAnsi="新宋体" w:eastAsia="新宋体" w:cs="新宋体"/>
                <w:color w:val="auto"/>
                <w:sz w:val="22"/>
                <w:szCs w:val="22"/>
                <w:highlight w:val="none"/>
              </w:rPr>
            </w:pPr>
          </w:p>
        </w:tc>
        <w:tc>
          <w:tcPr>
            <w:tcW w:w="1568" w:type="dxa"/>
          </w:tcPr>
          <w:p w14:paraId="055A5AEE">
            <w:pPr>
              <w:spacing w:line="400" w:lineRule="exact"/>
              <w:rPr>
                <w:rFonts w:ascii="新宋体" w:hAnsi="新宋体" w:eastAsia="新宋体" w:cs="新宋体"/>
                <w:color w:val="auto"/>
                <w:sz w:val="22"/>
                <w:szCs w:val="22"/>
                <w:highlight w:val="none"/>
              </w:rPr>
            </w:pPr>
          </w:p>
        </w:tc>
      </w:tr>
      <w:tr w14:paraId="74AD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3E2F61C">
            <w:pPr>
              <w:spacing w:line="400" w:lineRule="exact"/>
              <w:jc w:val="center"/>
              <w:rPr>
                <w:rFonts w:ascii="新宋体" w:hAnsi="新宋体" w:eastAsia="新宋体" w:cs="新宋体"/>
                <w:color w:val="auto"/>
                <w:sz w:val="22"/>
                <w:szCs w:val="22"/>
                <w:highlight w:val="none"/>
              </w:rPr>
            </w:pPr>
          </w:p>
        </w:tc>
        <w:tc>
          <w:tcPr>
            <w:tcW w:w="1240" w:type="dxa"/>
          </w:tcPr>
          <w:p w14:paraId="087428DF">
            <w:pPr>
              <w:spacing w:line="400" w:lineRule="exact"/>
              <w:rPr>
                <w:rFonts w:ascii="新宋体" w:hAnsi="新宋体" w:eastAsia="新宋体" w:cs="新宋体"/>
                <w:color w:val="auto"/>
                <w:sz w:val="22"/>
                <w:szCs w:val="22"/>
                <w:highlight w:val="none"/>
              </w:rPr>
            </w:pPr>
          </w:p>
        </w:tc>
        <w:tc>
          <w:tcPr>
            <w:tcW w:w="1404" w:type="dxa"/>
          </w:tcPr>
          <w:p w14:paraId="11A371FA">
            <w:pPr>
              <w:spacing w:line="400" w:lineRule="exact"/>
              <w:rPr>
                <w:rFonts w:ascii="新宋体" w:hAnsi="新宋体" w:eastAsia="新宋体" w:cs="新宋体"/>
                <w:color w:val="auto"/>
                <w:sz w:val="22"/>
                <w:szCs w:val="22"/>
                <w:highlight w:val="none"/>
              </w:rPr>
            </w:pPr>
          </w:p>
        </w:tc>
        <w:tc>
          <w:tcPr>
            <w:tcW w:w="796" w:type="dxa"/>
          </w:tcPr>
          <w:p w14:paraId="53E29C19">
            <w:pPr>
              <w:spacing w:line="400" w:lineRule="exact"/>
              <w:rPr>
                <w:rFonts w:ascii="新宋体" w:hAnsi="新宋体" w:eastAsia="新宋体" w:cs="新宋体"/>
                <w:color w:val="auto"/>
                <w:sz w:val="22"/>
                <w:szCs w:val="22"/>
                <w:highlight w:val="none"/>
              </w:rPr>
            </w:pPr>
          </w:p>
        </w:tc>
        <w:tc>
          <w:tcPr>
            <w:tcW w:w="3704" w:type="dxa"/>
          </w:tcPr>
          <w:p w14:paraId="46A0DF53">
            <w:pPr>
              <w:spacing w:line="400" w:lineRule="exact"/>
              <w:rPr>
                <w:rFonts w:ascii="新宋体" w:hAnsi="新宋体" w:eastAsia="新宋体" w:cs="新宋体"/>
                <w:color w:val="auto"/>
                <w:sz w:val="22"/>
                <w:szCs w:val="22"/>
                <w:highlight w:val="none"/>
              </w:rPr>
            </w:pPr>
          </w:p>
        </w:tc>
        <w:tc>
          <w:tcPr>
            <w:tcW w:w="1568" w:type="dxa"/>
          </w:tcPr>
          <w:p w14:paraId="19F5F8DF">
            <w:pPr>
              <w:spacing w:line="400" w:lineRule="exact"/>
              <w:rPr>
                <w:rFonts w:ascii="新宋体" w:hAnsi="新宋体" w:eastAsia="新宋体" w:cs="新宋体"/>
                <w:color w:val="auto"/>
                <w:sz w:val="22"/>
                <w:szCs w:val="22"/>
                <w:highlight w:val="none"/>
              </w:rPr>
            </w:pPr>
          </w:p>
        </w:tc>
      </w:tr>
      <w:tr w14:paraId="68F0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34387BC">
            <w:pPr>
              <w:spacing w:line="400" w:lineRule="exact"/>
              <w:jc w:val="center"/>
              <w:rPr>
                <w:rFonts w:ascii="新宋体" w:hAnsi="新宋体" w:eastAsia="新宋体" w:cs="新宋体"/>
                <w:color w:val="auto"/>
                <w:sz w:val="22"/>
                <w:szCs w:val="22"/>
                <w:highlight w:val="none"/>
              </w:rPr>
            </w:pPr>
          </w:p>
        </w:tc>
        <w:tc>
          <w:tcPr>
            <w:tcW w:w="1240" w:type="dxa"/>
          </w:tcPr>
          <w:p w14:paraId="3C13FF8B">
            <w:pPr>
              <w:spacing w:line="400" w:lineRule="exact"/>
              <w:rPr>
                <w:rFonts w:ascii="新宋体" w:hAnsi="新宋体" w:eastAsia="新宋体" w:cs="新宋体"/>
                <w:color w:val="auto"/>
                <w:sz w:val="22"/>
                <w:szCs w:val="22"/>
                <w:highlight w:val="none"/>
              </w:rPr>
            </w:pPr>
          </w:p>
        </w:tc>
        <w:tc>
          <w:tcPr>
            <w:tcW w:w="1404" w:type="dxa"/>
          </w:tcPr>
          <w:p w14:paraId="650E6787">
            <w:pPr>
              <w:spacing w:line="400" w:lineRule="exact"/>
              <w:rPr>
                <w:rFonts w:ascii="新宋体" w:hAnsi="新宋体" w:eastAsia="新宋体" w:cs="新宋体"/>
                <w:color w:val="auto"/>
                <w:sz w:val="22"/>
                <w:szCs w:val="22"/>
                <w:highlight w:val="none"/>
              </w:rPr>
            </w:pPr>
          </w:p>
        </w:tc>
        <w:tc>
          <w:tcPr>
            <w:tcW w:w="796" w:type="dxa"/>
          </w:tcPr>
          <w:p w14:paraId="786C53D3">
            <w:pPr>
              <w:spacing w:line="400" w:lineRule="exact"/>
              <w:rPr>
                <w:rFonts w:ascii="新宋体" w:hAnsi="新宋体" w:eastAsia="新宋体" w:cs="新宋体"/>
                <w:color w:val="auto"/>
                <w:sz w:val="22"/>
                <w:szCs w:val="22"/>
                <w:highlight w:val="none"/>
              </w:rPr>
            </w:pPr>
          </w:p>
        </w:tc>
        <w:tc>
          <w:tcPr>
            <w:tcW w:w="3704" w:type="dxa"/>
          </w:tcPr>
          <w:p w14:paraId="2E9A4E21">
            <w:pPr>
              <w:spacing w:line="400" w:lineRule="exact"/>
              <w:rPr>
                <w:rFonts w:ascii="新宋体" w:hAnsi="新宋体" w:eastAsia="新宋体" w:cs="新宋体"/>
                <w:color w:val="auto"/>
                <w:sz w:val="22"/>
                <w:szCs w:val="22"/>
                <w:highlight w:val="none"/>
              </w:rPr>
            </w:pPr>
          </w:p>
        </w:tc>
        <w:tc>
          <w:tcPr>
            <w:tcW w:w="1568" w:type="dxa"/>
          </w:tcPr>
          <w:p w14:paraId="64EC5679">
            <w:pPr>
              <w:spacing w:line="400" w:lineRule="exact"/>
              <w:rPr>
                <w:rFonts w:ascii="新宋体" w:hAnsi="新宋体" w:eastAsia="新宋体" w:cs="新宋体"/>
                <w:color w:val="auto"/>
                <w:sz w:val="22"/>
                <w:szCs w:val="22"/>
                <w:highlight w:val="none"/>
              </w:rPr>
            </w:pPr>
          </w:p>
        </w:tc>
      </w:tr>
      <w:tr w14:paraId="4AAD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A4AD001">
            <w:pPr>
              <w:spacing w:line="400" w:lineRule="exact"/>
              <w:jc w:val="center"/>
              <w:rPr>
                <w:rFonts w:ascii="新宋体" w:hAnsi="新宋体" w:eastAsia="新宋体" w:cs="新宋体"/>
                <w:color w:val="auto"/>
                <w:sz w:val="22"/>
                <w:szCs w:val="22"/>
                <w:highlight w:val="none"/>
              </w:rPr>
            </w:pPr>
          </w:p>
        </w:tc>
        <w:tc>
          <w:tcPr>
            <w:tcW w:w="1240" w:type="dxa"/>
          </w:tcPr>
          <w:p w14:paraId="2DA51C00">
            <w:pPr>
              <w:spacing w:line="400" w:lineRule="exact"/>
              <w:rPr>
                <w:rFonts w:ascii="新宋体" w:hAnsi="新宋体" w:eastAsia="新宋体" w:cs="新宋体"/>
                <w:color w:val="auto"/>
                <w:sz w:val="22"/>
                <w:szCs w:val="22"/>
                <w:highlight w:val="none"/>
              </w:rPr>
            </w:pPr>
          </w:p>
        </w:tc>
        <w:tc>
          <w:tcPr>
            <w:tcW w:w="1404" w:type="dxa"/>
          </w:tcPr>
          <w:p w14:paraId="3E0CEDC8">
            <w:pPr>
              <w:spacing w:line="400" w:lineRule="exact"/>
              <w:rPr>
                <w:rFonts w:ascii="新宋体" w:hAnsi="新宋体" w:eastAsia="新宋体" w:cs="新宋体"/>
                <w:color w:val="auto"/>
                <w:sz w:val="22"/>
                <w:szCs w:val="22"/>
                <w:highlight w:val="none"/>
              </w:rPr>
            </w:pPr>
          </w:p>
        </w:tc>
        <w:tc>
          <w:tcPr>
            <w:tcW w:w="796" w:type="dxa"/>
          </w:tcPr>
          <w:p w14:paraId="57082018">
            <w:pPr>
              <w:spacing w:line="400" w:lineRule="exact"/>
              <w:rPr>
                <w:rFonts w:ascii="新宋体" w:hAnsi="新宋体" w:eastAsia="新宋体" w:cs="新宋体"/>
                <w:color w:val="auto"/>
                <w:sz w:val="22"/>
                <w:szCs w:val="22"/>
                <w:highlight w:val="none"/>
              </w:rPr>
            </w:pPr>
          </w:p>
        </w:tc>
        <w:tc>
          <w:tcPr>
            <w:tcW w:w="3704" w:type="dxa"/>
          </w:tcPr>
          <w:p w14:paraId="405B0831">
            <w:pPr>
              <w:spacing w:line="400" w:lineRule="exact"/>
              <w:rPr>
                <w:rFonts w:ascii="新宋体" w:hAnsi="新宋体" w:eastAsia="新宋体" w:cs="新宋体"/>
                <w:color w:val="auto"/>
                <w:sz w:val="22"/>
                <w:szCs w:val="22"/>
                <w:highlight w:val="none"/>
              </w:rPr>
            </w:pPr>
          </w:p>
        </w:tc>
        <w:tc>
          <w:tcPr>
            <w:tcW w:w="1568" w:type="dxa"/>
          </w:tcPr>
          <w:p w14:paraId="43AD58BC">
            <w:pPr>
              <w:spacing w:line="400" w:lineRule="exact"/>
              <w:rPr>
                <w:rFonts w:ascii="新宋体" w:hAnsi="新宋体" w:eastAsia="新宋体" w:cs="新宋体"/>
                <w:color w:val="auto"/>
                <w:sz w:val="22"/>
                <w:szCs w:val="22"/>
                <w:highlight w:val="none"/>
              </w:rPr>
            </w:pPr>
          </w:p>
        </w:tc>
      </w:tr>
      <w:tr w14:paraId="5B36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F63C11B">
            <w:pPr>
              <w:spacing w:line="400" w:lineRule="exact"/>
              <w:jc w:val="center"/>
              <w:rPr>
                <w:rFonts w:ascii="新宋体" w:hAnsi="新宋体" w:eastAsia="新宋体" w:cs="新宋体"/>
                <w:color w:val="auto"/>
                <w:sz w:val="22"/>
                <w:szCs w:val="22"/>
                <w:highlight w:val="none"/>
              </w:rPr>
            </w:pPr>
          </w:p>
        </w:tc>
        <w:tc>
          <w:tcPr>
            <w:tcW w:w="1240" w:type="dxa"/>
          </w:tcPr>
          <w:p w14:paraId="154F52C9">
            <w:pPr>
              <w:spacing w:line="400" w:lineRule="exact"/>
              <w:rPr>
                <w:rFonts w:ascii="新宋体" w:hAnsi="新宋体" w:eastAsia="新宋体" w:cs="新宋体"/>
                <w:color w:val="auto"/>
                <w:sz w:val="22"/>
                <w:szCs w:val="22"/>
                <w:highlight w:val="none"/>
              </w:rPr>
            </w:pPr>
          </w:p>
        </w:tc>
        <w:tc>
          <w:tcPr>
            <w:tcW w:w="1404" w:type="dxa"/>
          </w:tcPr>
          <w:p w14:paraId="1D4D2A22">
            <w:pPr>
              <w:spacing w:line="400" w:lineRule="exact"/>
              <w:rPr>
                <w:rFonts w:ascii="新宋体" w:hAnsi="新宋体" w:eastAsia="新宋体" w:cs="新宋体"/>
                <w:color w:val="auto"/>
                <w:sz w:val="22"/>
                <w:szCs w:val="22"/>
                <w:highlight w:val="none"/>
              </w:rPr>
            </w:pPr>
          </w:p>
        </w:tc>
        <w:tc>
          <w:tcPr>
            <w:tcW w:w="796" w:type="dxa"/>
          </w:tcPr>
          <w:p w14:paraId="534D4990">
            <w:pPr>
              <w:spacing w:line="400" w:lineRule="exact"/>
              <w:rPr>
                <w:rFonts w:ascii="新宋体" w:hAnsi="新宋体" w:eastAsia="新宋体" w:cs="新宋体"/>
                <w:color w:val="auto"/>
                <w:sz w:val="22"/>
                <w:szCs w:val="22"/>
                <w:highlight w:val="none"/>
              </w:rPr>
            </w:pPr>
          </w:p>
        </w:tc>
        <w:tc>
          <w:tcPr>
            <w:tcW w:w="3704" w:type="dxa"/>
          </w:tcPr>
          <w:p w14:paraId="53143F8F">
            <w:pPr>
              <w:spacing w:line="400" w:lineRule="exact"/>
              <w:rPr>
                <w:rFonts w:ascii="新宋体" w:hAnsi="新宋体" w:eastAsia="新宋体" w:cs="新宋体"/>
                <w:color w:val="auto"/>
                <w:sz w:val="22"/>
                <w:szCs w:val="22"/>
                <w:highlight w:val="none"/>
              </w:rPr>
            </w:pPr>
          </w:p>
        </w:tc>
        <w:tc>
          <w:tcPr>
            <w:tcW w:w="1568" w:type="dxa"/>
          </w:tcPr>
          <w:p w14:paraId="0CC41B45">
            <w:pPr>
              <w:spacing w:line="400" w:lineRule="exact"/>
              <w:rPr>
                <w:rFonts w:ascii="新宋体" w:hAnsi="新宋体" w:eastAsia="新宋体" w:cs="新宋体"/>
                <w:color w:val="auto"/>
                <w:sz w:val="22"/>
                <w:szCs w:val="22"/>
                <w:highlight w:val="none"/>
              </w:rPr>
            </w:pPr>
          </w:p>
        </w:tc>
      </w:tr>
      <w:tr w14:paraId="7390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9A70051">
            <w:pPr>
              <w:spacing w:line="400" w:lineRule="exact"/>
              <w:jc w:val="center"/>
              <w:rPr>
                <w:rFonts w:ascii="新宋体" w:hAnsi="新宋体" w:eastAsia="新宋体" w:cs="新宋体"/>
                <w:color w:val="auto"/>
                <w:sz w:val="22"/>
                <w:szCs w:val="22"/>
                <w:highlight w:val="none"/>
              </w:rPr>
            </w:pPr>
          </w:p>
        </w:tc>
        <w:tc>
          <w:tcPr>
            <w:tcW w:w="1240" w:type="dxa"/>
          </w:tcPr>
          <w:p w14:paraId="725FF4BB">
            <w:pPr>
              <w:spacing w:line="400" w:lineRule="exact"/>
              <w:rPr>
                <w:rFonts w:ascii="新宋体" w:hAnsi="新宋体" w:eastAsia="新宋体" w:cs="新宋体"/>
                <w:color w:val="auto"/>
                <w:sz w:val="22"/>
                <w:szCs w:val="22"/>
                <w:highlight w:val="none"/>
              </w:rPr>
            </w:pPr>
          </w:p>
        </w:tc>
        <w:tc>
          <w:tcPr>
            <w:tcW w:w="1404" w:type="dxa"/>
          </w:tcPr>
          <w:p w14:paraId="2E20ADDF">
            <w:pPr>
              <w:spacing w:line="400" w:lineRule="exact"/>
              <w:rPr>
                <w:rFonts w:ascii="新宋体" w:hAnsi="新宋体" w:eastAsia="新宋体" w:cs="新宋体"/>
                <w:color w:val="auto"/>
                <w:sz w:val="22"/>
                <w:szCs w:val="22"/>
                <w:highlight w:val="none"/>
              </w:rPr>
            </w:pPr>
          </w:p>
        </w:tc>
        <w:tc>
          <w:tcPr>
            <w:tcW w:w="796" w:type="dxa"/>
          </w:tcPr>
          <w:p w14:paraId="01F57E08">
            <w:pPr>
              <w:spacing w:line="400" w:lineRule="exact"/>
              <w:rPr>
                <w:rFonts w:ascii="新宋体" w:hAnsi="新宋体" w:eastAsia="新宋体" w:cs="新宋体"/>
                <w:color w:val="auto"/>
                <w:sz w:val="22"/>
                <w:szCs w:val="22"/>
                <w:highlight w:val="none"/>
              </w:rPr>
            </w:pPr>
          </w:p>
        </w:tc>
        <w:tc>
          <w:tcPr>
            <w:tcW w:w="3704" w:type="dxa"/>
          </w:tcPr>
          <w:p w14:paraId="7890F22C">
            <w:pPr>
              <w:spacing w:line="400" w:lineRule="exact"/>
              <w:rPr>
                <w:rFonts w:ascii="新宋体" w:hAnsi="新宋体" w:eastAsia="新宋体" w:cs="新宋体"/>
                <w:color w:val="auto"/>
                <w:sz w:val="22"/>
                <w:szCs w:val="22"/>
                <w:highlight w:val="none"/>
              </w:rPr>
            </w:pPr>
          </w:p>
        </w:tc>
        <w:tc>
          <w:tcPr>
            <w:tcW w:w="1568" w:type="dxa"/>
          </w:tcPr>
          <w:p w14:paraId="272B8578">
            <w:pPr>
              <w:spacing w:line="400" w:lineRule="exact"/>
              <w:rPr>
                <w:rFonts w:ascii="新宋体" w:hAnsi="新宋体" w:eastAsia="新宋体" w:cs="新宋体"/>
                <w:color w:val="auto"/>
                <w:sz w:val="22"/>
                <w:szCs w:val="22"/>
                <w:highlight w:val="none"/>
              </w:rPr>
            </w:pPr>
          </w:p>
        </w:tc>
      </w:tr>
      <w:tr w14:paraId="1DA2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4F199C8">
            <w:pPr>
              <w:spacing w:line="400" w:lineRule="exact"/>
              <w:jc w:val="center"/>
              <w:rPr>
                <w:rFonts w:ascii="新宋体" w:hAnsi="新宋体" w:eastAsia="新宋体" w:cs="新宋体"/>
                <w:color w:val="auto"/>
                <w:sz w:val="22"/>
                <w:szCs w:val="22"/>
                <w:highlight w:val="none"/>
              </w:rPr>
            </w:pPr>
          </w:p>
        </w:tc>
        <w:tc>
          <w:tcPr>
            <w:tcW w:w="1240" w:type="dxa"/>
          </w:tcPr>
          <w:p w14:paraId="260367D4">
            <w:pPr>
              <w:spacing w:line="400" w:lineRule="exact"/>
              <w:rPr>
                <w:rFonts w:ascii="新宋体" w:hAnsi="新宋体" w:eastAsia="新宋体" w:cs="新宋体"/>
                <w:color w:val="auto"/>
                <w:sz w:val="22"/>
                <w:szCs w:val="22"/>
                <w:highlight w:val="none"/>
              </w:rPr>
            </w:pPr>
          </w:p>
        </w:tc>
        <w:tc>
          <w:tcPr>
            <w:tcW w:w="1404" w:type="dxa"/>
          </w:tcPr>
          <w:p w14:paraId="35C8168C">
            <w:pPr>
              <w:spacing w:line="400" w:lineRule="exact"/>
              <w:rPr>
                <w:rFonts w:ascii="新宋体" w:hAnsi="新宋体" w:eastAsia="新宋体" w:cs="新宋体"/>
                <w:color w:val="auto"/>
                <w:sz w:val="22"/>
                <w:szCs w:val="22"/>
                <w:highlight w:val="none"/>
              </w:rPr>
            </w:pPr>
          </w:p>
        </w:tc>
        <w:tc>
          <w:tcPr>
            <w:tcW w:w="796" w:type="dxa"/>
          </w:tcPr>
          <w:p w14:paraId="285B15D1">
            <w:pPr>
              <w:spacing w:line="400" w:lineRule="exact"/>
              <w:rPr>
                <w:rFonts w:ascii="新宋体" w:hAnsi="新宋体" w:eastAsia="新宋体" w:cs="新宋体"/>
                <w:color w:val="auto"/>
                <w:sz w:val="22"/>
                <w:szCs w:val="22"/>
                <w:highlight w:val="none"/>
              </w:rPr>
            </w:pPr>
          </w:p>
        </w:tc>
        <w:tc>
          <w:tcPr>
            <w:tcW w:w="3704" w:type="dxa"/>
          </w:tcPr>
          <w:p w14:paraId="06C95939">
            <w:pPr>
              <w:spacing w:line="400" w:lineRule="exact"/>
              <w:rPr>
                <w:rFonts w:ascii="新宋体" w:hAnsi="新宋体" w:eastAsia="新宋体" w:cs="新宋体"/>
                <w:color w:val="auto"/>
                <w:sz w:val="22"/>
                <w:szCs w:val="22"/>
                <w:highlight w:val="none"/>
              </w:rPr>
            </w:pPr>
          </w:p>
        </w:tc>
        <w:tc>
          <w:tcPr>
            <w:tcW w:w="1568" w:type="dxa"/>
          </w:tcPr>
          <w:p w14:paraId="513EEB2B">
            <w:pPr>
              <w:spacing w:line="400" w:lineRule="exact"/>
              <w:rPr>
                <w:rFonts w:ascii="新宋体" w:hAnsi="新宋体" w:eastAsia="新宋体" w:cs="新宋体"/>
                <w:color w:val="auto"/>
                <w:sz w:val="22"/>
                <w:szCs w:val="22"/>
                <w:highlight w:val="none"/>
              </w:rPr>
            </w:pPr>
          </w:p>
        </w:tc>
      </w:tr>
      <w:tr w14:paraId="353C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4D42F58">
            <w:pPr>
              <w:spacing w:line="400" w:lineRule="exact"/>
              <w:jc w:val="center"/>
              <w:rPr>
                <w:rFonts w:ascii="新宋体" w:hAnsi="新宋体" w:eastAsia="新宋体" w:cs="新宋体"/>
                <w:color w:val="auto"/>
                <w:sz w:val="22"/>
                <w:szCs w:val="22"/>
                <w:highlight w:val="none"/>
              </w:rPr>
            </w:pPr>
          </w:p>
        </w:tc>
        <w:tc>
          <w:tcPr>
            <w:tcW w:w="1240" w:type="dxa"/>
          </w:tcPr>
          <w:p w14:paraId="7911AD4B">
            <w:pPr>
              <w:spacing w:line="400" w:lineRule="exact"/>
              <w:rPr>
                <w:rFonts w:ascii="新宋体" w:hAnsi="新宋体" w:eastAsia="新宋体" w:cs="新宋体"/>
                <w:color w:val="auto"/>
                <w:sz w:val="22"/>
                <w:szCs w:val="22"/>
                <w:highlight w:val="none"/>
              </w:rPr>
            </w:pPr>
          </w:p>
        </w:tc>
        <w:tc>
          <w:tcPr>
            <w:tcW w:w="1404" w:type="dxa"/>
          </w:tcPr>
          <w:p w14:paraId="56FB64DD">
            <w:pPr>
              <w:spacing w:line="400" w:lineRule="exact"/>
              <w:rPr>
                <w:rFonts w:ascii="新宋体" w:hAnsi="新宋体" w:eastAsia="新宋体" w:cs="新宋体"/>
                <w:color w:val="auto"/>
                <w:sz w:val="22"/>
                <w:szCs w:val="22"/>
                <w:highlight w:val="none"/>
              </w:rPr>
            </w:pPr>
          </w:p>
        </w:tc>
        <w:tc>
          <w:tcPr>
            <w:tcW w:w="796" w:type="dxa"/>
          </w:tcPr>
          <w:p w14:paraId="6035F45E">
            <w:pPr>
              <w:spacing w:line="400" w:lineRule="exact"/>
              <w:rPr>
                <w:rFonts w:ascii="新宋体" w:hAnsi="新宋体" w:eastAsia="新宋体" w:cs="新宋体"/>
                <w:color w:val="auto"/>
                <w:sz w:val="22"/>
                <w:szCs w:val="22"/>
                <w:highlight w:val="none"/>
              </w:rPr>
            </w:pPr>
          </w:p>
        </w:tc>
        <w:tc>
          <w:tcPr>
            <w:tcW w:w="3704" w:type="dxa"/>
          </w:tcPr>
          <w:p w14:paraId="1881B210">
            <w:pPr>
              <w:spacing w:line="400" w:lineRule="exact"/>
              <w:rPr>
                <w:rFonts w:ascii="新宋体" w:hAnsi="新宋体" w:eastAsia="新宋体" w:cs="新宋体"/>
                <w:color w:val="auto"/>
                <w:sz w:val="22"/>
                <w:szCs w:val="22"/>
                <w:highlight w:val="none"/>
              </w:rPr>
            </w:pPr>
          </w:p>
        </w:tc>
        <w:tc>
          <w:tcPr>
            <w:tcW w:w="1568" w:type="dxa"/>
          </w:tcPr>
          <w:p w14:paraId="5A4EAC0A">
            <w:pPr>
              <w:spacing w:line="400" w:lineRule="exact"/>
              <w:rPr>
                <w:rFonts w:ascii="新宋体" w:hAnsi="新宋体" w:eastAsia="新宋体" w:cs="新宋体"/>
                <w:color w:val="auto"/>
                <w:sz w:val="22"/>
                <w:szCs w:val="22"/>
                <w:highlight w:val="none"/>
              </w:rPr>
            </w:pPr>
          </w:p>
        </w:tc>
      </w:tr>
      <w:tr w14:paraId="72B0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3287762">
            <w:pPr>
              <w:spacing w:line="400" w:lineRule="exact"/>
              <w:jc w:val="center"/>
              <w:rPr>
                <w:rFonts w:ascii="新宋体" w:hAnsi="新宋体" w:eastAsia="新宋体" w:cs="新宋体"/>
                <w:color w:val="auto"/>
                <w:sz w:val="22"/>
                <w:szCs w:val="22"/>
                <w:highlight w:val="none"/>
              </w:rPr>
            </w:pPr>
          </w:p>
        </w:tc>
        <w:tc>
          <w:tcPr>
            <w:tcW w:w="1240" w:type="dxa"/>
          </w:tcPr>
          <w:p w14:paraId="6508CEDB">
            <w:pPr>
              <w:spacing w:line="400" w:lineRule="exact"/>
              <w:rPr>
                <w:rFonts w:ascii="新宋体" w:hAnsi="新宋体" w:eastAsia="新宋体" w:cs="新宋体"/>
                <w:color w:val="auto"/>
                <w:sz w:val="22"/>
                <w:szCs w:val="22"/>
                <w:highlight w:val="none"/>
              </w:rPr>
            </w:pPr>
          </w:p>
        </w:tc>
        <w:tc>
          <w:tcPr>
            <w:tcW w:w="1404" w:type="dxa"/>
          </w:tcPr>
          <w:p w14:paraId="57EA98EB">
            <w:pPr>
              <w:spacing w:line="400" w:lineRule="exact"/>
              <w:rPr>
                <w:rFonts w:ascii="新宋体" w:hAnsi="新宋体" w:eastAsia="新宋体" w:cs="新宋体"/>
                <w:color w:val="auto"/>
                <w:sz w:val="22"/>
                <w:szCs w:val="22"/>
                <w:highlight w:val="none"/>
              </w:rPr>
            </w:pPr>
          </w:p>
        </w:tc>
        <w:tc>
          <w:tcPr>
            <w:tcW w:w="796" w:type="dxa"/>
          </w:tcPr>
          <w:p w14:paraId="6A4C3567">
            <w:pPr>
              <w:spacing w:line="400" w:lineRule="exact"/>
              <w:rPr>
                <w:rFonts w:ascii="新宋体" w:hAnsi="新宋体" w:eastAsia="新宋体" w:cs="新宋体"/>
                <w:color w:val="auto"/>
                <w:sz w:val="22"/>
                <w:szCs w:val="22"/>
                <w:highlight w:val="none"/>
              </w:rPr>
            </w:pPr>
          </w:p>
        </w:tc>
        <w:tc>
          <w:tcPr>
            <w:tcW w:w="3704" w:type="dxa"/>
          </w:tcPr>
          <w:p w14:paraId="54A84EF2">
            <w:pPr>
              <w:spacing w:line="400" w:lineRule="exact"/>
              <w:rPr>
                <w:rFonts w:ascii="新宋体" w:hAnsi="新宋体" w:eastAsia="新宋体" w:cs="新宋体"/>
                <w:color w:val="auto"/>
                <w:sz w:val="22"/>
                <w:szCs w:val="22"/>
                <w:highlight w:val="none"/>
              </w:rPr>
            </w:pPr>
          </w:p>
        </w:tc>
        <w:tc>
          <w:tcPr>
            <w:tcW w:w="1568" w:type="dxa"/>
          </w:tcPr>
          <w:p w14:paraId="77489F47">
            <w:pPr>
              <w:spacing w:line="400" w:lineRule="exact"/>
              <w:rPr>
                <w:rFonts w:ascii="新宋体" w:hAnsi="新宋体" w:eastAsia="新宋体" w:cs="新宋体"/>
                <w:color w:val="auto"/>
                <w:sz w:val="22"/>
                <w:szCs w:val="22"/>
                <w:highlight w:val="none"/>
              </w:rPr>
            </w:pPr>
          </w:p>
        </w:tc>
      </w:tr>
      <w:tr w14:paraId="1764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FAFCD0C">
            <w:pPr>
              <w:spacing w:line="400" w:lineRule="exact"/>
              <w:jc w:val="center"/>
              <w:rPr>
                <w:rFonts w:ascii="新宋体" w:hAnsi="新宋体" w:eastAsia="新宋体" w:cs="新宋体"/>
                <w:color w:val="auto"/>
                <w:sz w:val="22"/>
                <w:szCs w:val="22"/>
                <w:highlight w:val="none"/>
              </w:rPr>
            </w:pPr>
          </w:p>
        </w:tc>
        <w:tc>
          <w:tcPr>
            <w:tcW w:w="1240" w:type="dxa"/>
          </w:tcPr>
          <w:p w14:paraId="48F9401E">
            <w:pPr>
              <w:spacing w:line="400" w:lineRule="exact"/>
              <w:rPr>
                <w:rFonts w:ascii="新宋体" w:hAnsi="新宋体" w:eastAsia="新宋体" w:cs="新宋体"/>
                <w:color w:val="auto"/>
                <w:sz w:val="22"/>
                <w:szCs w:val="22"/>
                <w:highlight w:val="none"/>
              </w:rPr>
            </w:pPr>
          </w:p>
        </w:tc>
        <w:tc>
          <w:tcPr>
            <w:tcW w:w="1404" w:type="dxa"/>
          </w:tcPr>
          <w:p w14:paraId="3A621649">
            <w:pPr>
              <w:spacing w:line="400" w:lineRule="exact"/>
              <w:rPr>
                <w:rFonts w:ascii="新宋体" w:hAnsi="新宋体" w:eastAsia="新宋体" w:cs="新宋体"/>
                <w:color w:val="auto"/>
                <w:sz w:val="22"/>
                <w:szCs w:val="22"/>
                <w:highlight w:val="none"/>
              </w:rPr>
            </w:pPr>
          </w:p>
        </w:tc>
        <w:tc>
          <w:tcPr>
            <w:tcW w:w="796" w:type="dxa"/>
          </w:tcPr>
          <w:p w14:paraId="14F3DA65">
            <w:pPr>
              <w:spacing w:line="400" w:lineRule="exact"/>
              <w:rPr>
                <w:rFonts w:ascii="新宋体" w:hAnsi="新宋体" w:eastAsia="新宋体" w:cs="新宋体"/>
                <w:color w:val="auto"/>
                <w:sz w:val="22"/>
                <w:szCs w:val="22"/>
                <w:highlight w:val="none"/>
              </w:rPr>
            </w:pPr>
          </w:p>
        </w:tc>
        <w:tc>
          <w:tcPr>
            <w:tcW w:w="3704" w:type="dxa"/>
          </w:tcPr>
          <w:p w14:paraId="77C6D70D">
            <w:pPr>
              <w:spacing w:line="400" w:lineRule="exact"/>
              <w:rPr>
                <w:rFonts w:ascii="新宋体" w:hAnsi="新宋体" w:eastAsia="新宋体" w:cs="新宋体"/>
                <w:color w:val="auto"/>
                <w:sz w:val="22"/>
                <w:szCs w:val="22"/>
                <w:highlight w:val="none"/>
              </w:rPr>
            </w:pPr>
          </w:p>
        </w:tc>
        <w:tc>
          <w:tcPr>
            <w:tcW w:w="1568" w:type="dxa"/>
          </w:tcPr>
          <w:p w14:paraId="515CF99B">
            <w:pPr>
              <w:spacing w:line="400" w:lineRule="exact"/>
              <w:rPr>
                <w:rFonts w:ascii="新宋体" w:hAnsi="新宋体" w:eastAsia="新宋体" w:cs="新宋体"/>
                <w:color w:val="auto"/>
                <w:sz w:val="22"/>
                <w:szCs w:val="22"/>
                <w:highlight w:val="none"/>
              </w:rPr>
            </w:pPr>
          </w:p>
        </w:tc>
      </w:tr>
      <w:tr w14:paraId="37B4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2C5FD7F">
            <w:pPr>
              <w:spacing w:line="400" w:lineRule="exact"/>
              <w:jc w:val="center"/>
              <w:rPr>
                <w:rFonts w:ascii="新宋体" w:hAnsi="新宋体" w:eastAsia="新宋体" w:cs="新宋体"/>
                <w:color w:val="auto"/>
                <w:sz w:val="22"/>
                <w:szCs w:val="22"/>
                <w:highlight w:val="none"/>
              </w:rPr>
            </w:pPr>
          </w:p>
        </w:tc>
        <w:tc>
          <w:tcPr>
            <w:tcW w:w="1240" w:type="dxa"/>
          </w:tcPr>
          <w:p w14:paraId="7368D078">
            <w:pPr>
              <w:spacing w:line="400" w:lineRule="exact"/>
              <w:rPr>
                <w:rFonts w:ascii="新宋体" w:hAnsi="新宋体" w:eastAsia="新宋体" w:cs="新宋体"/>
                <w:color w:val="auto"/>
                <w:sz w:val="22"/>
                <w:szCs w:val="22"/>
                <w:highlight w:val="none"/>
              </w:rPr>
            </w:pPr>
          </w:p>
        </w:tc>
        <w:tc>
          <w:tcPr>
            <w:tcW w:w="1404" w:type="dxa"/>
          </w:tcPr>
          <w:p w14:paraId="355D26AE">
            <w:pPr>
              <w:spacing w:line="400" w:lineRule="exact"/>
              <w:rPr>
                <w:rFonts w:ascii="新宋体" w:hAnsi="新宋体" w:eastAsia="新宋体" w:cs="新宋体"/>
                <w:color w:val="auto"/>
                <w:sz w:val="22"/>
                <w:szCs w:val="22"/>
                <w:highlight w:val="none"/>
              </w:rPr>
            </w:pPr>
          </w:p>
        </w:tc>
        <w:tc>
          <w:tcPr>
            <w:tcW w:w="796" w:type="dxa"/>
          </w:tcPr>
          <w:p w14:paraId="5A46D93C">
            <w:pPr>
              <w:spacing w:line="400" w:lineRule="exact"/>
              <w:rPr>
                <w:rFonts w:ascii="新宋体" w:hAnsi="新宋体" w:eastAsia="新宋体" w:cs="新宋体"/>
                <w:color w:val="auto"/>
                <w:sz w:val="22"/>
                <w:szCs w:val="22"/>
                <w:highlight w:val="none"/>
              </w:rPr>
            </w:pPr>
          </w:p>
        </w:tc>
        <w:tc>
          <w:tcPr>
            <w:tcW w:w="3704" w:type="dxa"/>
          </w:tcPr>
          <w:p w14:paraId="1F492D1A">
            <w:pPr>
              <w:spacing w:line="400" w:lineRule="exact"/>
              <w:rPr>
                <w:rFonts w:ascii="新宋体" w:hAnsi="新宋体" w:eastAsia="新宋体" w:cs="新宋体"/>
                <w:color w:val="auto"/>
                <w:sz w:val="22"/>
                <w:szCs w:val="22"/>
                <w:highlight w:val="none"/>
              </w:rPr>
            </w:pPr>
          </w:p>
        </w:tc>
        <w:tc>
          <w:tcPr>
            <w:tcW w:w="1568" w:type="dxa"/>
          </w:tcPr>
          <w:p w14:paraId="629B0FFC">
            <w:pPr>
              <w:spacing w:line="400" w:lineRule="exact"/>
              <w:rPr>
                <w:rFonts w:ascii="新宋体" w:hAnsi="新宋体" w:eastAsia="新宋体" w:cs="新宋体"/>
                <w:color w:val="auto"/>
                <w:sz w:val="22"/>
                <w:szCs w:val="22"/>
                <w:highlight w:val="none"/>
              </w:rPr>
            </w:pPr>
          </w:p>
        </w:tc>
      </w:tr>
      <w:tr w14:paraId="0E5E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C6509C8">
            <w:pPr>
              <w:spacing w:line="400" w:lineRule="exact"/>
              <w:jc w:val="center"/>
              <w:rPr>
                <w:rFonts w:ascii="新宋体" w:hAnsi="新宋体" w:eastAsia="新宋体" w:cs="新宋体"/>
                <w:color w:val="auto"/>
                <w:sz w:val="22"/>
                <w:szCs w:val="22"/>
                <w:highlight w:val="none"/>
              </w:rPr>
            </w:pPr>
          </w:p>
        </w:tc>
        <w:tc>
          <w:tcPr>
            <w:tcW w:w="1240" w:type="dxa"/>
          </w:tcPr>
          <w:p w14:paraId="04DA3B7D">
            <w:pPr>
              <w:spacing w:line="400" w:lineRule="exact"/>
              <w:rPr>
                <w:rFonts w:ascii="新宋体" w:hAnsi="新宋体" w:eastAsia="新宋体" w:cs="新宋体"/>
                <w:color w:val="auto"/>
                <w:sz w:val="22"/>
                <w:szCs w:val="22"/>
                <w:highlight w:val="none"/>
              </w:rPr>
            </w:pPr>
          </w:p>
        </w:tc>
        <w:tc>
          <w:tcPr>
            <w:tcW w:w="1404" w:type="dxa"/>
          </w:tcPr>
          <w:p w14:paraId="4D51AB2C">
            <w:pPr>
              <w:spacing w:line="400" w:lineRule="exact"/>
              <w:rPr>
                <w:rFonts w:ascii="新宋体" w:hAnsi="新宋体" w:eastAsia="新宋体" w:cs="新宋体"/>
                <w:color w:val="auto"/>
                <w:sz w:val="22"/>
                <w:szCs w:val="22"/>
                <w:highlight w:val="none"/>
              </w:rPr>
            </w:pPr>
          </w:p>
        </w:tc>
        <w:tc>
          <w:tcPr>
            <w:tcW w:w="796" w:type="dxa"/>
          </w:tcPr>
          <w:p w14:paraId="2E1FF70B">
            <w:pPr>
              <w:spacing w:line="400" w:lineRule="exact"/>
              <w:rPr>
                <w:rFonts w:ascii="新宋体" w:hAnsi="新宋体" w:eastAsia="新宋体" w:cs="新宋体"/>
                <w:color w:val="auto"/>
                <w:sz w:val="22"/>
                <w:szCs w:val="22"/>
                <w:highlight w:val="none"/>
              </w:rPr>
            </w:pPr>
          </w:p>
        </w:tc>
        <w:tc>
          <w:tcPr>
            <w:tcW w:w="3704" w:type="dxa"/>
          </w:tcPr>
          <w:p w14:paraId="577BEDC5">
            <w:pPr>
              <w:spacing w:line="400" w:lineRule="exact"/>
              <w:rPr>
                <w:rFonts w:ascii="新宋体" w:hAnsi="新宋体" w:eastAsia="新宋体" w:cs="新宋体"/>
                <w:color w:val="auto"/>
                <w:sz w:val="22"/>
                <w:szCs w:val="22"/>
                <w:highlight w:val="none"/>
              </w:rPr>
            </w:pPr>
          </w:p>
        </w:tc>
        <w:tc>
          <w:tcPr>
            <w:tcW w:w="1568" w:type="dxa"/>
          </w:tcPr>
          <w:p w14:paraId="18F5F655">
            <w:pPr>
              <w:spacing w:line="400" w:lineRule="exact"/>
              <w:rPr>
                <w:rFonts w:ascii="新宋体" w:hAnsi="新宋体" w:eastAsia="新宋体" w:cs="新宋体"/>
                <w:color w:val="auto"/>
                <w:sz w:val="22"/>
                <w:szCs w:val="22"/>
                <w:highlight w:val="none"/>
              </w:rPr>
            </w:pPr>
          </w:p>
        </w:tc>
      </w:tr>
      <w:tr w14:paraId="7A84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F648943">
            <w:pPr>
              <w:spacing w:line="400" w:lineRule="exact"/>
              <w:jc w:val="center"/>
              <w:rPr>
                <w:rFonts w:ascii="新宋体" w:hAnsi="新宋体" w:eastAsia="新宋体" w:cs="新宋体"/>
                <w:color w:val="auto"/>
                <w:sz w:val="22"/>
                <w:szCs w:val="22"/>
                <w:highlight w:val="none"/>
              </w:rPr>
            </w:pPr>
          </w:p>
        </w:tc>
        <w:tc>
          <w:tcPr>
            <w:tcW w:w="1240" w:type="dxa"/>
          </w:tcPr>
          <w:p w14:paraId="3FF44C96">
            <w:pPr>
              <w:spacing w:line="400" w:lineRule="exact"/>
              <w:rPr>
                <w:rFonts w:ascii="新宋体" w:hAnsi="新宋体" w:eastAsia="新宋体" w:cs="新宋体"/>
                <w:color w:val="auto"/>
                <w:sz w:val="22"/>
                <w:szCs w:val="22"/>
                <w:highlight w:val="none"/>
              </w:rPr>
            </w:pPr>
          </w:p>
        </w:tc>
        <w:tc>
          <w:tcPr>
            <w:tcW w:w="1404" w:type="dxa"/>
          </w:tcPr>
          <w:p w14:paraId="2D9775BE">
            <w:pPr>
              <w:spacing w:line="400" w:lineRule="exact"/>
              <w:rPr>
                <w:rFonts w:ascii="新宋体" w:hAnsi="新宋体" w:eastAsia="新宋体" w:cs="新宋体"/>
                <w:color w:val="auto"/>
                <w:sz w:val="22"/>
                <w:szCs w:val="22"/>
                <w:highlight w:val="none"/>
              </w:rPr>
            </w:pPr>
          </w:p>
        </w:tc>
        <w:tc>
          <w:tcPr>
            <w:tcW w:w="796" w:type="dxa"/>
          </w:tcPr>
          <w:p w14:paraId="397BB209">
            <w:pPr>
              <w:spacing w:line="400" w:lineRule="exact"/>
              <w:rPr>
                <w:rFonts w:ascii="新宋体" w:hAnsi="新宋体" w:eastAsia="新宋体" w:cs="新宋体"/>
                <w:color w:val="auto"/>
                <w:sz w:val="22"/>
                <w:szCs w:val="22"/>
                <w:highlight w:val="none"/>
              </w:rPr>
            </w:pPr>
          </w:p>
        </w:tc>
        <w:tc>
          <w:tcPr>
            <w:tcW w:w="3704" w:type="dxa"/>
          </w:tcPr>
          <w:p w14:paraId="7252190F">
            <w:pPr>
              <w:spacing w:line="400" w:lineRule="exact"/>
              <w:rPr>
                <w:rFonts w:ascii="新宋体" w:hAnsi="新宋体" w:eastAsia="新宋体" w:cs="新宋体"/>
                <w:color w:val="auto"/>
                <w:sz w:val="22"/>
                <w:szCs w:val="22"/>
                <w:highlight w:val="none"/>
              </w:rPr>
            </w:pPr>
          </w:p>
        </w:tc>
        <w:tc>
          <w:tcPr>
            <w:tcW w:w="1568" w:type="dxa"/>
          </w:tcPr>
          <w:p w14:paraId="77B06BF3">
            <w:pPr>
              <w:spacing w:line="400" w:lineRule="exact"/>
              <w:rPr>
                <w:rFonts w:ascii="新宋体" w:hAnsi="新宋体" w:eastAsia="新宋体" w:cs="新宋体"/>
                <w:color w:val="auto"/>
                <w:sz w:val="22"/>
                <w:szCs w:val="22"/>
                <w:highlight w:val="none"/>
              </w:rPr>
            </w:pPr>
          </w:p>
        </w:tc>
      </w:tr>
      <w:tr w14:paraId="44F5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50A6C70">
            <w:pPr>
              <w:spacing w:line="400" w:lineRule="exact"/>
              <w:jc w:val="center"/>
              <w:rPr>
                <w:rFonts w:ascii="新宋体" w:hAnsi="新宋体" w:eastAsia="新宋体" w:cs="新宋体"/>
                <w:color w:val="auto"/>
                <w:sz w:val="22"/>
                <w:szCs w:val="22"/>
                <w:highlight w:val="none"/>
              </w:rPr>
            </w:pPr>
          </w:p>
        </w:tc>
        <w:tc>
          <w:tcPr>
            <w:tcW w:w="1240" w:type="dxa"/>
          </w:tcPr>
          <w:p w14:paraId="20320B09">
            <w:pPr>
              <w:spacing w:line="400" w:lineRule="exact"/>
              <w:rPr>
                <w:rFonts w:ascii="新宋体" w:hAnsi="新宋体" w:eastAsia="新宋体" w:cs="新宋体"/>
                <w:color w:val="auto"/>
                <w:sz w:val="22"/>
                <w:szCs w:val="22"/>
                <w:highlight w:val="none"/>
              </w:rPr>
            </w:pPr>
          </w:p>
        </w:tc>
        <w:tc>
          <w:tcPr>
            <w:tcW w:w="1404" w:type="dxa"/>
          </w:tcPr>
          <w:p w14:paraId="1F1E1147">
            <w:pPr>
              <w:spacing w:line="400" w:lineRule="exact"/>
              <w:rPr>
                <w:rFonts w:ascii="新宋体" w:hAnsi="新宋体" w:eastAsia="新宋体" w:cs="新宋体"/>
                <w:color w:val="auto"/>
                <w:sz w:val="22"/>
                <w:szCs w:val="22"/>
                <w:highlight w:val="none"/>
              </w:rPr>
            </w:pPr>
          </w:p>
        </w:tc>
        <w:tc>
          <w:tcPr>
            <w:tcW w:w="796" w:type="dxa"/>
          </w:tcPr>
          <w:p w14:paraId="5BACD8C1">
            <w:pPr>
              <w:spacing w:line="400" w:lineRule="exact"/>
              <w:rPr>
                <w:rFonts w:ascii="新宋体" w:hAnsi="新宋体" w:eastAsia="新宋体" w:cs="新宋体"/>
                <w:color w:val="auto"/>
                <w:sz w:val="22"/>
                <w:szCs w:val="22"/>
                <w:highlight w:val="none"/>
              </w:rPr>
            </w:pPr>
          </w:p>
        </w:tc>
        <w:tc>
          <w:tcPr>
            <w:tcW w:w="3704" w:type="dxa"/>
          </w:tcPr>
          <w:p w14:paraId="06D75568">
            <w:pPr>
              <w:spacing w:line="400" w:lineRule="exact"/>
              <w:rPr>
                <w:rFonts w:ascii="新宋体" w:hAnsi="新宋体" w:eastAsia="新宋体" w:cs="新宋体"/>
                <w:color w:val="auto"/>
                <w:sz w:val="22"/>
                <w:szCs w:val="22"/>
                <w:highlight w:val="none"/>
              </w:rPr>
            </w:pPr>
          </w:p>
        </w:tc>
        <w:tc>
          <w:tcPr>
            <w:tcW w:w="1568" w:type="dxa"/>
          </w:tcPr>
          <w:p w14:paraId="66A8BDF1">
            <w:pPr>
              <w:spacing w:line="400" w:lineRule="exact"/>
              <w:rPr>
                <w:rFonts w:ascii="新宋体" w:hAnsi="新宋体" w:eastAsia="新宋体" w:cs="新宋体"/>
                <w:color w:val="auto"/>
                <w:sz w:val="22"/>
                <w:szCs w:val="22"/>
                <w:highlight w:val="none"/>
              </w:rPr>
            </w:pPr>
          </w:p>
        </w:tc>
      </w:tr>
      <w:tr w14:paraId="4CD8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069F3E3">
            <w:pPr>
              <w:spacing w:line="400" w:lineRule="exact"/>
              <w:jc w:val="center"/>
              <w:rPr>
                <w:rFonts w:ascii="新宋体" w:hAnsi="新宋体" w:eastAsia="新宋体" w:cs="新宋体"/>
                <w:color w:val="auto"/>
                <w:sz w:val="22"/>
                <w:szCs w:val="22"/>
                <w:highlight w:val="none"/>
              </w:rPr>
            </w:pPr>
          </w:p>
        </w:tc>
        <w:tc>
          <w:tcPr>
            <w:tcW w:w="1240" w:type="dxa"/>
          </w:tcPr>
          <w:p w14:paraId="692DC34E">
            <w:pPr>
              <w:spacing w:line="400" w:lineRule="exact"/>
              <w:rPr>
                <w:rFonts w:ascii="新宋体" w:hAnsi="新宋体" w:eastAsia="新宋体" w:cs="新宋体"/>
                <w:color w:val="auto"/>
                <w:sz w:val="22"/>
                <w:szCs w:val="22"/>
                <w:highlight w:val="none"/>
              </w:rPr>
            </w:pPr>
          </w:p>
        </w:tc>
        <w:tc>
          <w:tcPr>
            <w:tcW w:w="1404" w:type="dxa"/>
          </w:tcPr>
          <w:p w14:paraId="2FE23875">
            <w:pPr>
              <w:spacing w:line="400" w:lineRule="exact"/>
              <w:rPr>
                <w:rFonts w:ascii="新宋体" w:hAnsi="新宋体" w:eastAsia="新宋体" w:cs="新宋体"/>
                <w:color w:val="auto"/>
                <w:sz w:val="22"/>
                <w:szCs w:val="22"/>
                <w:highlight w:val="none"/>
              </w:rPr>
            </w:pPr>
          </w:p>
        </w:tc>
        <w:tc>
          <w:tcPr>
            <w:tcW w:w="796" w:type="dxa"/>
          </w:tcPr>
          <w:p w14:paraId="39EFCC22">
            <w:pPr>
              <w:spacing w:line="400" w:lineRule="exact"/>
              <w:rPr>
                <w:rFonts w:ascii="新宋体" w:hAnsi="新宋体" w:eastAsia="新宋体" w:cs="新宋体"/>
                <w:color w:val="auto"/>
                <w:sz w:val="22"/>
                <w:szCs w:val="22"/>
                <w:highlight w:val="none"/>
              </w:rPr>
            </w:pPr>
          </w:p>
        </w:tc>
        <w:tc>
          <w:tcPr>
            <w:tcW w:w="3704" w:type="dxa"/>
          </w:tcPr>
          <w:p w14:paraId="642F94D0">
            <w:pPr>
              <w:spacing w:line="400" w:lineRule="exact"/>
              <w:rPr>
                <w:rFonts w:ascii="新宋体" w:hAnsi="新宋体" w:eastAsia="新宋体" w:cs="新宋体"/>
                <w:color w:val="auto"/>
                <w:sz w:val="22"/>
                <w:szCs w:val="22"/>
                <w:highlight w:val="none"/>
              </w:rPr>
            </w:pPr>
          </w:p>
        </w:tc>
        <w:tc>
          <w:tcPr>
            <w:tcW w:w="1568" w:type="dxa"/>
          </w:tcPr>
          <w:p w14:paraId="5394FD08">
            <w:pPr>
              <w:spacing w:line="400" w:lineRule="exact"/>
              <w:rPr>
                <w:rFonts w:ascii="新宋体" w:hAnsi="新宋体" w:eastAsia="新宋体" w:cs="新宋体"/>
                <w:color w:val="auto"/>
                <w:sz w:val="22"/>
                <w:szCs w:val="22"/>
                <w:highlight w:val="none"/>
              </w:rPr>
            </w:pPr>
          </w:p>
        </w:tc>
      </w:tr>
    </w:tbl>
    <w:p w14:paraId="3EB52754">
      <w:pPr>
        <w:spacing w:line="400" w:lineRule="exact"/>
        <w:rPr>
          <w:rFonts w:ascii="宋体" w:hAnsi="宋体" w:cs="宋体"/>
          <w:color w:val="auto"/>
          <w:sz w:val="22"/>
          <w:szCs w:val="22"/>
          <w:highlight w:val="none"/>
        </w:rPr>
      </w:pPr>
    </w:p>
    <w:p w14:paraId="6B5CEFFB">
      <w:pPr>
        <w:spacing w:line="400" w:lineRule="exact"/>
        <w:ind w:firstLine="5280" w:firstLineChars="24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43E61211">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投标人代表（签字）：</w:t>
      </w:r>
    </w:p>
    <w:p w14:paraId="6E88851E">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7A5B2BE7">
      <w:pP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bookmarkEnd w:id="229"/>
    <w:p w14:paraId="5AF20A01">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6、所投产品主要技术参数</w:t>
      </w:r>
    </w:p>
    <w:p w14:paraId="1A83123B">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项目编号： </w:t>
      </w:r>
    </w:p>
    <w:p w14:paraId="3497EE2D">
      <w:pPr>
        <w:keepNext/>
        <w:spacing w:line="360" w:lineRule="auto"/>
        <w:rPr>
          <w:rFonts w:ascii="新宋体" w:hAnsi="新宋体"/>
          <w:b/>
          <w:bCs/>
          <w:color w:val="auto"/>
          <w:sz w:val="22"/>
          <w:szCs w:val="22"/>
          <w:highlight w:val="none"/>
        </w:rPr>
      </w:pPr>
      <w:r>
        <w:rPr>
          <w:rFonts w:hint="eastAsia" w:ascii="宋体" w:hAnsi="宋体" w:cs="宋体"/>
          <w:color w:val="auto"/>
          <w:sz w:val="22"/>
          <w:szCs w:val="22"/>
          <w:highlight w:val="none"/>
        </w:rPr>
        <w:t xml:space="preserve">项目名称：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5A39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426BED2D">
            <w:pPr>
              <w:spacing w:line="360" w:lineRule="auto"/>
              <w:rPr>
                <w:rFonts w:ascii="宋体" w:hAnsi="宋体" w:cs="宋体"/>
                <w:color w:val="auto"/>
                <w:sz w:val="22"/>
                <w:szCs w:val="22"/>
                <w:highlight w:val="none"/>
              </w:rPr>
            </w:pPr>
          </w:p>
        </w:tc>
      </w:tr>
    </w:tbl>
    <w:p w14:paraId="41972C5B">
      <w:pPr>
        <w:pStyle w:val="30"/>
        <w:spacing w:line="400" w:lineRule="atLeast"/>
        <w:rPr>
          <w:rFonts w:ascii="新宋体" w:hAnsi="新宋体" w:eastAsia="新宋体"/>
          <w:color w:val="auto"/>
          <w:sz w:val="22"/>
          <w:szCs w:val="22"/>
          <w:highlight w:val="none"/>
        </w:rPr>
      </w:pPr>
    </w:p>
    <w:p w14:paraId="1C7EDA3B">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5BA31358">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4926ABAF">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603CF3DA">
      <w:pPr>
        <w:spacing w:line="460" w:lineRule="exact"/>
        <w:ind w:firstLine="4400" w:firstLineChars="2000"/>
        <w:rPr>
          <w:rFonts w:ascii="宋体" w:hAnsi="宋体" w:cs="宋体"/>
          <w:color w:val="auto"/>
          <w:sz w:val="22"/>
          <w:szCs w:val="22"/>
          <w:highlight w:val="none"/>
        </w:rPr>
      </w:pPr>
    </w:p>
    <w:p w14:paraId="268E5C22">
      <w:pPr>
        <w:spacing w:line="460" w:lineRule="exact"/>
        <w:ind w:firstLine="5060" w:firstLineChars="2300"/>
        <w:rPr>
          <w:rFonts w:ascii="新宋体" w:hAnsi="新宋体" w:eastAsia="新宋体"/>
          <w:color w:val="auto"/>
          <w:sz w:val="22"/>
          <w:szCs w:val="22"/>
          <w:highlight w:val="none"/>
        </w:rPr>
      </w:pPr>
    </w:p>
    <w:p w14:paraId="1F1BC546">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7、实施方案</w:t>
      </w:r>
    </w:p>
    <w:p w14:paraId="4E2F29DF">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项目编号： </w:t>
      </w:r>
    </w:p>
    <w:p w14:paraId="322C4122">
      <w:pPr>
        <w:keepNext/>
        <w:spacing w:line="360" w:lineRule="auto"/>
        <w:rPr>
          <w:rFonts w:ascii="新宋体" w:hAnsi="新宋体" w:cs="新宋体"/>
          <w:b/>
          <w:bCs/>
          <w:color w:val="auto"/>
          <w:sz w:val="22"/>
          <w:szCs w:val="22"/>
          <w:highlight w:val="none"/>
        </w:rPr>
      </w:pPr>
      <w:r>
        <w:rPr>
          <w:rFonts w:hint="eastAsia" w:ascii="宋体" w:hAnsi="宋体" w:cs="宋体"/>
          <w:color w:val="auto"/>
          <w:sz w:val="22"/>
          <w:szCs w:val="22"/>
          <w:highlight w:val="none"/>
        </w:rPr>
        <w:t xml:space="preserve">项目名称：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3066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0319F61D">
            <w:pPr>
              <w:spacing w:line="360" w:lineRule="auto"/>
              <w:rPr>
                <w:rFonts w:ascii="宋体" w:hAnsi="宋体" w:cs="宋体"/>
                <w:color w:val="auto"/>
                <w:sz w:val="22"/>
                <w:szCs w:val="22"/>
                <w:highlight w:val="none"/>
              </w:rPr>
            </w:pPr>
          </w:p>
        </w:tc>
      </w:tr>
    </w:tbl>
    <w:p w14:paraId="2556A693">
      <w:pPr>
        <w:spacing w:line="400" w:lineRule="exact"/>
        <w:ind w:firstLine="4620" w:firstLineChars="2100"/>
        <w:rPr>
          <w:rFonts w:ascii="新宋体" w:hAnsi="新宋体" w:eastAsia="新宋体" w:cs="新宋体"/>
          <w:color w:val="auto"/>
          <w:sz w:val="22"/>
          <w:szCs w:val="22"/>
          <w:highlight w:val="none"/>
        </w:rPr>
      </w:pPr>
    </w:p>
    <w:p w14:paraId="2C1F418B">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7E539812">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1C6F43BD">
      <w:pPr>
        <w:spacing w:line="460" w:lineRule="exact"/>
        <w:ind w:firstLine="4400" w:firstLineChars="2000"/>
        <w:rPr>
          <w:rFonts w:ascii="宋体" w:hAnsi="宋体" w:cs="宋体"/>
          <w:b/>
          <w:bCs/>
          <w:color w:val="auto"/>
          <w:sz w:val="28"/>
          <w:szCs w:val="28"/>
          <w:highlight w:val="none"/>
        </w:rPr>
      </w:pPr>
      <w:r>
        <w:rPr>
          <w:rFonts w:hint="eastAsia" w:ascii="宋体" w:hAnsi="宋体" w:cs="宋体"/>
          <w:color w:val="auto"/>
          <w:sz w:val="22"/>
          <w:szCs w:val="22"/>
          <w:highlight w:val="none"/>
        </w:rPr>
        <w:t>日   期：</w:t>
      </w:r>
      <w:r>
        <w:rPr>
          <w:rFonts w:hint="eastAsia" w:ascii="宋体" w:hAnsi="宋体" w:cs="宋体"/>
          <w:b/>
          <w:bCs/>
          <w:color w:val="auto"/>
          <w:sz w:val="28"/>
          <w:szCs w:val="28"/>
          <w:highlight w:val="none"/>
        </w:rPr>
        <w:br w:type="page"/>
      </w:r>
    </w:p>
    <w:p w14:paraId="550EE570">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8、售后服务</w:t>
      </w:r>
    </w:p>
    <w:p w14:paraId="2D84BBAC">
      <w:pPr>
        <w:spacing w:line="380" w:lineRule="exact"/>
        <w:jc w:val="center"/>
        <w:rPr>
          <w:rFonts w:ascii="宋体" w:hAnsi="宋体" w:cs="宋体"/>
          <w:b/>
          <w:bCs/>
          <w:color w:val="auto"/>
          <w:sz w:val="22"/>
          <w:szCs w:val="22"/>
          <w:highlight w:val="none"/>
        </w:rPr>
      </w:pPr>
    </w:p>
    <w:p w14:paraId="671EDB95">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项目编号： </w:t>
      </w:r>
    </w:p>
    <w:p w14:paraId="69BA6AB0">
      <w:pPr>
        <w:keepNext/>
        <w:spacing w:line="360" w:lineRule="auto"/>
        <w:rPr>
          <w:color w:val="auto"/>
          <w:highlight w:val="none"/>
        </w:rPr>
      </w:pPr>
      <w:r>
        <w:rPr>
          <w:rFonts w:hint="eastAsia" w:ascii="宋体" w:hAnsi="宋体" w:cs="宋体"/>
          <w:color w:val="auto"/>
          <w:sz w:val="22"/>
          <w:szCs w:val="22"/>
          <w:highlight w:val="none"/>
        </w:rPr>
        <w:t xml:space="preserve">项目名称：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4770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47AD0AE1">
            <w:pPr>
              <w:spacing w:line="360" w:lineRule="auto"/>
              <w:rPr>
                <w:rFonts w:ascii="宋体" w:hAnsi="宋体" w:cs="宋体"/>
                <w:color w:val="auto"/>
                <w:sz w:val="22"/>
                <w:szCs w:val="22"/>
                <w:highlight w:val="none"/>
              </w:rPr>
            </w:pPr>
          </w:p>
        </w:tc>
      </w:tr>
    </w:tbl>
    <w:p w14:paraId="6F319324">
      <w:pPr>
        <w:pStyle w:val="30"/>
        <w:spacing w:line="400" w:lineRule="atLeast"/>
        <w:rPr>
          <w:rFonts w:hAnsi="宋体" w:cs="宋体"/>
          <w:color w:val="auto"/>
          <w:sz w:val="22"/>
          <w:szCs w:val="22"/>
          <w:highlight w:val="none"/>
        </w:rPr>
      </w:pPr>
    </w:p>
    <w:p w14:paraId="563E21BC">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27DB43C8">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233EEB64">
      <w:pPr>
        <w:spacing w:line="46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   期：</w:t>
      </w:r>
    </w:p>
    <w:p w14:paraId="39C6D804">
      <w:pPr>
        <w:spacing w:line="460" w:lineRule="exact"/>
        <w:ind w:firstLine="4400" w:firstLineChars="2000"/>
        <w:rPr>
          <w:rFonts w:hint="eastAsia" w:ascii="宋体" w:hAnsi="宋体" w:cs="宋体"/>
          <w:color w:val="auto"/>
          <w:sz w:val="22"/>
          <w:szCs w:val="22"/>
          <w:highlight w:val="none"/>
        </w:rPr>
      </w:pPr>
    </w:p>
    <w:p w14:paraId="145B7442">
      <w:pPr>
        <w:rPr>
          <w:rFonts w:ascii="宋体" w:hAnsi="宋体" w:cs="宋体"/>
          <w:b/>
          <w:color w:val="auto"/>
          <w:sz w:val="24"/>
          <w:highlight w:val="none"/>
        </w:rPr>
      </w:pPr>
    </w:p>
    <w:p w14:paraId="4F90DE1D">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9、同类业绩</w:t>
      </w:r>
    </w:p>
    <w:p w14:paraId="2C8F5E31">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项目编号： </w:t>
      </w:r>
    </w:p>
    <w:p w14:paraId="229E31F9">
      <w:pPr>
        <w:keepNext/>
        <w:spacing w:line="360" w:lineRule="auto"/>
        <w:rPr>
          <w:rFonts w:ascii="宋体" w:hAnsi="宋体" w:cs="宋体"/>
          <w:b/>
          <w:bCs/>
          <w:color w:val="auto"/>
          <w:sz w:val="22"/>
          <w:szCs w:val="22"/>
          <w:highlight w:val="none"/>
        </w:rPr>
      </w:pPr>
      <w:r>
        <w:rPr>
          <w:rFonts w:hint="eastAsia" w:ascii="宋体" w:hAnsi="宋体" w:cs="宋体"/>
          <w:color w:val="auto"/>
          <w:sz w:val="22"/>
          <w:szCs w:val="22"/>
          <w:highlight w:val="none"/>
        </w:rPr>
        <w:t xml:space="preserve">项目名称： </w:t>
      </w:r>
    </w:p>
    <w:tbl>
      <w:tblPr>
        <w:tblStyle w:val="53"/>
        <w:tblpPr w:leftFromText="180" w:rightFromText="180" w:vertAnchor="text" w:horzAnchor="page" w:tblpX="1245" w:tblpY="1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7C3E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vAlign w:val="center"/>
          </w:tcPr>
          <w:p w14:paraId="750BD1AE">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069" w:type="dxa"/>
            <w:vAlign w:val="center"/>
          </w:tcPr>
          <w:p w14:paraId="4F88510A">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2437" w:type="dxa"/>
            <w:vAlign w:val="center"/>
          </w:tcPr>
          <w:p w14:paraId="253D5E54">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737" w:type="dxa"/>
            <w:vAlign w:val="center"/>
          </w:tcPr>
          <w:p w14:paraId="632156C9">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737" w:type="dxa"/>
            <w:vAlign w:val="center"/>
          </w:tcPr>
          <w:p w14:paraId="395D99A4">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联系方式</w:t>
            </w:r>
          </w:p>
        </w:tc>
        <w:tc>
          <w:tcPr>
            <w:tcW w:w="926" w:type="dxa"/>
            <w:vAlign w:val="center"/>
          </w:tcPr>
          <w:p w14:paraId="4C400D90">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5469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vAlign w:val="center"/>
          </w:tcPr>
          <w:p w14:paraId="4043AAA7">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232F2D97">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7C46E31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88D2EED">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FD4B479">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25F610D4">
            <w:pPr>
              <w:spacing w:line="380" w:lineRule="exact"/>
              <w:ind w:left="442" w:hanging="442" w:hangingChars="200"/>
              <w:jc w:val="center"/>
              <w:rPr>
                <w:rFonts w:ascii="宋体" w:hAnsi="宋体" w:cs="宋体"/>
                <w:b/>
                <w:bCs/>
                <w:color w:val="auto"/>
                <w:sz w:val="22"/>
                <w:szCs w:val="22"/>
                <w:highlight w:val="none"/>
              </w:rPr>
            </w:pPr>
          </w:p>
        </w:tc>
      </w:tr>
      <w:tr w14:paraId="5E10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vAlign w:val="center"/>
          </w:tcPr>
          <w:p w14:paraId="51648FE6">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56A6298B">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3EA38896">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4481258">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927306C">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624483CD">
            <w:pPr>
              <w:spacing w:line="380" w:lineRule="exact"/>
              <w:ind w:left="442" w:hanging="442" w:hangingChars="200"/>
              <w:jc w:val="center"/>
              <w:rPr>
                <w:rFonts w:ascii="宋体" w:hAnsi="宋体" w:cs="宋体"/>
                <w:b/>
                <w:bCs/>
                <w:color w:val="auto"/>
                <w:sz w:val="22"/>
                <w:szCs w:val="22"/>
                <w:highlight w:val="none"/>
              </w:rPr>
            </w:pPr>
          </w:p>
        </w:tc>
      </w:tr>
      <w:tr w14:paraId="4055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vAlign w:val="center"/>
          </w:tcPr>
          <w:p w14:paraId="534B5C5A">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448C6C89">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2B5A9EF6">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03B377C">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638A774">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20912D69">
            <w:pPr>
              <w:spacing w:line="380" w:lineRule="exact"/>
              <w:ind w:left="442" w:hanging="442" w:hangingChars="200"/>
              <w:jc w:val="center"/>
              <w:rPr>
                <w:rFonts w:ascii="宋体" w:hAnsi="宋体" w:cs="宋体"/>
                <w:b/>
                <w:bCs/>
                <w:color w:val="auto"/>
                <w:sz w:val="22"/>
                <w:szCs w:val="22"/>
                <w:highlight w:val="none"/>
              </w:rPr>
            </w:pPr>
          </w:p>
        </w:tc>
      </w:tr>
      <w:tr w14:paraId="134F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vAlign w:val="center"/>
          </w:tcPr>
          <w:p w14:paraId="0AA5FF3D">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484B2C90">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141AA51F">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A0F71AF">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EC61DB5">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1A4F19CB">
            <w:pPr>
              <w:spacing w:line="380" w:lineRule="exact"/>
              <w:ind w:left="442" w:hanging="442" w:hangingChars="200"/>
              <w:jc w:val="center"/>
              <w:rPr>
                <w:rFonts w:ascii="宋体" w:hAnsi="宋体" w:cs="宋体"/>
                <w:b/>
                <w:bCs/>
                <w:color w:val="auto"/>
                <w:sz w:val="22"/>
                <w:szCs w:val="22"/>
                <w:highlight w:val="none"/>
              </w:rPr>
            </w:pPr>
          </w:p>
        </w:tc>
      </w:tr>
      <w:tr w14:paraId="43E2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vAlign w:val="center"/>
          </w:tcPr>
          <w:p w14:paraId="7C3F1450">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7951A34A">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20383B92">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0AA7367">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0090EE1">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10711F0A">
            <w:pPr>
              <w:spacing w:line="380" w:lineRule="exact"/>
              <w:ind w:left="442" w:hanging="442" w:hangingChars="200"/>
              <w:jc w:val="center"/>
              <w:rPr>
                <w:rFonts w:ascii="宋体" w:hAnsi="宋体" w:cs="宋体"/>
                <w:b/>
                <w:bCs/>
                <w:color w:val="auto"/>
                <w:sz w:val="22"/>
                <w:szCs w:val="22"/>
                <w:highlight w:val="none"/>
              </w:rPr>
            </w:pPr>
          </w:p>
        </w:tc>
      </w:tr>
      <w:tr w14:paraId="106E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vAlign w:val="center"/>
          </w:tcPr>
          <w:p w14:paraId="2A5C7B6F">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31385988">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06A92E6C">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37D8E69">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A765F4D">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6B2C00EB">
            <w:pPr>
              <w:spacing w:line="380" w:lineRule="exact"/>
              <w:ind w:left="442" w:hanging="442" w:hangingChars="200"/>
              <w:jc w:val="center"/>
              <w:rPr>
                <w:rFonts w:ascii="宋体" w:hAnsi="宋体" w:cs="宋体"/>
                <w:b/>
                <w:bCs/>
                <w:color w:val="auto"/>
                <w:sz w:val="22"/>
                <w:szCs w:val="22"/>
                <w:highlight w:val="none"/>
              </w:rPr>
            </w:pPr>
          </w:p>
        </w:tc>
      </w:tr>
      <w:tr w14:paraId="079B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vAlign w:val="center"/>
          </w:tcPr>
          <w:p w14:paraId="435345C6">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23467B16">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490168AA">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29BC7B4">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AFAE1D2">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088A71E2">
            <w:pPr>
              <w:spacing w:line="380" w:lineRule="exact"/>
              <w:ind w:left="442" w:hanging="442" w:hangingChars="200"/>
              <w:jc w:val="center"/>
              <w:rPr>
                <w:rFonts w:ascii="宋体" w:hAnsi="宋体" w:cs="宋体"/>
                <w:b/>
                <w:bCs/>
                <w:color w:val="auto"/>
                <w:sz w:val="22"/>
                <w:szCs w:val="22"/>
                <w:highlight w:val="none"/>
              </w:rPr>
            </w:pPr>
          </w:p>
        </w:tc>
      </w:tr>
      <w:tr w14:paraId="556C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vAlign w:val="center"/>
          </w:tcPr>
          <w:p w14:paraId="6ED39E2A">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40D13FBA">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53220B97">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AE6889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FB70770">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35AC94F1">
            <w:pPr>
              <w:spacing w:line="380" w:lineRule="exact"/>
              <w:ind w:left="442" w:hanging="442" w:hangingChars="200"/>
              <w:jc w:val="center"/>
              <w:rPr>
                <w:rFonts w:ascii="宋体" w:hAnsi="宋体" w:cs="宋体"/>
                <w:b/>
                <w:bCs/>
                <w:color w:val="auto"/>
                <w:sz w:val="22"/>
                <w:szCs w:val="22"/>
                <w:highlight w:val="none"/>
              </w:rPr>
            </w:pPr>
          </w:p>
        </w:tc>
      </w:tr>
      <w:tr w14:paraId="51A9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vAlign w:val="center"/>
          </w:tcPr>
          <w:p w14:paraId="12962632">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3712128C">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481B431C">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8FA8D81">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A72163F">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CAAB925">
            <w:pPr>
              <w:spacing w:line="380" w:lineRule="exact"/>
              <w:ind w:left="442" w:hanging="442" w:hangingChars="200"/>
              <w:jc w:val="center"/>
              <w:rPr>
                <w:rFonts w:ascii="宋体" w:hAnsi="宋体" w:cs="宋体"/>
                <w:b/>
                <w:bCs/>
                <w:color w:val="auto"/>
                <w:sz w:val="22"/>
                <w:szCs w:val="22"/>
                <w:highlight w:val="none"/>
              </w:rPr>
            </w:pPr>
          </w:p>
        </w:tc>
      </w:tr>
      <w:tr w14:paraId="2882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vAlign w:val="center"/>
          </w:tcPr>
          <w:p w14:paraId="554A69AD">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1B813C1D">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2F4D5871">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B5C09BD">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21C464A">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AF75478">
            <w:pPr>
              <w:spacing w:line="380" w:lineRule="exact"/>
              <w:ind w:left="442" w:hanging="442" w:hangingChars="200"/>
              <w:jc w:val="center"/>
              <w:rPr>
                <w:rFonts w:ascii="宋体" w:hAnsi="宋体" w:cs="宋体"/>
                <w:b/>
                <w:bCs/>
                <w:color w:val="auto"/>
                <w:sz w:val="22"/>
                <w:szCs w:val="22"/>
                <w:highlight w:val="none"/>
              </w:rPr>
            </w:pPr>
          </w:p>
        </w:tc>
      </w:tr>
      <w:tr w14:paraId="19F8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vAlign w:val="center"/>
          </w:tcPr>
          <w:p w14:paraId="68FB8952">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25D90DDF">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5828EE98">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C9F1A7B">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98370E0">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0DC8DCC6">
            <w:pPr>
              <w:spacing w:line="380" w:lineRule="exact"/>
              <w:ind w:left="442" w:hanging="442" w:hangingChars="200"/>
              <w:jc w:val="center"/>
              <w:rPr>
                <w:rFonts w:ascii="宋体" w:hAnsi="宋体" w:cs="宋体"/>
                <w:b/>
                <w:bCs/>
                <w:color w:val="auto"/>
                <w:sz w:val="22"/>
                <w:szCs w:val="22"/>
                <w:highlight w:val="none"/>
              </w:rPr>
            </w:pPr>
          </w:p>
        </w:tc>
      </w:tr>
      <w:tr w14:paraId="1EC6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vAlign w:val="center"/>
          </w:tcPr>
          <w:p w14:paraId="3A175D4C">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439746FB">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2AB73B3E">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39C08E5">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D56636D">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0A2EF96">
            <w:pPr>
              <w:spacing w:line="380" w:lineRule="exact"/>
              <w:ind w:left="442" w:hanging="442" w:hangingChars="200"/>
              <w:jc w:val="center"/>
              <w:rPr>
                <w:rFonts w:ascii="宋体" w:hAnsi="宋体" w:cs="宋体"/>
                <w:b/>
                <w:bCs/>
                <w:color w:val="auto"/>
                <w:sz w:val="22"/>
                <w:szCs w:val="22"/>
                <w:highlight w:val="none"/>
              </w:rPr>
            </w:pPr>
          </w:p>
        </w:tc>
      </w:tr>
      <w:tr w14:paraId="7D24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vAlign w:val="center"/>
          </w:tcPr>
          <w:p w14:paraId="3B25713C">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52F17F3F">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3328DF96">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FD2962E">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E6B26A8">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7CF244B3">
            <w:pPr>
              <w:spacing w:line="380" w:lineRule="exact"/>
              <w:ind w:left="442" w:hanging="442" w:hangingChars="200"/>
              <w:jc w:val="center"/>
              <w:rPr>
                <w:rFonts w:ascii="宋体" w:hAnsi="宋体" w:cs="宋体"/>
                <w:b/>
                <w:bCs/>
                <w:color w:val="auto"/>
                <w:sz w:val="22"/>
                <w:szCs w:val="22"/>
                <w:highlight w:val="none"/>
              </w:rPr>
            </w:pPr>
          </w:p>
        </w:tc>
      </w:tr>
      <w:tr w14:paraId="5F59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vAlign w:val="center"/>
          </w:tcPr>
          <w:p w14:paraId="3DDC9E52">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3B65A767">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1FE49BB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BFCF2AF">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F5A42D3">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0A2B68EE">
            <w:pPr>
              <w:spacing w:line="380" w:lineRule="exact"/>
              <w:ind w:left="442" w:hanging="442" w:hangingChars="200"/>
              <w:jc w:val="center"/>
              <w:rPr>
                <w:rFonts w:ascii="宋体" w:hAnsi="宋体" w:cs="宋体"/>
                <w:b/>
                <w:bCs/>
                <w:color w:val="auto"/>
                <w:sz w:val="22"/>
                <w:szCs w:val="22"/>
                <w:highlight w:val="none"/>
              </w:rPr>
            </w:pPr>
          </w:p>
        </w:tc>
      </w:tr>
    </w:tbl>
    <w:p w14:paraId="7A78D610">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6C0E3414">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p>
    <w:p w14:paraId="151B8EDB">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6CC512DB">
      <w:pPr>
        <w:spacing w:line="460" w:lineRule="exact"/>
        <w:ind w:firstLine="4400" w:firstLineChars="2000"/>
        <w:rPr>
          <w:rFonts w:ascii="宋体" w:hAnsi="宋体" w:cs="宋体"/>
          <w:color w:val="auto"/>
          <w:sz w:val="22"/>
          <w:szCs w:val="22"/>
          <w:highlight w:val="none"/>
        </w:rPr>
      </w:pPr>
    </w:p>
    <w:p w14:paraId="773B8845">
      <w:pPr>
        <w:pStyle w:val="24"/>
        <w:ind w:left="440" w:hanging="440"/>
        <w:rPr>
          <w:rFonts w:ascii="宋体" w:hAnsi="宋体" w:cs="宋体"/>
          <w:bCs/>
          <w:color w:val="auto"/>
          <w:sz w:val="22"/>
          <w:szCs w:val="22"/>
          <w:highlight w:val="none"/>
        </w:rPr>
      </w:pPr>
    </w:p>
    <w:p w14:paraId="749D1753">
      <w:pPr>
        <w:rPr>
          <w:rFonts w:ascii="宋体" w:hAnsi="宋体" w:cs="宋体"/>
          <w:bCs/>
          <w:color w:val="auto"/>
          <w:sz w:val="22"/>
          <w:szCs w:val="22"/>
          <w:highlight w:val="none"/>
        </w:rPr>
      </w:pPr>
    </w:p>
    <w:p w14:paraId="6BC1DFFB">
      <w:pPr>
        <w:outlineLvl w:val="1"/>
        <w:rPr>
          <w:rFonts w:ascii="宋体" w:hAnsi="宋体" w:cs="宋体"/>
          <w:b/>
          <w:bCs/>
          <w:color w:val="auto"/>
          <w:sz w:val="22"/>
          <w:szCs w:val="22"/>
          <w:highlight w:val="none"/>
        </w:rPr>
      </w:pPr>
      <w:bookmarkStart w:id="230" w:name="_Toc27970"/>
      <w:bookmarkStart w:id="231" w:name="_Toc28864"/>
      <w:bookmarkStart w:id="232" w:name="_Toc25717"/>
      <w:bookmarkStart w:id="233" w:name="_Toc9074"/>
      <w:r>
        <w:rPr>
          <w:rFonts w:hint="eastAsia" w:ascii="宋体" w:hAnsi="宋体" w:cs="宋体"/>
          <w:b/>
          <w:bCs/>
          <w:color w:val="auto"/>
          <w:sz w:val="22"/>
          <w:szCs w:val="22"/>
          <w:highlight w:val="none"/>
        </w:rPr>
        <w:t>附件</w:t>
      </w:r>
      <w:bookmarkEnd w:id="230"/>
      <w:bookmarkEnd w:id="231"/>
      <w:r>
        <w:rPr>
          <w:rFonts w:hint="eastAsia" w:ascii="宋体" w:hAnsi="宋体" w:cs="宋体"/>
          <w:b/>
          <w:bCs/>
          <w:color w:val="auto"/>
          <w:sz w:val="22"/>
          <w:szCs w:val="22"/>
          <w:highlight w:val="none"/>
        </w:rPr>
        <w:t>四</w:t>
      </w:r>
      <w:bookmarkEnd w:id="232"/>
      <w:bookmarkEnd w:id="233"/>
    </w:p>
    <w:p w14:paraId="657AF58A">
      <w:pPr>
        <w:spacing w:line="460" w:lineRule="exact"/>
        <w:jc w:val="center"/>
        <w:outlineLvl w:val="2"/>
        <w:rPr>
          <w:rFonts w:ascii="宋体" w:hAnsi="宋体" w:cs="宋体"/>
          <w:b/>
          <w:bCs/>
          <w:color w:val="auto"/>
          <w:sz w:val="28"/>
          <w:szCs w:val="28"/>
          <w:highlight w:val="none"/>
          <w:lang w:val="zh-CN"/>
        </w:rPr>
      </w:pPr>
      <w:bookmarkStart w:id="234" w:name="_Toc3970"/>
      <w:bookmarkStart w:id="235" w:name="_Toc31720"/>
      <w:bookmarkStart w:id="236" w:name="_Toc26191"/>
      <w:bookmarkStart w:id="237" w:name="_Toc22668"/>
      <w:r>
        <w:rPr>
          <w:rFonts w:hint="eastAsia" w:ascii="宋体" w:hAnsi="宋体" w:cs="宋体"/>
          <w:b/>
          <w:bCs/>
          <w:color w:val="auto"/>
          <w:sz w:val="28"/>
          <w:szCs w:val="28"/>
          <w:highlight w:val="none"/>
          <w:lang w:val="zh-CN"/>
        </w:rPr>
        <w:t>预付款保函示范文本</w:t>
      </w:r>
      <w:bookmarkEnd w:id="234"/>
      <w:bookmarkEnd w:id="235"/>
      <w:bookmarkEnd w:id="236"/>
      <w:bookmarkEnd w:id="237"/>
    </w:p>
    <w:p w14:paraId="0945362D">
      <w:pPr>
        <w:widowControl/>
        <w:spacing w:line="460" w:lineRule="exact"/>
        <w:jc w:val="center"/>
        <w:rPr>
          <w:rFonts w:ascii="新宋体" w:hAnsi="新宋体" w:eastAsia="新宋体" w:cs="新宋体"/>
          <w:color w:val="auto"/>
          <w:kern w:val="0"/>
          <w:sz w:val="32"/>
          <w:szCs w:val="32"/>
          <w:highlight w:val="none"/>
        </w:rPr>
      </w:pPr>
      <w:r>
        <w:rPr>
          <w:rFonts w:hint="eastAsia" w:ascii="新宋体" w:hAnsi="新宋体" w:eastAsia="新宋体" w:cs="新宋体"/>
          <w:b/>
          <w:bCs/>
          <w:color w:val="auto"/>
          <w:kern w:val="0"/>
          <w:sz w:val="32"/>
          <w:szCs w:val="32"/>
          <w:highlight w:val="none"/>
        </w:rPr>
        <w:t>（独立保函）</w:t>
      </w:r>
    </w:p>
    <w:p w14:paraId="396EFADC">
      <w:pPr>
        <w:widowControl/>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p w14:paraId="150CE57D">
      <w:pPr>
        <w:widowControl/>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编号：           </w:t>
      </w:r>
    </w:p>
    <w:p w14:paraId="08BBF3A0">
      <w:pPr>
        <w:widowControl/>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p w14:paraId="5B51271A">
      <w:pPr>
        <w:widowControl/>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申请人：                                      受益人：温州医科大学</w:t>
      </w:r>
    </w:p>
    <w:p w14:paraId="3F00D6E3">
      <w:pPr>
        <w:widowControl/>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地址：                                        地址：</w:t>
      </w:r>
    </w:p>
    <w:p w14:paraId="53BF3CB9">
      <w:pPr>
        <w:widowControl/>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开立人：</w:t>
      </w:r>
    </w:p>
    <w:p w14:paraId="0499F106">
      <w:pPr>
        <w:widowControl/>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地址：</w:t>
      </w:r>
    </w:p>
    <w:p w14:paraId="3324E371">
      <w:pPr>
        <w:widowControl/>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p w14:paraId="6C8C9622">
      <w:pPr>
        <w:widowControl/>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u w:val="single"/>
        </w:rPr>
        <w:t>温州医科大学</w:t>
      </w:r>
      <w:r>
        <w:rPr>
          <w:rFonts w:hint="eastAsia" w:ascii="新宋体" w:hAnsi="新宋体" w:eastAsia="新宋体" w:cs="新宋体"/>
          <w:color w:val="auto"/>
          <w:kern w:val="0"/>
          <w:sz w:val="22"/>
          <w:szCs w:val="22"/>
          <w:highlight w:val="none"/>
        </w:rPr>
        <w:t>（受益人名称）：</w:t>
      </w:r>
    </w:p>
    <w:p w14:paraId="4E0A0201">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鉴于</w:t>
      </w:r>
      <w:r>
        <w:rPr>
          <w:rFonts w:hint="eastAsia" w:ascii="新宋体" w:hAnsi="新宋体" w:eastAsia="新宋体" w:cs="新宋体"/>
          <w:color w:val="auto"/>
          <w:kern w:val="0"/>
          <w:sz w:val="22"/>
          <w:szCs w:val="22"/>
          <w:highlight w:val="none"/>
          <w:u w:val="single"/>
        </w:rPr>
        <w:t>  贵方 </w:t>
      </w:r>
      <w:r>
        <w:rPr>
          <w:rFonts w:hint="eastAsia" w:ascii="新宋体" w:hAnsi="新宋体" w:eastAsia="新宋体" w:cs="新宋体"/>
          <w:color w:val="auto"/>
          <w:kern w:val="0"/>
          <w:sz w:val="22"/>
          <w:szCs w:val="22"/>
          <w:highlight w:val="none"/>
        </w:rPr>
        <w:t>（以下简称“受益人”）与</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（以下简称“申请人”）于</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日就</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项目（以下简称“本项目”，合同编号：</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w:t>
      </w:r>
    </w:p>
    <w:p w14:paraId="478A051C">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一、本保函担保范围：申请人未按照合同约定正确和合理地为合同目的使用预付款，应当向贵方承担的违约责任和赔偿因此造成的损失、利息、律师费、诉讼费用等实现债权的费用。</w:t>
      </w:r>
    </w:p>
    <w:p w14:paraId="61EAE9B8">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二、本保函担保金额最高不超过人民币（大写）</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元（¥</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p>
    <w:p w14:paraId="47F991BF">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三、本保函有效期自开立之日起至买方全额扣回预付款后</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日止，最迟不超过开立之日起1年，即</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日。</w:t>
      </w:r>
    </w:p>
    <w:p w14:paraId="11705ADB">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四、我方承诺，在收到受益人发来的书面付款通知后的</w:t>
      </w:r>
      <w:r>
        <w:rPr>
          <w:rFonts w:hint="eastAsia" w:ascii="新宋体" w:hAnsi="新宋体" w:eastAsia="新宋体" w:cs="新宋体"/>
          <w:color w:val="auto"/>
          <w:kern w:val="0"/>
          <w:sz w:val="22"/>
          <w:szCs w:val="22"/>
          <w:highlight w:val="none"/>
          <w:u w:val="single"/>
        </w:rPr>
        <w:t>7</w:t>
      </w:r>
      <w:r>
        <w:rPr>
          <w:rFonts w:hint="eastAsia" w:ascii="新宋体" w:hAnsi="新宋体" w:eastAsia="新宋体" w:cs="新宋体"/>
          <w:color w:val="auto"/>
          <w:kern w:val="0"/>
          <w:sz w:val="22"/>
          <w:szCs w:val="22"/>
          <w:highlight w:val="none"/>
        </w:rPr>
        <w:t>日内无条件支付，前述书面付款通知即为付款要求之单据，且应满足以下要求：</w:t>
      </w:r>
    </w:p>
    <w:p w14:paraId="14CE2BE5">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（1）付款通知到达的日期在本保函的有效期内；</w:t>
      </w:r>
    </w:p>
    <w:p w14:paraId="70291EF1">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（2）载明要求支付的金额；</w:t>
      </w:r>
    </w:p>
    <w:p w14:paraId="33A4E017">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（3）载明申请人违反合同义务的条款和内容；</w:t>
      </w:r>
    </w:p>
    <w:p w14:paraId="15296308">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（4）声明不存在合同文件约定或我国法律规定免除申请人或开立人支付责任的情形；</w:t>
      </w:r>
    </w:p>
    <w:p w14:paraId="3B45706A">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（5）付款通知应在本保函有效期内到达的地址是：</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p>
    <w:p w14:paraId="60F6AC73">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受益人发出的书面付款通知应由其为鉴明受益人法定代表人（负责人）或授权代理人签字并加盖公章。</w:t>
      </w:r>
    </w:p>
    <w:p w14:paraId="230F0366">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五、本保函项下的权利不得转让，不得设定担保。贵方未经我方书面同意转让本保函或其项下任何权利，对我方不发生法律效力。</w:t>
      </w:r>
    </w:p>
    <w:p w14:paraId="7A9A6D55">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六、与本保函有关的基础合同不成立、不生效、无效、被撤销、被解除，不影响本保函的独立有效。</w:t>
      </w:r>
    </w:p>
    <w:p w14:paraId="220DF457">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七、本保函适用的法律为中华人民共和国法律，争议裁判管辖地为中华人民共和国浙江省</w:t>
      </w:r>
      <w:r>
        <w:rPr>
          <w:rFonts w:hint="eastAsia" w:ascii="新宋体" w:hAnsi="新宋体" w:eastAsia="新宋体" w:cs="新宋体"/>
          <w:color w:val="auto"/>
          <w:kern w:val="0"/>
          <w:sz w:val="22"/>
          <w:szCs w:val="22"/>
          <w:highlight w:val="none"/>
          <w:u w:val="single"/>
        </w:rPr>
        <w:t>温州市瓯海区</w:t>
      </w:r>
      <w:r>
        <w:rPr>
          <w:rFonts w:hint="eastAsia" w:ascii="新宋体" w:hAnsi="新宋体" w:eastAsia="新宋体" w:cs="新宋体"/>
          <w:color w:val="auto"/>
          <w:kern w:val="0"/>
          <w:sz w:val="22"/>
          <w:szCs w:val="22"/>
          <w:highlight w:val="none"/>
        </w:rPr>
        <w:t>。</w:t>
      </w:r>
    </w:p>
    <w:p w14:paraId="6816545E">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八、本保函自我方法定代表人或授权代表签字并加盖公章之日起生效。</w:t>
      </w:r>
    </w:p>
    <w:p w14:paraId="67A3F77B">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p w14:paraId="2358C6D8">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p w14:paraId="6FA87D64">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 立 人：                        （公章）</w:t>
      </w:r>
    </w:p>
    <w:p w14:paraId="2D3D3D78">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法定代表人（或授权代表）：               （签字）</w:t>
      </w:r>
    </w:p>
    <w:p w14:paraId="3A553E96">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    址：                                       </w:t>
      </w:r>
    </w:p>
    <w:p w14:paraId="1C399269">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p w14:paraId="23720A31">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    话：                 </w:t>
      </w:r>
    </w:p>
    <w:p w14:paraId="635F54E3">
      <w:pPr>
        <w:widowControl/>
        <w:spacing w:line="460" w:lineRule="exact"/>
        <w:ind w:firstLine="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p w14:paraId="70480EF7">
      <w:pPr>
        <w:widowControl/>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p w14:paraId="4BE13BB3">
      <w:pPr>
        <w:widowControl/>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开立时间：      年      月        日</w:t>
      </w:r>
    </w:p>
    <w:p w14:paraId="55525667">
      <w:pPr>
        <w:pStyle w:val="52"/>
        <w:ind w:left="840" w:hanging="420"/>
        <w:rPr>
          <w:color w:val="auto"/>
          <w:highlight w:val="none"/>
        </w:rPr>
      </w:pPr>
    </w:p>
    <w:p w14:paraId="47BA19FD">
      <w:pPr>
        <w:rPr>
          <w:color w:val="auto"/>
          <w:highlight w:val="none"/>
        </w:rPr>
      </w:pPr>
    </w:p>
    <w:p w14:paraId="4C508603">
      <w:pPr>
        <w:pStyle w:val="24"/>
        <w:rPr>
          <w:color w:val="auto"/>
          <w:highlight w:val="none"/>
        </w:rPr>
      </w:pPr>
    </w:p>
    <w:p w14:paraId="6EEE0E22">
      <w:pPr>
        <w:pStyle w:val="52"/>
        <w:ind w:left="840" w:hanging="420"/>
        <w:rPr>
          <w:color w:val="auto"/>
          <w:highlight w:val="none"/>
        </w:rPr>
      </w:pPr>
    </w:p>
    <w:p w14:paraId="07888229">
      <w:pPr>
        <w:rPr>
          <w:color w:val="auto"/>
          <w:highlight w:val="none"/>
        </w:rPr>
      </w:pPr>
    </w:p>
    <w:p w14:paraId="75336145">
      <w:pPr>
        <w:pStyle w:val="24"/>
        <w:rPr>
          <w:color w:val="auto"/>
          <w:highlight w:val="none"/>
        </w:rPr>
      </w:pPr>
    </w:p>
    <w:p w14:paraId="5C043E04">
      <w:pPr>
        <w:pStyle w:val="52"/>
        <w:ind w:left="840" w:hanging="420"/>
        <w:rPr>
          <w:color w:val="auto"/>
          <w:highlight w:val="none"/>
        </w:rPr>
      </w:pPr>
    </w:p>
    <w:p w14:paraId="477A3DAA">
      <w:pPr>
        <w:rPr>
          <w:color w:val="auto"/>
          <w:highlight w:val="none"/>
        </w:rPr>
      </w:pPr>
    </w:p>
    <w:p w14:paraId="0549FABD">
      <w:pPr>
        <w:pStyle w:val="24"/>
        <w:rPr>
          <w:color w:val="auto"/>
          <w:highlight w:val="none"/>
        </w:rPr>
      </w:pPr>
    </w:p>
    <w:p w14:paraId="69D140DF">
      <w:pPr>
        <w:pStyle w:val="52"/>
        <w:ind w:left="840" w:hanging="420"/>
        <w:rPr>
          <w:color w:val="auto"/>
          <w:highlight w:val="none"/>
        </w:rPr>
      </w:pPr>
    </w:p>
    <w:p w14:paraId="6FDC2899">
      <w:pPr>
        <w:rPr>
          <w:color w:val="auto"/>
          <w:highlight w:val="none"/>
        </w:rPr>
      </w:pPr>
    </w:p>
    <w:p w14:paraId="1248BF90">
      <w:pPr>
        <w:pStyle w:val="24"/>
        <w:rPr>
          <w:color w:val="auto"/>
          <w:highlight w:val="none"/>
        </w:rPr>
      </w:pPr>
    </w:p>
    <w:p w14:paraId="224F3043">
      <w:pPr>
        <w:pStyle w:val="52"/>
        <w:ind w:left="840" w:hanging="420"/>
        <w:rPr>
          <w:color w:val="auto"/>
          <w:highlight w:val="none"/>
        </w:rPr>
      </w:pPr>
    </w:p>
    <w:p w14:paraId="3BDEB9CD">
      <w:pPr>
        <w:rPr>
          <w:color w:val="auto"/>
          <w:highlight w:val="none"/>
        </w:rPr>
      </w:pPr>
    </w:p>
    <w:p w14:paraId="4E001971">
      <w:pPr>
        <w:rPr>
          <w:rFonts w:ascii="宋体" w:hAnsi="宋体" w:cs="宋体"/>
          <w:bCs/>
          <w:color w:val="auto"/>
          <w:sz w:val="22"/>
          <w:szCs w:val="22"/>
          <w:highlight w:val="none"/>
        </w:rPr>
      </w:pPr>
    </w:p>
    <w:p w14:paraId="3BF93BA0">
      <w:pPr>
        <w:pStyle w:val="3"/>
        <w:rPr>
          <w:rFonts w:ascii="宋体" w:hAnsi="宋体" w:eastAsia="宋体" w:cs="宋体"/>
          <w:b w:val="0"/>
          <w:color w:val="auto"/>
          <w:sz w:val="22"/>
          <w:szCs w:val="22"/>
          <w:highlight w:val="none"/>
        </w:rPr>
      </w:pPr>
      <w:bookmarkStart w:id="238" w:name="_Toc5317"/>
      <w:bookmarkStart w:id="239" w:name="_Toc27936"/>
      <w:bookmarkStart w:id="240" w:name="_Toc6733"/>
      <w:bookmarkStart w:id="241" w:name="_Toc5220"/>
      <w:bookmarkStart w:id="242" w:name="_Toc12365"/>
      <w:bookmarkStart w:id="243" w:name="_Toc28528"/>
      <w:bookmarkStart w:id="244" w:name="_Toc26576"/>
      <w:bookmarkStart w:id="245" w:name="_Toc19012"/>
      <w:r>
        <w:rPr>
          <w:rFonts w:hint="eastAsia" w:ascii="宋体" w:hAnsi="宋体" w:eastAsia="宋体" w:cs="宋体"/>
          <w:color w:val="auto"/>
          <w:highlight w:val="none"/>
        </w:rPr>
        <w:t xml:space="preserve">第四部分   </w:t>
      </w:r>
      <w:bookmarkStart w:id="246" w:name="_Toc221356958"/>
      <w:bookmarkStart w:id="247" w:name="_Toc221356895"/>
      <w:r>
        <w:rPr>
          <w:rFonts w:hint="eastAsia" w:ascii="宋体" w:hAnsi="宋体" w:eastAsia="宋体" w:cs="宋体"/>
          <w:color w:val="auto"/>
          <w:highlight w:val="none"/>
        </w:rPr>
        <w:t>项目技术规范和服务要求</w:t>
      </w:r>
      <w:bookmarkEnd w:id="238"/>
      <w:bookmarkEnd w:id="239"/>
      <w:bookmarkEnd w:id="240"/>
      <w:bookmarkEnd w:id="241"/>
      <w:bookmarkEnd w:id="242"/>
      <w:bookmarkEnd w:id="243"/>
      <w:bookmarkEnd w:id="244"/>
      <w:bookmarkEnd w:id="245"/>
      <w:bookmarkEnd w:id="246"/>
      <w:bookmarkEnd w:id="247"/>
      <w:bookmarkStart w:id="248" w:name="_Toc195502498"/>
      <w:bookmarkStart w:id="249" w:name="_Toc195502588"/>
      <w:bookmarkStart w:id="250" w:name="_Toc202085298"/>
    </w:p>
    <w:bookmarkEnd w:id="248"/>
    <w:bookmarkEnd w:id="249"/>
    <w:bookmarkEnd w:id="250"/>
    <w:p w14:paraId="557F5FA8">
      <w:pPr>
        <w:spacing w:line="460" w:lineRule="exact"/>
        <w:ind w:firstLine="541" w:firstLineChars="245"/>
        <w:outlineLvl w:val="1"/>
        <w:rPr>
          <w:rFonts w:ascii="宋体" w:hAnsi="宋体" w:cs="宋体"/>
          <w:b/>
          <w:bCs/>
          <w:color w:val="auto"/>
          <w:sz w:val="22"/>
          <w:szCs w:val="22"/>
          <w:highlight w:val="none"/>
        </w:rPr>
      </w:pPr>
      <w:bookmarkStart w:id="251" w:name="_Toc32397"/>
      <w:bookmarkStart w:id="252" w:name="_Toc14514"/>
      <w:bookmarkStart w:id="253" w:name="_Toc4850"/>
      <w:bookmarkStart w:id="254" w:name="_Toc17875"/>
      <w:bookmarkStart w:id="255" w:name="_Toc6671"/>
      <w:bookmarkStart w:id="256" w:name="_Toc22238"/>
      <w:bookmarkStart w:id="257" w:name="_Toc30113"/>
      <w:bookmarkStart w:id="258" w:name="_Toc12327"/>
      <w:bookmarkStart w:id="259" w:name="_Toc9439"/>
      <w:r>
        <w:rPr>
          <w:rFonts w:hint="eastAsia" w:ascii="宋体" w:hAnsi="宋体" w:cs="宋体"/>
          <w:b/>
          <w:bCs/>
          <w:color w:val="auto"/>
          <w:sz w:val="22"/>
          <w:szCs w:val="22"/>
          <w:highlight w:val="none"/>
        </w:rPr>
        <w:t>一、项目概况</w:t>
      </w:r>
      <w:bookmarkEnd w:id="251"/>
      <w:bookmarkEnd w:id="252"/>
      <w:bookmarkEnd w:id="253"/>
      <w:bookmarkEnd w:id="254"/>
      <w:bookmarkEnd w:id="255"/>
      <w:bookmarkEnd w:id="256"/>
      <w:bookmarkEnd w:id="257"/>
      <w:bookmarkEnd w:id="258"/>
    </w:p>
    <w:p w14:paraId="118C6C91">
      <w:pPr>
        <w:widowControl/>
        <w:tabs>
          <w:tab w:val="left" w:pos="785"/>
        </w:tabs>
        <w:autoSpaceDE w:val="0"/>
        <w:autoSpaceDN w:val="0"/>
        <w:adjustRightInd w:val="0"/>
        <w:snapToGrid w:val="0"/>
        <w:spacing w:line="460" w:lineRule="exact"/>
        <w:ind w:firstLine="440" w:firstLineChars="200"/>
        <w:textAlignment w:val="bottom"/>
        <w:rPr>
          <w:rFonts w:ascii="宋体" w:hAnsi="宋体"/>
          <w:color w:val="auto"/>
          <w:sz w:val="22"/>
          <w:szCs w:val="22"/>
          <w:highlight w:val="none"/>
        </w:rPr>
      </w:pPr>
      <w:r>
        <w:rPr>
          <w:rFonts w:hint="eastAsia" w:ascii="宋体" w:hAnsi="宋体"/>
          <w:color w:val="auto"/>
          <w:sz w:val="22"/>
          <w:szCs w:val="22"/>
          <w:highlight w:val="none"/>
        </w:rPr>
        <w:t>1、本项目采购内容为温州医科大学所需的</w:t>
      </w:r>
      <w:r>
        <w:rPr>
          <w:rFonts w:hint="eastAsia"/>
          <w:color w:val="auto"/>
          <w:sz w:val="22"/>
          <w:szCs w:val="22"/>
          <w:highlight w:val="none"/>
        </w:rPr>
        <w:t>智慧教室(信息化设备一批)</w:t>
      </w:r>
      <w:r>
        <w:rPr>
          <w:rFonts w:hint="eastAsia" w:ascii="宋体" w:hAnsi="宋体"/>
          <w:color w:val="auto"/>
          <w:sz w:val="22"/>
          <w:szCs w:val="22"/>
          <w:highlight w:val="none"/>
        </w:rPr>
        <w:t>项目，采购内容包含但不仅限于所需产品的设计、制造、运输（至采购人指定地点）、临时仓储、安装（含辅材辅料）、调试、验收配合、第三方检测（若需要）、技术培训、售后服务以及伴随的其他一切内容。</w:t>
      </w:r>
    </w:p>
    <w:p w14:paraId="7BFD3077">
      <w:pPr>
        <w:widowControl/>
        <w:tabs>
          <w:tab w:val="left" w:pos="785"/>
        </w:tabs>
        <w:autoSpaceDE w:val="0"/>
        <w:autoSpaceDN w:val="0"/>
        <w:adjustRightInd w:val="0"/>
        <w:snapToGrid w:val="0"/>
        <w:spacing w:line="460" w:lineRule="exact"/>
        <w:ind w:firstLine="440" w:firstLineChars="200"/>
        <w:textAlignment w:val="bottom"/>
        <w:rPr>
          <w:color w:val="auto"/>
          <w:highlight w:val="none"/>
        </w:rPr>
      </w:pPr>
      <w:bookmarkStart w:id="260" w:name="_Toc41642960"/>
      <w:bookmarkStart w:id="261" w:name="_Toc44256582"/>
      <w:bookmarkStart w:id="262" w:name="_Toc37146035"/>
      <w:bookmarkStart w:id="263" w:name="_Toc25227822"/>
      <w:bookmarkStart w:id="264" w:name="_Toc25241317"/>
      <w:bookmarkStart w:id="265" w:name="_Toc22808714"/>
      <w:bookmarkStart w:id="266" w:name="_Toc17992968"/>
      <w:bookmarkStart w:id="267" w:name="_Toc5624938"/>
      <w:bookmarkStart w:id="268" w:name="_Toc14794622"/>
      <w:bookmarkStart w:id="269" w:name="_Toc22909707"/>
      <w:bookmarkStart w:id="270" w:name="_Toc24566457"/>
      <w:bookmarkStart w:id="271" w:name="_Toc44229553"/>
      <w:bookmarkStart w:id="272" w:name="_Toc5287469"/>
      <w:bookmarkStart w:id="273" w:name="_Toc20120"/>
      <w:bookmarkStart w:id="274" w:name="_Toc14937259"/>
      <w:bookmarkStart w:id="275" w:name="_Toc17975036"/>
      <w:bookmarkStart w:id="276" w:name="_Toc8137051"/>
      <w:bookmarkStart w:id="277" w:name="_Toc8307800"/>
      <w:r>
        <w:rPr>
          <w:rFonts w:hint="eastAsia" w:ascii="宋体" w:hAnsi="宋体"/>
          <w:bCs/>
          <w:color w:val="auto"/>
          <w:sz w:val="22"/>
          <w:szCs w:val="22"/>
          <w:highlight w:val="none"/>
        </w:rPr>
        <w:t>此份采购内容及技术要求书是招标文件的一部分，包括所有条款的具体说明及技术要求，投标人需在各自技术和商务占优势的基础上对本次采购内容进行投标报价。</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3318297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2、各供应商应根据所提出的技术、服务和商务等相关要求，综合考虑产品的适应性，选择具有最佳性能价格比的产品前来投标。希望投标人以精良的设备、优良的服务和优惠的价格，充分显示你们的竞争实力。</w:t>
      </w:r>
    </w:p>
    <w:p w14:paraId="16205D2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所涉及的产品标准、规范，验收标准、规范，应符合国家有关条例及规范，如有新的标准应采纳新标准，如是国外相应标准应得到采购人认可，投标人应使选用的设备和材料符合最新版本的国际和国家的标准、规范，并提供采用的国家和国际标准、规范以及所采用的版本的有关技术资料。</w:t>
      </w:r>
    </w:p>
    <w:p w14:paraId="1AB63432">
      <w:pPr>
        <w:spacing w:line="460" w:lineRule="exact"/>
        <w:ind w:firstLine="440" w:firstLineChars="200"/>
        <w:rPr>
          <w:rFonts w:ascii="新宋体" w:hAnsi="新宋体" w:eastAsia="新宋体" w:cs="新宋体"/>
          <w:color w:val="auto"/>
          <w:sz w:val="22"/>
          <w:szCs w:val="22"/>
          <w:highlight w:val="none"/>
        </w:rPr>
      </w:pPr>
      <w:bookmarkStart w:id="278" w:name="_Toc8307804"/>
      <w:bookmarkStart w:id="279" w:name="_Toc44229557"/>
      <w:bookmarkStart w:id="280" w:name="_Toc8137055"/>
      <w:bookmarkStart w:id="281" w:name="_Toc17992972"/>
      <w:bookmarkStart w:id="282" w:name="_Toc24566461"/>
      <w:bookmarkStart w:id="283" w:name="_Toc14937263"/>
      <w:bookmarkStart w:id="284" w:name="_Toc25241321"/>
      <w:bookmarkStart w:id="285" w:name="_Toc14794626"/>
      <w:bookmarkStart w:id="286" w:name="_Toc41642964"/>
      <w:bookmarkStart w:id="287" w:name="_Toc25227826"/>
      <w:bookmarkStart w:id="288" w:name="_Toc37146039"/>
      <w:bookmarkStart w:id="289" w:name="_Toc44256586"/>
      <w:bookmarkStart w:id="290" w:name="_Toc17975040"/>
      <w:bookmarkStart w:id="291" w:name="_Toc31337"/>
      <w:bookmarkStart w:id="292" w:name="_Toc22808718"/>
      <w:bookmarkStart w:id="293" w:name="_Toc22909711"/>
      <w:bookmarkStart w:id="294" w:name="_Toc5287473"/>
      <w:bookmarkStart w:id="295" w:name="_Toc5624942"/>
      <w:r>
        <w:rPr>
          <w:rFonts w:hint="eastAsia" w:ascii="新宋体" w:hAnsi="新宋体" w:eastAsia="新宋体" w:cs="新宋体"/>
          <w:color w:val="auto"/>
          <w:sz w:val="22"/>
          <w:szCs w:val="22"/>
          <w:highlight w:val="none"/>
        </w:rPr>
        <w:t>4、在投标报价之前，投标人须仔细阅读招标文件，如发现有任何疑问、冲突或技术问题，投标人须在答疑截止时间前以书面形式向采购代理机构提出。逾期采购人不再作答复，有关风险及责任由投标人自行承担。</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216C01F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5、本项目优先采购本国货物和服务，必须进行的技术引进和转让需符合国家政策和有利于国内行业的发展。项目中涉及到的设备、材料属于政府采购节能产品、环境标志产品的，要求符合相关规定。</w:t>
      </w:r>
    </w:p>
    <w:p w14:paraId="7917787A">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6、投标人所投产品及主要部件的名称、品牌、型号、技术参数、性能、数量、单价、合价、制造商、质保期等应对照采购内容及技术要求列表对应进行说明，在投标文件的相应部分明确，对招标文件的技术条款及其它要求应予以实质性响应，如有偏离须在偏离表中注明，否则会对投标人做出不利评定。</w:t>
      </w:r>
    </w:p>
    <w:p w14:paraId="6FAE56D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投标人须完成货物的生产、运输、安装、整合调试，直至验收合格交付使用前的所有工作。在此过程中发生的一切费用（包括辅助材料、零部件等配套设施）均由中标人提供，各投标人应对本招标文件未列出但完成本项目所必须的其他材料一一列出，并详细注明报价等情况，如未列出，则视为已包含在总价内，由投标人免费提供。</w:t>
      </w:r>
    </w:p>
    <w:p w14:paraId="1EC0C07A">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8、供应商需针对本项目所提供的产品的技术性能、质量水平、具体实施方案、售后服务、培训计划等做详尽的描述。</w:t>
      </w:r>
    </w:p>
    <w:p w14:paraId="0ACC0FB0">
      <w:pPr>
        <w:spacing w:line="460" w:lineRule="exact"/>
        <w:ind w:firstLine="541" w:firstLineChars="245"/>
        <w:outlineLvl w:val="1"/>
        <w:rPr>
          <w:rFonts w:hint="eastAsia" w:ascii="宋体" w:hAnsi="宋体" w:cs="宋体"/>
          <w:b/>
          <w:bCs/>
          <w:color w:val="auto"/>
          <w:sz w:val="22"/>
          <w:szCs w:val="22"/>
          <w:highlight w:val="none"/>
        </w:rPr>
      </w:pPr>
      <w:bookmarkStart w:id="296" w:name="_Toc353"/>
      <w:bookmarkStart w:id="297" w:name="_Toc2709"/>
      <w:bookmarkStart w:id="298" w:name="_Toc26409"/>
      <w:bookmarkStart w:id="299" w:name="_Toc25304"/>
      <w:bookmarkStart w:id="300" w:name="_Toc10656"/>
      <w:bookmarkStart w:id="301" w:name="_Toc27342"/>
      <w:r>
        <w:rPr>
          <w:rFonts w:hint="eastAsia" w:ascii="宋体" w:hAnsi="宋体" w:cs="宋体"/>
          <w:b/>
          <w:bCs/>
          <w:color w:val="auto"/>
          <w:sz w:val="22"/>
          <w:szCs w:val="22"/>
          <w:highlight w:val="none"/>
        </w:rPr>
        <w:t>二、采购清单</w:t>
      </w:r>
      <w:bookmarkEnd w:id="296"/>
      <w:bookmarkEnd w:id="297"/>
      <w:bookmarkEnd w:id="298"/>
      <w:bookmarkEnd w:id="299"/>
      <w:bookmarkEnd w:id="300"/>
      <w:bookmarkEnd w:id="301"/>
    </w:p>
    <w:p w14:paraId="1F7703A1">
      <w:pPr>
        <w:spacing w:line="460" w:lineRule="exact"/>
        <w:ind w:firstLine="541" w:firstLineChars="245"/>
        <w:outlineLvl w:val="9"/>
        <w:rPr>
          <w:rFonts w:hint="default" w:ascii="宋体" w:hAnsi="宋体" w:eastAsia="新宋体" w:cs="宋体"/>
          <w:b/>
          <w:bCs/>
          <w:color w:val="auto"/>
          <w:sz w:val="22"/>
          <w:szCs w:val="22"/>
          <w:highlight w:val="none"/>
          <w:u w:val="single"/>
          <w:lang w:val="en-US" w:eastAsia="zh-CN"/>
        </w:rPr>
      </w:pPr>
      <w:r>
        <w:rPr>
          <w:rFonts w:hint="eastAsia" w:ascii="新宋体" w:hAnsi="新宋体" w:eastAsia="新宋体" w:cs="新宋体"/>
          <w:b/>
          <w:bCs/>
          <w:color w:val="auto"/>
          <w:sz w:val="22"/>
          <w:szCs w:val="22"/>
          <w:highlight w:val="none"/>
          <w:u w:val="single"/>
          <w:lang w:val="en-US" w:eastAsia="zh-CN"/>
        </w:rPr>
        <w:t>▲本项目</w:t>
      </w:r>
      <w:r>
        <w:rPr>
          <w:rFonts w:hint="eastAsia" w:ascii="新宋体" w:hAnsi="新宋体" w:eastAsia="新宋体" w:cs="新宋体"/>
          <w:b/>
          <w:bCs/>
          <w:color w:val="auto"/>
          <w:sz w:val="22"/>
          <w:szCs w:val="22"/>
          <w:highlight w:val="none"/>
          <w:u w:val="single"/>
        </w:rPr>
        <w:t>预算金额</w:t>
      </w:r>
      <w:r>
        <w:rPr>
          <w:rFonts w:hint="eastAsia" w:ascii="新宋体" w:hAnsi="新宋体" w:eastAsia="新宋体" w:cs="新宋体"/>
          <w:b/>
          <w:bCs/>
          <w:color w:val="auto"/>
          <w:sz w:val="22"/>
          <w:szCs w:val="22"/>
          <w:highlight w:val="none"/>
          <w:u w:val="single"/>
          <w:lang w:val="en-US" w:eastAsia="zh-CN"/>
        </w:rPr>
        <w:t>140</w:t>
      </w:r>
      <w:r>
        <w:rPr>
          <w:rFonts w:hint="eastAsia" w:ascii="新宋体" w:hAnsi="新宋体" w:eastAsia="新宋体" w:cs="新宋体"/>
          <w:b/>
          <w:bCs/>
          <w:color w:val="auto"/>
          <w:sz w:val="22"/>
          <w:szCs w:val="22"/>
          <w:highlight w:val="none"/>
          <w:u w:val="single"/>
        </w:rPr>
        <w:t>万元，最高限价</w:t>
      </w:r>
      <w:r>
        <w:rPr>
          <w:rFonts w:ascii="新宋体" w:hAnsi="新宋体" w:eastAsia="新宋体" w:cs="新宋体"/>
          <w:b/>
          <w:bCs/>
          <w:color w:val="auto"/>
          <w:sz w:val="22"/>
          <w:szCs w:val="22"/>
          <w:highlight w:val="none"/>
          <w:u w:val="single"/>
        </w:rPr>
        <w:t>115.9</w:t>
      </w:r>
      <w:r>
        <w:rPr>
          <w:rFonts w:hint="eastAsia" w:ascii="新宋体" w:hAnsi="新宋体" w:eastAsia="新宋体" w:cs="新宋体"/>
          <w:b/>
          <w:bCs/>
          <w:color w:val="auto"/>
          <w:sz w:val="22"/>
          <w:szCs w:val="22"/>
          <w:highlight w:val="none"/>
          <w:u w:val="single"/>
        </w:rPr>
        <w:t>万元。</w:t>
      </w:r>
      <w:r>
        <w:rPr>
          <w:rFonts w:hint="eastAsia" w:ascii="新宋体" w:hAnsi="新宋体" w:eastAsia="新宋体" w:cs="新宋体"/>
          <w:b/>
          <w:bCs/>
          <w:color w:val="auto"/>
          <w:sz w:val="22"/>
          <w:szCs w:val="22"/>
          <w:highlight w:val="none"/>
          <w:u w:val="single"/>
          <w:lang w:val="en-US" w:eastAsia="zh-CN"/>
        </w:rPr>
        <w:t>投标供应商报价超出最高限价按无效标处理。</w:t>
      </w:r>
    </w:p>
    <w:tbl>
      <w:tblPr>
        <w:tblStyle w:val="53"/>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027"/>
        <w:gridCol w:w="1145"/>
        <w:gridCol w:w="1255"/>
        <w:gridCol w:w="1459"/>
      </w:tblGrid>
      <w:tr w14:paraId="3FD7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D96257D">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5027" w:type="dxa"/>
            <w:vAlign w:val="center"/>
          </w:tcPr>
          <w:p w14:paraId="66B59909">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采购内容</w:t>
            </w:r>
          </w:p>
        </w:tc>
        <w:tc>
          <w:tcPr>
            <w:tcW w:w="1145" w:type="dxa"/>
            <w:vAlign w:val="center"/>
          </w:tcPr>
          <w:p w14:paraId="440A7511">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单位</w:t>
            </w:r>
          </w:p>
        </w:tc>
        <w:tc>
          <w:tcPr>
            <w:tcW w:w="1255" w:type="dxa"/>
            <w:vAlign w:val="center"/>
          </w:tcPr>
          <w:p w14:paraId="077DA247">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459" w:type="dxa"/>
            <w:vAlign w:val="center"/>
          </w:tcPr>
          <w:p w14:paraId="08A236B0">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1371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A52E10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5027" w:type="dxa"/>
            <w:vAlign w:val="center"/>
          </w:tcPr>
          <w:p w14:paraId="593BD00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单屏智慧讲台</w:t>
            </w:r>
          </w:p>
        </w:tc>
        <w:tc>
          <w:tcPr>
            <w:tcW w:w="1145" w:type="dxa"/>
            <w:vAlign w:val="center"/>
          </w:tcPr>
          <w:p w14:paraId="60E5D0CE">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6EDBF9D9">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459" w:type="dxa"/>
            <w:vAlign w:val="center"/>
          </w:tcPr>
          <w:p w14:paraId="6699000F">
            <w:pPr>
              <w:spacing w:line="460" w:lineRule="exact"/>
              <w:ind w:firstLine="539" w:firstLineChars="245"/>
              <w:rPr>
                <w:rFonts w:ascii="新宋体" w:hAnsi="新宋体" w:eastAsia="新宋体" w:cs="新宋体"/>
                <w:color w:val="auto"/>
                <w:sz w:val="22"/>
                <w:szCs w:val="22"/>
                <w:highlight w:val="none"/>
              </w:rPr>
            </w:pPr>
          </w:p>
        </w:tc>
      </w:tr>
      <w:tr w14:paraId="5288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6D24A2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5027" w:type="dxa"/>
            <w:vAlign w:val="center"/>
          </w:tcPr>
          <w:p w14:paraId="22F536ED">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电容单屏（讲台屏）</w:t>
            </w:r>
          </w:p>
        </w:tc>
        <w:tc>
          <w:tcPr>
            <w:tcW w:w="1145" w:type="dxa"/>
            <w:vAlign w:val="center"/>
          </w:tcPr>
          <w:p w14:paraId="4804015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4D9B21AD">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459" w:type="dxa"/>
            <w:vAlign w:val="center"/>
          </w:tcPr>
          <w:p w14:paraId="01E8ACC2">
            <w:pPr>
              <w:spacing w:line="460" w:lineRule="exact"/>
              <w:ind w:firstLine="539" w:firstLineChars="245"/>
              <w:rPr>
                <w:rFonts w:ascii="新宋体" w:hAnsi="新宋体" w:eastAsia="新宋体" w:cs="新宋体"/>
                <w:color w:val="auto"/>
                <w:sz w:val="22"/>
                <w:szCs w:val="22"/>
                <w:highlight w:val="none"/>
              </w:rPr>
            </w:pPr>
          </w:p>
        </w:tc>
      </w:tr>
      <w:tr w14:paraId="3107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73C347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5027" w:type="dxa"/>
            <w:vAlign w:val="center"/>
          </w:tcPr>
          <w:p w14:paraId="0647C63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液晶中控面板</w:t>
            </w:r>
          </w:p>
        </w:tc>
        <w:tc>
          <w:tcPr>
            <w:tcW w:w="1145" w:type="dxa"/>
            <w:vAlign w:val="center"/>
          </w:tcPr>
          <w:p w14:paraId="6BAA14C4">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1031159D">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459" w:type="dxa"/>
            <w:vAlign w:val="center"/>
          </w:tcPr>
          <w:p w14:paraId="5BDE087E">
            <w:pPr>
              <w:spacing w:line="460" w:lineRule="exact"/>
              <w:jc w:val="center"/>
              <w:rPr>
                <w:rFonts w:ascii="新宋体" w:hAnsi="新宋体" w:eastAsia="新宋体" w:cs="新宋体"/>
                <w:color w:val="auto"/>
                <w:sz w:val="22"/>
                <w:szCs w:val="22"/>
                <w:highlight w:val="none"/>
              </w:rPr>
            </w:pPr>
          </w:p>
        </w:tc>
      </w:tr>
      <w:tr w14:paraId="0ADC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171AD7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5027" w:type="dxa"/>
            <w:vAlign w:val="center"/>
          </w:tcPr>
          <w:p w14:paraId="4339C30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多屏研讨互动授课系统</w:t>
            </w:r>
          </w:p>
        </w:tc>
        <w:tc>
          <w:tcPr>
            <w:tcW w:w="1145" w:type="dxa"/>
            <w:vAlign w:val="center"/>
          </w:tcPr>
          <w:p w14:paraId="6ACD0D9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5137A27D">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459" w:type="dxa"/>
            <w:vAlign w:val="center"/>
          </w:tcPr>
          <w:p w14:paraId="580A8965">
            <w:pPr>
              <w:spacing w:line="460" w:lineRule="exact"/>
              <w:jc w:val="center"/>
              <w:rPr>
                <w:rFonts w:ascii="新宋体" w:hAnsi="新宋体" w:eastAsia="新宋体" w:cs="新宋体"/>
                <w:color w:val="auto"/>
                <w:sz w:val="22"/>
                <w:szCs w:val="22"/>
                <w:highlight w:val="none"/>
              </w:rPr>
            </w:pPr>
          </w:p>
        </w:tc>
      </w:tr>
      <w:tr w14:paraId="4D7A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80472BB">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5027" w:type="dxa"/>
            <w:vAlign w:val="center"/>
          </w:tcPr>
          <w:p w14:paraId="04DEDB38">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双屏互动授课系统</w:t>
            </w:r>
          </w:p>
        </w:tc>
        <w:tc>
          <w:tcPr>
            <w:tcW w:w="1145" w:type="dxa"/>
            <w:vAlign w:val="center"/>
          </w:tcPr>
          <w:p w14:paraId="7DB5087E">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7E0D2CA0">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459" w:type="dxa"/>
            <w:vAlign w:val="center"/>
          </w:tcPr>
          <w:p w14:paraId="54CB0207">
            <w:pPr>
              <w:spacing w:line="460" w:lineRule="exact"/>
              <w:ind w:firstLine="539" w:firstLineChars="245"/>
              <w:rPr>
                <w:rFonts w:ascii="新宋体" w:hAnsi="新宋体" w:eastAsia="新宋体" w:cs="新宋体"/>
                <w:color w:val="auto"/>
                <w:sz w:val="22"/>
                <w:szCs w:val="22"/>
                <w:highlight w:val="none"/>
              </w:rPr>
            </w:pPr>
          </w:p>
        </w:tc>
      </w:tr>
      <w:tr w14:paraId="0A01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7CBBF28">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5027" w:type="dxa"/>
            <w:vAlign w:val="center"/>
          </w:tcPr>
          <w:p w14:paraId="6493D53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视频分配器</w:t>
            </w:r>
          </w:p>
        </w:tc>
        <w:tc>
          <w:tcPr>
            <w:tcW w:w="1145" w:type="dxa"/>
            <w:vAlign w:val="center"/>
          </w:tcPr>
          <w:p w14:paraId="206653D4">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598AD537">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459" w:type="dxa"/>
            <w:vAlign w:val="center"/>
          </w:tcPr>
          <w:p w14:paraId="21E69BB9">
            <w:pPr>
              <w:spacing w:line="460" w:lineRule="exact"/>
              <w:rPr>
                <w:rFonts w:ascii="新宋体" w:hAnsi="新宋体" w:eastAsia="新宋体" w:cs="新宋体"/>
                <w:color w:val="auto"/>
                <w:sz w:val="22"/>
                <w:szCs w:val="22"/>
                <w:highlight w:val="none"/>
              </w:rPr>
            </w:pPr>
          </w:p>
        </w:tc>
      </w:tr>
      <w:tr w14:paraId="5E13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BF377C7">
            <w:pPr>
              <w:jc w:val="center"/>
              <w:rPr>
                <w:rFonts w:ascii="新宋体" w:hAnsi="新宋体" w:eastAsia="新宋体" w:cs="新宋体"/>
                <w:color w:val="auto"/>
                <w:sz w:val="22"/>
                <w:szCs w:val="22"/>
                <w:highlight w:val="none"/>
              </w:rPr>
            </w:pPr>
            <w:bookmarkStart w:id="302" w:name="_Toc10416"/>
            <w:bookmarkStart w:id="303" w:name="_Toc23680"/>
            <w:bookmarkStart w:id="304" w:name="_Toc32006"/>
            <w:bookmarkStart w:id="305" w:name="_Toc14179"/>
            <w:bookmarkStart w:id="306" w:name="_Toc22845"/>
            <w:bookmarkStart w:id="307" w:name="_Toc18052"/>
            <w:bookmarkStart w:id="308" w:name="_Toc6767"/>
            <w:bookmarkStart w:id="309" w:name="_Toc1599"/>
            <w:r>
              <w:rPr>
                <w:rFonts w:hint="eastAsia" w:ascii="新宋体" w:hAnsi="新宋体" w:eastAsia="新宋体" w:cs="新宋体"/>
                <w:color w:val="auto"/>
                <w:sz w:val="22"/>
                <w:szCs w:val="22"/>
                <w:highlight w:val="none"/>
              </w:rPr>
              <w:t>7</w:t>
            </w:r>
          </w:p>
        </w:tc>
        <w:tc>
          <w:tcPr>
            <w:tcW w:w="5027" w:type="dxa"/>
            <w:vAlign w:val="center"/>
          </w:tcPr>
          <w:p w14:paraId="2B26A92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时序电源控制器</w:t>
            </w:r>
          </w:p>
        </w:tc>
        <w:tc>
          <w:tcPr>
            <w:tcW w:w="1145" w:type="dxa"/>
            <w:vAlign w:val="center"/>
          </w:tcPr>
          <w:p w14:paraId="1F36BD4B">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326E0FEC">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459" w:type="dxa"/>
            <w:vAlign w:val="center"/>
          </w:tcPr>
          <w:p w14:paraId="5E28FE54">
            <w:pPr>
              <w:spacing w:line="460" w:lineRule="exact"/>
              <w:rPr>
                <w:rFonts w:ascii="新宋体" w:hAnsi="新宋体" w:eastAsia="新宋体" w:cs="新宋体"/>
                <w:color w:val="auto"/>
                <w:sz w:val="22"/>
                <w:szCs w:val="22"/>
                <w:highlight w:val="none"/>
              </w:rPr>
            </w:pPr>
          </w:p>
        </w:tc>
      </w:tr>
      <w:tr w14:paraId="70BC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305D7A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5027" w:type="dxa"/>
            <w:vAlign w:val="center"/>
          </w:tcPr>
          <w:p w14:paraId="5410E67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音频系统接收器</w:t>
            </w:r>
          </w:p>
        </w:tc>
        <w:tc>
          <w:tcPr>
            <w:tcW w:w="1145" w:type="dxa"/>
            <w:vAlign w:val="center"/>
          </w:tcPr>
          <w:p w14:paraId="66B3757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49EA0064">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459" w:type="dxa"/>
            <w:vAlign w:val="center"/>
          </w:tcPr>
          <w:p w14:paraId="036AA2C2">
            <w:pPr>
              <w:spacing w:line="460" w:lineRule="exact"/>
              <w:rPr>
                <w:rFonts w:ascii="新宋体" w:hAnsi="新宋体" w:eastAsia="新宋体" w:cs="新宋体"/>
                <w:color w:val="auto"/>
                <w:sz w:val="22"/>
                <w:szCs w:val="22"/>
                <w:highlight w:val="none"/>
              </w:rPr>
            </w:pPr>
          </w:p>
        </w:tc>
      </w:tr>
      <w:tr w14:paraId="6101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CF96154">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5027" w:type="dxa"/>
            <w:vAlign w:val="center"/>
          </w:tcPr>
          <w:p w14:paraId="1391166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数字红外无线系统主机</w:t>
            </w:r>
          </w:p>
        </w:tc>
        <w:tc>
          <w:tcPr>
            <w:tcW w:w="1145" w:type="dxa"/>
            <w:vAlign w:val="center"/>
          </w:tcPr>
          <w:p w14:paraId="6BF99C7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台</w:t>
            </w:r>
          </w:p>
        </w:tc>
        <w:tc>
          <w:tcPr>
            <w:tcW w:w="1255" w:type="dxa"/>
            <w:vAlign w:val="center"/>
          </w:tcPr>
          <w:p w14:paraId="5F3B041D">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459" w:type="dxa"/>
            <w:vAlign w:val="center"/>
          </w:tcPr>
          <w:p w14:paraId="3055E24B">
            <w:pPr>
              <w:spacing w:line="460" w:lineRule="exact"/>
              <w:rPr>
                <w:rFonts w:ascii="新宋体" w:hAnsi="新宋体" w:eastAsia="新宋体" w:cs="新宋体"/>
                <w:color w:val="auto"/>
                <w:sz w:val="22"/>
                <w:szCs w:val="22"/>
                <w:highlight w:val="none"/>
              </w:rPr>
            </w:pPr>
          </w:p>
        </w:tc>
      </w:tr>
      <w:tr w14:paraId="0B67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AD682C0">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5027" w:type="dxa"/>
            <w:vAlign w:val="center"/>
          </w:tcPr>
          <w:p w14:paraId="2C18904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阵列音箱</w:t>
            </w:r>
          </w:p>
        </w:tc>
        <w:tc>
          <w:tcPr>
            <w:tcW w:w="1145" w:type="dxa"/>
            <w:vAlign w:val="center"/>
          </w:tcPr>
          <w:p w14:paraId="2A30763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068BF8BD">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459" w:type="dxa"/>
            <w:vAlign w:val="center"/>
          </w:tcPr>
          <w:p w14:paraId="1662B6B5">
            <w:pPr>
              <w:spacing w:line="460" w:lineRule="exact"/>
              <w:rPr>
                <w:rFonts w:ascii="新宋体" w:hAnsi="新宋体" w:eastAsia="新宋体" w:cs="新宋体"/>
                <w:color w:val="auto"/>
                <w:sz w:val="22"/>
                <w:szCs w:val="22"/>
                <w:highlight w:val="none"/>
              </w:rPr>
            </w:pPr>
          </w:p>
        </w:tc>
      </w:tr>
      <w:tr w14:paraId="3117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78006B0">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5027" w:type="dxa"/>
            <w:vAlign w:val="center"/>
          </w:tcPr>
          <w:p w14:paraId="1D81929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数字红外无线麦克风</w:t>
            </w:r>
          </w:p>
        </w:tc>
        <w:tc>
          <w:tcPr>
            <w:tcW w:w="1145" w:type="dxa"/>
            <w:vAlign w:val="center"/>
          </w:tcPr>
          <w:p w14:paraId="1FD3DC54">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357B839F">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459" w:type="dxa"/>
            <w:vAlign w:val="center"/>
          </w:tcPr>
          <w:p w14:paraId="5286EF7C">
            <w:pPr>
              <w:spacing w:line="460" w:lineRule="exact"/>
              <w:rPr>
                <w:rFonts w:ascii="新宋体" w:hAnsi="新宋体" w:eastAsia="新宋体" w:cs="新宋体"/>
                <w:color w:val="auto"/>
                <w:sz w:val="22"/>
                <w:szCs w:val="22"/>
                <w:highlight w:val="none"/>
              </w:rPr>
            </w:pPr>
          </w:p>
        </w:tc>
      </w:tr>
      <w:tr w14:paraId="312B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6F7AD68">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5027" w:type="dxa"/>
            <w:vAlign w:val="center"/>
          </w:tcPr>
          <w:p w14:paraId="3427A54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鹅颈话筒（含充电底座)</w:t>
            </w:r>
          </w:p>
        </w:tc>
        <w:tc>
          <w:tcPr>
            <w:tcW w:w="1145" w:type="dxa"/>
            <w:vAlign w:val="center"/>
          </w:tcPr>
          <w:p w14:paraId="71A23B2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29A071A1">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459" w:type="dxa"/>
            <w:vAlign w:val="center"/>
          </w:tcPr>
          <w:p w14:paraId="6B7EDB43">
            <w:pPr>
              <w:spacing w:line="460" w:lineRule="exact"/>
              <w:rPr>
                <w:rFonts w:ascii="新宋体" w:hAnsi="新宋体" w:eastAsia="新宋体" w:cs="新宋体"/>
                <w:color w:val="auto"/>
                <w:sz w:val="22"/>
                <w:szCs w:val="22"/>
                <w:highlight w:val="none"/>
              </w:rPr>
            </w:pPr>
          </w:p>
        </w:tc>
      </w:tr>
      <w:tr w14:paraId="719C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74F28D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5027" w:type="dxa"/>
            <w:vAlign w:val="center"/>
          </w:tcPr>
          <w:p w14:paraId="411701CD">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电子班牌</w:t>
            </w:r>
          </w:p>
        </w:tc>
        <w:tc>
          <w:tcPr>
            <w:tcW w:w="1145" w:type="dxa"/>
            <w:vAlign w:val="center"/>
          </w:tcPr>
          <w:p w14:paraId="2F1BDC5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57F0ECC5">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459" w:type="dxa"/>
            <w:vAlign w:val="center"/>
          </w:tcPr>
          <w:p w14:paraId="6C6E98C9">
            <w:pPr>
              <w:spacing w:line="460" w:lineRule="exact"/>
              <w:rPr>
                <w:rFonts w:ascii="新宋体" w:hAnsi="新宋体" w:eastAsia="新宋体" w:cs="新宋体"/>
                <w:color w:val="auto"/>
                <w:sz w:val="22"/>
                <w:szCs w:val="22"/>
                <w:highlight w:val="none"/>
              </w:rPr>
            </w:pPr>
          </w:p>
        </w:tc>
      </w:tr>
      <w:tr w14:paraId="4592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7592F0A">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5027" w:type="dxa"/>
            <w:vAlign w:val="center"/>
          </w:tcPr>
          <w:p w14:paraId="5C7F010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投屏器</w:t>
            </w:r>
          </w:p>
        </w:tc>
        <w:tc>
          <w:tcPr>
            <w:tcW w:w="1145" w:type="dxa"/>
            <w:vAlign w:val="center"/>
          </w:tcPr>
          <w:p w14:paraId="3A204C3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1078FF9B">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459" w:type="dxa"/>
            <w:vAlign w:val="center"/>
          </w:tcPr>
          <w:p w14:paraId="215830A2">
            <w:pPr>
              <w:spacing w:line="460" w:lineRule="exact"/>
              <w:rPr>
                <w:rFonts w:ascii="新宋体" w:hAnsi="新宋体" w:eastAsia="新宋体" w:cs="新宋体"/>
                <w:color w:val="auto"/>
                <w:sz w:val="22"/>
                <w:szCs w:val="22"/>
                <w:highlight w:val="none"/>
              </w:rPr>
            </w:pPr>
          </w:p>
        </w:tc>
      </w:tr>
      <w:tr w14:paraId="3AB2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041BEC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5027" w:type="dxa"/>
            <w:vAlign w:val="center"/>
          </w:tcPr>
          <w:p w14:paraId="73C0388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常态化录播系统</w:t>
            </w:r>
          </w:p>
        </w:tc>
        <w:tc>
          <w:tcPr>
            <w:tcW w:w="1145" w:type="dxa"/>
            <w:vAlign w:val="center"/>
          </w:tcPr>
          <w:p w14:paraId="733146CD">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34A945B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459" w:type="dxa"/>
            <w:vAlign w:val="center"/>
          </w:tcPr>
          <w:p w14:paraId="37C05934">
            <w:pPr>
              <w:spacing w:line="460" w:lineRule="exact"/>
              <w:rPr>
                <w:rFonts w:ascii="新宋体" w:hAnsi="新宋体" w:eastAsia="新宋体" w:cs="新宋体"/>
                <w:color w:val="auto"/>
                <w:sz w:val="22"/>
                <w:szCs w:val="22"/>
                <w:highlight w:val="none"/>
              </w:rPr>
            </w:pPr>
          </w:p>
        </w:tc>
      </w:tr>
      <w:tr w14:paraId="5C4F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27D45B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5027" w:type="dxa"/>
            <w:vAlign w:val="center"/>
          </w:tcPr>
          <w:p w14:paraId="7AA0F89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录播摄像机</w:t>
            </w:r>
          </w:p>
        </w:tc>
        <w:tc>
          <w:tcPr>
            <w:tcW w:w="1145" w:type="dxa"/>
            <w:vAlign w:val="center"/>
          </w:tcPr>
          <w:p w14:paraId="185DB4A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6C84DB94">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459" w:type="dxa"/>
            <w:vAlign w:val="center"/>
          </w:tcPr>
          <w:p w14:paraId="07C9EB11">
            <w:pPr>
              <w:spacing w:line="460" w:lineRule="exact"/>
              <w:rPr>
                <w:rFonts w:ascii="新宋体" w:hAnsi="新宋体" w:eastAsia="新宋体" w:cs="新宋体"/>
                <w:color w:val="auto"/>
                <w:sz w:val="22"/>
                <w:szCs w:val="22"/>
                <w:highlight w:val="none"/>
              </w:rPr>
            </w:pPr>
          </w:p>
        </w:tc>
      </w:tr>
      <w:tr w14:paraId="039D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D241A00">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5027" w:type="dxa"/>
            <w:vAlign w:val="center"/>
          </w:tcPr>
          <w:p w14:paraId="3D5E491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无线图传</w:t>
            </w:r>
          </w:p>
        </w:tc>
        <w:tc>
          <w:tcPr>
            <w:tcW w:w="1145" w:type="dxa"/>
            <w:vAlign w:val="center"/>
          </w:tcPr>
          <w:p w14:paraId="793B2A5D">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192885CD">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459" w:type="dxa"/>
            <w:vAlign w:val="center"/>
          </w:tcPr>
          <w:p w14:paraId="19AAF3F3">
            <w:pPr>
              <w:spacing w:line="460" w:lineRule="exact"/>
              <w:rPr>
                <w:rFonts w:ascii="新宋体" w:hAnsi="新宋体" w:eastAsia="新宋体" w:cs="新宋体"/>
                <w:color w:val="auto"/>
                <w:sz w:val="22"/>
                <w:szCs w:val="22"/>
                <w:highlight w:val="none"/>
              </w:rPr>
            </w:pPr>
          </w:p>
        </w:tc>
      </w:tr>
      <w:tr w14:paraId="2C03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2309DD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w:t>
            </w:r>
          </w:p>
        </w:tc>
        <w:tc>
          <w:tcPr>
            <w:tcW w:w="5027" w:type="dxa"/>
            <w:vAlign w:val="center"/>
          </w:tcPr>
          <w:p w14:paraId="4698881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监视记录仪</w:t>
            </w:r>
          </w:p>
        </w:tc>
        <w:tc>
          <w:tcPr>
            <w:tcW w:w="1145" w:type="dxa"/>
            <w:vAlign w:val="center"/>
          </w:tcPr>
          <w:p w14:paraId="3B66B76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台</w:t>
            </w:r>
          </w:p>
        </w:tc>
        <w:tc>
          <w:tcPr>
            <w:tcW w:w="1255" w:type="dxa"/>
            <w:vAlign w:val="center"/>
          </w:tcPr>
          <w:p w14:paraId="5CC4FC2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459" w:type="dxa"/>
            <w:vAlign w:val="center"/>
          </w:tcPr>
          <w:p w14:paraId="7E4B8A4C">
            <w:pPr>
              <w:spacing w:line="460" w:lineRule="exact"/>
              <w:rPr>
                <w:rFonts w:ascii="新宋体" w:hAnsi="新宋体" w:eastAsia="新宋体" w:cs="新宋体"/>
                <w:color w:val="auto"/>
                <w:sz w:val="22"/>
                <w:szCs w:val="22"/>
                <w:highlight w:val="none"/>
              </w:rPr>
            </w:pPr>
          </w:p>
        </w:tc>
      </w:tr>
      <w:tr w14:paraId="17AF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8155B9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w:t>
            </w:r>
          </w:p>
        </w:tc>
        <w:tc>
          <w:tcPr>
            <w:tcW w:w="5027" w:type="dxa"/>
            <w:vAlign w:val="center"/>
          </w:tcPr>
          <w:p w14:paraId="6B0B7438">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护眼灯</w:t>
            </w:r>
          </w:p>
        </w:tc>
        <w:tc>
          <w:tcPr>
            <w:tcW w:w="1145" w:type="dxa"/>
            <w:vAlign w:val="center"/>
          </w:tcPr>
          <w:p w14:paraId="5DC9BD4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台</w:t>
            </w:r>
          </w:p>
        </w:tc>
        <w:tc>
          <w:tcPr>
            <w:tcW w:w="1255" w:type="dxa"/>
            <w:vAlign w:val="center"/>
          </w:tcPr>
          <w:p w14:paraId="178DC7A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150</w:t>
            </w:r>
          </w:p>
        </w:tc>
        <w:tc>
          <w:tcPr>
            <w:tcW w:w="1459" w:type="dxa"/>
            <w:vAlign w:val="center"/>
          </w:tcPr>
          <w:p w14:paraId="27A993DB">
            <w:pPr>
              <w:spacing w:line="460" w:lineRule="exact"/>
              <w:rPr>
                <w:rFonts w:ascii="新宋体" w:hAnsi="新宋体" w:eastAsia="新宋体" w:cs="新宋体"/>
                <w:color w:val="auto"/>
                <w:sz w:val="22"/>
                <w:szCs w:val="22"/>
                <w:highlight w:val="none"/>
              </w:rPr>
            </w:pPr>
          </w:p>
        </w:tc>
      </w:tr>
      <w:tr w14:paraId="4EDF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45B6B6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w:t>
            </w:r>
          </w:p>
        </w:tc>
        <w:tc>
          <w:tcPr>
            <w:tcW w:w="5027" w:type="dxa"/>
            <w:vAlign w:val="center"/>
          </w:tcPr>
          <w:p w14:paraId="6A9728A0">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门禁系统</w:t>
            </w:r>
          </w:p>
        </w:tc>
        <w:tc>
          <w:tcPr>
            <w:tcW w:w="1145" w:type="dxa"/>
            <w:vAlign w:val="center"/>
          </w:tcPr>
          <w:p w14:paraId="54BF659A">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1255" w:type="dxa"/>
            <w:vAlign w:val="center"/>
          </w:tcPr>
          <w:p w14:paraId="63D4476B">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w:t>
            </w:r>
          </w:p>
        </w:tc>
        <w:tc>
          <w:tcPr>
            <w:tcW w:w="1459" w:type="dxa"/>
            <w:vAlign w:val="center"/>
          </w:tcPr>
          <w:p w14:paraId="5AB58E29">
            <w:pPr>
              <w:spacing w:line="460" w:lineRule="exact"/>
              <w:rPr>
                <w:rFonts w:ascii="新宋体" w:hAnsi="新宋体" w:eastAsia="新宋体" w:cs="新宋体"/>
                <w:color w:val="auto"/>
                <w:sz w:val="22"/>
                <w:szCs w:val="22"/>
                <w:highlight w:val="none"/>
              </w:rPr>
            </w:pPr>
          </w:p>
        </w:tc>
      </w:tr>
      <w:tr w14:paraId="5ADA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641D41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w:t>
            </w:r>
          </w:p>
        </w:tc>
        <w:tc>
          <w:tcPr>
            <w:tcW w:w="5027" w:type="dxa"/>
            <w:vAlign w:val="center"/>
          </w:tcPr>
          <w:p w14:paraId="76A6670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系统集成</w:t>
            </w:r>
          </w:p>
        </w:tc>
        <w:tc>
          <w:tcPr>
            <w:tcW w:w="1145" w:type="dxa"/>
            <w:vAlign w:val="center"/>
          </w:tcPr>
          <w:p w14:paraId="09C4704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间</w:t>
            </w:r>
          </w:p>
        </w:tc>
        <w:tc>
          <w:tcPr>
            <w:tcW w:w="1255" w:type="dxa"/>
            <w:vAlign w:val="center"/>
          </w:tcPr>
          <w:p w14:paraId="2511E764">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459" w:type="dxa"/>
            <w:vAlign w:val="center"/>
          </w:tcPr>
          <w:p w14:paraId="080E5CE9">
            <w:pPr>
              <w:spacing w:line="460" w:lineRule="exact"/>
              <w:rPr>
                <w:rFonts w:ascii="新宋体" w:hAnsi="新宋体" w:eastAsia="新宋体" w:cs="新宋体"/>
                <w:color w:val="auto"/>
                <w:sz w:val="22"/>
                <w:szCs w:val="22"/>
                <w:highlight w:val="none"/>
              </w:rPr>
            </w:pPr>
          </w:p>
        </w:tc>
      </w:tr>
    </w:tbl>
    <w:p w14:paraId="64C87AD0">
      <w:pPr>
        <w:spacing w:line="460" w:lineRule="exact"/>
        <w:ind w:firstLine="541" w:firstLineChars="245"/>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三、技术参数及配置</w:t>
      </w:r>
      <w:bookmarkEnd w:id="302"/>
      <w:bookmarkEnd w:id="303"/>
      <w:bookmarkEnd w:id="304"/>
      <w:bookmarkEnd w:id="305"/>
    </w:p>
    <w:tbl>
      <w:tblPr>
        <w:tblStyle w:val="54"/>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151"/>
        <w:gridCol w:w="744"/>
        <w:gridCol w:w="6186"/>
        <w:gridCol w:w="789"/>
      </w:tblGrid>
      <w:tr w14:paraId="2C6D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6FD083E8">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151" w:type="dxa"/>
            <w:vAlign w:val="center"/>
          </w:tcPr>
          <w:p w14:paraId="3EB9EC55">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w:t>
            </w:r>
          </w:p>
        </w:tc>
        <w:tc>
          <w:tcPr>
            <w:tcW w:w="744" w:type="dxa"/>
            <w:vAlign w:val="center"/>
          </w:tcPr>
          <w:p w14:paraId="29D436CC">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6186" w:type="dxa"/>
            <w:vAlign w:val="center"/>
          </w:tcPr>
          <w:p w14:paraId="4FD686FF">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详细参数</w:t>
            </w:r>
          </w:p>
        </w:tc>
        <w:tc>
          <w:tcPr>
            <w:tcW w:w="789" w:type="dxa"/>
            <w:vAlign w:val="center"/>
          </w:tcPr>
          <w:p w14:paraId="298D0CEE">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1968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4C3BCAD2">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151" w:type="dxa"/>
            <w:vAlign w:val="center"/>
          </w:tcPr>
          <w:p w14:paraId="209C098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单屏智慧讲台</w:t>
            </w:r>
          </w:p>
        </w:tc>
        <w:tc>
          <w:tcPr>
            <w:tcW w:w="744" w:type="dxa"/>
            <w:vAlign w:val="center"/>
          </w:tcPr>
          <w:p w14:paraId="6E2650B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10套</w:t>
            </w:r>
          </w:p>
        </w:tc>
        <w:tc>
          <w:tcPr>
            <w:tcW w:w="6186" w:type="dxa"/>
          </w:tcPr>
          <w:p w14:paraId="4C8EC512">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整机结构：</w:t>
            </w:r>
          </w:p>
          <w:p w14:paraId="5C2F916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1、桌面板材：老师接触位置为木质桌面，采用E0级免漆板，环保耐磨，厚度 ≥ 25mm，颜色：白色；</w:t>
            </w:r>
          </w:p>
          <w:p w14:paraId="00E083A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2、桌板前部具备多层板弯曲而成的木色高围挡设计，表面喷漆。高度≥100mm，可防止桌面物品滚落；桌面两侧前方具有和围挡同色的多层板凸台，用于放置控制设备和话筒等。</w:t>
            </w:r>
          </w:p>
          <w:p w14:paraId="06D5431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3、桌板尺寸形状：约1400mm×700mm，内侧环绕型设计，尺寸可根据教室环境调整；桌面封边：2mmPVC直封边，封边条颜色可与面板颜色不同，整体色彩需协调；</w:t>
            </w:r>
          </w:p>
          <w:p w14:paraId="0764797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4、电动升降立柱采用双电机两节，管子尺寸：管子尺寸80*50mm，75*45mm，桌架最大均布载荷：100Kg均布，最大速度：25mm/s，控制盒带遇阻回退功能；</w:t>
            </w:r>
          </w:p>
          <w:p w14:paraId="30ACA2F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5、桌架型材：优质钢材，表面处理选用静电喷涂技术，颜色白色；</w:t>
            </w:r>
          </w:p>
          <w:p w14:paraId="6410813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6、桌面前部具备有完整平面的可拆卸前挡板设计，方便维护，可自由粘贴学校的校徽LOGO；</w:t>
            </w:r>
          </w:p>
          <w:p w14:paraId="0CF35CB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7、讲桌左右两侧具有尼龙坦克链拖链，内径≥20X57mm（可打开），保证强弱电线缆分开走线，升降过程中线缆两头不会被拉扯；</w:t>
            </w:r>
          </w:p>
          <w:p w14:paraId="74593D0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8、桌面边缘具有塑料杯托，杯托内部直径≥80mm，可供教师放置水杯；</w:t>
            </w:r>
          </w:p>
          <w:p w14:paraId="0FCA14C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9、讲桌下部具有储物空间，可供教师临时存放书本、书包等用品；</w:t>
            </w:r>
          </w:p>
          <w:p w14:paraId="4A154DB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10、讲桌设计有机柜设备安装支架，安装数量≥8U（孔距470mm）。前后门都可以打开方便维护，前后门都具有散热孔。前门带锁。</w:t>
            </w:r>
          </w:p>
          <w:p w14:paraId="40F0639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11、第三方中控安装接入：讲桌预留第三方中控安装位置以及安装支架，支持第三方中控接入讲桌。安装支架具有与桌面15度的倾斜角度，便于中控观看操作；</w:t>
            </w:r>
          </w:p>
          <w:p w14:paraId="4E2CD53A">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整机功能：</w:t>
            </w:r>
          </w:p>
          <w:p w14:paraId="3A607A0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1、讲桌需具备电动升降结构，桌面的离地总高度升降范围至少需有：715mm~1215mm，高度可调节，满足不同身高的教师使用；</w:t>
            </w:r>
          </w:p>
          <w:p w14:paraId="00A5BD8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2、显示器支架调节：显示器支架具有轨道可整体抽出，方便教师操作屏幕。显示器支架可支持电动翻转，可翻转角度≥15°，同时显示器支架底座设计键鼠收纳空间，用于存放键鼠设备；</w:t>
            </w:r>
          </w:p>
          <w:p w14:paraId="5305A1F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3、讲桌需具备可控制桌面显示屏翻转的物理按键，能有效避免屏幕反光；</w:t>
            </w:r>
          </w:p>
          <w:p w14:paraId="088398E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4、桌面上至少需具备1个以上万能5孔220V电源插座、1个以上的USB接口，1路笔记本电脑的标准HDMI输入接口。</w:t>
            </w:r>
          </w:p>
          <w:p w14:paraId="32AEDD4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讲台样式见下图</w:t>
            </w:r>
          </w:p>
          <w:p w14:paraId="2658462C">
            <w:pPr>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drawing>
                <wp:inline distT="0" distB="0" distL="114300" distR="114300">
                  <wp:extent cx="3782695" cy="2712720"/>
                  <wp:effectExtent l="0" t="0" r="8255" b="1143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3782695" cy="2712720"/>
                          </a:xfrm>
                          <a:prstGeom prst="rect">
                            <a:avLst/>
                          </a:prstGeom>
                        </pic:spPr>
                      </pic:pic>
                    </a:graphicData>
                  </a:graphic>
                </wp:inline>
              </w:drawing>
            </w:r>
          </w:p>
          <w:p w14:paraId="1A36AA90">
            <w:pPr>
              <w:spacing w:line="460" w:lineRule="exact"/>
              <w:rPr>
                <w:rFonts w:ascii="新宋体" w:hAnsi="新宋体" w:eastAsia="新宋体" w:cs="新宋体"/>
                <w:color w:val="auto"/>
                <w:sz w:val="22"/>
                <w:szCs w:val="22"/>
                <w:highlight w:val="none"/>
              </w:rPr>
            </w:pPr>
          </w:p>
        </w:tc>
        <w:tc>
          <w:tcPr>
            <w:tcW w:w="789" w:type="dxa"/>
          </w:tcPr>
          <w:p w14:paraId="18E732D6">
            <w:pPr>
              <w:spacing w:line="460" w:lineRule="exact"/>
              <w:rPr>
                <w:rFonts w:ascii="新宋体" w:hAnsi="新宋体" w:eastAsia="新宋体" w:cs="新宋体"/>
                <w:color w:val="auto"/>
                <w:sz w:val="22"/>
                <w:szCs w:val="22"/>
                <w:highlight w:val="none"/>
              </w:rPr>
            </w:pPr>
          </w:p>
        </w:tc>
      </w:tr>
      <w:tr w14:paraId="42CF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22206568">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151" w:type="dxa"/>
            <w:vAlign w:val="center"/>
          </w:tcPr>
          <w:p w14:paraId="10D1E9D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电容单屏（讲台屏）</w:t>
            </w:r>
          </w:p>
        </w:tc>
        <w:tc>
          <w:tcPr>
            <w:tcW w:w="744" w:type="dxa"/>
            <w:vAlign w:val="center"/>
          </w:tcPr>
          <w:p w14:paraId="1B7BB9E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10套</w:t>
            </w:r>
          </w:p>
        </w:tc>
        <w:tc>
          <w:tcPr>
            <w:tcW w:w="6186" w:type="dxa"/>
          </w:tcPr>
          <w:p w14:paraId="3EBFF23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1、屏幕尺寸 ：22寸</w:t>
            </w:r>
          </w:p>
          <w:p w14:paraId="46733BA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2、分辨率：1920*1080</w:t>
            </w:r>
          </w:p>
          <w:p w14:paraId="389B02D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3、面板类型：IPS电容屏</w:t>
            </w:r>
          </w:p>
          <w:p w14:paraId="0FD075E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4、接口类型：HDMI/VGA</w:t>
            </w:r>
          </w:p>
          <w:p w14:paraId="6F516E8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bookmarkStart w:id="310" w:name="书签1：刷新率：75H区间"/>
            <w:r>
              <w:rPr>
                <w:rFonts w:hint="eastAsia" w:ascii="新宋体" w:hAnsi="新宋体" w:eastAsia="新宋体" w:cs="新宋体"/>
                <w:color w:val="auto"/>
                <w:sz w:val="22"/>
                <w:szCs w:val="22"/>
                <w:highlight w:val="none"/>
              </w:rPr>
              <w:t>刷新率：60Hz-75Hz</w:t>
            </w:r>
          </w:p>
          <w:bookmarkEnd w:id="310"/>
          <w:p w14:paraId="16AE624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6、能效等级：一级</w:t>
            </w:r>
          </w:p>
          <w:p w14:paraId="0A138E8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7、点距：0.3114</w:t>
            </w:r>
          </w:p>
          <w:p w14:paraId="4FB2A03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8、平均亮度：300cd/M²</w:t>
            </w:r>
          </w:p>
          <w:p w14:paraId="7148262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9、屏幕比例：16:9</w:t>
            </w:r>
          </w:p>
        </w:tc>
        <w:tc>
          <w:tcPr>
            <w:tcW w:w="789" w:type="dxa"/>
          </w:tcPr>
          <w:p w14:paraId="185A4825">
            <w:pPr>
              <w:spacing w:line="460" w:lineRule="exact"/>
              <w:rPr>
                <w:rFonts w:ascii="新宋体" w:hAnsi="新宋体" w:eastAsia="新宋体" w:cs="新宋体"/>
                <w:color w:val="auto"/>
                <w:sz w:val="22"/>
                <w:szCs w:val="22"/>
                <w:highlight w:val="none"/>
              </w:rPr>
            </w:pPr>
          </w:p>
        </w:tc>
      </w:tr>
      <w:tr w14:paraId="4E58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75038807">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151" w:type="dxa"/>
            <w:vAlign w:val="center"/>
          </w:tcPr>
          <w:p w14:paraId="7CC0804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液晶中控面板</w:t>
            </w:r>
          </w:p>
        </w:tc>
        <w:tc>
          <w:tcPr>
            <w:tcW w:w="744" w:type="dxa"/>
            <w:vAlign w:val="center"/>
          </w:tcPr>
          <w:p w14:paraId="3B609BA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10套</w:t>
            </w:r>
          </w:p>
        </w:tc>
        <w:tc>
          <w:tcPr>
            <w:tcW w:w="6186" w:type="dxa"/>
          </w:tcPr>
          <w:p w14:paraId="070155BF">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一、硬件部分</w:t>
            </w:r>
          </w:p>
          <w:p w14:paraId="52EA6D9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1、整机一体化斜角设计，支持全触控操作。</w:t>
            </w:r>
          </w:p>
          <w:p w14:paraId="31AEE14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2、内置高灵敏度全向麦克风，拾音半径不小于1米，用于语音通话功能。</w:t>
            </w:r>
          </w:p>
          <w:p w14:paraId="1E4D75A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3、可拍摄不低于192W像素的照片，支持人脸识别方式实现设备管控权限。</w:t>
            </w:r>
          </w:p>
          <w:p w14:paraId="197E485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4、采用10.1英寸电容显示屏，支持10点触控，屏幕分辨率≥1920*1200。</w:t>
            </w:r>
          </w:p>
          <w:p w14:paraId="55B72A7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5、整机表面覆盖钢化玻璃，硬度≥9H，具备防眩光效果。</w:t>
            </w:r>
          </w:p>
          <w:p w14:paraId="486E1E6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6、整机CPU≥4核，最高主频≥2.0G。</w:t>
            </w:r>
          </w:p>
          <w:p w14:paraId="78CA2F3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7、系统运行内存≥4GB，存储容量≥16GB，操作系统版本不低于Android 11.0。</w:t>
            </w:r>
          </w:p>
          <w:p w14:paraId="42AA97A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8、整机接口：RS232≥2，RJ12≥1，DC2.0≥1，Type-C≥1，RJ45≥1，3.5mm音频≥1。</w:t>
            </w:r>
          </w:p>
          <w:p w14:paraId="4B6EA7A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9.支持≥2种供电方式，包括适配器供电、中控主机供电。</w:t>
            </w:r>
          </w:p>
          <w:p w14:paraId="1492DD50">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二、软件部分</w:t>
            </w:r>
          </w:p>
          <w:p w14:paraId="5B11BAD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1、支持≥12个自定义功能按钮设置，可根据教室设备情况，自定义组合功能指令；</w:t>
            </w:r>
          </w:p>
          <w:p w14:paraId="50E3097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2、支持≥3种解锁方式，包括按键、刷卡、账号密码；</w:t>
            </w:r>
          </w:p>
          <w:p w14:paraId="2955E15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3、支持网络方式与小组互动软件进行连接，实现小组互动功能管控，包括投屏、广播和分享等功能。</w:t>
            </w:r>
          </w:p>
          <w:p w14:paraId="6C2F439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4、配合中控平台可实现远程IP对讲功能，通过屏幕按键一键呼叫管理员，并显示管理员的摄像头画面。</w:t>
            </w:r>
          </w:p>
          <w:p w14:paraId="4365F51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5、▲面板需集成本招标文件中的“多屏研讨互动授课系统”的主要控制按钮，包括但不限于“投屏”“分享”“广播”等快捷按钮。不能绑定特定其它外设硬件。</w:t>
            </w:r>
          </w:p>
          <w:p w14:paraId="17ABCB8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三、★需要与招标人现有智慧校园管理融合平台（现有平台品牌为希沃）无缝对接。</w:t>
            </w:r>
          </w:p>
        </w:tc>
        <w:tc>
          <w:tcPr>
            <w:tcW w:w="789" w:type="dxa"/>
          </w:tcPr>
          <w:p w14:paraId="30EF0C0A">
            <w:pPr>
              <w:spacing w:line="460" w:lineRule="exact"/>
              <w:rPr>
                <w:rFonts w:ascii="新宋体" w:hAnsi="新宋体" w:eastAsia="新宋体" w:cs="新宋体"/>
                <w:color w:val="auto"/>
                <w:sz w:val="22"/>
                <w:szCs w:val="22"/>
                <w:highlight w:val="none"/>
              </w:rPr>
            </w:pPr>
          </w:p>
        </w:tc>
      </w:tr>
      <w:tr w14:paraId="2065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3255DD2F">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151" w:type="dxa"/>
            <w:vAlign w:val="center"/>
          </w:tcPr>
          <w:p w14:paraId="05C10A6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多屏研讨互动授课系统</w:t>
            </w:r>
          </w:p>
        </w:tc>
        <w:tc>
          <w:tcPr>
            <w:tcW w:w="744" w:type="dxa"/>
            <w:vAlign w:val="center"/>
          </w:tcPr>
          <w:p w14:paraId="07DAC6C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10套</w:t>
            </w:r>
          </w:p>
        </w:tc>
        <w:tc>
          <w:tcPr>
            <w:tcW w:w="6186" w:type="dxa"/>
          </w:tcPr>
          <w:p w14:paraId="26355766">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一、整体设计</w:t>
            </w:r>
          </w:p>
          <w:p w14:paraId="7549EAC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1、软件互动教学：在公网环境下，无需借助任何外接设备，通过软件端即可实现手机/平板等学生学习终端与教师端授课工具进行连接，实现线上、线下混合互动教学。</w:t>
            </w:r>
          </w:p>
          <w:p w14:paraId="42F75DE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2、扫码连接：支持学生端通过输入连接码和扫描二维码两种方式实现：进入课堂、考勤签到等功能。</w:t>
            </w:r>
          </w:p>
          <w:p w14:paraId="64F1A9D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直播授课：支持课堂快速开启直播，无需切换其他设备及操作界面，老师利用教学软件一键开启直播，声音、影像实时同步；学生可通过网页端或者移动端APP实时加入课堂，课后支持学生在课堂报告查看直播回放，可复制链接或点击直接播放回看。</w:t>
            </w:r>
          </w:p>
          <w:p w14:paraId="3614541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互动反馈系统：具备公网互动反馈功能，可将所有学生端和教师端连接在一起构建成为一套互动反馈系统，方便老师在授课过程中发布问题让所有同学实时参与互动并形成数据沉淀统计，在系统中教师可以设置：主观观点收集互动，单选/多选/判断等答题互动，同时支持文件下发、批注下发功能。（提供国家认可的具备CMA认证的检测机构所出具的检测报告复印件）</w:t>
            </w:r>
          </w:p>
          <w:p w14:paraId="0B49F38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5、随堂评价：课程结束后可发布随堂评价问卷，及时收集学生课程反馈。</w:t>
            </w:r>
          </w:p>
          <w:p w14:paraId="4853696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6、支持教师屏幕、六个学生小组屏幕间互动教学；系统支持Windows10及以上版本，不能绑定特定硬件。</w:t>
            </w:r>
          </w:p>
          <w:p w14:paraId="1B315546">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二、功能模块</w:t>
            </w:r>
          </w:p>
          <w:p w14:paraId="20D34BC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1、班级创建：老师可在后台提前进行班级创建，同时支持在授课端进行临时班级创建。创建成功后，老师登录授课端应用时即可直接进入班级列表进入课堂，</w:t>
            </w:r>
          </w:p>
          <w:p w14:paraId="3FE199D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2、学生录入：老师创建班级后支持手动录入/批量学生导入，支持授课端学生扫码录入</w:t>
            </w:r>
          </w:p>
          <w:p w14:paraId="4213F67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3、统计考勤：支持无感考勤签到功能，学生连接成功进入课堂后，名字可自动显示在签到列表上，签到列表可实时统计已签到人数，并支持查看未到的人员。</w:t>
            </w:r>
          </w:p>
          <w:p w14:paraId="2E10D8F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互动答题：课中互动反馈系统支持一键下发答题指令，支持一次下发最多99道题目，可实现学生作答结果实时以柱状图形式展示，并且结果展示柱状图支持按全班或分组答题结果进行切换展示，便于进行小组间作答情况对比。</w:t>
            </w:r>
          </w:p>
          <w:p w14:paraId="58D2BA6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5、互动模式选择：互动反馈系统中支持抢答、抽选等多种互动模式选择。</w:t>
            </w:r>
          </w:p>
          <w:p w14:paraId="212FF7E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6、观点云词：互动反馈系统支持主观观点收集功能，支持学生们自主提交不多于500字的观点评论，并自动生成班级关键词云，点击关键词可查看对应学生名单和具体评论信息。</w:t>
            </w:r>
          </w:p>
          <w:p w14:paraId="601BDDF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7、学情报告：互动反馈系统在上课结束后支持实时生成课程报告，课堂报告支持查看签到人数，课堂互动总数，平均参与度，提问个数，支持查看考勤详情，互动详情和提问详情等。 </w:t>
            </w:r>
          </w:p>
          <w:p w14:paraId="25A3E1A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资料分发：支持教师下载教室空间的文档格式的资料给全员和小组端，支持的文件包含但不局限于以下格式：音视频格式，文档格式，图片格式。（提供国家认可的具备CMA认证的检测机构所出具的检测报告复印件）</w:t>
            </w:r>
          </w:p>
          <w:p w14:paraId="3A8C8E4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9、课堂答疑：教师端在连接状态下可实时接收到来自学生的提问，提问内容可根据老师操作自动判断为已读或者未读，并且支持问题放大全屏查看。</w:t>
            </w:r>
          </w:p>
          <w:p w14:paraId="0E4FB54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批注分发：教师端批注功能支持在课中任意时刻对教师端内容进行批注，并且支持批注内容一键保存，自动上传到教师空间，同时支持将批注内容一键发送到全员学生端，便于学生同步查看。（提供国家认可的具备CMA认证的检测机构所出具的检测报告复印件）</w:t>
            </w:r>
          </w:p>
          <w:p w14:paraId="7DB307F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11、授课小工具：教师播放课件时，提供授课小工具，包括画笔、橡皮擦、板中板、放大镜和批注分享功能等。（提供国家认可的具备CMA认证的检测机构所出具的检测报告复印件）</w:t>
            </w:r>
          </w:p>
          <w:p w14:paraId="5A87B91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12、无线传屏：教师端工具栏支持无线传屏，点击开启无线传屏则打开传屏码，老师自带笔记本在互动教学软件输入传屏码即可进行无线传屏。</w:t>
            </w:r>
          </w:p>
          <w:p w14:paraId="79A2B21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13、课堂互动记录：互动教学软件支持查看课堂互动记录，可随时调用课堂发生过的答题，抽选，抢答和观点几种课堂活动的记录进行回顾解答。</w:t>
            </w:r>
          </w:p>
          <w:p w14:paraId="2F935F0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直播授课：支持课堂快速开启直播，无需切换其他设备及操作界面，老师利用教学软件即可一键开启直播，自动调用本地拾音设备，实现声音、影像实时同步；学生可通过网页端或者移动端APP实时加入课堂参与直播互动学习。</w:t>
            </w:r>
          </w:p>
          <w:p w14:paraId="5058631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随堂评价：支持老师实时发起评价调研，学生可利用个人终端对课堂进行评价打分，老师可在个人教学空间里查看包含评价平均分、累计评课数量、累计参评学生数量等多种维度评价数据，并生成评价趋势图，方便教学反思。</w:t>
            </w:r>
          </w:p>
          <w:p w14:paraId="5BF6876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16、黑板：支持老师一键调起黑板进行板书书写，同时支持把老师书写的笔记转换成文字；书写笔记支持背手擦除，一键扫码打走，保存云端，发送给学生。</w:t>
            </w:r>
          </w:p>
          <w:p w14:paraId="79188E2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17、计时器：支持正计时倒计时，支持最小化、全屏计时，计时结束有声音提示。</w:t>
            </w:r>
          </w:p>
          <w:p w14:paraId="5284D8F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18、截图推送：支持一键打开截图，可通过拉伸自定义截图区域位置及大小，并支持把截图内容扫码带走，保存到云端，发送给学生。</w:t>
            </w:r>
          </w:p>
          <w:p w14:paraId="1E353DC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19、视频会议软件兼容：支持在教师端一键开启腾讯视频会议，支持视频直播以及互动。</w:t>
            </w:r>
          </w:p>
          <w:p w14:paraId="7DB0E51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20、随堂测验：支持老师在课堂中通过教师端一键调取预先准备的测验题目，并分发给学生进行作答，支持设置答题时长以及自动统计答题结果；答题过程中，支持老师提前结束答题。</w:t>
            </w:r>
          </w:p>
          <w:p w14:paraId="7989EB95">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三、教师空间</w:t>
            </w:r>
          </w:p>
          <w:p w14:paraId="76A527F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课程空间：支持老师进行课程创建，查看已创建课程列表及已关联课程班级，并对已创建课程进行名称修改或考勤方式更换及删除课程等操作，创建完课程之后可以对课程资源，课程学生，课程通知，课程作业，课程答疑进行高效管理。</w:t>
            </w:r>
          </w:p>
          <w:p w14:paraId="5B8D1F0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班级管理：支持教师在Web端创建班级，自定义班级名称进行班级管理，支持填写学生的名称、手机号码、学生学号、学生学院、学生班级等信息，让学生加入班级；同时还支持生成课程二维码让学生扫码快速加入班级。</w:t>
            </w:r>
          </w:p>
          <w:p w14:paraId="456818E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3、电子名册：支持教师在班级内通过输入手机号添加学生，进行班级内的学生管理。</w:t>
            </w:r>
          </w:p>
          <w:p w14:paraId="4B54BF0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4、课程管理：支持对课程信息进行修改，包括：课程封面、考勤模式、课程名称、学科信息、课程简介、课程目标、教学计划、学习要求、考核标准、课程编号、学期号及主选班级等。</w:t>
            </w:r>
          </w:p>
          <w:p w14:paraId="1589915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课程资料管理：支持上传课程课件或直接引入教师个人云盘资料，同时支持添加章节测验，并对课程资料进行云端管理。老师可以直接在互动教学软件授课端打开课程调取相关课件进行授课，学生可以同步在互动教学软件APP的学习空间里面打开文件进行自主学习。</w:t>
            </w:r>
          </w:p>
          <w:p w14:paraId="299F600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6、创建作业：支持在教师空间进行作业布置，支持创建作业及常用文件格式上传。</w:t>
            </w:r>
          </w:p>
          <w:p w14:paraId="44A4EFD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7、作业编辑：支持对已经创建的作业进行编辑，编辑之后可以重新发送给不同班级的学生，达到高效复用的目的。</w:t>
            </w:r>
          </w:p>
          <w:p w14:paraId="54D8043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8、发布作业：发布作业支持选定班级发送，支持不少于选定三个班级；同时支持定义作业提交截止时间，如果超过截止时间，学生则不能再提交作业。</w:t>
            </w:r>
          </w:p>
          <w:p w14:paraId="720554F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9、随堂测验：支持老师创建随堂测验，并支持上传附件以及链接供学生进行资料参看；测验试题支持批量导入，题库选题，单个题目添加等方式，题目类型包含单选题、多选题、判断题、简答题。</w:t>
            </w:r>
          </w:p>
          <w:p w14:paraId="0C18585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10、分组教学：支持对班级学生进行分组设置，支持手动分组和随机分组两种模式。</w:t>
            </w:r>
          </w:p>
          <w:p w14:paraId="1C70228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11、支持话题讨论、学生提问、通知公告、课堂报告、学情数据分析、成绩管理、教学评价数据。</w:t>
            </w:r>
          </w:p>
          <w:p w14:paraId="34CBB15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云盘存储：支持为每位教师提供≥5GB的个人云空间，支持图片、视频、音频、文档等多种类型文件上传，文件夹创建，支持常用图片、视频、音频、文档等不同类型文件格式下载、移动、重命名、删除，分类查看等操作，支持云空间升级扩容，最高不低于200GB。（提供国家认可的具备CMA认证的检测机构所出具的检测报告复印件）</w:t>
            </w:r>
          </w:p>
          <w:p w14:paraId="5E679E2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13、文件分发：支持教师Web端进行文件分发，可分发给指定班级，或者指定班级内的指定学生。</w:t>
            </w:r>
          </w:p>
          <w:p w14:paraId="08243BE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14、题库：支持习题题库整理，可添加单选、多选、判断、简答等多种类型题目。</w:t>
            </w:r>
          </w:p>
          <w:p w14:paraId="54A6840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15、学校门户：支持学校精品课程资源库创建及精品资源课程内容展示，便于学校优质教学资源沉淀与积累。</w:t>
            </w:r>
          </w:p>
          <w:p w14:paraId="52F6E328">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四、学生空间</w:t>
            </w:r>
          </w:p>
          <w:p w14:paraId="07B7F09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1、扫码连接：互动教学学生端软件支持微信小程序直接打开，并支持直接调用微信扫码能力快速扫码加入课堂，便捷参与课堂互动。</w:t>
            </w:r>
          </w:p>
          <w:p w14:paraId="077AF49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2、APP投屏：和老师授课端设备在同一局域网内，支持在学生听课APP上输入无线传屏传屏码将学生端屏幕画面直接投屏展示到教师端进行内容分享展示。</w:t>
            </w:r>
          </w:p>
          <w:p w14:paraId="4957F28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3、资料回顾：在学生听课APP上支持接收老师下发的资料，并且可根据日历查找不同时间接收的资料。支持学生通过学生端在任意时间查看老师已下发的学习资料。</w:t>
            </w:r>
          </w:p>
          <w:p w14:paraId="5BFFCD3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4、资料收藏管理、作业提交、上课提问、话题讨论、消息通知。</w:t>
            </w:r>
          </w:p>
          <w:p w14:paraId="128BCCE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5、课堂动态：支持在课堂中记录课堂动态，包括老师下发的文件，老师课堂中的板书，课堂互动结果记录，课堂提问多种类型的记录。</w:t>
            </w:r>
          </w:p>
          <w:p w14:paraId="306ACFA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6、同步课件：当老师在全屏播放课件时，学生端也会同步进行课件播放，如：老师进行PPT翻页操作时，学生端会同步翻页，保证课堂中老师讲课进度同步展示。</w:t>
            </w:r>
          </w:p>
          <w:p w14:paraId="5DA6BBB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学生学习空间：学生端互动教学软件app具备学生学习空间功能，支持学生在学习空间查看参与学习的课程中老师上传在课程平台的课件，通知记录，笔记记录，作业记录等，学生可以对课件每一页的内容进行提问，收藏，做笔记等操作。</w:t>
            </w:r>
          </w:p>
          <w:p w14:paraId="4E301DFF">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五、多屏应用</w:t>
            </w:r>
          </w:p>
          <w:p w14:paraId="5504B20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1、自动连接小组：支持自动连接小组端，小组端初次与教师端连接配置后，教师端自动检测小组端运行状态，小组端处于开启状态时自动建立连接。</w:t>
            </w:r>
          </w:p>
          <w:p w14:paraId="14636E8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班级创建：支持老师主动创建班级功能，老师可进行多班级创建，老师可在后台提前进行班级创建，创建成功后，老师登录授课端应用时即可直接进入班级列表，选择班级进入课堂，同时支持在授课端进行临时班级创建。</w:t>
            </w:r>
          </w:p>
          <w:p w14:paraId="22C206E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3、小组管理：具备终端中控看板功能，实时显示当前教室分组信息及各终端连接状态，便于教师根据教学需要进行调整。</w:t>
            </w:r>
          </w:p>
          <w:p w14:paraId="0CC2AC7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4、拖拽分组：教师端支持针对小组成员手动拖拽分组，把小组成员按照实际情况做灵活调整，实现课堂分组的快速调整。</w:t>
            </w:r>
          </w:p>
          <w:p w14:paraId="1F2A040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5、随机分组：教师端支持随机分组，在小组管理的界面，点击随机分组，所有小组成员会自动重新分配。</w:t>
            </w:r>
          </w:p>
          <w:p w14:paraId="5941942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小组投屏：支持预览所有小组屏画面，并选择进行投屏，支持自定义抓取至少6个任意小组屏幕并投屏至教师端，便捷展示学生研讨成果，并对小组内容进行批注讲解。（提供国家认可的具备CMA认证的检测机构所出具的检测报告复印件）</w:t>
            </w:r>
          </w:p>
          <w:p w14:paraId="79F2A36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7、★小组屏幕分享：支持自定义选择一个小组屏幕投屏至教师端，并广播至其他小组端屏幕，实现各小组间信息同步。</w:t>
            </w:r>
          </w:p>
          <w:p w14:paraId="7F0AFD4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8、教师端广播：最高支持教师端屏幕广播至小组端和学生端，提高信息共享效率。</w:t>
            </w:r>
          </w:p>
          <w:p w14:paraId="75451D1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9、触控回传：教师端具备一键调起小组端电脑虚拟键盘功能，当小组端投屏后，可在教师端调起电脑的虚拟键盘，并通过触摸回传功能直接在教师端进行文字输入。</w:t>
            </w:r>
          </w:p>
          <w:p w14:paraId="449D680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10、★多端投屏：可支持至少6个学生端投屏画面同时在大屏上显示，同时显示来自Android、iOS、Windows、MacOS 等不同系统的投屏画面，并且根据连接数量自动排布。支持将六分屏画面内其中一个画面一键全屏显示，以及一键将全屏画面切换回六分屏，方便灵活讲解。（提供国家认可的具备CMA认证的检测机构所出具的检测报告复印件）</w:t>
            </w:r>
          </w:p>
          <w:p w14:paraId="2F2FBA7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11、9分屏投图：可支持至少9张图片同时在小组端上显示，同步显示来自Android、iOS学生端上传的图片，并且根据图片数量自动排布。支持将9分屏图片内其中一张图片一键全屏显示。</w:t>
            </w:r>
          </w:p>
          <w:p w14:paraId="4104E3D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头脑风暴：支持在小组端开启头脑风暴，最少支持10个组员可通过学生端将想法上传，每输入完成一个文本或图片时，小组屏可以立即展示此内容，支持多名学生同时上传想法。如存在内容发送有误，可通过学生端即时撤回。在小组屏可针对学生上传的内容进行拖动、修改边框、修改颜色、删除等操作，以对内容进行归类。支持将头脑风暴结果一键发送至学生端。</w:t>
            </w:r>
          </w:p>
          <w:p w14:paraId="1573590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13、黑板书写：支持小组端默认打开黑板书写功能，可自由调整笔迹颜色及笔触粗细，可新增页码、清空笔迹。支持将学生端上传的图片和投屏时的截图一键插入协作白板。</w:t>
            </w:r>
          </w:p>
          <w:p w14:paraId="23051E8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14、协同书写、编辑：支持组员通过学生端加入协作书写，小组内不同学生通过任意终端，可在同一白板操作界面上实时输入笔迹、文本、图片等内容，实现协作内容即时保存和随时查看。 </w:t>
            </w:r>
          </w:p>
          <w:p w14:paraId="668B386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15、PPT小工具：支持小组端进入PPT放映模式后提供批注、黑板、橡皮、撤销、批注分享等工具，满足学生小组研讨的使用。</w:t>
            </w:r>
          </w:p>
        </w:tc>
        <w:tc>
          <w:tcPr>
            <w:tcW w:w="789" w:type="dxa"/>
          </w:tcPr>
          <w:p w14:paraId="29B1F920">
            <w:pPr>
              <w:spacing w:line="460" w:lineRule="exact"/>
              <w:rPr>
                <w:rFonts w:ascii="新宋体" w:hAnsi="新宋体" w:eastAsia="新宋体" w:cs="新宋体"/>
                <w:color w:val="auto"/>
                <w:sz w:val="22"/>
                <w:szCs w:val="22"/>
                <w:highlight w:val="none"/>
              </w:rPr>
            </w:pPr>
          </w:p>
        </w:tc>
      </w:tr>
      <w:tr w14:paraId="491F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2CC657D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151" w:type="dxa"/>
            <w:vAlign w:val="center"/>
          </w:tcPr>
          <w:p w14:paraId="5195453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双屏互动授课系统</w:t>
            </w:r>
          </w:p>
        </w:tc>
        <w:tc>
          <w:tcPr>
            <w:tcW w:w="744" w:type="dxa"/>
            <w:vAlign w:val="center"/>
          </w:tcPr>
          <w:p w14:paraId="0E9916F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5套</w:t>
            </w:r>
          </w:p>
        </w:tc>
        <w:tc>
          <w:tcPr>
            <w:tcW w:w="6186" w:type="dxa"/>
          </w:tcPr>
          <w:p w14:paraId="3589FD1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1、双边工具栏操作：在双屏教学环境下，同时在主屏和扩展屏上都有互动教学软件的侧边栏，老师可以对任意的侧边栏进行操作。</w:t>
            </w:r>
          </w:p>
          <w:p w14:paraId="6794D22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2、双线教学：支持在一边的屏幕上打开课件，一边的屏幕上打开黑板，实现课件的板书同步展示，课件放映过程中支持PPT小工具进行辅助课件展示。</w:t>
            </w:r>
          </w:p>
          <w:p w14:paraId="79CEFCB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3、同步放映：支持一边的屏幕使用无线传屏投屏展示老师个人电脑画面，一边的屏幕播放一体机本地的教学素材，方便老师灵活教学使用。</w:t>
            </w:r>
          </w:p>
          <w:p w14:paraId="36F1812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4、扩展屏广播：研讨模式广播支持任一屏的画面广播到学生端</w:t>
            </w:r>
          </w:p>
          <w:p w14:paraId="5BFD1D5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5、★课件上下页联动：支持课件上下页联动放映，一边屏幕放映当前课件页面，另外一边屏幕放映课件上一页面，方便展示更多课件内容。（提供国家认可的具备CMA认证的检测机构所出具的检测报告复印件） </w:t>
            </w:r>
          </w:p>
          <w:p w14:paraId="24374E2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6、课件同步展示：支持双屏同步放映课件，增加课件内容的可视角，让学生看得更加清楚。</w:t>
            </w:r>
          </w:p>
          <w:p w14:paraId="2D7252F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★7、屏幕穿越：支持把文件窗口从一边的屏幕滑动甩到另外一边的屏幕，支持打开多种类型的文件，或者一个文件打开多次进行多视窗教学。</w:t>
            </w:r>
          </w:p>
          <w:p w14:paraId="1815E73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8、双屏一体化黑板：支持打开双屏一体化黑板，两块屏幕都变成一体化的黑板，支持书写，书写书别，扫码带走，保存云端，发送给学生。</w:t>
            </w:r>
          </w:p>
          <w:p w14:paraId="3D1F44F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9、一边黑板一边放映课件：支持一边打开黑板，一边放映课件模式，课件支持PPT小工具进行辅助课件展示。</w:t>
            </w:r>
          </w:p>
          <w:p w14:paraId="2DA5EB3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10、系统支持Windows10及以上版本，不能绑定特定硬件。</w:t>
            </w:r>
          </w:p>
        </w:tc>
        <w:tc>
          <w:tcPr>
            <w:tcW w:w="789" w:type="dxa"/>
          </w:tcPr>
          <w:p w14:paraId="16F70A92">
            <w:pPr>
              <w:spacing w:line="460" w:lineRule="exact"/>
              <w:rPr>
                <w:rFonts w:ascii="新宋体" w:hAnsi="新宋体" w:eastAsia="新宋体" w:cs="新宋体"/>
                <w:color w:val="auto"/>
                <w:sz w:val="22"/>
                <w:szCs w:val="22"/>
                <w:highlight w:val="none"/>
              </w:rPr>
            </w:pPr>
          </w:p>
        </w:tc>
      </w:tr>
      <w:tr w14:paraId="274E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194ED074">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151" w:type="dxa"/>
            <w:vAlign w:val="center"/>
          </w:tcPr>
          <w:p w14:paraId="4E89F12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视频分配器</w:t>
            </w:r>
          </w:p>
        </w:tc>
        <w:tc>
          <w:tcPr>
            <w:tcW w:w="744" w:type="dxa"/>
            <w:vAlign w:val="center"/>
          </w:tcPr>
          <w:p w14:paraId="72D3CDC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10套</w:t>
            </w:r>
          </w:p>
        </w:tc>
        <w:tc>
          <w:tcPr>
            <w:tcW w:w="6186" w:type="dxa"/>
          </w:tcPr>
          <w:p w14:paraId="1A53816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HDMI一进八出，支持4K、2K、1080P/60Mhz，支持3D成像技术，12-bit色深，HDR画质补偿技术，音视频同步输出，40米长距离传输。实现电脑HDMI输出信号直连到本教室各个屏幕显示。</w:t>
            </w:r>
          </w:p>
        </w:tc>
        <w:tc>
          <w:tcPr>
            <w:tcW w:w="789" w:type="dxa"/>
          </w:tcPr>
          <w:p w14:paraId="37654754">
            <w:pPr>
              <w:spacing w:line="460" w:lineRule="exact"/>
              <w:rPr>
                <w:rFonts w:ascii="新宋体" w:hAnsi="新宋体" w:eastAsia="新宋体" w:cs="新宋体"/>
                <w:color w:val="auto"/>
                <w:sz w:val="22"/>
                <w:szCs w:val="22"/>
                <w:highlight w:val="none"/>
              </w:rPr>
            </w:pPr>
          </w:p>
        </w:tc>
      </w:tr>
      <w:tr w14:paraId="0DDF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5802E764">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151" w:type="dxa"/>
            <w:vAlign w:val="center"/>
          </w:tcPr>
          <w:p w14:paraId="3F6A077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时序电源控制器</w:t>
            </w:r>
          </w:p>
        </w:tc>
        <w:tc>
          <w:tcPr>
            <w:tcW w:w="744" w:type="dxa"/>
            <w:vAlign w:val="center"/>
          </w:tcPr>
          <w:p w14:paraId="11D20CD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10套</w:t>
            </w:r>
          </w:p>
        </w:tc>
        <w:tc>
          <w:tcPr>
            <w:tcW w:w="6186" w:type="dxa"/>
          </w:tcPr>
          <w:p w14:paraId="3A776C9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1、8路大电流电源输出,单路最大电流15A。</w:t>
            </w:r>
          </w:p>
          <w:p w14:paraId="390B80C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2、面板有时序总开关和8路手动控制按扭，可单独控制每路电源的通断。</w:t>
            </w:r>
          </w:p>
          <w:p w14:paraId="1C1A042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3、每路电源输出具有过流过压保护。</w:t>
            </w:r>
          </w:p>
          <w:p w14:paraId="54944C0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4、支持标准RS232/485通信协议,丰富的指令及方便用户实现各种负责的控制(如单锋开关,互锁等）,并支持状态查询和多台设备连接。</w:t>
            </w:r>
          </w:p>
          <w:p w14:paraId="775827E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5、提供级联输出端口，可配合CRESTRON、AMX、CREATOR、SVS、SMARTISYS等中央控制系统。</w:t>
            </w:r>
          </w:p>
        </w:tc>
        <w:tc>
          <w:tcPr>
            <w:tcW w:w="789" w:type="dxa"/>
          </w:tcPr>
          <w:p w14:paraId="538A6CE2">
            <w:pPr>
              <w:spacing w:line="460" w:lineRule="exact"/>
              <w:rPr>
                <w:rFonts w:ascii="新宋体" w:hAnsi="新宋体" w:eastAsia="新宋体" w:cs="新宋体"/>
                <w:color w:val="auto"/>
                <w:sz w:val="22"/>
                <w:szCs w:val="22"/>
                <w:highlight w:val="none"/>
              </w:rPr>
            </w:pPr>
          </w:p>
        </w:tc>
      </w:tr>
      <w:tr w14:paraId="3589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793EF5B0">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151" w:type="dxa"/>
            <w:vAlign w:val="center"/>
          </w:tcPr>
          <w:p w14:paraId="28852DF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音频系统接收器</w:t>
            </w:r>
          </w:p>
        </w:tc>
        <w:tc>
          <w:tcPr>
            <w:tcW w:w="744" w:type="dxa"/>
            <w:vAlign w:val="center"/>
          </w:tcPr>
          <w:p w14:paraId="3716E77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10套</w:t>
            </w:r>
          </w:p>
        </w:tc>
        <w:tc>
          <w:tcPr>
            <w:tcW w:w="6186" w:type="dxa"/>
          </w:tcPr>
          <w:p w14:paraId="59475CF5">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1、红外信号接收与阵列麦克风拾音一体设计。</w:t>
            </w:r>
          </w:p>
          <w:p w14:paraId="19366F40">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2、内置阵列麦克风拾取师生互动的声音。</w:t>
            </w:r>
          </w:p>
          <w:p w14:paraId="0EA3C5BA">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3、拾音范围半径：5~8m。</w:t>
            </w:r>
          </w:p>
          <w:p w14:paraId="1E3BC2BF">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4、可配2个无线麦克风。</w:t>
            </w:r>
          </w:p>
          <w:p w14:paraId="4CACE406">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5、频率响应：100 Hz ~ 10 kHz。</w:t>
            </w:r>
          </w:p>
          <w:p w14:paraId="5A638C35">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6、具有一路RJ45标准网口，采用“双信号一通道”设计，可进行信号传输及供电。</w:t>
            </w:r>
          </w:p>
          <w:p w14:paraId="1AF655C1">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7、具有一路BNC拓展头，可拓展多个信号接收器。</w:t>
            </w:r>
          </w:p>
          <w:p w14:paraId="73B0C6A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rPr>
              <w:t>8、双色阵列麦克风指示灯圈，显示麦克风待机或工作状态，分12段显示声音定位方向。</w:t>
            </w:r>
          </w:p>
        </w:tc>
        <w:tc>
          <w:tcPr>
            <w:tcW w:w="789" w:type="dxa"/>
          </w:tcPr>
          <w:p w14:paraId="5B020314">
            <w:pPr>
              <w:spacing w:line="460" w:lineRule="exact"/>
              <w:rPr>
                <w:rFonts w:ascii="新宋体" w:hAnsi="新宋体" w:eastAsia="新宋体" w:cs="新宋体"/>
                <w:color w:val="auto"/>
                <w:spacing w:val="-6"/>
                <w:sz w:val="22"/>
                <w:szCs w:val="22"/>
                <w:highlight w:val="none"/>
              </w:rPr>
            </w:pPr>
          </w:p>
        </w:tc>
      </w:tr>
      <w:tr w14:paraId="76CB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00139965">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151" w:type="dxa"/>
            <w:vAlign w:val="center"/>
          </w:tcPr>
          <w:p w14:paraId="08BBD11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数字红外无线系统主机</w:t>
            </w:r>
          </w:p>
        </w:tc>
        <w:tc>
          <w:tcPr>
            <w:tcW w:w="744" w:type="dxa"/>
            <w:vAlign w:val="center"/>
          </w:tcPr>
          <w:p w14:paraId="21BE81EF">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10台</w:t>
            </w:r>
          </w:p>
        </w:tc>
        <w:tc>
          <w:tcPr>
            <w:tcW w:w="6186" w:type="dxa"/>
          </w:tcPr>
          <w:p w14:paraId="42AC8B51">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1、系统采用数字红外音频传输及控制技术，红外传输副载波符合IEC 61603-7数字红外国际标准。</w:t>
            </w:r>
          </w:p>
          <w:p w14:paraId="165035CE">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2、DQPSK数字调制/解调技术。</w:t>
            </w:r>
          </w:p>
          <w:p w14:paraId="6D316635">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3、红外载波频率可选，2个无线麦克风可同时工作，方便老师与学生互动。</w:t>
            </w:r>
          </w:p>
          <w:p w14:paraId="61F52C80">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4、内置高性能数字信号处理器（DSP），对拾取的音频进行噪声消除（ANC）和回声消除（AEC）。</w:t>
            </w:r>
          </w:p>
          <w:p w14:paraId="50A224A5">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5、内置自动增益控制功能(AGC）。</w:t>
            </w:r>
          </w:p>
          <w:p w14:paraId="0AAD3433">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6、设备内置数字音频功放，不少于4路音箱输出接口，2*60W(6Ω)。</w:t>
            </w:r>
          </w:p>
          <w:p w14:paraId="35EC4ACE">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7、不少于1路线路输入（PC IN），1路线路输出（LINE），1路录音输出（REC）。</w:t>
            </w:r>
          </w:p>
          <w:p w14:paraId="082E37A2">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8、具备USB Link功能，1个USB接口连接电脑实现数字音频信号双向无损传输，通过配套的无线话筒实现PPT翻页功能。</w:t>
            </w:r>
          </w:p>
          <w:p w14:paraId="14FE9054">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9、1个USB可用于连接系统配套的充电底座或者有线麦克风。</w:t>
            </w:r>
          </w:p>
          <w:p w14:paraId="20B11182">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10、内置Web Server，可通过RJ45接口连接PC查询及设置设备参数。</w:t>
            </w:r>
          </w:p>
          <w:p w14:paraId="4E964E93">
            <w:pPr>
              <w:tabs>
                <w:tab w:val="left" w:pos="1172"/>
              </w:tabs>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11、具有RS-485接口用于连接中控，实现集中控制。</w:t>
            </w:r>
          </w:p>
        </w:tc>
        <w:tc>
          <w:tcPr>
            <w:tcW w:w="789" w:type="dxa"/>
          </w:tcPr>
          <w:p w14:paraId="301C6A31">
            <w:pPr>
              <w:spacing w:line="460" w:lineRule="exact"/>
              <w:rPr>
                <w:rFonts w:ascii="新宋体" w:hAnsi="新宋体" w:eastAsia="新宋体" w:cs="新宋体"/>
                <w:color w:val="auto"/>
                <w:sz w:val="22"/>
                <w:szCs w:val="22"/>
                <w:highlight w:val="none"/>
              </w:rPr>
            </w:pPr>
          </w:p>
        </w:tc>
      </w:tr>
      <w:tr w14:paraId="423B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6B61F55C">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151" w:type="dxa"/>
            <w:vAlign w:val="center"/>
          </w:tcPr>
          <w:p w14:paraId="0FE63BC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阵列音箱</w:t>
            </w:r>
          </w:p>
        </w:tc>
        <w:tc>
          <w:tcPr>
            <w:tcW w:w="744" w:type="dxa"/>
            <w:vAlign w:val="center"/>
          </w:tcPr>
          <w:p w14:paraId="238CB16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10套</w:t>
            </w:r>
          </w:p>
        </w:tc>
        <w:tc>
          <w:tcPr>
            <w:tcW w:w="6186" w:type="dxa"/>
          </w:tcPr>
          <w:p w14:paraId="248FA25C">
            <w:pPr>
              <w:pStyle w:val="307"/>
              <w:spacing w:line="460" w:lineRule="exact"/>
              <w:ind w:firstLine="0" w:firstLineChars="0"/>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1、紧凑型设计，具有高保真音质。</w:t>
            </w:r>
          </w:p>
          <w:p w14:paraId="2430AEB4">
            <w:pPr>
              <w:pStyle w:val="307"/>
              <w:spacing w:line="460" w:lineRule="exact"/>
              <w:ind w:firstLine="0" w:firstLineChars="0"/>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2、内置</w:t>
            </w:r>
            <w:r>
              <w:rPr>
                <w:rFonts w:hint="eastAsia" w:ascii="新宋体" w:hAnsi="新宋体" w:eastAsia="新宋体" w:cs="新宋体"/>
                <w:color w:val="auto"/>
                <w:sz w:val="22"/>
                <w:highlight w:val="none"/>
              </w:rPr>
              <w:t>≥</w:t>
            </w:r>
            <w:r>
              <w:rPr>
                <w:rFonts w:hint="eastAsia" w:ascii="新宋体" w:hAnsi="新宋体" w:eastAsia="新宋体" w:cs="新宋体"/>
                <w:color w:val="auto"/>
                <w:kern w:val="0"/>
                <w:sz w:val="22"/>
                <w:highlight w:val="none"/>
              </w:rPr>
              <w:t>4个3英寸全频扬声器单元。</w:t>
            </w:r>
          </w:p>
          <w:p w14:paraId="412700FB">
            <w:pPr>
              <w:pStyle w:val="307"/>
              <w:spacing w:line="460" w:lineRule="exact"/>
              <w:ind w:firstLine="0" w:firstLineChars="0"/>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3、高性能，宽频响：定阻（6 Ω）功率模式，输出音量高，频响带宽平直，最低频率可低至80Hz。</w:t>
            </w:r>
          </w:p>
          <w:p w14:paraId="1601DD5C">
            <w:pPr>
              <w:pStyle w:val="307"/>
              <w:spacing w:line="460" w:lineRule="exact"/>
              <w:ind w:firstLine="0" w:firstLineChars="0"/>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4、覆盖角度：水平方向150°，垂直方向30°。</w:t>
            </w:r>
          </w:p>
          <w:p w14:paraId="4ED92FF7">
            <w:pPr>
              <w:pStyle w:val="307"/>
              <w:spacing w:line="460" w:lineRule="exact"/>
              <w:ind w:firstLine="0" w:firstLineChars="0"/>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5、专业级线阵列音柱，声场覆盖均匀，传声增益更高而不易啸叫，解决有建声缺陷环境的扩声需求。</w:t>
            </w:r>
          </w:p>
          <w:p w14:paraId="24E51080">
            <w:pPr>
              <w:pStyle w:val="307"/>
              <w:spacing w:line="460" w:lineRule="exact"/>
              <w:ind w:firstLine="0" w:firstLineChars="0"/>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6、箱体表面防护符合国家标准，经过防尘防水防喷溅处理。</w:t>
            </w:r>
          </w:p>
          <w:p w14:paraId="4766B565">
            <w:pPr>
              <w:pStyle w:val="307"/>
              <w:spacing w:line="460" w:lineRule="exact"/>
              <w:ind w:firstLine="0" w:firstLineChars="0"/>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7、外壳为添加最大抗紫外线添加物的玻璃纤维ABS塑料。</w:t>
            </w:r>
          </w:p>
          <w:p w14:paraId="2B878C65">
            <w:pPr>
              <w:pStyle w:val="307"/>
              <w:spacing w:line="460" w:lineRule="exact"/>
              <w:ind w:firstLine="0" w:firstLineChars="0"/>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 xml:space="preserve">8、安装方式：壁挂式、支架式。                                                                                                                               </w:t>
            </w:r>
          </w:p>
          <w:p w14:paraId="196B2E14">
            <w:pPr>
              <w:pStyle w:val="307"/>
              <w:spacing w:line="460" w:lineRule="exact"/>
              <w:ind w:firstLine="0" w:firstLineChars="0"/>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9、频率响应（-10 dB）:80 Hz ~ 20 kHz。</w:t>
            </w:r>
          </w:p>
          <w:p w14:paraId="7C5FF315">
            <w:pPr>
              <w:pStyle w:val="307"/>
              <w:spacing w:line="460" w:lineRule="exact"/>
              <w:ind w:firstLine="0" w:firstLineChars="0"/>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10、标称阻抗 6 Ω。</w:t>
            </w:r>
          </w:p>
          <w:p w14:paraId="15519899">
            <w:pPr>
              <w:pStyle w:val="307"/>
              <w:spacing w:line="460" w:lineRule="exact"/>
              <w:ind w:firstLine="0" w:firstLineChars="0"/>
              <w:jc w:val="left"/>
              <w:rPr>
                <w:rFonts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11、功率（6 Ω） 60 W（240 W峰值），2小时，36 W（144 W峰值），100小时。</w:t>
            </w:r>
          </w:p>
          <w:p w14:paraId="7624961D">
            <w:pPr>
              <w:pStyle w:val="24"/>
              <w:spacing w:line="460" w:lineRule="exact"/>
              <w:ind w:left="440" w:hanging="440"/>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12、最大声压级 107 dB。</w:t>
            </w:r>
          </w:p>
        </w:tc>
        <w:tc>
          <w:tcPr>
            <w:tcW w:w="789" w:type="dxa"/>
          </w:tcPr>
          <w:p w14:paraId="646EFF23">
            <w:pPr>
              <w:pStyle w:val="24"/>
              <w:spacing w:line="460" w:lineRule="exact"/>
              <w:ind w:left="440" w:hanging="440"/>
              <w:jc w:val="left"/>
              <w:rPr>
                <w:rFonts w:ascii="新宋体" w:hAnsi="新宋体" w:eastAsia="新宋体" w:cs="新宋体"/>
                <w:color w:val="auto"/>
                <w:kern w:val="0"/>
                <w:sz w:val="22"/>
                <w:szCs w:val="22"/>
                <w:highlight w:val="none"/>
              </w:rPr>
            </w:pPr>
          </w:p>
        </w:tc>
      </w:tr>
      <w:tr w14:paraId="298B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2462876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1151" w:type="dxa"/>
            <w:vAlign w:val="center"/>
          </w:tcPr>
          <w:p w14:paraId="139AFAC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数字红外无线麦克风</w:t>
            </w:r>
          </w:p>
        </w:tc>
        <w:tc>
          <w:tcPr>
            <w:tcW w:w="744" w:type="dxa"/>
            <w:vAlign w:val="center"/>
          </w:tcPr>
          <w:p w14:paraId="55DA098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10套</w:t>
            </w:r>
          </w:p>
        </w:tc>
        <w:tc>
          <w:tcPr>
            <w:tcW w:w="6186" w:type="dxa"/>
          </w:tcPr>
          <w:p w14:paraId="231D5C38">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1、红外麦克风在不同教室之间使用，无需对频，即开即用，简单方便（不需要对频及调频的其他技术方式）。</w:t>
            </w:r>
          </w:p>
          <w:p w14:paraId="4C296536">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2、扩展性能强，具有3.5 mm音频输入接口。</w:t>
            </w:r>
          </w:p>
          <w:p w14:paraId="6C4194DD">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3、内置激光笔。</w:t>
            </w:r>
          </w:p>
          <w:p w14:paraId="6ACA6783">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4、可充电锂电池，电池容量≥2300mAh，电池可持续使用7个小时，不接受镍氢电池和镍镉电池。</w:t>
            </w:r>
          </w:p>
          <w:p w14:paraId="10072F52">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5、具有BAT指示灯带电量提示功能，支持Micro USB口充电（兼容手机充电器）。</w:t>
            </w:r>
          </w:p>
          <w:p w14:paraId="16057F2F">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6、具备触点式充电接口，支持放入配套的充电底座进行充电。</w:t>
            </w:r>
          </w:p>
          <w:p w14:paraId="6AAFC5D0">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7、具备锁孔，插入充电底座时支持电子锁，防止无关人员带走。</w:t>
            </w:r>
          </w:p>
          <w:p w14:paraId="3EF2BE70">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8、支持话筒频点设定。</w:t>
            </w:r>
          </w:p>
          <w:p w14:paraId="59B8F254">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9、支持PPT翻页功能。</w:t>
            </w:r>
          </w:p>
          <w:p w14:paraId="23B210DE">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10、支持PTT(Push To Talk按键发言)功能，适宜于小组讨论，一间教室内同时可工作的话筒数量大于6只。</w:t>
            </w:r>
          </w:p>
          <w:p w14:paraId="4C1F5103">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11、当发言者在设定时间内无发言时，自动关闭红外信号发射。</w:t>
            </w:r>
          </w:p>
          <w:p w14:paraId="7E8A2F10">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12、信噪比 ≥85 dBA。</w:t>
            </w:r>
          </w:p>
          <w:p w14:paraId="18D90A0F">
            <w:pPr>
              <w:pStyle w:val="24"/>
              <w:spacing w:line="460" w:lineRule="exact"/>
              <w:ind w:left="440" w:hanging="44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13、总谐波失真 ≤0.06%。</w:t>
            </w:r>
          </w:p>
        </w:tc>
        <w:tc>
          <w:tcPr>
            <w:tcW w:w="789" w:type="dxa"/>
          </w:tcPr>
          <w:p w14:paraId="66A94BFE">
            <w:pPr>
              <w:pStyle w:val="24"/>
              <w:spacing w:line="460" w:lineRule="exact"/>
              <w:ind w:left="440" w:hanging="440"/>
              <w:jc w:val="left"/>
              <w:rPr>
                <w:rFonts w:ascii="新宋体" w:hAnsi="新宋体" w:eastAsia="新宋体" w:cs="新宋体"/>
                <w:color w:val="auto"/>
                <w:sz w:val="22"/>
                <w:szCs w:val="22"/>
                <w:highlight w:val="none"/>
              </w:rPr>
            </w:pPr>
          </w:p>
        </w:tc>
      </w:tr>
      <w:tr w14:paraId="74F6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260D4CB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1151" w:type="dxa"/>
            <w:vAlign w:val="center"/>
          </w:tcPr>
          <w:p w14:paraId="05691AD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鹅颈话筒（含充电底座)</w:t>
            </w:r>
          </w:p>
        </w:tc>
        <w:tc>
          <w:tcPr>
            <w:tcW w:w="744" w:type="dxa"/>
            <w:vAlign w:val="center"/>
          </w:tcPr>
          <w:p w14:paraId="2D8A410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10套</w:t>
            </w:r>
          </w:p>
        </w:tc>
        <w:tc>
          <w:tcPr>
            <w:tcW w:w="6186" w:type="dxa"/>
          </w:tcPr>
          <w:p w14:paraId="2AD76145">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1、可拆卸话筒杆，话筒杆长度可选； </w:t>
            </w:r>
          </w:p>
          <w:p w14:paraId="360AB7C8">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2、内置两个充电底座，可对无线麦克风进行充电；</w:t>
            </w:r>
          </w:p>
          <w:p w14:paraId="77769DE1">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3、带1根音频线（USB接口）用于连接主机传输音频；</w:t>
            </w:r>
          </w:p>
          <w:p w14:paraId="6A913A9D">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4、具有1个麦克风开/关按键；</w:t>
            </w:r>
          </w:p>
          <w:p w14:paraId="693CD07F">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5、具有1个USB接口，可使用适配器为充电座供电；</w:t>
            </w:r>
          </w:p>
          <w:p w14:paraId="634E9029">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6、无线麦克风充电座内置电子锁，可通过手机扫码（包含后端管理平台，管理平台显示设备所在教室、楼栋、用户信息及开锁时间等信息）并支持RS232连接中控主机，解锁无线麦克风，方便管理，避免丢失。</w:t>
            </w:r>
          </w:p>
        </w:tc>
        <w:tc>
          <w:tcPr>
            <w:tcW w:w="789" w:type="dxa"/>
          </w:tcPr>
          <w:p w14:paraId="01420B32">
            <w:pPr>
              <w:spacing w:line="460" w:lineRule="exact"/>
              <w:jc w:val="left"/>
              <w:rPr>
                <w:rFonts w:ascii="新宋体" w:hAnsi="新宋体" w:eastAsia="新宋体" w:cs="新宋体"/>
                <w:color w:val="auto"/>
                <w:sz w:val="22"/>
                <w:szCs w:val="22"/>
                <w:highlight w:val="none"/>
              </w:rPr>
            </w:pPr>
          </w:p>
        </w:tc>
      </w:tr>
      <w:tr w14:paraId="7D2B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6D9DFB47">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1151" w:type="dxa"/>
            <w:vAlign w:val="center"/>
          </w:tcPr>
          <w:p w14:paraId="201A522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电子班牌</w:t>
            </w:r>
          </w:p>
        </w:tc>
        <w:tc>
          <w:tcPr>
            <w:tcW w:w="744" w:type="dxa"/>
            <w:vAlign w:val="center"/>
          </w:tcPr>
          <w:p w14:paraId="624C8F5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10套</w:t>
            </w:r>
          </w:p>
        </w:tc>
        <w:tc>
          <w:tcPr>
            <w:tcW w:w="6186" w:type="dxa"/>
          </w:tcPr>
          <w:p w14:paraId="199B382D">
            <w:pPr>
              <w:spacing w:line="460" w:lineRule="exact"/>
              <w:jc w:val="lef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一、班牌硬件</w:t>
            </w:r>
          </w:p>
          <w:p w14:paraId="65DFE560">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1、★采用21.5英寸横屏式电容显示屏，支持10点触控，屏幕分辨率≥1920*1080，显示比例16:9；屏幕亮度≥500cd/㎡。</w:t>
            </w:r>
          </w:p>
          <w:p w14:paraId="46113156">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2、整机采用防水防尘结构设计，适用于学校教室半户外环境，防护等级不低于IP65。（提供国家认可的第三方检测机构所出具的检测报告复印件）</w:t>
            </w:r>
          </w:p>
          <w:p w14:paraId="0C8B5B0B">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3、整机背部与墙面微距全贴合，背面与平整墙面间隙最大处≤2.5mm，保障教学环境的安全性。</w:t>
            </w:r>
          </w:p>
          <w:p w14:paraId="6F342BFA">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4、整机最大厚度不大于29mm。</w:t>
            </w:r>
          </w:p>
          <w:p w14:paraId="21248ED0">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5、整机正面覆盖钢化玻璃。</w:t>
            </w:r>
          </w:p>
          <w:p w14:paraId="7235042D">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6、整机正面不采用贴膜方式具备防眩光功能。可拍摄不低于200W像素的照片，支持不少于5人同时进行人脸识别。</w:t>
            </w:r>
          </w:p>
          <w:p w14:paraId="77E530A5">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7、整机在逆光（人像处于背景照度≥60000Lux）环境下距离≤0.5m可正常进行人脸识别。（提供国家认可的第三方检测机构所出具的检测报告复印件）</w:t>
            </w:r>
          </w:p>
          <w:p w14:paraId="66964CD2">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8、内置高灵敏度的全向麦克风，拾音半径不小于0.5m。</w:t>
            </w:r>
          </w:p>
          <w:p w14:paraId="1C06A2B5">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9、内置2.0立体声道功放，支持视频及家长留言的音频播放。</w:t>
            </w:r>
          </w:p>
          <w:p w14:paraId="0864D19B">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10、刷卡器：具有内置IC卡刷卡器，支持14443协议。学生可佩带相应的终端设备完成刷卡签到、查看个人信息等操作。</w:t>
            </w:r>
          </w:p>
          <w:p w14:paraId="56D87817">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11、整机具备至少一路RJ45网络接口；具备不少于2路USB 2.0接口。</w:t>
            </w:r>
          </w:p>
          <w:p w14:paraId="34906612">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12、整机采用内置天线设计，无任何天线外露。</w:t>
            </w:r>
          </w:p>
          <w:p w14:paraId="3D5B8D15">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13、整机支持外接门禁控制。</w:t>
            </w:r>
          </w:p>
          <w:p w14:paraId="6E8C3E5D">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14、系统运行内存不低于2GB，存储容量不低于8GB；操作系统版本不低于Android 9.0。</w:t>
            </w:r>
          </w:p>
          <w:p w14:paraId="46E2A371">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15、整机CPU≥4核，最高主频≥1.9G。</w:t>
            </w:r>
          </w:p>
          <w:p w14:paraId="2A356A3B">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16、整机电源采用插墙式电源适配器，适配器无需悬挂。</w:t>
            </w:r>
          </w:p>
          <w:p w14:paraId="658EF37C">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17、支持远程开关机功能，远程唤醒待机功耗≤2W。</w:t>
            </w:r>
          </w:p>
          <w:p w14:paraId="10D3ABEA">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18、所投产品须提供通过3C认证和节能认证有效证明材料。</w:t>
            </w:r>
          </w:p>
          <w:p w14:paraId="346FC1CC">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19、所投产品须提供通过SRRC国家强制认证有效证明材料。</w:t>
            </w:r>
          </w:p>
          <w:p w14:paraId="6B827427">
            <w:pPr>
              <w:spacing w:line="460" w:lineRule="exact"/>
              <w:jc w:val="lef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二、班牌软件</w:t>
            </w:r>
          </w:p>
          <w:p w14:paraId="33792220">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1、教室空间管理功能：与教室预约功能结合实现电子班牌教室空间预约情况查询及呈现，并实现预约人脸开门；</w:t>
            </w:r>
          </w:p>
          <w:p w14:paraId="68D36F1C">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2、学生及教师考勤：通过电子班牌实现老师、学生人脸考勤和刷卡考勤、小程序扫码考勤等多种方式，界面能够显示学生到课人数及请假情况；</w:t>
            </w:r>
          </w:p>
          <w:p w14:paraId="19C911DB">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3、课程表查询：电子班牌能够显示当前课程信息、授课老师信息、地点信息。支持本教室一周课表查询并以上滑方式整体呈现，同时支持微信小程序、pc端查询个人课表；</w:t>
            </w:r>
          </w:p>
          <w:p w14:paraId="054CF298">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4、物联功能：电子班牌具备物联功能，通过人脸验证权限后，能够直接从电子班牌控制教室内空调、多媒体设备、灯光等物联设备；</w:t>
            </w:r>
          </w:p>
          <w:p w14:paraId="2D4B67CF">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5、电子考场：前端软件能够根据考试计划自动显示考试科目、内容、监考老师、考生号等信息；</w:t>
            </w:r>
          </w:p>
          <w:p w14:paraId="27D198FF">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6、会议模式：班牌支持会议门牌功能，支持人脸和二维码会议考勤，支持校内校外两种模式；</w:t>
            </w:r>
          </w:p>
          <w:p w14:paraId="54480A90">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报修异常显示：用户可在电脑端和移动端发起报修，电子班牌能够在教室报修时自动更改电子班牌背景颜色，并显示报修图标，从而便于维修人员发现故障教室。维修完成后，支持维修人员人脸认证，点击完成后解除班牌故障模式；</w:t>
            </w:r>
          </w:p>
          <w:p w14:paraId="0980A7F5">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教室索引功能：为方便学生、老师查找上课教室，班牌支持右滑出现教室索引界面，该界面能够显示学校所有楼栋所有教室的当前课程信息、授课教师信息、授课班级信息和本日内所有作息时间后续课程信息；（需提供功能截图）</w:t>
            </w:r>
          </w:p>
          <w:p w14:paraId="2ECCA6A4">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9、系统能够支持手机app与电子班牌播放素材同屏。能够支持同步控制暂停、播放PDF、word、视频、H5网页、图片、文字。</w:t>
            </w:r>
          </w:p>
          <w:p w14:paraId="39E66FA1">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10、电子班牌具备中英文两种文字模式，系统能够灵活配置中英文开关按键（需提供功能截图）。</w:t>
            </w:r>
          </w:p>
          <w:p w14:paraId="2C2384B5">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三、★需要与招标人现有电子班牌管理平台无缝对接（现有平台品牌为希沃）。</w:t>
            </w:r>
          </w:p>
        </w:tc>
        <w:tc>
          <w:tcPr>
            <w:tcW w:w="789" w:type="dxa"/>
          </w:tcPr>
          <w:p w14:paraId="5ED579D7">
            <w:pPr>
              <w:spacing w:line="460" w:lineRule="exact"/>
              <w:jc w:val="left"/>
              <w:rPr>
                <w:rFonts w:ascii="新宋体" w:hAnsi="新宋体" w:eastAsia="新宋体" w:cs="新宋体"/>
                <w:color w:val="auto"/>
                <w:sz w:val="22"/>
                <w:szCs w:val="22"/>
                <w:highlight w:val="none"/>
              </w:rPr>
            </w:pPr>
          </w:p>
        </w:tc>
      </w:tr>
      <w:tr w14:paraId="2000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47645D75">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1151" w:type="dxa"/>
            <w:vAlign w:val="center"/>
          </w:tcPr>
          <w:p w14:paraId="1207F259">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投屏器</w:t>
            </w:r>
          </w:p>
        </w:tc>
        <w:tc>
          <w:tcPr>
            <w:tcW w:w="744" w:type="dxa"/>
            <w:vAlign w:val="center"/>
          </w:tcPr>
          <w:p w14:paraId="23CE170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10套</w:t>
            </w:r>
          </w:p>
        </w:tc>
        <w:tc>
          <w:tcPr>
            <w:tcW w:w="6186" w:type="dxa"/>
          </w:tcPr>
          <w:p w14:paraId="3C86DEBE">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1、产品配备外置接收模块，可实现外部电脑音视频信号实时传输到触摸一体机上（无论整机处于任何通道），并可支持触摸回传，支持免安装驱动，即插即用</w:t>
            </w:r>
          </w:p>
          <w:p w14:paraId="66F8D4CA">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2、支持操作系统：Win7/Win8/Win8.1/Win10/Mac OS10.10及以上</w:t>
            </w:r>
          </w:p>
          <w:p w14:paraId="3F9C1E4D">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3、传输延迟≤100ms，帧率达到20fps-30fps</w:t>
            </w:r>
          </w:p>
          <w:p w14:paraId="053F55AA">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4、支持自动配对（需在大屏开启 Wi-Fi 热点），在大屏上手动配对，在 Windows 电脑上手动配对。</w:t>
            </w:r>
          </w:p>
          <w:p w14:paraId="121AF037">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5、支持将 iOS、Android、Windows、macOS、ChromeOS、Ubuntu 等系统的画面无线传送到接收端，且传屏的同时支持从接收端 反向触控电脑设备（Windows、macOS、Ubuntu 系统）的画面， 无需连接触控、VGA 或 HDMI 线。</w:t>
            </w:r>
          </w:p>
          <w:p w14:paraId="53A35FAF">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6、在同一个局域网下，电脑或手机使用可通过连接码进行投屏</w:t>
            </w:r>
          </w:p>
          <w:p w14:paraId="010BE22D">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7、电脑软件投屏，最大支持4k@30Hz的分辨率投屏</w:t>
            </w:r>
          </w:p>
          <w:p w14:paraId="7FAA0BA4">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8、无线传屏软硬件均支持win10系统/MAC系统扩展屏显示</w:t>
            </w:r>
          </w:p>
          <w:p w14:paraId="78817076">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9、传屏的内容以窗口方式进行展示，用户可自己调整窗口的大小和排布</w:t>
            </w:r>
          </w:p>
          <w:p w14:paraId="42A58724">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10、可以仅对一个窗口进行无线投屏，其他窗口内容不做展示，保证沉浸式+个人端隐私，能避免如微信弹窗的尴尬</w:t>
            </w:r>
          </w:p>
          <w:p w14:paraId="43002312">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11、同一传屏器投屏，可以同时支持Type-C/Type-A 模式投屏</w:t>
            </w:r>
          </w:p>
          <w:p w14:paraId="63CBA876">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12、无线传屏视频数据加密，加密方式：AES（CBC模式），128 位，保障数据传输安全</w:t>
            </w:r>
          </w:p>
          <w:p w14:paraId="7348B1DE">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13、传屏之后，在屏幕上部中间部分显示工具栏，可以进行基本的操作（具体包括触摸回传控制，勿扰模式，暂停投屏等）</w:t>
            </w:r>
          </w:p>
          <w:p w14:paraId="2F1287C4">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14、传屏开启勿扰模式之后，不允许其他人在进行传屏，沉浸模式，避免在使用过程中，用户经常被其他人传屏顶替掉，造成使用中断</w:t>
            </w:r>
          </w:p>
          <w:p w14:paraId="3407391A">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15、可通过传屏工具栏暂停投屏功能进行画面冻结暂停，投屏电脑可自主进行其他操作，不影响整机的冻结画面内容显示</w:t>
            </w:r>
          </w:p>
          <w:p w14:paraId="1BC9C381">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16、可通过传屏工具栏传屏模式，快速切换传屏方式</w:t>
            </w:r>
          </w:p>
          <w:p w14:paraId="16A0D353">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17、手机扫描整机传屏二维码即可完成连接整机热点，无需单独在手机上输入WIFI账号密码</w:t>
            </w:r>
          </w:p>
          <w:p w14:paraId="27568D30">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18、为方便共享，手机和电脑可以和整机互传文件</w:t>
            </w:r>
          </w:p>
          <w:p w14:paraId="38C50443">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19、可通过软件可自动发现近场可投屏的智能平板，选择即可投屏，无需手动配对</w:t>
            </w:r>
          </w:p>
          <w:p w14:paraId="60E92E2B">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20、无线传屏器无需插入大屏，支持部分带有蓝牙的大屏快速配对</w:t>
            </w:r>
          </w:p>
        </w:tc>
        <w:tc>
          <w:tcPr>
            <w:tcW w:w="789" w:type="dxa"/>
          </w:tcPr>
          <w:p w14:paraId="04939D3D">
            <w:pPr>
              <w:spacing w:line="460" w:lineRule="exact"/>
              <w:jc w:val="left"/>
              <w:rPr>
                <w:rFonts w:ascii="新宋体" w:hAnsi="新宋体" w:eastAsia="新宋体" w:cs="新宋体"/>
                <w:color w:val="auto"/>
                <w:sz w:val="22"/>
                <w:szCs w:val="22"/>
                <w:highlight w:val="none"/>
              </w:rPr>
            </w:pPr>
          </w:p>
        </w:tc>
      </w:tr>
      <w:tr w14:paraId="01F3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64F746D8">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1151" w:type="dxa"/>
            <w:vAlign w:val="center"/>
          </w:tcPr>
          <w:p w14:paraId="646AF9B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常态化录播系统</w:t>
            </w:r>
          </w:p>
        </w:tc>
        <w:tc>
          <w:tcPr>
            <w:tcW w:w="744" w:type="dxa"/>
            <w:vAlign w:val="center"/>
          </w:tcPr>
          <w:p w14:paraId="46799FA7">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10套</w:t>
            </w:r>
          </w:p>
        </w:tc>
        <w:tc>
          <w:tcPr>
            <w:tcW w:w="6186" w:type="dxa"/>
          </w:tcPr>
          <w:p w14:paraId="018BC25E">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1套常态化录播系统含微云台摄像机（教师）1台，微云台摄像机（学生）1台，录播主机1台</w:t>
            </w:r>
          </w:p>
          <w:p w14:paraId="73B9C204">
            <w:pPr>
              <w:spacing w:line="460" w:lineRule="exact"/>
              <w:jc w:val="lef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一、微云台摄像机（教师）：</w:t>
            </w:r>
          </w:p>
          <w:p w14:paraId="44C43280">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1、内置双传感器，传感器尺寸： CMOS ≥ 1/2.8英寸。</w:t>
            </w:r>
          </w:p>
          <w:p w14:paraId="3EBCA34F">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2、全景图像传感器有效像素≥400万，特写图像传感器有效像素≥800万。</w:t>
            </w:r>
          </w:p>
          <w:p w14:paraId="6F7743A2">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3、▲采用全景特写双镜头，全影镜头水平视场角≥110°，特写镜头水平视场角≥40°。</w:t>
            </w:r>
          </w:p>
          <w:p w14:paraId="2C80D49F">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4、摄像机采用一体化集成设计，支持4K超高清，最大可提供4K图像编码输出，同时向下兼容1080p，720p分辨率。</w:t>
            </w:r>
          </w:p>
          <w:p w14:paraId="09846C77">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5、内置图像识别跟踪算法，搭配隐藏式微型云台，保证清晰度的同时，也减小对课堂的干扰。</w:t>
            </w:r>
          </w:p>
          <w:p w14:paraId="1F980C97">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6、视频码率：32Kbps ~ 16384Kbps，帧率范围：1~30fps。</w:t>
            </w:r>
          </w:p>
          <w:p w14:paraId="4572D4E9">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7、支持POE有线网络供电，只需要1路网线，即可实现供电及信号传输，支持同时输出特写和全景等多路画面。</w:t>
            </w:r>
          </w:p>
          <w:p w14:paraId="5F24C239">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8、接口：支持RJ45≥1路，Type-C≥1路，Line in接口≥1路。</w:t>
            </w:r>
          </w:p>
          <w:p w14:paraId="6FFE5DAF">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9、摄像机内嵌智能跟踪算法，无需单独安装定位跟踪主机及其他任何辅助拍摄设备，即可实现跟踪定位控制功能。</w:t>
            </w:r>
          </w:p>
          <w:p w14:paraId="6A376231">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10、系统应采用智能图像识别算法，高清摄像机同时输出2路场景画面并分析计算。</w:t>
            </w:r>
          </w:p>
          <w:p w14:paraId="3F649E79">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11、支持设置摄像机分辨率、帧率、码率。</w:t>
            </w:r>
          </w:p>
          <w:p w14:paraId="5EE7B8D3">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12、支持设置摄像机亮度、饱和度、对比度、锐度、色度、快门速度。</w:t>
            </w:r>
          </w:p>
          <w:p w14:paraId="65D5E8D6">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13、支持跟踪灵敏度设置，可适配不同的灵敏度要求场景。</w:t>
            </w:r>
          </w:p>
          <w:p w14:paraId="15FD097C">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14、支持开启/关闭跟踪功能。</w:t>
            </w:r>
          </w:p>
          <w:p w14:paraId="0B4E8D44">
            <w:pPr>
              <w:spacing w:line="460" w:lineRule="exact"/>
              <w:jc w:val="lef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二、微云台摄像机（学生）：</w:t>
            </w:r>
          </w:p>
          <w:p w14:paraId="5078BA50">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1、有效像素：≥800万像素；分辨率：≥4K@30fps</w:t>
            </w:r>
          </w:p>
          <w:p w14:paraId="5FA6805F">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2、内置学生图像跟踪算法，单镜头可输出全景和特写两个景别； </w:t>
            </w:r>
          </w:p>
          <w:p w14:paraId="43163BB4">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3、支持特写和全景同时RTSP推流；</w:t>
            </w:r>
          </w:p>
          <w:p w14:paraId="6BFFAF97">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4、支持≥1路RJ45接口，支持POE供电及信号传输，支持同时输出多路画面；</w:t>
            </w:r>
          </w:p>
          <w:p w14:paraId="14B68269">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5、视频压缩：H.264、H.265；</w:t>
            </w:r>
          </w:p>
          <w:p w14:paraId="0BD85BBE">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6、音频压缩：AAC，音频接口：≥1路LINE IN ；</w:t>
            </w:r>
          </w:p>
          <w:p w14:paraId="0ADF5D63">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7、网络协议：支持RTSP、RTMP、SRT、ONVIF等协议；</w:t>
            </w:r>
          </w:p>
          <w:p w14:paraId="08D39DEF">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8、支持≥1路USB接口；</w:t>
            </w:r>
          </w:p>
          <w:p w14:paraId="7F155D37">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9、为便于操作，支持一键式启动跟踪停止跟踪；支持预置点位调用、设置、支持参数设置，白平衡设置；</w:t>
            </w:r>
          </w:p>
          <w:p w14:paraId="3F5168BE">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10、为防止学生区域干扰，保证跟踪效果有效性，支持≥10种学生检测区域数字化模块显示设置；</w:t>
            </w:r>
          </w:p>
          <w:p w14:paraId="325BA84F">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11、支持跟踪参数设置，支持前排与后排学生跟踪滑动调节；</w:t>
            </w:r>
          </w:p>
          <w:p w14:paraId="6ADF50CD">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12、支持单目标及多目标跟踪动作调节，支持灵敏度检测。</w:t>
            </w:r>
          </w:p>
          <w:p w14:paraId="267C4E98">
            <w:pPr>
              <w:spacing w:line="460" w:lineRule="exact"/>
              <w:jc w:val="lef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三、录播主机：</w:t>
            </w:r>
          </w:p>
          <w:p w14:paraId="4DB4388B">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内置录制、直播、互动、导播管理、存储、中控管理、视音频编码等功能。</w:t>
            </w:r>
          </w:p>
          <w:p w14:paraId="064CCDC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1、采用一体化设计，纯嵌入式架构，内置嵌入式Linux 操作系统，支持 7*24 小时工作；</w:t>
            </w:r>
          </w:p>
          <w:p w14:paraId="73B46EF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2、视频采集：具备≥2路HDMI输入接口；</w:t>
            </w:r>
          </w:p>
          <w:p w14:paraId="2B52AC1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3、具备≥2路HDMI输出接口；支持分辨率1080P60，支持教师电脑信号输出本地显示或在远程互动模式下显示远端教室视频画面；</w:t>
            </w:r>
          </w:p>
          <w:p w14:paraId="726E897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4、音频输入：支持≥8路音频输入（含6路MIC-IN输入、2路LINE-IN输入），MIC-IN支持48V幻象供电；</w:t>
            </w:r>
          </w:p>
          <w:p w14:paraId="76AE79F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5、音频输出：≥2路LINE-OUT输出，可根据系统功能模式自由混音输出；</w:t>
            </w:r>
          </w:p>
          <w:p w14:paraId="3A4A79B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6、支持≥1路USB接口，用于外接USB设备；</w:t>
            </w:r>
          </w:p>
          <w:p w14:paraId="195A796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7、支持≥6路RJ45网口，其中具备4个POE功能；</w:t>
            </w:r>
          </w:p>
          <w:p w14:paraId="76FB49B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8、支持≥10路本地RS232串口；</w:t>
            </w:r>
          </w:p>
          <w:p w14:paraId="1A1B1F0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9、支持≥1个SATA接口，支持≥2TB硬盘.</w:t>
            </w:r>
          </w:p>
          <w:p w14:paraId="1D38FB6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10、设备高度≤1U，采用＜24V供电；</w:t>
            </w:r>
          </w:p>
          <w:p w14:paraId="3A30C02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11、支持≥1路GPIO接口，支持3.3V/5V供电；</w:t>
            </w:r>
          </w:p>
          <w:p w14:paraId="264618C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12、机箱前排具备安装上机柜的挂件 ；</w:t>
            </w:r>
          </w:p>
          <w:p w14:paraId="41B153D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13、提供所投多功能教学终端背板接口高清图片并加盖制造商投标专用章或公章；</w:t>
            </w:r>
          </w:p>
          <w:p w14:paraId="1B9FA48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14、要求所投多功能教学终端产生噪声最大值＜26dB(A)；提供关于所投多功能教学终端噪声＜26dB(A)的第三方检测报告复印件并加盖制造商投标专用章或公章；</w:t>
            </w:r>
          </w:p>
          <w:p w14:paraId="1F6B4D1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15、整机使用平均无故障运行时间(MTBF)应≥180000小时,提供关于所投多功能教学终端第三方检测机构提供的检测报告复印件并加盖制造商投标专用章或公章；</w:t>
            </w:r>
          </w:p>
          <w:p w14:paraId="4714EFA4">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▲录播摄像头、主机需支持学校现有建设的录制系统、直播系统、学情系统、巡课系统进行免费无缝对接，现有平台为翰博尔录播平台。投标时需提供相应的承诺函。</w:t>
            </w:r>
          </w:p>
        </w:tc>
        <w:tc>
          <w:tcPr>
            <w:tcW w:w="789" w:type="dxa"/>
          </w:tcPr>
          <w:p w14:paraId="4834AFFF">
            <w:pPr>
              <w:spacing w:line="460" w:lineRule="exact"/>
              <w:jc w:val="left"/>
              <w:rPr>
                <w:rFonts w:ascii="新宋体" w:hAnsi="新宋体" w:eastAsia="新宋体" w:cs="新宋体"/>
                <w:color w:val="auto"/>
                <w:sz w:val="22"/>
                <w:szCs w:val="22"/>
                <w:highlight w:val="none"/>
              </w:rPr>
            </w:pPr>
          </w:p>
        </w:tc>
      </w:tr>
      <w:tr w14:paraId="1BF2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48D4052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1151" w:type="dxa"/>
            <w:vAlign w:val="center"/>
          </w:tcPr>
          <w:p w14:paraId="761B181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录播摄像机</w:t>
            </w:r>
          </w:p>
        </w:tc>
        <w:tc>
          <w:tcPr>
            <w:tcW w:w="744" w:type="dxa"/>
            <w:vAlign w:val="center"/>
          </w:tcPr>
          <w:p w14:paraId="40E43B8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1套</w:t>
            </w:r>
          </w:p>
        </w:tc>
        <w:tc>
          <w:tcPr>
            <w:tcW w:w="6186" w:type="dxa"/>
          </w:tcPr>
          <w:p w14:paraId="11C8F6E4">
            <w:pPr>
              <w:spacing w:line="460" w:lineRule="exact"/>
              <w:jc w:val="lef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一、教师摄像机：</w:t>
            </w:r>
          </w:p>
          <w:p w14:paraId="3D8870CB">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1、成像设备类型：全画幅CMOS 4K背照式传感器,15+档动态范围，可扩展至ISO409600，S-Cinetone配置，4K 120p录制</w:t>
            </w:r>
          </w:p>
          <w:p w14:paraId="4A61C94C">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2、有效像素数：约1020万（视频），约1210万（静态影像）</w:t>
            </w:r>
          </w:p>
          <w:p w14:paraId="6432C62D">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3、镜头卡口:E卡口</w:t>
            </w:r>
          </w:p>
          <w:p w14:paraId="338C7E15">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4、记录：储存格式：XAVC S-Intra、XAVC S Long；音频格式：LPCM 24位，48kHZ，4通道；压缩格式：XAVC S Intra：MPEG-4 AVC/H.264；XAVC S Long：MPEG-4 AVC/H.264；</w:t>
            </w:r>
          </w:p>
          <w:p w14:paraId="0254D5DF">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5、摄影机部分：4:2:2 10bit支持所有机内可选录制格式，全尺寸HDMI，支持外录4.2K 16bit RAW；高效散热系统，内置冷却风扇，可长时间持续稳定录制4K 60p视频；机身附带螺孔，无需拓展套件，随附XLR适配器手柄；慢动作和快动作功能</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NTSC：1至240帧(24/30/60/120)；PAL：1至200帧(25/50/100)；</w:t>
            </w:r>
          </w:p>
          <w:p w14:paraId="4AEA05D5">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6、监控：液晶屏：3.0型，144约万像素（支持触摸操作）；</w:t>
            </w:r>
          </w:p>
          <w:p w14:paraId="69AEBABF">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7、输入/输出：USB Type-C x1。</w:t>
            </w:r>
          </w:p>
          <w:p w14:paraId="288EA7F1">
            <w:pPr>
              <w:spacing w:line="460" w:lineRule="exact"/>
              <w:jc w:val="lef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二、学生摄像机：</w:t>
            </w:r>
          </w:p>
          <w:p w14:paraId="3BBC3155">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1、成像设备类型：全画幅CMOS 4K背照式传感器,15+档动态范围，可扩展至ISO409600，S-Cinetone配置，4K 120p录制</w:t>
            </w:r>
          </w:p>
          <w:p w14:paraId="7DD39964">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2、有效像素数：约1210万</w:t>
            </w:r>
          </w:p>
          <w:p w14:paraId="06A5055C">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3、镜头卡口:E卡口;对焦系统:快速型混合自动对焦,759个相位检测自动对焦点 / 425个对比检测自动对焦点;</w:t>
            </w:r>
          </w:p>
          <w:p w14:paraId="6F7A7B95">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4、记录：储存格式：XAVC S , XAVC HS；音频格式：LPCM 24位，48kHZ，4通道；压缩格式：XAVC S ：MPEG-4 AVC/H.264；H.265编码的XAVC HS格式；</w:t>
            </w:r>
          </w:p>
          <w:p w14:paraId="76D91E84">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5、摄影机部分：4:2:2 10bit支持所有机内可选录制格式；全尺寸HDMI，支持外录4K 16bit RAW，高效散热系统,双卡槽记录；慢动作和快动作功能,可录制超过约1小时的4K 60p视频,5轴防抖；</w:t>
            </w:r>
          </w:p>
          <w:p w14:paraId="362FD798">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6、监控：液晶屏：3.0型，144约万像素（支持触摸操作）；</w:t>
            </w:r>
          </w:p>
          <w:p w14:paraId="14A1F6F2">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7、输入/输出：USB Type-C。</w:t>
            </w:r>
          </w:p>
          <w:p w14:paraId="1E59245D">
            <w:pPr>
              <w:spacing w:line="460" w:lineRule="exact"/>
              <w:jc w:val="lef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三、附件</w:t>
            </w:r>
          </w:p>
          <w:p w14:paraId="6F3F5A2B">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1、镜头（与摄像机同一品牌）：FE 16-35 mm GM II 一个，全画幅，变焦范围16-35mm F2.8，2代镜头；FE 24-70mm F2.8 GM II一个，全画幅，变焦范围24-70mm F2.8，2代镜头；FE 70-300mm F4.5-5.6 G OSS一个，全画幅，变焦范围70-300mm F4.5-5.6；各配一个UV镜。</w:t>
            </w:r>
          </w:p>
          <w:p w14:paraId="6CD7B62C">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2、摄像机标配附件。</w:t>
            </w:r>
          </w:p>
          <w:p w14:paraId="5771FAF8">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3、摄像包，2个。</w:t>
            </w:r>
          </w:p>
          <w:p w14:paraId="75615299">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设备与附件出厂时间小于1年。</w:t>
            </w:r>
          </w:p>
        </w:tc>
        <w:tc>
          <w:tcPr>
            <w:tcW w:w="789" w:type="dxa"/>
          </w:tcPr>
          <w:p w14:paraId="10945C5C">
            <w:pPr>
              <w:spacing w:line="460" w:lineRule="exact"/>
              <w:jc w:val="left"/>
              <w:rPr>
                <w:rFonts w:ascii="新宋体" w:hAnsi="新宋体" w:eastAsia="新宋体" w:cs="新宋体"/>
                <w:color w:val="auto"/>
                <w:sz w:val="22"/>
                <w:szCs w:val="22"/>
                <w:highlight w:val="none"/>
              </w:rPr>
            </w:pPr>
          </w:p>
        </w:tc>
      </w:tr>
      <w:tr w14:paraId="681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0F2122E1">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1151" w:type="dxa"/>
            <w:vAlign w:val="center"/>
          </w:tcPr>
          <w:p w14:paraId="78FFDB1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无线图传</w:t>
            </w:r>
          </w:p>
        </w:tc>
        <w:tc>
          <w:tcPr>
            <w:tcW w:w="744" w:type="dxa"/>
            <w:vAlign w:val="center"/>
          </w:tcPr>
          <w:p w14:paraId="7D9FF94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2套</w:t>
            </w:r>
          </w:p>
        </w:tc>
        <w:tc>
          <w:tcPr>
            <w:tcW w:w="6186" w:type="dxa"/>
          </w:tcPr>
          <w:p w14:paraId="4EBEA872">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传输距离：≥120米</w:t>
            </w:r>
          </w:p>
          <w:p w14:paraId="0871D7BE">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延迟：≤0.08秒</w:t>
            </w:r>
          </w:p>
          <w:p w14:paraId="19000EA6">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输入、输出接口：SDI+HDMI接口</w:t>
            </w:r>
          </w:p>
          <w:p w14:paraId="4BEF9314">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频点：智能选频13个频点，5G</w:t>
            </w:r>
          </w:p>
          <w:p w14:paraId="4F90860B">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画质：12M高码流高清画质</w:t>
            </w:r>
          </w:p>
          <w:p w14:paraId="349E9872">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接收：支持一发二收</w:t>
            </w:r>
          </w:p>
          <w:p w14:paraId="44535DB1">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屏幕：OLED显示屏</w:t>
            </w:r>
          </w:p>
          <w:p w14:paraId="45F14E8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RTSP拉流：直播RTSP拉流</w:t>
            </w:r>
          </w:p>
        </w:tc>
        <w:tc>
          <w:tcPr>
            <w:tcW w:w="789" w:type="dxa"/>
          </w:tcPr>
          <w:p w14:paraId="1E6A9061">
            <w:pPr>
              <w:spacing w:line="460" w:lineRule="exact"/>
              <w:rPr>
                <w:rFonts w:ascii="新宋体" w:hAnsi="新宋体" w:eastAsia="新宋体" w:cs="新宋体"/>
                <w:color w:val="auto"/>
                <w:sz w:val="22"/>
                <w:szCs w:val="22"/>
                <w:highlight w:val="none"/>
              </w:rPr>
            </w:pPr>
          </w:p>
        </w:tc>
      </w:tr>
      <w:tr w14:paraId="255A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1AD16C45">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w:t>
            </w:r>
          </w:p>
        </w:tc>
        <w:tc>
          <w:tcPr>
            <w:tcW w:w="1151" w:type="dxa"/>
            <w:vAlign w:val="center"/>
          </w:tcPr>
          <w:p w14:paraId="36C80E1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监视记录仪</w:t>
            </w:r>
          </w:p>
        </w:tc>
        <w:tc>
          <w:tcPr>
            <w:tcW w:w="744" w:type="dxa"/>
            <w:vAlign w:val="center"/>
          </w:tcPr>
          <w:p w14:paraId="47360A6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1台</w:t>
            </w:r>
          </w:p>
        </w:tc>
        <w:tc>
          <w:tcPr>
            <w:tcW w:w="6186" w:type="dxa"/>
          </w:tcPr>
          <w:p w14:paraId="175FEB29">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录制高达 8K Apple ProRes Raw；ProRes Raw+H.265 双码录制；AirGlu RF 无线同步、GigE、6E Wi-Fi；2000nit 亮度；洋葱皮静帧抓取，驻地和现场静帧匹配；ARRI/佳能/RED/索尼摄像机 SDI文件名同步；</w:t>
            </w:r>
          </w:p>
          <w:p w14:paraId="5838C18B">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触摸屏：SuperAtom IPS 面板 (电容触摸屏），7”</w:t>
            </w:r>
          </w:p>
          <w:p w14:paraId="04AC8D46">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分辨率：1920 x 1200，HDR10</w:t>
            </w:r>
          </w:p>
          <w:p w14:paraId="01B706D2">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色域：Rec.709</w:t>
            </w:r>
          </w:p>
          <w:p w14:paraId="5F66FB80">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视频输入</w:t>
            </w:r>
          </w:p>
          <w:p w14:paraId="1CDD0B06">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HDMI接口：1 x HDMI 2.0；SDI接口</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1 x 12G SDI</w:t>
            </w:r>
          </w:p>
          <w:p w14:paraId="691374D6">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Bit Depth：8 / 10 bit</w:t>
            </w:r>
          </w:p>
          <w:p w14:paraId="081EF9FE">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视频色彩取样：YCbCr 420 &amp; 422；HDR</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HDMI自动探测</w:t>
            </w:r>
          </w:p>
          <w:p w14:paraId="47C57186">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视频输出</w:t>
            </w:r>
          </w:p>
          <w:p w14:paraId="3F35F288">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HDMI接口：1 x HDMI 2.0；SDI环出接口：1 x 12G SDI</w:t>
            </w:r>
          </w:p>
          <w:p w14:paraId="5367F70B">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HDR</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HDMI自动探测</w:t>
            </w:r>
          </w:p>
          <w:p w14:paraId="7ADDA723">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音频输入输出</w:t>
            </w:r>
          </w:p>
          <w:p w14:paraId="1CD8A358">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音频质量：24-Bit / 48kHz；音频编码</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PCM；HDMI</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8ch 24Bit；SDI</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12ch 24Bit</w:t>
            </w:r>
          </w:p>
          <w:p w14:paraId="47D3067D">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模拟音频输入：3.5mm 接口，5V供电</w:t>
            </w:r>
          </w:p>
          <w:p w14:paraId="30560AAA">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模拟音频输出：3.5mm 接口</w:t>
            </w:r>
          </w:p>
          <w:p w14:paraId="6C2565B9">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耳机输出：3.5mm 接口</w:t>
            </w:r>
          </w:p>
          <w:p w14:paraId="23EEA862">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网络接口</w:t>
            </w:r>
          </w:p>
          <w:p w14:paraId="08AA3789">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千兆以太网：1GbE RJ45；Wi-fi：WI-FI 6；</w:t>
            </w:r>
          </w:p>
          <w:p w14:paraId="64A99D15">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无线RF射频</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AirGlu™ SYNC 时间码网络</w:t>
            </w:r>
          </w:p>
          <w:p w14:paraId="50F49889">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蜂窝数据网络：通过Wi-Fi连接热点分享</w:t>
            </w:r>
          </w:p>
          <w:p w14:paraId="15C20F95">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直播推流：RTMP、RTMP / S</w:t>
            </w:r>
          </w:p>
          <w:p w14:paraId="1B3B9CCE">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视频信号转换：HDMI至SDI、SDI至HDMI ，</w:t>
            </w:r>
          </w:p>
          <w:p w14:paraId="3FC26B47">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时间码和同步：SDI嵌入时间码、HDMI嵌入时间码</w:t>
            </w:r>
          </w:p>
          <w:p w14:paraId="65312E2C">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RF射频距离：300m，支持的通道：12 个，RF连接的数量：100个客户端</w:t>
            </w:r>
          </w:p>
          <w:p w14:paraId="7D632C1D">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最大分辨率（录制、监看和回放）</w:t>
            </w:r>
          </w:p>
          <w:p w14:paraId="018F3D90">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8k RAW</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最高8K30p，通过HDMI；6k RAW</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最高6Kp60 通过 HDMI &amp; 6Kp30 通过 SDI；4k RAW</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最高4Kp120 通过 HDMI / SDI；</w:t>
            </w:r>
          </w:p>
          <w:p w14:paraId="0AE44A87">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2k RAW</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最高2Kp240 通过 SDI；4k DCI</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最高4Kp60；</w:t>
            </w:r>
          </w:p>
          <w:p w14:paraId="3C6391C2">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4k UHD</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最高4Kp60；FHD 1920 x 1080 逐行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最高1080p120；</w:t>
            </w:r>
          </w:p>
          <w:p w14:paraId="4AEE9640">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FHD 1920 x 1080 PsF</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下拉变换；FHD 1920 x 1080 隔行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1080i50 / 1080i60；1280 x 720p 60p</w:t>
            </w:r>
          </w:p>
          <w:p w14:paraId="28DE8450">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录制编码、回放</w:t>
            </w:r>
          </w:p>
          <w:p w14:paraId="00E15719">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Apple ProRes RAW 最高12bit 8Kp30 / 4Kp120；</w:t>
            </w:r>
          </w:p>
          <w:p w14:paraId="3DEF774A">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ProRes HQ / 422 / LT 最高 4Kp60；Avid DNxHD</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最高1080p60</w:t>
            </w:r>
          </w:p>
          <w:p w14:paraId="48F9B0EC">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Avid DNxHR</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最高4Kp60；h.265</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最高4Kp60 (MOV 封装)</w:t>
            </w:r>
          </w:p>
          <w:p w14:paraId="0A5A4569">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监视</w:t>
            </w:r>
          </w:p>
          <w:p w14:paraId="6444CEC2">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SDR</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原生显示，709，LUT；HDR</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HLG, PQ Rec2020</w:t>
            </w:r>
          </w:p>
          <w:p w14:paraId="41E13F85">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屏幕显示工具</w:t>
            </w:r>
          </w:p>
          <w:p w14:paraId="4BB3314A">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波形图、RGB波形图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、矢量示波器、1~2倍放大、峰值对焦、斑马纹、假色、单通道颜色显示、电影常用比例框</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预设、社交媒体常用比例框、安全框、格线、静帧截取和图像对位</w:t>
            </w:r>
          </w:p>
          <w:p w14:paraId="1EA5B5CA">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支持的软件</w:t>
            </w:r>
          </w:p>
          <w:p w14:paraId="6F9226FB">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XML – Cut, Tag &amp; Edit</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Final Cut Pro，</w:t>
            </w:r>
          </w:p>
          <w:p w14:paraId="530175A1">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Apple ProRes Raw</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Apple Final Cut Pro, Adobe Premiere, Avid Media Composer, Grass Valley Edius, ASSIMILATE SCRATCH</w:t>
            </w:r>
          </w:p>
          <w:p w14:paraId="02E0CA03">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Apple ProRes</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支持MOV封装的ProRes文件的软件</w:t>
            </w:r>
          </w:p>
          <w:p w14:paraId="25E349C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Avid DNx</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支持MOV封装的DNx文件的软件</w:t>
            </w:r>
          </w:p>
        </w:tc>
        <w:tc>
          <w:tcPr>
            <w:tcW w:w="789" w:type="dxa"/>
          </w:tcPr>
          <w:p w14:paraId="74AC3299">
            <w:pPr>
              <w:spacing w:line="460" w:lineRule="exact"/>
              <w:rPr>
                <w:rFonts w:ascii="新宋体" w:hAnsi="新宋体" w:eastAsia="新宋体" w:cs="新宋体"/>
                <w:color w:val="auto"/>
                <w:sz w:val="22"/>
                <w:szCs w:val="22"/>
                <w:highlight w:val="none"/>
              </w:rPr>
            </w:pPr>
          </w:p>
        </w:tc>
      </w:tr>
      <w:tr w14:paraId="58FE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10E51C5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w:t>
            </w:r>
          </w:p>
        </w:tc>
        <w:tc>
          <w:tcPr>
            <w:tcW w:w="1151" w:type="dxa"/>
            <w:vAlign w:val="center"/>
          </w:tcPr>
          <w:p w14:paraId="4E847A8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护眼灯</w:t>
            </w:r>
          </w:p>
        </w:tc>
        <w:tc>
          <w:tcPr>
            <w:tcW w:w="744" w:type="dxa"/>
            <w:vAlign w:val="center"/>
          </w:tcPr>
          <w:p w14:paraId="78D501B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150台</w:t>
            </w:r>
          </w:p>
        </w:tc>
        <w:tc>
          <w:tcPr>
            <w:tcW w:w="6186" w:type="dxa"/>
          </w:tcPr>
          <w:p w14:paraId="06E5B08A">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1、一体式LED微晶防眩面板灯，额定功率30-50W，灯尺寸长600±20mm、宽600±20mm、厚10±5mm，配合吊顶安装环境。</w:t>
            </w:r>
          </w:p>
          <w:p w14:paraId="6E3EBF0E">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2、LED教室灯15000小时或以上时间的光通维持率≥90%（15000小时或以上时间的光通量与0或1000小时的光通量之比，自我声称无效），提供国家认可的第三方检测机构依据《GB/T9468-2008 灯具分布光度测量的一般要求》或《CQC3155-2016 中小学校及幼儿园教室照明产品节能认证技术规范》出具的封面带有CMA及CNAS标志的检测报告复印件。</w:t>
            </w:r>
          </w:p>
          <w:p w14:paraId="3285C9A1">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3、LED教室灯色温（相关色温）在初始测试（0或1000小时）及15000小时或以上均满足3300-5500K。</w:t>
            </w:r>
          </w:p>
          <w:p w14:paraId="3A41991F">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4、LED教室灯显色指数在初始测试（0或1000小时）及15000小时或以上均满足Ra≥90、R9≥50，提供国家认可的第三方检测机构出具的封面带有CMA及CNAS标志的检测报告复印件。</w:t>
            </w:r>
          </w:p>
          <w:p w14:paraId="4B581D4A">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5、LED教室灯色容差（色品容差）在初始测试（0或1000小时）及15000小时或以上均满足≤6 SDCM。</w:t>
            </w:r>
          </w:p>
          <w:p w14:paraId="6788FFFD">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6、LED教室灯满足光束角（半峰光束角）在C0-C180面及C90-C270面15000小时或以上与初始测试（0或1000小时）的差值（绝对值）均≤5°，提供</w:t>
            </w:r>
            <w:r>
              <w:rPr>
                <w:rFonts w:hint="eastAsia" w:ascii="新宋体" w:hAnsi="新宋体" w:eastAsia="新宋体" w:cs="新宋体"/>
                <w:color w:val="auto"/>
                <w:sz w:val="22"/>
                <w:szCs w:val="22"/>
                <w:highlight w:val="none"/>
              </w:rPr>
              <w:t>国家认可的</w:t>
            </w:r>
            <w:r>
              <w:rPr>
                <w:rFonts w:hint="eastAsia" w:ascii="新宋体" w:hAnsi="新宋体" w:eastAsia="新宋体" w:cs="新宋体"/>
                <w:bCs/>
                <w:iCs/>
                <w:color w:val="auto"/>
                <w:kern w:val="0"/>
                <w:sz w:val="22"/>
                <w:szCs w:val="22"/>
                <w:highlight w:val="none"/>
              </w:rPr>
              <w:t>第三方检测机构依据《GB/T9468-2008 灯具分布光度测量的一般要求》或《CQC3155-2016 中小学校及幼儿园教室照明产品节能认证技术规范》出具的封面带有CMA及CNAS标志的检测报告复印件。</w:t>
            </w:r>
          </w:p>
          <w:p w14:paraId="65876D23">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7、LED教室灯人体电磁辐射测试满足20kHz-10MHz感应电流密度系数≤0.85。</w:t>
            </w:r>
          </w:p>
          <w:p w14:paraId="3B8BD362">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8、LED教室灯整灯通过国家强制性CCC认证，提供</w:t>
            </w:r>
            <w:r>
              <w:rPr>
                <w:rFonts w:hint="eastAsia" w:ascii="新宋体" w:hAnsi="新宋体" w:eastAsia="新宋体" w:cs="新宋体"/>
                <w:color w:val="auto"/>
                <w:sz w:val="22"/>
                <w:szCs w:val="22"/>
                <w:highlight w:val="none"/>
              </w:rPr>
              <w:t>国家认可的</w:t>
            </w:r>
            <w:r>
              <w:rPr>
                <w:rFonts w:hint="eastAsia" w:ascii="新宋体" w:hAnsi="新宋体" w:eastAsia="新宋体" w:cs="新宋体"/>
                <w:bCs/>
                <w:iCs/>
                <w:color w:val="auto"/>
                <w:kern w:val="0"/>
                <w:sz w:val="22"/>
                <w:szCs w:val="22"/>
                <w:highlight w:val="none"/>
              </w:rPr>
              <w:t>第三方认证机构出具的认证证书复印件及中国国家认证认可监督管理委员会查询证明。</w:t>
            </w:r>
          </w:p>
          <w:p w14:paraId="349F9D00">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9、LED教室灯电器电子产品认证结果符合《GB/T 26572-2011》及《GB/T 26125-2011》标准要求，LED教室灯频闪质量特征认证结果为无危害频闪或无频闪危害。</w:t>
            </w:r>
          </w:p>
          <w:p w14:paraId="5C2AE461">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10、LED教室灯蓝光危害等级为RG0（0类危险），且蓝光质量特征为低蓝光；LED教室灯护眼质量特征认证结果为眼舒适。</w:t>
            </w:r>
          </w:p>
          <w:p w14:paraId="16C1D159">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11、LED教室灯依据《GB 7793-2010》《GB 50034-2013》《GB/T 5700-2008》及《GB 7000.1-2015》要求通过光环境认证。</w:t>
            </w:r>
          </w:p>
        </w:tc>
        <w:tc>
          <w:tcPr>
            <w:tcW w:w="789" w:type="dxa"/>
          </w:tcPr>
          <w:p w14:paraId="1D7CF160">
            <w:pPr>
              <w:spacing w:line="460" w:lineRule="exact"/>
              <w:rPr>
                <w:rFonts w:ascii="新宋体" w:hAnsi="新宋体" w:eastAsia="新宋体" w:cs="新宋体"/>
                <w:bCs/>
                <w:iCs/>
                <w:color w:val="auto"/>
                <w:kern w:val="0"/>
                <w:sz w:val="22"/>
                <w:szCs w:val="22"/>
                <w:highlight w:val="none"/>
              </w:rPr>
            </w:pPr>
          </w:p>
        </w:tc>
      </w:tr>
      <w:tr w14:paraId="684C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30C8F627">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w:t>
            </w:r>
          </w:p>
        </w:tc>
        <w:tc>
          <w:tcPr>
            <w:tcW w:w="1151" w:type="dxa"/>
            <w:vAlign w:val="center"/>
          </w:tcPr>
          <w:p w14:paraId="631F159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门禁系统</w:t>
            </w:r>
          </w:p>
        </w:tc>
        <w:tc>
          <w:tcPr>
            <w:tcW w:w="744" w:type="dxa"/>
            <w:vAlign w:val="center"/>
          </w:tcPr>
          <w:p w14:paraId="4428189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20套</w:t>
            </w:r>
          </w:p>
        </w:tc>
        <w:tc>
          <w:tcPr>
            <w:tcW w:w="6186" w:type="dxa"/>
          </w:tcPr>
          <w:p w14:paraId="47D29154">
            <w:pPr>
              <w:spacing w:line="460" w:lineRule="exact"/>
              <w:rPr>
                <w:rFonts w:ascii="新宋体" w:hAnsi="新宋体" w:eastAsia="新宋体" w:cs="新宋体"/>
                <w:b/>
                <w:iCs/>
                <w:color w:val="auto"/>
                <w:kern w:val="0"/>
                <w:sz w:val="22"/>
                <w:szCs w:val="22"/>
                <w:highlight w:val="none"/>
              </w:rPr>
            </w:pPr>
            <w:r>
              <w:rPr>
                <w:rFonts w:hint="eastAsia" w:ascii="新宋体" w:hAnsi="新宋体" w:eastAsia="新宋体" w:cs="新宋体"/>
                <w:b/>
                <w:iCs/>
                <w:color w:val="auto"/>
                <w:kern w:val="0"/>
                <w:sz w:val="22"/>
                <w:szCs w:val="22"/>
                <w:highlight w:val="none"/>
              </w:rPr>
              <w:t>一、门禁一体机：</w:t>
            </w:r>
          </w:p>
          <w:p w14:paraId="7DBA95A9">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操作系统：嵌入式Linux操作系统；</w:t>
            </w:r>
          </w:p>
          <w:p w14:paraId="00EB75CF">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屏幕参数： 7英寸LCD触摸显示屏，屏幕比例9:16，屏幕分辨率600*1024；</w:t>
            </w:r>
          </w:p>
          <w:p w14:paraId="47EF5353">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摄像头参数：采用宽动态200万双目摄像头；</w:t>
            </w:r>
          </w:p>
          <w:p w14:paraId="0E8BC821">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认证方式：支持人脸、刷卡（Mifare卡/IC卡、手机NFC卡、CPU卡序列号、身份证卡序列号）、密码、二维码（通过摄像头识别）认证方式；可外接USB身份证模块，实现人证比对功能；</w:t>
            </w:r>
          </w:p>
          <w:p w14:paraId="73D1BE57">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人脸识别：采用深度学习算法，支持照片、视频防假；1:N人脸识别速度≤0.2s，人脸验证准确率≥99%；</w:t>
            </w:r>
          </w:p>
          <w:p w14:paraId="35F1AC76">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存储容量：本地支持50000人脸库、50000张卡，10万条事件记录；</w:t>
            </w:r>
          </w:p>
          <w:p w14:paraId="274B167D">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硬件接口：LAN*1、RS485*1、Wiegand * 1(支持双向)、USB*1、电锁*1、门磁*1、报警输入*2、报警输出*1、开门按钮*1；</w:t>
            </w:r>
          </w:p>
          <w:p w14:paraId="526D0B1A">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通信方式及网络协议：有线网络；</w:t>
            </w:r>
          </w:p>
          <w:p w14:paraId="29B423C9">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使用环境：IP65，室内外环境（室外使用必须搭配遮阳罩）；</w:t>
            </w:r>
          </w:p>
          <w:p w14:paraId="07C65FC1">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安装方式：壁挂安装（标配挂板，适配86底盒）；</w:t>
            </w:r>
          </w:p>
          <w:p w14:paraId="62C184AA">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工作电压： DC 12V/2A（电源需另配）；</w:t>
            </w:r>
          </w:p>
          <w:p w14:paraId="6994602E">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产品尺寸：239mm*116.5mm*33mm；</w:t>
            </w:r>
          </w:p>
          <w:p w14:paraId="17ADDD42">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设备重量：净重0.9kg 毛重1.6kg。</w:t>
            </w:r>
          </w:p>
          <w:p w14:paraId="721930D1">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功能介绍：</w:t>
            </w:r>
          </w:p>
          <w:p w14:paraId="7010720F">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可视对讲：支持和云平台、客户端、室内机、管理机进行可视对讲；支持配置一键呼叫室内机或管理机；支持副门口机或围墙机模式；</w:t>
            </w:r>
          </w:p>
          <w:p w14:paraId="01E5FCFC">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视频预览：支持管理中心远程视频预览，支持接入NVR设备，实现视频监控录像，编码格式H.264；</w:t>
            </w:r>
          </w:p>
          <w:p w14:paraId="2F962F9E">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口罩检测：支持口罩检测模式，可配置提醒戴口罩模式、强制戴口罩模式，关联门禁控制；</w:t>
            </w:r>
          </w:p>
          <w:p w14:paraId="65843AF0">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安全帽检测：支持工地安全帽检测功能，可配置提醒安全帽模式、强制戴安全帽模式，关联门禁控制；</w:t>
            </w:r>
          </w:p>
          <w:p w14:paraId="1BAE7B29">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识别界面可配：识别主界面的“呼叫”、“二维码”、“密码”的按键图标可分别配置是否显示；</w:t>
            </w:r>
          </w:p>
          <w:p w14:paraId="100A0FF1">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认证结果显示可配：支持认证成功界面的“照片”、“姓名”、“工号”信息可配置是否显示；</w:t>
            </w:r>
          </w:p>
          <w:p w14:paraId="1CB4BA14">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认证结果语音自定义：集成文字转语音（TTS）和语音合成技术，认证成功和认证失败的语音可以分别配置4个时间段进行自定义播报，同时认证成功的语音可叠加播报姓名；</w:t>
            </w:r>
          </w:p>
          <w:p w14:paraId="62648A03">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工作模式：支持广告模式、简洁模式主题模式；</w:t>
            </w:r>
          </w:p>
          <w:p w14:paraId="17FDB409">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外接安全模块：支持通过RS485接入门控安全模块，防止主机被恶意破坏的情况下，门锁不被打开；</w:t>
            </w:r>
          </w:p>
          <w:p w14:paraId="7F2EA9C6">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外接读卡器：支持通过RS485或韦根（W26/W34）接口外接1个读卡器，同时可实现单门反潜回功能；</w:t>
            </w:r>
          </w:p>
          <w:p w14:paraId="17672D01">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读卡器模式：支持通过RS485或韦根（W26/W34）接入门禁控制器，作为读卡器模式使用；</w:t>
            </w:r>
          </w:p>
          <w:p w14:paraId="2858E803">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门禁计划模板：支持255组计划模板管理，128个周计划，1024个假日计划；支持常开、常闭时段管理；</w:t>
            </w:r>
          </w:p>
          <w:p w14:paraId="454DFFB7">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组合认证：刷卡+密码、刷卡+人脸、人脸+密码等组合认证方式</w:t>
            </w:r>
          </w:p>
          <w:p w14:paraId="03EDC51A">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多重认证：支持多个人员认证（人脸、刷卡等）通过后才开门；</w:t>
            </w:r>
          </w:p>
          <w:p w14:paraId="40FA365D">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黑名单核验：支持中心下发黑名单人员信息，实现本地黑名单核验；</w:t>
            </w:r>
          </w:p>
          <w:p w14:paraId="5BC4905E">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报警功能：设备支持防拆报警、门被外力开起报警、胁迫卡和胁迫密码报警、黑名单报警等；</w:t>
            </w:r>
          </w:p>
          <w:p w14:paraId="224644AF">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事件上传：在线状态下将设备认证结果信息及联动抓拍照片实时上传给平台，支持断网续传功能，设备离线状态下产生事件在与平台连接后会重新上传；</w:t>
            </w:r>
          </w:p>
          <w:p w14:paraId="4182522E">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单机使用：设备可进行本地管理，支持本地注册人脸、查询、设置、管理设备参数等；</w:t>
            </w:r>
          </w:p>
          <w:p w14:paraId="37695D43">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WEB管理：支持Web端管理，可进行人员管理、参数配置、事件查询、系统维护等操作</w:t>
            </w:r>
          </w:p>
          <w:p w14:paraId="101B81F7">
            <w:pPr>
              <w:spacing w:line="460" w:lineRule="exact"/>
              <w:rPr>
                <w:rFonts w:ascii="新宋体" w:hAnsi="新宋体" w:eastAsia="新宋体" w:cs="新宋体"/>
                <w:b/>
                <w:iCs/>
                <w:color w:val="auto"/>
                <w:kern w:val="0"/>
                <w:sz w:val="22"/>
                <w:szCs w:val="22"/>
                <w:highlight w:val="none"/>
              </w:rPr>
            </w:pPr>
            <w:r>
              <w:rPr>
                <w:rFonts w:hint="eastAsia" w:ascii="新宋体" w:hAnsi="新宋体" w:eastAsia="新宋体" w:cs="新宋体"/>
                <w:b/>
                <w:iCs/>
                <w:color w:val="auto"/>
                <w:kern w:val="0"/>
                <w:sz w:val="22"/>
                <w:szCs w:val="22"/>
                <w:highlight w:val="none"/>
              </w:rPr>
              <w:t>二、单门磁力锁：</w:t>
            </w:r>
          </w:p>
          <w:p w14:paraId="203316E3">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180KG，铝合金材质</w:t>
            </w:r>
          </w:p>
          <w:p w14:paraId="09EC415E">
            <w:pPr>
              <w:spacing w:line="460" w:lineRule="exact"/>
              <w:rPr>
                <w:rFonts w:ascii="新宋体" w:hAnsi="新宋体" w:eastAsia="新宋体" w:cs="新宋体"/>
                <w:b/>
                <w:iCs/>
                <w:color w:val="auto"/>
                <w:kern w:val="0"/>
                <w:sz w:val="22"/>
                <w:szCs w:val="22"/>
                <w:highlight w:val="none"/>
              </w:rPr>
            </w:pPr>
            <w:r>
              <w:rPr>
                <w:rFonts w:hint="eastAsia" w:ascii="新宋体" w:hAnsi="新宋体" w:eastAsia="新宋体" w:cs="新宋体"/>
                <w:b/>
                <w:iCs/>
                <w:color w:val="auto"/>
                <w:kern w:val="0"/>
                <w:sz w:val="22"/>
                <w:szCs w:val="22"/>
                <w:highlight w:val="none"/>
              </w:rPr>
              <w:t>三、门禁电源：</w:t>
            </w:r>
          </w:p>
          <w:p w14:paraId="63700FC6">
            <w:pPr>
              <w:spacing w:line="460" w:lineRule="exact"/>
              <w:rPr>
                <w:rFonts w:ascii="新宋体" w:hAnsi="新宋体" w:eastAsia="新宋体" w:cs="新宋体"/>
                <w:bCs/>
                <w:iCs/>
                <w:color w:val="auto"/>
                <w:kern w:val="0"/>
                <w:sz w:val="22"/>
                <w:szCs w:val="22"/>
                <w:highlight w:val="none"/>
              </w:rPr>
            </w:pPr>
            <w:r>
              <w:rPr>
                <w:rFonts w:hint="eastAsia" w:ascii="新宋体" w:hAnsi="新宋体" w:eastAsia="新宋体" w:cs="新宋体"/>
                <w:bCs/>
                <w:iCs/>
                <w:color w:val="auto"/>
                <w:kern w:val="0"/>
                <w:sz w:val="22"/>
                <w:szCs w:val="22"/>
                <w:highlight w:val="none"/>
              </w:rPr>
              <w:t>15A/3A，高转化率≥88%，输入电压范围：100V-40V AC，电源具备过流过压保护功能。</w:t>
            </w:r>
          </w:p>
        </w:tc>
        <w:tc>
          <w:tcPr>
            <w:tcW w:w="789" w:type="dxa"/>
          </w:tcPr>
          <w:p w14:paraId="72918D86">
            <w:pPr>
              <w:spacing w:line="460" w:lineRule="exact"/>
              <w:rPr>
                <w:rFonts w:ascii="新宋体" w:hAnsi="新宋体" w:eastAsia="新宋体" w:cs="新宋体"/>
                <w:bCs/>
                <w:iCs/>
                <w:color w:val="auto"/>
                <w:kern w:val="0"/>
                <w:sz w:val="22"/>
                <w:szCs w:val="22"/>
                <w:highlight w:val="none"/>
              </w:rPr>
            </w:pPr>
          </w:p>
        </w:tc>
      </w:tr>
      <w:tr w14:paraId="7D35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68560B70">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w:t>
            </w:r>
          </w:p>
        </w:tc>
        <w:tc>
          <w:tcPr>
            <w:tcW w:w="1151" w:type="dxa"/>
            <w:vAlign w:val="center"/>
          </w:tcPr>
          <w:p w14:paraId="5922FE3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系统集成</w:t>
            </w:r>
          </w:p>
        </w:tc>
        <w:tc>
          <w:tcPr>
            <w:tcW w:w="744" w:type="dxa"/>
            <w:vAlign w:val="center"/>
          </w:tcPr>
          <w:p w14:paraId="5E56DAF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10间</w:t>
            </w:r>
          </w:p>
        </w:tc>
        <w:tc>
          <w:tcPr>
            <w:tcW w:w="6186" w:type="dxa"/>
          </w:tcPr>
          <w:p w14:paraId="64CDF0ED">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bCs w:val="0"/>
                <w:iCs w:val="0"/>
                <w:color w:val="auto"/>
                <w:kern w:val="2"/>
                <w:sz w:val="22"/>
                <w:szCs w:val="22"/>
                <w:highlight w:val="none"/>
              </w:rPr>
            </w:pPr>
            <w:r>
              <w:rPr>
                <w:rFonts w:hint="eastAsia" w:ascii="新宋体" w:hAnsi="新宋体" w:eastAsia="新宋体" w:cs="新宋体"/>
                <w:bCs w:val="0"/>
                <w:iCs w:val="0"/>
                <w:color w:val="auto"/>
                <w:kern w:val="2"/>
                <w:sz w:val="22"/>
                <w:szCs w:val="22"/>
                <w:highlight w:val="none"/>
              </w:rPr>
              <w:t>1、系统所有数据格式必须满足学校数据治理相关标准，所建系统需与学校信息门户做单点登录以及统一身份认证集成，与学校数据治理平台系统做数据对接，师生基本信息必须从学校数据治理平台获取，人脸信息从学校统一人脸库获取，数据必须整库备份在学校数据中心，软件平台运行在学校统一提供云主机内。</w:t>
            </w:r>
          </w:p>
          <w:p w14:paraId="0E18FC31">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bCs w:val="0"/>
                <w:iCs w:val="0"/>
                <w:color w:val="auto"/>
                <w:kern w:val="2"/>
                <w:sz w:val="22"/>
                <w:szCs w:val="22"/>
                <w:highlight w:val="none"/>
              </w:rPr>
              <w:t>开放系统数据，包括但并不限于免费提供软件API接口（Web Service或其他数据服务接口）和SQL查询服务，支持和第三方数据对接并提供所需数据读取接口，方便用户用于获取系统中的统计分析结果、数据报表。</w:t>
            </w:r>
          </w:p>
          <w:p w14:paraId="5A2FEFC4">
            <w:pPr>
              <w:pStyle w:val="343"/>
              <w:widowControl w:val="0"/>
              <w:tabs>
                <w:tab w:val="left" w:pos="0"/>
              </w:tabs>
              <w:spacing w:before="0" w:beforeAutospacing="0" w:after="0" w:afterAutospacing="0" w:line="460" w:lineRule="exact"/>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bCs w:val="0"/>
                <w:iCs w:val="0"/>
                <w:color w:val="auto"/>
                <w:kern w:val="2"/>
                <w:sz w:val="22"/>
                <w:szCs w:val="22"/>
                <w:highlight w:val="none"/>
              </w:rPr>
              <w:t>项目验收严格按照温州医科大学信息系统验收规范要求进行验收，验收合格之后，要求交付除软件之外还应交付相关技术文档，包括但并不限于软件需求说明书、详细设计文档（含设备、系统和数据库最高权限账号和密码、数据库表结构说明、API接口说明等）、用户使用说明书等。</w:t>
            </w:r>
          </w:p>
          <w:p w14:paraId="5562543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4、教室授课画面可通过多屏研讨互动授课系统传输，也可以通过HDMI分配器广播。提供并安装60个小屏固定支架，小屏支架采用加厚铝合金伸缩支架，伸缩距离1~2米，承重65KG，固定在天花板。</w:t>
            </w:r>
          </w:p>
          <w:p w14:paraId="0E4C081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5、包含所需的综合布线系统，软硬件的对接，集成所需的一切线材、辅材等，项目为交钥匙工程。</w:t>
            </w:r>
          </w:p>
        </w:tc>
        <w:tc>
          <w:tcPr>
            <w:tcW w:w="789" w:type="dxa"/>
          </w:tcPr>
          <w:p w14:paraId="6D2DCC06">
            <w:pPr>
              <w:spacing w:line="460" w:lineRule="exact"/>
              <w:rPr>
                <w:rFonts w:ascii="新宋体" w:hAnsi="新宋体" w:eastAsia="新宋体" w:cs="新宋体"/>
                <w:color w:val="auto"/>
                <w:sz w:val="22"/>
                <w:szCs w:val="22"/>
                <w:highlight w:val="none"/>
              </w:rPr>
            </w:pPr>
          </w:p>
        </w:tc>
      </w:tr>
    </w:tbl>
    <w:p w14:paraId="54993084">
      <w:pPr>
        <w:spacing w:line="460" w:lineRule="exact"/>
        <w:ind w:firstLine="541" w:firstLineChars="245"/>
        <w:rPr>
          <w:rFonts w:ascii="新宋体" w:hAnsi="新宋体" w:eastAsia="新宋体" w:cs="新宋体"/>
          <w:b/>
          <w:color w:val="auto"/>
          <w:sz w:val="22"/>
          <w:szCs w:val="22"/>
          <w:highlight w:val="none"/>
          <w:lang w:val="zh-CN"/>
        </w:rPr>
      </w:pPr>
      <w:r>
        <w:rPr>
          <w:rFonts w:hint="eastAsia" w:ascii="宋体" w:hAnsi="宋体" w:cs="宋体"/>
          <w:b/>
          <w:bCs/>
          <w:color w:val="auto"/>
          <w:sz w:val="22"/>
          <w:szCs w:val="22"/>
          <w:highlight w:val="none"/>
        </w:rPr>
        <w:t>注：</w:t>
      </w:r>
      <w:r>
        <w:rPr>
          <w:rFonts w:hint="eastAsia" w:ascii="新宋体" w:hAnsi="新宋体" w:eastAsia="新宋体" w:cs="新宋体"/>
          <w:color w:val="auto"/>
          <w:sz w:val="22"/>
          <w:szCs w:val="22"/>
          <w:highlight w:val="none"/>
        </w:rPr>
        <w:t>有设备如无特别注明的均为制造厂出厂的标准配置。</w:t>
      </w:r>
      <w:r>
        <w:rPr>
          <w:rFonts w:hint="eastAsia" w:ascii="新宋体" w:hAnsi="新宋体" w:eastAsia="新宋体" w:cs="新宋体"/>
          <w:b/>
          <w:color w:val="auto"/>
          <w:sz w:val="22"/>
          <w:szCs w:val="22"/>
          <w:highlight w:val="none"/>
        </w:rPr>
        <w:t>投标人</w:t>
      </w:r>
      <w:r>
        <w:rPr>
          <w:rFonts w:hint="eastAsia" w:ascii="新宋体" w:hAnsi="新宋体" w:eastAsia="新宋体" w:cs="新宋体"/>
          <w:b/>
          <w:color w:val="auto"/>
          <w:sz w:val="22"/>
          <w:szCs w:val="22"/>
          <w:highlight w:val="none"/>
          <w:lang w:val="zh-CN"/>
        </w:rPr>
        <w:t>可根据以上所列设备的技术配置及技术性能要求</w:t>
      </w:r>
      <w:r>
        <w:rPr>
          <w:rFonts w:hint="eastAsia" w:ascii="新宋体" w:hAnsi="新宋体" w:eastAsia="新宋体" w:cs="新宋体"/>
          <w:b/>
          <w:color w:val="auto"/>
          <w:sz w:val="22"/>
          <w:szCs w:val="22"/>
          <w:highlight w:val="none"/>
        </w:rPr>
        <w:t>作为</w:t>
      </w:r>
      <w:r>
        <w:rPr>
          <w:rFonts w:hint="eastAsia" w:ascii="新宋体" w:hAnsi="新宋体" w:eastAsia="新宋体" w:cs="新宋体"/>
          <w:b/>
          <w:color w:val="auto"/>
          <w:sz w:val="22"/>
          <w:szCs w:val="22"/>
          <w:highlight w:val="none"/>
          <w:lang w:val="zh-CN"/>
        </w:rPr>
        <w:t>参考选用产品，但所选产品的技术配置及技术性能应相当于或高于</w:t>
      </w:r>
      <w:r>
        <w:rPr>
          <w:rFonts w:hint="eastAsia" w:ascii="新宋体" w:hAnsi="新宋体" w:eastAsia="新宋体" w:cs="新宋体"/>
          <w:b/>
          <w:color w:val="auto"/>
          <w:sz w:val="22"/>
          <w:szCs w:val="22"/>
          <w:highlight w:val="none"/>
        </w:rPr>
        <w:t>招标</w:t>
      </w:r>
      <w:r>
        <w:rPr>
          <w:rFonts w:hint="eastAsia" w:ascii="新宋体" w:hAnsi="新宋体" w:eastAsia="新宋体" w:cs="新宋体"/>
          <w:b/>
          <w:color w:val="auto"/>
          <w:sz w:val="22"/>
          <w:szCs w:val="22"/>
          <w:highlight w:val="none"/>
          <w:lang w:val="zh-CN"/>
        </w:rPr>
        <w:t>文件要求，并满足采购需求，否则将可能作出对</w:t>
      </w:r>
      <w:r>
        <w:rPr>
          <w:rFonts w:hint="eastAsia" w:ascii="新宋体" w:hAnsi="新宋体" w:eastAsia="新宋体" w:cs="新宋体"/>
          <w:b/>
          <w:color w:val="auto"/>
          <w:sz w:val="22"/>
          <w:szCs w:val="22"/>
          <w:highlight w:val="none"/>
        </w:rPr>
        <w:t>投标人</w:t>
      </w:r>
      <w:r>
        <w:rPr>
          <w:rFonts w:hint="eastAsia" w:ascii="新宋体" w:hAnsi="新宋体" w:eastAsia="新宋体" w:cs="新宋体"/>
          <w:b/>
          <w:color w:val="auto"/>
          <w:sz w:val="22"/>
          <w:szCs w:val="22"/>
          <w:highlight w:val="none"/>
          <w:lang w:val="zh-CN"/>
        </w:rPr>
        <w:t>不利的评定。</w:t>
      </w:r>
    </w:p>
    <w:p w14:paraId="313AC304">
      <w:pPr>
        <w:spacing w:line="460" w:lineRule="exact"/>
        <w:ind w:firstLine="541" w:firstLineChars="245"/>
        <w:outlineLvl w:val="1"/>
        <w:rPr>
          <w:rFonts w:ascii="宋体" w:hAnsi="宋体" w:cs="宋体"/>
          <w:b/>
          <w:bCs/>
          <w:color w:val="auto"/>
          <w:sz w:val="22"/>
          <w:szCs w:val="22"/>
          <w:highlight w:val="none"/>
        </w:rPr>
      </w:pPr>
      <w:bookmarkStart w:id="311" w:name="_Toc31903"/>
      <w:bookmarkStart w:id="312" w:name="_Toc21708"/>
      <w:bookmarkStart w:id="313" w:name="_Toc25918"/>
      <w:bookmarkStart w:id="314" w:name="_Toc10170"/>
      <w:bookmarkStart w:id="315" w:name="_Toc30041"/>
      <w:r>
        <w:rPr>
          <w:rFonts w:hint="eastAsia" w:ascii="宋体" w:hAnsi="宋体" w:cs="宋体"/>
          <w:b/>
          <w:bCs/>
          <w:color w:val="auto"/>
          <w:sz w:val="22"/>
          <w:szCs w:val="22"/>
          <w:highlight w:val="none"/>
        </w:rPr>
        <w:t>四、商务要求（技术参数里另有注明的以技术参数为准）</w:t>
      </w:r>
      <w:bookmarkEnd w:id="311"/>
      <w:bookmarkEnd w:id="312"/>
      <w:bookmarkEnd w:id="313"/>
      <w:bookmarkEnd w:id="314"/>
      <w:bookmarkEnd w:id="315"/>
    </w:p>
    <w:p w14:paraId="64609B4A">
      <w:pPr>
        <w:spacing w:line="460" w:lineRule="exact"/>
        <w:ind w:firstLine="539" w:firstLineChars="245"/>
        <w:rPr>
          <w:rFonts w:ascii="新宋体" w:hAnsi="新宋体" w:eastAsia="新宋体" w:cs="新宋体"/>
          <w:color w:val="auto"/>
          <w:sz w:val="22"/>
          <w:szCs w:val="22"/>
          <w:highlight w:val="none"/>
        </w:rPr>
      </w:pPr>
      <w:bookmarkStart w:id="316" w:name="_Toc27348"/>
      <w:r>
        <w:rPr>
          <w:rFonts w:hint="eastAsia" w:ascii="新宋体" w:hAnsi="新宋体" w:eastAsia="新宋体" w:cs="新宋体"/>
          <w:color w:val="auto"/>
          <w:sz w:val="22"/>
          <w:szCs w:val="22"/>
          <w:highlight w:val="none"/>
        </w:rPr>
        <w:t>1、设备交货时间地点</w:t>
      </w:r>
      <w:bookmarkEnd w:id="316"/>
    </w:p>
    <w:p w14:paraId="32B3B7B0">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1.1设备交货地点：</w:t>
      </w:r>
      <w:r>
        <w:rPr>
          <w:rFonts w:hint="eastAsia" w:ascii="宋体" w:hAnsi="宋体" w:cs="宋体"/>
          <w:color w:val="auto"/>
          <w:szCs w:val="22"/>
          <w:highlight w:val="none"/>
        </w:rPr>
        <w:t>采购人指定地点</w:t>
      </w:r>
    </w:p>
    <w:p w14:paraId="024E2AB4">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1.2设备交货时间：在合同签订后30天内交货并完成安装调试，交使用方验收</w:t>
      </w:r>
      <w:r>
        <w:rPr>
          <w:rFonts w:ascii="宋体" w:hAnsi="宋体" w:cs="宋体"/>
          <w:color w:val="auto"/>
          <w:szCs w:val="22"/>
          <w:highlight w:val="none"/>
        </w:rPr>
        <w:t>。</w:t>
      </w:r>
    </w:p>
    <w:p w14:paraId="3EB4D3BA">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1.3实验装置若有易耗品，请在投标文件中指明，另要求成交厂商供货时配备齐全，采购人第一次使用时无需另配易耗品即可使用。</w:t>
      </w:r>
    </w:p>
    <w:p w14:paraId="5B5AF339">
      <w:pPr>
        <w:spacing w:line="460" w:lineRule="exact"/>
        <w:ind w:firstLine="539" w:firstLineChars="245"/>
        <w:rPr>
          <w:rFonts w:ascii="新宋体" w:hAnsi="新宋体" w:eastAsia="新宋体" w:cs="新宋体"/>
          <w:color w:val="auto"/>
          <w:sz w:val="22"/>
          <w:szCs w:val="22"/>
          <w:highlight w:val="none"/>
        </w:rPr>
      </w:pPr>
      <w:bookmarkStart w:id="317" w:name="_Toc10689"/>
      <w:r>
        <w:rPr>
          <w:rFonts w:hint="eastAsia" w:ascii="新宋体" w:hAnsi="新宋体" w:eastAsia="新宋体" w:cs="新宋体"/>
          <w:color w:val="auto"/>
          <w:sz w:val="22"/>
          <w:szCs w:val="22"/>
          <w:highlight w:val="none"/>
        </w:rPr>
        <w:t>2、技术文件</w:t>
      </w:r>
      <w:bookmarkEnd w:id="317"/>
    </w:p>
    <w:p w14:paraId="793E4A16">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设备交货同时提供下列技术资料：</w:t>
      </w:r>
    </w:p>
    <w:p w14:paraId="7AA8F901">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 随机的易损件、备品备件及特殊专用工具及清单。（如有）</w:t>
      </w:r>
    </w:p>
    <w:p w14:paraId="417962E9">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 设备生产厂家的产品检测证书、出厂检验报告、合格证书、产品说明书、相关图纸。</w:t>
      </w:r>
    </w:p>
    <w:p w14:paraId="743CB881">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 设备随机提供的装箱清单（每箱一单）。</w:t>
      </w:r>
    </w:p>
    <w:p w14:paraId="391625BC">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 电气原理图。</w:t>
      </w:r>
    </w:p>
    <w:p w14:paraId="1206BACB">
      <w:pPr>
        <w:spacing w:line="460" w:lineRule="exact"/>
        <w:ind w:firstLine="539" w:firstLineChars="245"/>
        <w:rPr>
          <w:rFonts w:ascii="新宋体" w:hAnsi="新宋体" w:eastAsia="新宋体" w:cs="新宋体"/>
          <w:color w:val="auto"/>
          <w:sz w:val="22"/>
          <w:szCs w:val="22"/>
          <w:highlight w:val="none"/>
        </w:rPr>
      </w:pPr>
      <w:bookmarkStart w:id="318" w:name="_Toc31899"/>
      <w:r>
        <w:rPr>
          <w:rFonts w:hint="eastAsia" w:ascii="新宋体" w:hAnsi="新宋体" w:eastAsia="新宋体" w:cs="新宋体"/>
          <w:color w:val="auto"/>
          <w:sz w:val="22"/>
          <w:szCs w:val="22"/>
          <w:highlight w:val="none"/>
        </w:rPr>
        <w:t>3、设备安装、调试和验收</w:t>
      </w:r>
      <w:bookmarkEnd w:id="318"/>
    </w:p>
    <w:p w14:paraId="3DD5FBA4">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为确保安装调试工作安全有序的进行，要求成交供应商在货物运抵安装现场前3天内，向采购人提供一份详细的安装、调试验收计划和所采用的标准及方法，现场负责人、工程师和参与安装人员的名单，此计划和采用的标准一旦被采购人确认就不得随意更改，否则成交供应商应承担相应责任。</w:t>
      </w:r>
    </w:p>
    <w:p w14:paraId="214EB351">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3.2成交供应商应承担设备安装所需电气材料等，安装必须符合有关标准和规范。安装过程中采购人将对设备的安装质量进行监督。</w:t>
      </w:r>
    </w:p>
    <w:p w14:paraId="4075E7BB">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设备安装就位、校准后，成交供应商应按事先被采购人认可的调试验收计划对设备进行调试，并对设备所标注的各项技术指标进行测试，测试报告将在设备验收完毕后提交给采购人，但成交供应商应对测试的各种数据的真实性负责。采购人可指定第三方法定检定机构，对仪器进行检定，由此产生的费用由成交供应商支付。</w:t>
      </w:r>
    </w:p>
    <w:p w14:paraId="43C1AA4E">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3.4设备经过试运行考核无故障（或存在的故障和隐患均已全部排除或解决），并经有关部门检验合格，所有的技术资料和图纸已向采购人移交并被接受，验收视为合格，双方签署验收合格证书。 若因成交供应商产品质量或安装技术问题导致验收不合格，，成交供应商应及时予以解决，直至验收合格，期间发生的一切费用由成交供应商承担，同时采购人保留向成交供应商索赔的权利。</w:t>
      </w:r>
    </w:p>
    <w:p w14:paraId="5D7CCB48">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3.5 成交供应商在设备到货、安装、调试和验收期间应接受采购人的协调和管理，成交供应商应采取严格的安全措施，承担由于自身原因所造成的事故责任及其发生的一切费用。</w:t>
      </w:r>
    </w:p>
    <w:p w14:paraId="436B4FB0">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3.6验收标准：</w:t>
      </w:r>
    </w:p>
    <w:p w14:paraId="4D11CEF5">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（1）验收应在采购人和成交供应商双方共同参加下进行。</w:t>
      </w:r>
    </w:p>
    <w:p w14:paraId="343A5980">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验收按国家有关的规定、规范进行。验收时如发现所交付的货物有短缺、次品、损坏等情形者，采购人应做出详尽的现场记录，或由采购人和成交供应商双方签署备忘录。此现场记录或备忘录可用作补充、缺失和更换损坏部件的有效证据。由此产生的有关费用由成交供应商承担。</w:t>
      </w:r>
    </w:p>
    <w:p w14:paraId="7421EA79">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（3）如果合同货物运输过程中因事故造成货物短缺、损坏，成交供应商应及时安排换货，以保证合同货物成功完整交付。换货的相关费用由成交供应商承担。</w:t>
      </w:r>
    </w:p>
    <w:p w14:paraId="5D3AD316">
      <w:pPr>
        <w:spacing w:line="460" w:lineRule="exact"/>
        <w:ind w:firstLine="539" w:firstLineChars="245"/>
        <w:rPr>
          <w:rFonts w:ascii="新宋体" w:hAnsi="新宋体" w:eastAsia="新宋体" w:cs="新宋体"/>
          <w:color w:val="auto"/>
          <w:sz w:val="22"/>
          <w:szCs w:val="22"/>
          <w:highlight w:val="none"/>
        </w:rPr>
      </w:pPr>
      <w:bookmarkStart w:id="319" w:name="_Toc6427"/>
      <w:r>
        <w:rPr>
          <w:rFonts w:hint="eastAsia" w:ascii="新宋体" w:hAnsi="新宋体" w:eastAsia="新宋体" w:cs="新宋体"/>
          <w:color w:val="auto"/>
          <w:sz w:val="22"/>
          <w:szCs w:val="22"/>
          <w:highlight w:val="none"/>
        </w:rPr>
        <w:t>4、人员培训</w:t>
      </w:r>
      <w:bookmarkEnd w:id="319"/>
    </w:p>
    <w:p w14:paraId="6B52CD0F">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设备安装、调试结束后，成交供应商应立即派有经验的工程师到现场对采购人人员进行操作和日常管理与维护的培训（成交供应商承担），并确保采购人参与培训的人员能独立、熟练地进行操作和进行日常维护保养。成交供应商在投标文件中应提出具体的培训计划（如：培训师资、教材、课程、人数、地点、日程等）。成交供应商不得以任何理由追加培训费用及降低培训质量。</w:t>
      </w:r>
    </w:p>
    <w:p w14:paraId="0772A537">
      <w:pPr>
        <w:spacing w:line="460" w:lineRule="exact"/>
        <w:ind w:firstLine="539" w:firstLineChars="245"/>
        <w:rPr>
          <w:rFonts w:ascii="新宋体" w:hAnsi="新宋体" w:eastAsia="新宋体" w:cs="新宋体"/>
          <w:color w:val="auto"/>
          <w:sz w:val="22"/>
          <w:szCs w:val="22"/>
          <w:highlight w:val="none"/>
        </w:rPr>
      </w:pPr>
      <w:bookmarkStart w:id="320" w:name="_Toc30878"/>
      <w:r>
        <w:rPr>
          <w:rFonts w:hint="eastAsia" w:ascii="新宋体" w:hAnsi="新宋体" w:eastAsia="新宋体" w:cs="新宋体"/>
          <w:color w:val="auto"/>
          <w:sz w:val="22"/>
          <w:szCs w:val="22"/>
          <w:highlight w:val="none"/>
        </w:rPr>
        <w:t>5、质量保证和售后服务</w:t>
      </w:r>
      <w:bookmarkEnd w:id="320"/>
    </w:p>
    <w:p w14:paraId="4562DDE5">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5.1</w:t>
      </w:r>
      <w:r>
        <w:rPr>
          <w:rFonts w:hint="eastAsia" w:ascii="新宋体" w:hAnsi="新宋体" w:eastAsia="新宋体" w:cs="新宋体"/>
          <w:color w:val="auto"/>
          <w:sz w:val="22"/>
          <w:szCs w:val="22"/>
          <w:highlight w:val="none"/>
        </w:rPr>
        <w:t>所有软、硬件验收合格后提供3年以上免费维保，软件3年内免费升级；零配件在该设备停产后仍需保证至少2年的供应。</w:t>
      </w:r>
      <w:r>
        <w:rPr>
          <w:rFonts w:hint="eastAsia" w:ascii="新宋体" w:hAnsi="新宋体" w:eastAsia="新宋体" w:cs="新宋体"/>
          <w:b/>
          <w:bCs/>
          <w:color w:val="auto"/>
          <w:sz w:val="22"/>
          <w:szCs w:val="22"/>
          <w:highlight w:val="none"/>
        </w:rPr>
        <w:t>货物另有超过质保期规定或招标文件另有规定的按就高原则执行</w:t>
      </w:r>
      <w:r>
        <w:rPr>
          <w:rFonts w:hint="eastAsia" w:ascii="新宋体" w:hAnsi="新宋体" w:eastAsia="新宋体" w:cs="新宋体"/>
          <w:color w:val="auto"/>
          <w:sz w:val="22"/>
          <w:szCs w:val="22"/>
          <w:highlight w:val="none"/>
        </w:rPr>
        <w:t>线上线下服务响应时间不超过0.5小时，到达现场时间不超过2小时（非本地区企业请提供详细的可行性方案予以论证），4小时内解决问题或者提供替代方案，要求时限内不能修复的问题，无偿提供新备品、新备件或新备机</w:t>
      </w:r>
      <w:r>
        <w:rPr>
          <w:rFonts w:hint="eastAsia" w:ascii="新宋体" w:hAnsi="新宋体" w:eastAsia="新宋体" w:cs="新宋体"/>
          <w:b/>
          <w:bCs/>
          <w:color w:val="auto"/>
          <w:sz w:val="22"/>
          <w:szCs w:val="22"/>
          <w:highlight w:val="none"/>
        </w:rPr>
        <w:t>。</w:t>
      </w:r>
    </w:p>
    <w:p w14:paraId="4498ACB8">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14:paraId="6817D147">
      <w:pPr>
        <w:spacing w:line="42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5.3成交供应商所提供的货物应保证是企业原厂生产的产品而不是其他地方生产的、全新的、未使用过的，是原包装未拆封的，是用一流的工艺和最佳材料制造而成的，并完全符合合同规定的质量、规格和性能要求。成交供应商应保证所提供的货物经正确安装、正常运转和保养，在其使用寿命期内应具有使采购人满意的性能，并且确保一次性通过各项检验和测试。在货物质量保证期内，成交供应商应对由于设计、工艺、材料和配套件的缺陷所产生的任何不足或故障负责。</w:t>
      </w:r>
    </w:p>
    <w:p w14:paraId="43547736">
      <w:pPr>
        <w:spacing w:line="42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5.4售后服务标准要求</w:t>
      </w:r>
    </w:p>
    <w:p w14:paraId="5F495BA0">
      <w:pPr>
        <w:spacing w:line="42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成交供应商保证本合同中所供应的商品是最新生产的符合国家技术规格和质量标准的出厂原装合格产品。如发生所供商品与合同不符，采购人有权拒收或退货，由此产生的一切责任和后果由成交供应商承担。</w:t>
      </w:r>
    </w:p>
    <w:p w14:paraId="6324DDCE">
      <w:pPr>
        <w:spacing w:line="42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成交供应商提供的货物在质保期内因货物本身的质量问题发生故障，成交供应商应负责及时免费更换，对于因此故障或因未能及时更换而产生的损失，均由成交供应商负责并赔偿。对达不到技术要求者，根据实际情况，采购人可选择以下方式处理：</w:t>
      </w:r>
    </w:p>
    <w:p w14:paraId="3AB7FD1B">
      <w:pPr>
        <w:spacing w:line="420" w:lineRule="exact"/>
        <w:ind w:firstLine="539" w:firstLineChars="245"/>
        <w:rPr>
          <w:rFonts w:ascii="新宋体" w:hAnsi="新宋体" w:eastAsia="新宋体" w:cs="新宋体"/>
          <w:color w:val="auto"/>
          <w:sz w:val="22"/>
          <w:szCs w:val="22"/>
          <w:highlight w:val="none"/>
        </w:rPr>
      </w:pPr>
      <w:r>
        <w:rPr>
          <w:rFonts w:ascii="Calibri" w:hAnsi="Calibri" w:eastAsia="新宋体" w:cs="Calibri"/>
          <w:color w:val="auto"/>
          <w:sz w:val="22"/>
          <w:szCs w:val="22"/>
          <w:highlight w:val="none"/>
        </w:rPr>
        <w:t>①</w:t>
      </w:r>
      <w:r>
        <w:rPr>
          <w:rFonts w:hint="eastAsia" w:ascii="新宋体" w:hAnsi="新宋体" w:eastAsia="新宋体" w:cs="新宋体"/>
          <w:color w:val="auto"/>
          <w:sz w:val="22"/>
          <w:szCs w:val="22"/>
          <w:highlight w:val="none"/>
        </w:rPr>
        <w:t>更换：由成交供应商承担所发生的全部费用。</w:t>
      </w:r>
    </w:p>
    <w:p w14:paraId="5607CFE6">
      <w:pPr>
        <w:spacing w:line="420" w:lineRule="exact"/>
        <w:ind w:firstLine="539" w:firstLineChars="245"/>
        <w:rPr>
          <w:rFonts w:ascii="新宋体" w:hAnsi="新宋体" w:eastAsia="新宋体" w:cs="新宋体"/>
          <w:color w:val="auto"/>
          <w:sz w:val="22"/>
          <w:szCs w:val="22"/>
          <w:highlight w:val="none"/>
        </w:rPr>
      </w:pPr>
      <w:r>
        <w:rPr>
          <w:rFonts w:ascii="Calibri" w:hAnsi="Calibri" w:eastAsia="新宋体" w:cs="Calibri"/>
          <w:color w:val="auto"/>
          <w:sz w:val="22"/>
          <w:szCs w:val="22"/>
          <w:highlight w:val="none"/>
        </w:rPr>
        <w:t>②</w:t>
      </w:r>
      <w:r>
        <w:rPr>
          <w:rFonts w:hint="eastAsia" w:ascii="新宋体" w:hAnsi="新宋体" w:eastAsia="新宋体" w:cs="新宋体"/>
          <w:color w:val="auto"/>
          <w:sz w:val="22"/>
          <w:szCs w:val="22"/>
          <w:highlight w:val="none"/>
        </w:rPr>
        <w:t>贬值处理：由双方合议定价。</w:t>
      </w:r>
    </w:p>
    <w:p w14:paraId="36FCCE71">
      <w:pPr>
        <w:spacing w:line="420" w:lineRule="exact"/>
        <w:ind w:firstLine="539" w:firstLineChars="245"/>
        <w:rPr>
          <w:rFonts w:ascii="新宋体" w:hAnsi="新宋体" w:eastAsia="新宋体" w:cs="新宋体"/>
          <w:color w:val="auto"/>
          <w:sz w:val="22"/>
          <w:szCs w:val="22"/>
          <w:highlight w:val="none"/>
        </w:rPr>
      </w:pPr>
      <w:r>
        <w:rPr>
          <w:rFonts w:ascii="Calibri" w:hAnsi="Calibri" w:eastAsia="新宋体" w:cs="Calibri"/>
          <w:color w:val="auto"/>
          <w:sz w:val="22"/>
          <w:szCs w:val="22"/>
          <w:highlight w:val="none"/>
        </w:rPr>
        <w:t>③</w:t>
      </w:r>
      <w:r>
        <w:rPr>
          <w:rFonts w:hint="eastAsia" w:ascii="新宋体" w:hAnsi="新宋体" w:eastAsia="新宋体" w:cs="新宋体"/>
          <w:color w:val="auto"/>
          <w:sz w:val="22"/>
          <w:szCs w:val="22"/>
          <w:highlight w:val="none"/>
        </w:rPr>
        <w:t>退货处理：成交供应商应退还采购人支付的合同款，同时应承担处理该货物的全部费用（运输、保险、检验、货款利息及银行手续费等）。</w:t>
      </w:r>
    </w:p>
    <w:p w14:paraId="1496A2CB">
      <w:pPr>
        <w:spacing w:line="42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（3）在质保期内，成交供应商应对货物出现的质量及安全问题负责处理解决并承担一切费用。</w:t>
      </w:r>
    </w:p>
    <w:p w14:paraId="5022AE22">
      <w:pPr>
        <w:tabs>
          <w:tab w:val="left" w:pos="360"/>
        </w:tabs>
        <w:spacing w:line="420" w:lineRule="exact"/>
        <w:ind w:firstLine="552" w:firstLineChars="250"/>
        <w:rPr>
          <w:rFonts w:ascii="新宋体" w:hAnsi="新宋体" w:eastAsia="新宋体" w:cs="新宋体"/>
          <w:b/>
          <w:color w:val="auto"/>
          <w:sz w:val="22"/>
          <w:szCs w:val="22"/>
          <w:highlight w:val="none"/>
        </w:rPr>
      </w:pPr>
      <w:bookmarkStart w:id="321" w:name="_Toc7807"/>
      <w:r>
        <w:rPr>
          <w:rFonts w:hint="eastAsia" w:ascii="新宋体" w:hAnsi="新宋体" w:eastAsia="新宋体" w:cs="新宋体"/>
          <w:b/>
          <w:color w:val="auto"/>
          <w:sz w:val="22"/>
          <w:szCs w:val="22"/>
          <w:highlight w:val="none"/>
        </w:rPr>
        <w:t>7、付款方式：</w:t>
      </w:r>
      <w:bookmarkEnd w:id="321"/>
    </w:p>
    <w:p w14:paraId="77BC756F">
      <w:pPr>
        <w:spacing w:line="42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（1）普通付款：货到安装验收合格后，自收到专用发票后15个工作日内，甲方向乙方支付合同总价的100%。</w:t>
      </w:r>
    </w:p>
    <w:p w14:paraId="77A851D5">
      <w:pPr>
        <w:spacing w:line="42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中小企业付款：合同签订后5个工作日内，成交供应商向采购人缴纳合同总价的1%作为履约保证金。预付款金额为合同款金额的40%，在合同签订后、验收前，成交供应商须向采购人提交与预付款等额的“预付款保函”。采购人在收到“预付款保函”并具备实施条件后15个工作日内支付预付款；其余合同款在货到安装验收合格后，自收到专用发票后15个工作日内一次性付清。成交供应商向采购人开具履约保证金收据后15个工作日内，采购人无息退还履约保证金。成交供应商声明不需要预付款的，付款方式等同于普通付款。</w:t>
      </w:r>
    </w:p>
    <w:p w14:paraId="6427765C">
      <w:pPr>
        <w:pStyle w:val="24"/>
        <w:ind w:left="562" w:hanging="562"/>
        <w:rPr>
          <w:rFonts w:ascii="宋体" w:hAnsi="宋体"/>
          <w:b/>
          <w:color w:val="auto"/>
          <w:sz w:val="28"/>
          <w:szCs w:val="28"/>
          <w:highlight w:val="none"/>
        </w:rPr>
      </w:pPr>
    </w:p>
    <w:p w14:paraId="07BFF254">
      <w:pPr>
        <w:pStyle w:val="24"/>
        <w:ind w:left="440" w:hanging="440"/>
        <w:rPr>
          <w:color w:val="auto"/>
          <w:sz w:val="22"/>
          <w:szCs w:val="22"/>
          <w:highlight w:val="none"/>
        </w:rPr>
      </w:pPr>
      <w:r>
        <w:rPr>
          <w:rFonts w:ascii="宋体" w:hAnsi="宋体" w:cs="宋体"/>
          <w:color w:val="auto"/>
          <w:sz w:val="22"/>
          <w:szCs w:val="22"/>
          <w:highlight w:val="none"/>
        </w:rPr>
        <w:t xml:space="preserve">  </w:t>
      </w:r>
    </w:p>
    <w:p w14:paraId="71AC64B9">
      <w:pPr>
        <w:pStyle w:val="22"/>
        <w:ind w:firstLine="221"/>
        <w:rPr>
          <w:rFonts w:ascii="宋体" w:hAnsi="宋体" w:cs="宋体"/>
          <w:b/>
          <w:bCs/>
          <w:color w:val="auto"/>
          <w:sz w:val="22"/>
          <w:szCs w:val="22"/>
          <w:highlight w:val="none"/>
        </w:rPr>
      </w:pPr>
    </w:p>
    <w:p w14:paraId="3858BF2B">
      <w:pPr>
        <w:pStyle w:val="23"/>
        <w:rPr>
          <w:rFonts w:ascii="宋体" w:hAnsi="宋体" w:cs="宋体"/>
          <w:b/>
          <w:bCs/>
          <w:color w:val="auto"/>
          <w:sz w:val="22"/>
          <w:szCs w:val="22"/>
          <w:highlight w:val="none"/>
        </w:rPr>
      </w:pPr>
    </w:p>
    <w:p w14:paraId="3DFAF185">
      <w:pPr>
        <w:rPr>
          <w:color w:val="auto"/>
          <w:highlight w:val="none"/>
        </w:rPr>
      </w:pPr>
    </w:p>
    <w:p w14:paraId="7F8AD472">
      <w:pPr>
        <w:spacing w:line="500" w:lineRule="exact"/>
        <w:ind w:firstLine="562" w:firstLineChars="200"/>
        <w:rPr>
          <w:rFonts w:ascii="宋体" w:hAnsi="宋体"/>
          <w:b/>
          <w:color w:val="auto"/>
          <w:sz w:val="28"/>
          <w:szCs w:val="28"/>
          <w:highlight w:val="none"/>
        </w:rPr>
      </w:pPr>
    </w:p>
    <w:p w14:paraId="7EA7B0FC">
      <w:pPr>
        <w:pStyle w:val="24"/>
        <w:ind w:left="562" w:hanging="562"/>
        <w:rPr>
          <w:rFonts w:ascii="宋体" w:hAnsi="宋体"/>
          <w:b/>
          <w:color w:val="auto"/>
          <w:sz w:val="28"/>
          <w:szCs w:val="28"/>
          <w:highlight w:val="none"/>
        </w:rPr>
      </w:pPr>
    </w:p>
    <w:p w14:paraId="66D9FE0E">
      <w:pPr>
        <w:rPr>
          <w:rFonts w:ascii="宋体" w:hAnsi="宋体"/>
          <w:b/>
          <w:color w:val="auto"/>
          <w:sz w:val="28"/>
          <w:szCs w:val="28"/>
          <w:highlight w:val="none"/>
        </w:rPr>
      </w:pPr>
    </w:p>
    <w:p w14:paraId="3B941186">
      <w:pPr>
        <w:jc w:val="center"/>
        <w:outlineLvl w:val="0"/>
        <w:rPr>
          <w:rStyle w:val="65"/>
          <w:rFonts w:ascii="宋体" w:hAnsi="宋体" w:eastAsia="宋体" w:cs="宋体"/>
          <w:color w:val="auto"/>
          <w:highlight w:val="none"/>
        </w:rPr>
      </w:pPr>
      <w:r>
        <w:rPr>
          <w:rStyle w:val="65"/>
          <w:rFonts w:hint="eastAsia" w:ascii="宋体" w:hAnsi="宋体" w:eastAsia="宋体" w:cs="宋体"/>
          <w:color w:val="auto"/>
          <w:highlight w:val="none"/>
        </w:rPr>
        <w:br w:type="page"/>
      </w:r>
      <w:bookmarkStart w:id="322" w:name="_Toc11011"/>
      <w:bookmarkStart w:id="323" w:name="_Toc24038"/>
      <w:bookmarkStart w:id="324" w:name="_Toc3823"/>
      <w:r>
        <w:rPr>
          <w:rStyle w:val="65"/>
          <w:rFonts w:hint="eastAsia" w:ascii="宋体" w:hAnsi="宋体" w:eastAsia="宋体" w:cs="宋体"/>
          <w:color w:val="auto"/>
          <w:highlight w:val="none"/>
        </w:rPr>
        <w:t xml:space="preserve">第五部分   </w:t>
      </w:r>
      <w:bookmarkEnd w:id="306"/>
      <w:bookmarkEnd w:id="307"/>
      <w:r>
        <w:rPr>
          <w:rStyle w:val="65"/>
          <w:rFonts w:hint="eastAsia" w:ascii="宋体" w:hAnsi="宋体" w:eastAsia="宋体" w:cs="宋体"/>
          <w:color w:val="auto"/>
          <w:highlight w:val="none"/>
        </w:rPr>
        <w:t>评标原则及方法</w:t>
      </w:r>
      <w:bookmarkEnd w:id="308"/>
      <w:bookmarkEnd w:id="309"/>
      <w:bookmarkEnd w:id="322"/>
      <w:bookmarkEnd w:id="323"/>
      <w:bookmarkEnd w:id="324"/>
    </w:p>
    <w:bookmarkEnd w:id="259"/>
    <w:p w14:paraId="65A3D37F">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14F868DF">
      <w:pPr>
        <w:spacing w:line="460" w:lineRule="exact"/>
        <w:ind w:firstLine="541" w:firstLineChars="245"/>
        <w:outlineLvl w:val="1"/>
        <w:rPr>
          <w:rFonts w:ascii="宋体" w:hAnsi="宋体" w:cs="宋体"/>
          <w:b/>
          <w:color w:val="auto"/>
          <w:sz w:val="22"/>
          <w:szCs w:val="22"/>
          <w:highlight w:val="none"/>
        </w:rPr>
      </w:pPr>
      <w:bookmarkStart w:id="325" w:name="_Toc9287"/>
      <w:bookmarkStart w:id="326" w:name="_Toc26166"/>
      <w:bookmarkStart w:id="327" w:name="_Toc10273"/>
      <w:bookmarkStart w:id="328" w:name="_Toc32700"/>
      <w:bookmarkStart w:id="329" w:name="_Toc4407"/>
      <w:bookmarkStart w:id="330" w:name="_Toc27474"/>
      <w:bookmarkStart w:id="331" w:name="_Toc15713"/>
      <w:r>
        <w:rPr>
          <w:rFonts w:hint="eastAsia" w:ascii="宋体" w:hAnsi="宋体" w:cs="宋体"/>
          <w:b/>
          <w:color w:val="auto"/>
          <w:sz w:val="22"/>
          <w:szCs w:val="22"/>
          <w:highlight w:val="none"/>
        </w:rPr>
        <w:t>一、总 则</w:t>
      </w:r>
      <w:bookmarkEnd w:id="325"/>
      <w:bookmarkEnd w:id="326"/>
      <w:bookmarkEnd w:id="327"/>
      <w:bookmarkEnd w:id="328"/>
      <w:bookmarkEnd w:id="329"/>
      <w:bookmarkEnd w:id="330"/>
      <w:bookmarkEnd w:id="331"/>
    </w:p>
    <w:p w14:paraId="7BB8746D">
      <w:pPr>
        <w:spacing w:line="460" w:lineRule="exact"/>
        <w:ind w:firstLine="539" w:firstLineChars="245"/>
        <w:rPr>
          <w:rFonts w:ascii="宋体" w:hAnsi="宋体" w:cs="宋体"/>
          <w:b/>
          <w:color w:val="auto"/>
          <w:sz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E6D0C23">
      <w:pPr>
        <w:spacing w:line="460" w:lineRule="exact"/>
        <w:ind w:firstLine="541" w:firstLineChars="245"/>
        <w:outlineLvl w:val="1"/>
        <w:rPr>
          <w:rFonts w:ascii="宋体" w:hAnsi="宋体" w:cs="宋体"/>
          <w:b/>
          <w:color w:val="auto"/>
          <w:sz w:val="22"/>
          <w:szCs w:val="22"/>
          <w:highlight w:val="none"/>
        </w:rPr>
      </w:pPr>
      <w:bookmarkStart w:id="332" w:name="_Toc13995"/>
      <w:bookmarkStart w:id="333" w:name="_Toc15132"/>
      <w:bookmarkStart w:id="334" w:name="_Toc1020"/>
      <w:bookmarkStart w:id="335" w:name="_Toc17174"/>
      <w:bookmarkStart w:id="336" w:name="_Toc24468"/>
      <w:bookmarkStart w:id="337" w:name="_Toc18070"/>
      <w:bookmarkStart w:id="338" w:name="_Toc23152"/>
      <w:r>
        <w:rPr>
          <w:rFonts w:hint="eastAsia" w:ascii="宋体" w:hAnsi="宋体" w:cs="宋体"/>
          <w:b/>
          <w:color w:val="auto"/>
          <w:sz w:val="22"/>
          <w:szCs w:val="22"/>
          <w:highlight w:val="none"/>
        </w:rPr>
        <w:t>二、评标组织</w:t>
      </w:r>
      <w:bookmarkEnd w:id="332"/>
      <w:bookmarkEnd w:id="333"/>
      <w:bookmarkEnd w:id="334"/>
      <w:bookmarkEnd w:id="335"/>
      <w:bookmarkEnd w:id="336"/>
      <w:bookmarkEnd w:id="337"/>
      <w:bookmarkEnd w:id="338"/>
    </w:p>
    <w:p w14:paraId="71A9880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评标工作由采购人组建的评标委员会负责，评标全过程由有关部门指导监督。</w:t>
      </w:r>
    </w:p>
    <w:p w14:paraId="4B1C76F5">
      <w:pPr>
        <w:spacing w:line="460" w:lineRule="exact"/>
        <w:ind w:firstLine="541" w:firstLineChars="245"/>
        <w:outlineLvl w:val="1"/>
        <w:rPr>
          <w:rFonts w:ascii="宋体" w:hAnsi="宋体" w:cs="宋体"/>
          <w:b/>
          <w:color w:val="auto"/>
          <w:sz w:val="22"/>
          <w:szCs w:val="22"/>
          <w:highlight w:val="none"/>
        </w:rPr>
      </w:pPr>
      <w:bookmarkStart w:id="339" w:name="_Toc24385"/>
      <w:bookmarkStart w:id="340" w:name="_Toc15153"/>
      <w:bookmarkStart w:id="341" w:name="_Toc12006"/>
      <w:bookmarkStart w:id="342" w:name="_Toc30575"/>
      <w:bookmarkStart w:id="343" w:name="_Toc10167"/>
      <w:bookmarkStart w:id="344" w:name="_Toc67"/>
      <w:bookmarkStart w:id="345" w:name="_Toc32755"/>
      <w:r>
        <w:rPr>
          <w:rFonts w:hint="eastAsia" w:ascii="宋体" w:hAnsi="宋体" w:cs="宋体"/>
          <w:b/>
          <w:color w:val="auto"/>
          <w:sz w:val="22"/>
          <w:szCs w:val="22"/>
          <w:highlight w:val="none"/>
        </w:rPr>
        <w:t>三、评标程序</w:t>
      </w:r>
      <w:bookmarkEnd w:id="339"/>
      <w:bookmarkEnd w:id="340"/>
      <w:bookmarkEnd w:id="341"/>
      <w:bookmarkEnd w:id="342"/>
      <w:bookmarkEnd w:id="343"/>
      <w:bookmarkEnd w:id="344"/>
      <w:bookmarkEnd w:id="345"/>
    </w:p>
    <w:p w14:paraId="291A7A23">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1、评标委员按照招标文件中规定的评标方法和标准，对投标文件进行商务和技术评估，综合比较与评价</w:t>
      </w:r>
      <w:r>
        <w:rPr>
          <w:rFonts w:hint="eastAsia" w:ascii="宋体" w:hAnsi="宋体" w:cs="宋体"/>
          <w:color w:val="auto"/>
          <w:sz w:val="22"/>
          <w:szCs w:val="22"/>
          <w:highlight w:val="none"/>
        </w:rPr>
        <w:t>，根据综合评审结果，提交评审报告。</w:t>
      </w:r>
    </w:p>
    <w:p w14:paraId="026D96DE">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437925F4">
      <w:pPr>
        <w:spacing w:line="460" w:lineRule="exact"/>
        <w:ind w:firstLine="541" w:firstLineChars="245"/>
        <w:rPr>
          <w:b/>
          <w:bCs/>
          <w:color w:val="auto"/>
          <w:highlight w:val="none"/>
        </w:rPr>
      </w:pPr>
      <w:r>
        <w:rPr>
          <w:rFonts w:hint="eastAsia" w:ascii="宋体" w:hAnsi="宋体" w:cs="宋体"/>
          <w:b/>
          <w:bCs/>
          <w:color w:val="auto"/>
          <w:sz w:val="22"/>
          <w:szCs w:val="22"/>
          <w:highlight w:val="none"/>
        </w:rPr>
        <w:t>非单一产品采购项目，应当根据采购项目技术构成、产品价格比重等合理确定核心产品。多家投标人提供的核心产品品牌相同的，按前款规定处理。</w:t>
      </w:r>
    </w:p>
    <w:p w14:paraId="317C2244">
      <w:pPr>
        <w:spacing w:line="460" w:lineRule="exact"/>
        <w:ind w:firstLine="541" w:firstLineChars="245"/>
        <w:outlineLvl w:val="1"/>
        <w:rPr>
          <w:rFonts w:ascii="宋体" w:hAnsi="宋体" w:cs="宋体"/>
          <w:b/>
          <w:color w:val="auto"/>
          <w:sz w:val="22"/>
          <w:szCs w:val="22"/>
          <w:highlight w:val="none"/>
        </w:rPr>
      </w:pPr>
      <w:bookmarkStart w:id="346" w:name="_Toc24825"/>
      <w:bookmarkStart w:id="347" w:name="_Toc16978"/>
      <w:bookmarkStart w:id="348" w:name="_Toc11306"/>
      <w:bookmarkStart w:id="349" w:name="_Toc12809"/>
      <w:bookmarkStart w:id="350" w:name="_Toc30542"/>
      <w:bookmarkStart w:id="351" w:name="_Toc9003"/>
      <w:bookmarkStart w:id="352" w:name="_Toc31471"/>
      <w:r>
        <w:rPr>
          <w:rFonts w:hint="eastAsia" w:ascii="宋体" w:hAnsi="宋体" w:cs="宋体"/>
          <w:b/>
          <w:color w:val="auto"/>
          <w:sz w:val="22"/>
          <w:szCs w:val="22"/>
          <w:highlight w:val="none"/>
        </w:rPr>
        <w:t>四、评标办法</w:t>
      </w:r>
      <w:bookmarkEnd w:id="346"/>
      <w:bookmarkEnd w:id="347"/>
      <w:bookmarkEnd w:id="348"/>
      <w:bookmarkEnd w:id="349"/>
      <w:bookmarkEnd w:id="350"/>
      <w:bookmarkEnd w:id="351"/>
      <w:bookmarkEnd w:id="352"/>
    </w:p>
    <w:p w14:paraId="35D0A78B">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宋体"/>
          <w:b/>
          <w:color w:val="auto"/>
          <w:sz w:val="22"/>
          <w:szCs w:val="22"/>
          <w:highlight w:val="none"/>
        </w:rPr>
        <w:t>总分设定为100分：商务技术标70分（权值70%），报价标 30分（权值30%）。</w:t>
      </w:r>
    </w:p>
    <w:p w14:paraId="5B513C38">
      <w:pPr>
        <w:numPr>
          <w:ilvl w:val="0"/>
          <w:numId w:val="5"/>
        </w:numPr>
        <w:spacing w:line="460" w:lineRule="exact"/>
        <w:ind w:firstLine="541" w:firstLineChars="245"/>
        <w:outlineLvl w:val="1"/>
        <w:rPr>
          <w:rFonts w:ascii="宋体" w:hAnsi="宋体" w:cs="宋体"/>
          <w:b/>
          <w:color w:val="auto"/>
          <w:sz w:val="22"/>
          <w:szCs w:val="22"/>
          <w:highlight w:val="none"/>
        </w:rPr>
      </w:pPr>
      <w:bookmarkStart w:id="353" w:name="_Toc10010"/>
      <w:bookmarkStart w:id="354" w:name="_Toc11450"/>
      <w:bookmarkStart w:id="355" w:name="_Toc1403"/>
      <w:bookmarkStart w:id="356" w:name="_Toc9390"/>
      <w:bookmarkStart w:id="357" w:name="_Toc1535"/>
      <w:bookmarkStart w:id="358" w:name="_Toc8291"/>
      <w:bookmarkStart w:id="359" w:name="_Toc28632"/>
      <w:r>
        <w:rPr>
          <w:rFonts w:hint="eastAsia" w:ascii="宋体" w:hAnsi="宋体" w:cs="宋体"/>
          <w:b/>
          <w:color w:val="auto"/>
          <w:sz w:val="22"/>
          <w:szCs w:val="22"/>
          <w:highlight w:val="none"/>
        </w:rPr>
        <w:t>评分细则</w:t>
      </w:r>
      <w:bookmarkEnd w:id="353"/>
      <w:bookmarkEnd w:id="354"/>
      <w:bookmarkEnd w:id="355"/>
      <w:bookmarkEnd w:id="356"/>
      <w:bookmarkEnd w:id="357"/>
      <w:bookmarkEnd w:id="358"/>
      <w:bookmarkEnd w:id="359"/>
    </w:p>
    <w:p w14:paraId="38F22F35">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1、商务技术分的评定：商务技术标70分（权值70%）</w:t>
      </w:r>
    </w:p>
    <w:p w14:paraId="2241D24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cs="宋体"/>
          <w:color w:val="auto"/>
          <w:sz w:val="22"/>
          <w:highlight w:val="none"/>
        </w:rPr>
        <w:t>各评标委员会成员对各投标人的各项评分内容评分的算术平均值为各投标人技术分得分</w:t>
      </w:r>
      <w:r>
        <w:rPr>
          <w:rFonts w:hint="eastAsia" w:ascii="宋体" w:hAnsi="宋体" w:cs="宋体"/>
          <w:color w:val="auto"/>
          <w:sz w:val="22"/>
          <w:szCs w:val="22"/>
          <w:highlight w:val="none"/>
        </w:rPr>
        <w:t>（小数点后按四舍五入保留2位）。</w:t>
      </w:r>
    </w:p>
    <w:tbl>
      <w:tblPr>
        <w:tblStyle w:val="53"/>
        <w:tblW w:w="960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3"/>
        <w:gridCol w:w="1725"/>
        <w:gridCol w:w="6413"/>
        <w:gridCol w:w="750"/>
      </w:tblGrid>
      <w:tr w14:paraId="09A1E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tcBorders>
            <w:vAlign w:val="center"/>
          </w:tcPr>
          <w:p w14:paraId="40CBD9E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725" w:type="dxa"/>
            <w:tcBorders>
              <w:top w:val="single" w:color="auto" w:sz="4" w:space="0"/>
              <w:left w:val="single" w:color="auto" w:sz="4" w:space="0"/>
              <w:bottom w:val="single" w:color="auto" w:sz="4" w:space="0"/>
              <w:right w:val="single" w:color="auto" w:sz="4" w:space="0"/>
            </w:tcBorders>
            <w:vAlign w:val="center"/>
          </w:tcPr>
          <w:p w14:paraId="2882432A">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评分内容</w:t>
            </w:r>
          </w:p>
        </w:tc>
        <w:tc>
          <w:tcPr>
            <w:tcW w:w="6413" w:type="dxa"/>
            <w:tcBorders>
              <w:top w:val="single" w:color="auto" w:sz="4" w:space="0"/>
              <w:left w:val="single" w:color="auto" w:sz="4" w:space="0"/>
              <w:bottom w:val="single" w:color="auto" w:sz="4" w:space="0"/>
              <w:right w:val="single" w:color="auto" w:sz="4" w:space="0"/>
            </w:tcBorders>
            <w:vAlign w:val="center"/>
          </w:tcPr>
          <w:p w14:paraId="3FD65E75">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评分细则</w:t>
            </w:r>
          </w:p>
        </w:tc>
        <w:tc>
          <w:tcPr>
            <w:tcW w:w="750" w:type="dxa"/>
            <w:tcBorders>
              <w:top w:val="single" w:color="auto" w:sz="4" w:space="0"/>
              <w:left w:val="single" w:color="auto" w:sz="4" w:space="0"/>
              <w:bottom w:val="single" w:color="auto" w:sz="4" w:space="0"/>
            </w:tcBorders>
            <w:vAlign w:val="center"/>
          </w:tcPr>
          <w:p w14:paraId="611A2E7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r>
      <w:tr w14:paraId="1883B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13" w:type="dxa"/>
            <w:vMerge w:val="restart"/>
            <w:tcBorders>
              <w:top w:val="single" w:color="auto" w:sz="4" w:space="0"/>
              <w:left w:val="single" w:color="auto" w:sz="4" w:space="0"/>
            </w:tcBorders>
            <w:vAlign w:val="center"/>
          </w:tcPr>
          <w:p w14:paraId="3E6F790F">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725" w:type="dxa"/>
            <w:vMerge w:val="restart"/>
            <w:tcBorders>
              <w:top w:val="single" w:color="auto" w:sz="4" w:space="0"/>
              <w:left w:val="single" w:color="auto" w:sz="4" w:space="0"/>
              <w:right w:val="single" w:color="auto" w:sz="4" w:space="0"/>
            </w:tcBorders>
            <w:vAlign w:val="center"/>
          </w:tcPr>
          <w:p w14:paraId="423B01A7">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所投产品主要技术参数</w:t>
            </w:r>
          </w:p>
        </w:tc>
        <w:tc>
          <w:tcPr>
            <w:tcW w:w="6413" w:type="dxa"/>
            <w:tcBorders>
              <w:top w:val="single" w:color="auto" w:sz="4" w:space="0"/>
              <w:left w:val="single" w:color="auto" w:sz="4" w:space="0"/>
              <w:bottom w:val="single" w:color="auto" w:sz="4" w:space="0"/>
              <w:right w:val="single" w:color="auto" w:sz="4" w:space="0"/>
            </w:tcBorders>
            <w:vAlign w:val="center"/>
          </w:tcPr>
          <w:p w14:paraId="351EC68B">
            <w:pPr>
              <w:spacing w:line="460" w:lineRule="exact"/>
              <w:jc w:val="left"/>
              <w:rPr>
                <w:rFonts w:ascii="新宋体" w:hAnsi="新宋体" w:eastAsia="新宋体" w:cs="新宋体"/>
                <w:color w:val="auto"/>
                <w:sz w:val="22"/>
                <w:szCs w:val="22"/>
                <w:highlight w:val="none"/>
              </w:rPr>
            </w:pPr>
            <w:r>
              <w:rPr>
                <w:rStyle w:val="335"/>
                <w:rFonts w:hint="eastAsia" w:ascii="新宋体" w:hAnsi="新宋体" w:eastAsia="新宋体" w:cs="新宋体"/>
                <w:color w:val="auto"/>
                <w:sz w:val="22"/>
                <w:szCs w:val="22"/>
                <w:highlight w:val="none"/>
              </w:rPr>
              <w:t>根据所投产品技术指标与招标文件要求的响应程度，完全响应的得3</w:t>
            </w:r>
            <w:r>
              <w:rPr>
                <w:rStyle w:val="335"/>
                <w:rFonts w:ascii="新宋体" w:hAnsi="新宋体" w:eastAsia="新宋体" w:cs="新宋体"/>
                <w:color w:val="auto"/>
                <w:sz w:val="22"/>
                <w:szCs w:val="22"/>
                <w:highlight w:val="none"/>
              </w:rPr>
              <w:t>2</w:t>
            </w:r>
            <w:r>
              <w:rPr>
                <w:rStyle w:val="335"/>
                <w:rFonts w:hint="eastAsia" w:ascii="新宋体" w:hAnsi="新宋体" w:eastAsia="新宋体" w:cs="新宋体"/>
                <w:color w:val="auto"/>
                <w:sz w:val="22"/>
                <w:szCs w:val="22"/>
                <w:highlight w:val="none"/>
              </w:rPr>
              <w:t>分，带★技术参数负偏离一项扣2分，其它技术参数负偏离一项扣1分，扣完为止。</w:t>
            </w:r>
          </w:p>
        </w:tc>
        <w:tc>
          <w:tcPr>
            <w:tcW w:w="750" w:type="dxa"/>
            <w:tcBorders>
              <w:top w:val="single" w:color="auto" w:sz="4" w:space="0"/>
              <w:left w:val="single" w:color="auto" w:sz="4" w:space="0"/>
              <w:bottom w:val="single" w:color="auto" w:sz="4" w:space="0"/>
            </w:tcBorders>
            <w:vAlign w:val="center"/>
          </w:tcPr>
          <w:p w14:paraId="4C66DA64">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分</w:t>
            </w:r>
          </w:p>
        </w:tc>
      </w:tr>
      <w:tr w14:paraId="7A1E1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13" w:type="dxa"/>
            <w:vMerge w:val="continue"/>
            <w:tcBorders>
              <w:left w:val="single" w:color="auto" w:sz="4" w:space="0"/>
            </w:tcBorders>
            <w:vAlign w:val="center"/>
          </w:tcPr>
          <w:p w14:paraId="0D7DEF98">
            <w:pPr>
              <w:spacing w:line="460" w:lineRule="exact"/>
              <w:jc w:val="center"/>
              <w:rPr>
                <w:rFonts w:ascii="新宋体" w:hAnsi="新宋体" w:eastAsia="新宋体" w:cs="新宋体"/>
                <w:color w:val="auto"/>
                <w:sz w:val="22"/>
                <w:szCs w:val="22"/>
                <w:highlight w:val="none"/>
              </w:rPr>
            </w:pPr>
          </w:p>
        </w:tc>
        <w:tc>
          <w:tcPr>
            <w:tcW w:w="1725" w:type="dxa"/>
            <w:vMerge w:val="continue"/>
            <w:tcBorders>
              <w:left w:val="single" w:color="auto" w:sz="4" w:space="0"/>
              <w:right w:val="single" w:color="auto" w:sz="4" w:space="0"/>
            </w:tcBorders>
            <w:vAlign w:val="center"/>
          </w:tcPr>
          <w:p w14:paraId="5E54A6AE">
            <w:pPr>
              <w:spacing w:line="460" w:lineRule="exact"/>
              <w:jc w:val="center"/>
              <w:rPr>
                <w:rFonts w:ascii="新宋体" w:hAnsi="新宋体" w:eastAsia="新宋体" w:cs="新宋体"/>
                <w:bCs/>
                <w:color w:val="auto"/>
                <w:sz w:val="22"/>
                <w:szCs w:val="22"/>
                <w:highlight w:val="none"/>
              </w:rPr>
            </w:pPr>
          </w:p>
        </w:tc>
        <w:tc>
          <w:tcPr>
            <w:tcW w:w="6413" w:type="dxa"/>
            <w:tcBorders>
              <w:top w:val="single" w:color="auto" w:sz="4" w:space="0"/>
              <w:left w:val="single" w:color="auto" w:sz="4" w:space="0"/>
              <w:bottom w:val="single" w:color="auto" w:sz="4" w:space="0"/>
              <w:right w:val="single" w:color="auto" w:sz="4" w:space="0"/>
            </w:tcBorders>
            <w:vAlign w:val="center"/>
          </w:tcPr>
          <w:p w14:paraId="328DC49A">
            <w:pPr>
              <w:spacing w:line="460" w:lineRule="exact"/>
              <w:jc w:val="left"/>
              <w:rPr>
                <w:rStyle w:val="335"/>
                <w:rFonts w:ascii="新宋体" w:hAnsi="新宋体" w:eastAsia="新宋体" w:cs="新宋体"/>
                <w:color w:val="auto"/>
                <w:sz w:val="22"/>
                <w:szCs w:val="22"/>
                <w:highlight w:val="none"/>
              </w:rPr>
            </w:pPr>
            <w:r>
              <w:rPr>
                <w:rStyle w:val="335"/>
                <w:rFonts w:hint="eastAsia" w:ascii="新宋体" w:hAnsi="新宋体" w:eastAsia="新宋体" w:cs="新宋体"/>
                <w:color w:val="auto"/>
                <w:sz w:val="22"/>
                <w:szCs w:val="22"/>
                <w:highlight w:val="none"/>
              </w:rPr>
              <w:t>所投产品的功能的先进性、可靠性及可扩展性，最多3分</w:t>
            </w:r>
          </w:p>
        </w:tc>
        <w:tc>
          <w:tcPr>
            <w:tcW w:w="750" w:type="dxa"/>
            <w:tcBorders>
              <w:top w:val="single" w:color="auto" w:sz="4" w:space="0"/>
              <w:left w:val="single" w:color="auto" w:sz="4" w:space="0"/>
              <w:bottom w:val="single" w:color="auto" w:sz="4" w:space="0"/>
            </w:tcBorders>
            <w:vAlign w:val="center"/>
          </w:tcPr>
          <w:p w14:paraId="7DA7E103">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14:paraId="31BF0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3" w:type="dxa"/>
            <w:vMerge w:val="restart"/>
            <w:tcBorders>
              <w:top w:val="single" w:color="auto" w:sz="4" w:space="0"/>
              <w:left w:val="single" w:color="auto" w:sz="4" w:space="0"/>
              <w:right w:val="single" w:color="auto" w:sz="4" w:space="0"/>
            </w:tcBorders>
            <w:vAlign w:val="center"/>
          </w:tcPr>
          <w:p w14:paraId="434FD623">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p w14:paraId="2A9D19DE">
            <w:pPr>
              <w:spacing w:line="460" w:lineRule="exact"/>
              <w:jc w:val="center"/>
              <w:rPr>
                <w:rFonts w:ascii="新宋体" w:hAnsi="新宋体" w:eastAsia="新宋体" w:cs="新宋体"/>
                <w:color w:val="auto"/>
                <w:sz w:val="22"/>
                <w:szCs w:val="22"/>
                <w:highlight w:val="none"/>
              </w:rPr>
            </w:pPr>
          </w:p>
        </w:tc>
        <w:tc>
          <w:tcPr>
            <w:tcW w:w="1725" w:type="dxa"/>
            <w:vMerge w:val="restart"/>
            <w:tcBorders>
              <w:top w:val="single" w:color="auto" w:sz="4" w:space="0"/>
              <w:left w:val="single" w:color="auto" w:sz="4" w:space="0"/>
              <w:right w:val="single" w:color="auto" w:sz="4" w:space="0"/>
            </w:tcBorders>
            <w:vAlign w:val="center"/>
          </w:tcPr>
          <w:p w14:paraId="0A9ECE91">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实施方案</w:t>
            </w:r>
          </w:p>
        </w:tc>
        <w:tc>
          <w:tcPr>
            <w:tcW w:w="6413" w:type="dxa"/>
            <w:tcBorders>
              <w:top w:val="single" w:color="auto" w:sz="4" w:space="0"/>
              <w:left w:val="single" w:color="auto" w:sz="4" w:space="0"/>
              <w:bottom w:val="single" w:color="auto" w:sz="4" w:space="0"/>
              <w:right w:val="single" w:color="auto" w:sz="4" w:space="0"/>
            </w:tcBorders>
            <w:vAlign w:val="center"/>
          </w:tcPr>
          <w:p w14:paraId="4654A23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根据投标文件中安装、调试、集成、专业技术人员和措施情况的合理性、可行性是否满足采购进度要求等方面。</w:t>
            </w:r>
          </w:p>
          <w:p w14:paraId="0959BF7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1、方案能贴合采购需求，合理可行、针对性强的得6分；</w:t>
            </w:r>
          </w:p>
          <w:p w14:paraId="4A7FA97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2、方案能比较贴合采购需求，较合理可行、针对性较强的得4分；</w:t>
            </w:r>
          </w:p>
          <w:p w14:paraId="04C155B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3、方案能基本贴合采购需求，合理性、可行性、针对性一般的得2分；</w:t>
            </w:r>
          </w:p>
          <w:p w14:paraId="7E6DD85E">
            <w:pPr>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bidi="ar"/>
              </w:rPr>
              <w:t>4、不提供不得分。</w:t>
            </w:r>
          </w:p>
        </w:tc>
        <w:tc>
          <w:tcPr>
            <w:tcW w:w="750" w:type="dxa"/>
            <w:tcBorders>
              <w:top w:val="single" w:color="auto" w:sz="4" w:space="0"/>
              <w:left w:val="single" w:color="auto" w:sz="4" w:space="0"/>
              <w:bottom w:val="single" w:color="auto" w:sz="4" w:space="0"/>
            </w:tcBorders>
            <w:vAlign w:val="center"/>
          </w:tcPr>
          <w:p w14:paraId="770D0A8D">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r>
      <w:tr w14:paraId="66CA3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3" w:type="dxa"/>
            <w:vMerge w:val="continue"/>
            <w:tcBorders>
              <w:left w:val="single" w:color="auto" w:sz="4" w:space="0"/>
              <w:right w:val="single" w:color="auto" w:sz="4" w:space="0"/>
            </w:tcBorders>
            <w:vAlign w:val="center"/>
          </w:tcPr>
          <w:p w14:paraId="549C899B">
            <w:pPr>
              <w:spacing w:line="460" w:lineRule="exact"/>
              <w:jc w:val="center"/>
              <w:rPr>
                <w:rFonts w:ascii="新宋体" w:hAnsi="新宋体" w:eastAsia="新宋体" w:cs="新宋体"/>
                <w:color w:val="auto"/>
                <w:sz w:val="22"/>
                <w:szCs w:val="22"/>
                <w:highlight w:val="none"/>
              </w:rPr>
            </w:pPr>
          </w:p>
        </w:tc>
        <w:tc>
          <w:tcPr>
            <w:tcW w:w="1725" w:type="dxa"/>
            <w:vMerge w:val="continue"/>
            <w:tcBorders>
              <w:left w:val="single" w:color="auto" w:sz="4" w:space="0"/>
              <w:right w:val="single" w:color="auto" w:sz="4" w:space="0"/>
            </w:tcBorders>
            <w:vAlign w:val="center"/>
          </w:tcPr>
          <w:p w14:paraId="6CFB5414">
            <w:pPr>
              <w:spacing w:line="460" w:lineRule="exact"/>
              <w:jc w:val="center"/>
              <w:rPr>
                <w:rFonts w:ascii="新宋体" w:hAnsi="新宋体" w:eastAsia="新宋体" w:cs="新宋体"/>
                <w:color w:val="auto"/>
                <w:sz w:val="22"/>
                <w:szCs w:val="22"/>
                <w:highlight w:val="none"/>
              </w:rPr>
            </w:pPr>
          </w:p>
        </w:tc>
        <w:tc>
          <w:tcPr>
            <w:tcW w:w="6413" w:type="dxa"/>
            <w:tcBorders>
              <w:top w:val="single" w:color="auto" w:sz="4" w:space="0"/>
              <w:left w:val="single" w:color="auto" w:sz="4" w:space="0"/>
              <w:bottom w:val="single" w:color="auto" w:sz="4" w:space="0"/>
              <w:right w:val="single" w:color="auto" w:sz="4" w:space="0"/>
            </w:tcBorders>
            <w:vAlign w:val="center"/>
          </w:tcPr>
          <w:p w14:paraId="0EED941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根据投标文件中的产品验收方案的验收方式、验收标准、验收时间等的合理性、可行性等方面。</w:t>
            </w:r>
          </w:p>
          <w:p w14:paraId="5A93BA4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1、方案能贴合采购需求，合理可行、针对性强的得6分；</w:t>
            </w:r>
          </w:p>
          <w:p w14:paraId="5F56311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2、方案能比较贴合采购需求，较合理可行、针对性较强的得4分；</w:t>
            </w:r>
          </w:p>
          <w:p w14:paraId="1CCEAD1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3、方案能基本贴合采购需求，合理性、可行性、针对性一般的得2分；</w:t>
            </w:r>
          </w:p>
          <w:p w14:paraId="7679B809">
            <w:pPr>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4、不提供不得分。</w:t>
            </w:r>
          </w:p>
        </w:tc>
        <w:tc>
          <w:tcPr>
            <w:tcW w:w="750" w:type="dxa"/>
            <w:tcBorders>
              <w:top w:val="single" w:color="auto" w:sz="4" w:space="0"/>
              <w:left w:val="single" w:color="auto" w:sz="4" w:space="0"/>
              <w:bottom w:val="single" w:color="auto" w:sz="4" w:space="0"/>
            </w:tcBorders>
            <w:vAlign w:val="center"/>
          </w:tcPr>
          <w:p w14:paraId="2D0D2797">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r>
      <w:tr w14:paraId="04044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3" w:type="dxa"/>
            <w:vMerge w:val="continue"/>
            <w:tcBorders>
              <w:left w:val="single" w:color="auto" w:sz="4" w:space="0"/>
              <w:bottom w:val="single" w:color="auto" w:sz="4" w:space="0"/>
              <w:right w:val="single" w:color="auto" w:sz="4" w:space="0"/>
            </w:tcBorders>
            <w:vAlign w:val="center"/>
          </w:tcPr>
          <w:p w14:paraId="7FCC8C58">
            <w:pPr>
              <w:spacing w:line="460" w:lineRule="exact"/>
              <w:jc w:val="center"/>
              <w:rPr>
                <w:rFonts w:ascii="新宋体" w:hAnsi="新宋体" w:eastAsia="新宋体" w:cs="新宋体"/>
                <w:color w:val="auto"/>
                <w:sz w:val="22"/>
                <w:szCs w:val="22"/>
                <w:highlight w:val="none"/>
              </w:rPr>
            </w:pPr>
          </w:p>
        </w:tc>
        <w:tc>
          <w:tcPr>
            <w:tcW w:w="1725" w:type="dxa"/>
            <w:vMerge w:val="continue"/>
            <w:tcBorders>
              <w:left w:val="single" w:color="auto" w:sz="4" w:space="0"/>
              <w:bottom w:val="single" w:color="auto" w:sz="4" w:space="0"/>
              <w:right w:val="single" w:color="auto" w:sz="4" w:space="0"/>
            </w:tcBorders>
            <w:vAlign w:val="center"/>
          </w:tcPr>
          <w:p w14:paraId="3D74331C">
            <w:pPr>
              <w:spacing w:line="460" w:lineRule="exact"/>
              <w:jc w:val="center"/>
              <w:rPr>
                <w:rFonts w:ascii="新宋体" w:hAnsi="新宋体" w:eastAsia="新宋体" w:cs="新宋体"/>
                <w:color w:val="auto"/>
                <w:sz w:val="22"/>
                <w:szCs w:val="22"/>
                <w:highlight w:val="none"/>
              </w:rPr>
            </w:pPr>
          </w:p>
        </w:tc>
        <w:tc>
          <w:tcPr>
            <w:tcW w:w="6413" w:type="dxa"/>
            <w:tcBorders>
              <w:top w:val="single" w:color="auto" w:sz="4" w:space="0"/>
              <w:left w:val="single" w:color="auto" w:sz="4" w:space="0"/>
              <w:bottom w:val="single" w:color="auto" w:sz="4" w:space="0"/>
              <w:right w:val="single" w:color="auto" w:sz="4" w:space="0"/>
            </w:tcBorders>
            <w:vAlign w:val="center"/>
          </w:tcPr>
          <w:p w14:paraId="5734E43E">
            <w:pPr>
              <w:widowControl/>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培训方案，培训内容，培训方式的评价。</w:t>
            </w:r>
          </w:p>
          <w:p w14:paraId="19E3EB65">
            <w:pPr>
              <w:widowControl/>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1、培训方案设计合理、培训内容全面、培训方式灵活得3分</w:t>
            </w:r>
          </w:p>
          <w:p w14:paraId="248C936F">
            <w:pPr>
              <w:widowControl/>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2、培训方案设计较合理、培训内容较全面、培训方式较灵活得2分；</w:t>
            </w:r>
          </w:p>
          <w:p w14:paraId="4722507D">
            <w:pPr>
              <w:widowControl/>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3、培训方案设计一般、培训内容不全面、培训方式呆板：1分；</w:t>
            </w:r>
          </w:p>
          <w:p w14:paraId="0AFFA84A">
            <w:pPr>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4、培训方案设计欠合理、培训内容混乱、无培训方式：0分。</w:t>
            </w:r>
          </w:p>
        </w:tc>
        <w:tc>
          <w:tcPr>
            <w:tcW w:w="750" w:type="dxa"/>
            <w:tcBorders>
              <w:top w:val="single" w:color="auto" w:sz="4" w:space="0"/>
              <w:left w:val="single" w:color="auto" w:sz="4" w:space="0"/>
              <w:bottom w:val="single" w:color="auto" w:sz="4" w:space="0"/>
            </w:tcBorders>
            <w:vAlign w:val="center"/>
          </w:tcPr>
          <w:p w14:paraId="73BF9920">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14:paraId="18F25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3" w:type="dxa"/>
            <w:vMerge w:val="restart"/>
            <w:tcBorders>
              <w:top w:val="single" w:color="auto" w:sz="4" w:space="0"/>
              <w:left w:val="single" w:color="auto" w:sz="4" w:space="0"/>
              <w:right w:val="single" w:color="auto" w:sz="4" w:space="0"/>
            </w:tcBorders>
            <w:vAlign w:val="center"/>
          </w:tcPr>
          <w:p w14:paraId="735B1DA1">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725" w:type="dxa"/>
            <w:vMerge w:val="restart"/>
            <w:tcBorders>
              <w:top w:val="single" w:color="auto" w:sz="4" w:space="0"/>
              <w:left w:val="single" w:color="auto" w:sz="4" w:space="0"/>
              <w:right w:val="single" w:color="auto" w:sz="4" w:space="0"/>
            </w:tcBorders>
            <w:vAlign w:val="center"/>
          </w:tcPr>
          <w:p w14:paraId="09A734FD">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w:t>
            </w:r>
          </w:p>
        </w:tc>
        <w:tc>
          <w:tcPr>
            <w:tcW w:w="6413" w:type="dxa"/>
            <w:tcBorders>
              <w:top w:val="single" w:color="auto" w:sz="4" w:space="0"/>
              <w:left w:val="single" w:color="auto" w:sz="4" w:space="0"/>
              <w:bottom w:val="single" w:color="auto" w:sz="4" w:space="0"/>
              <w:right w:val="single" w:color="auto" w:sz="4" w:space="0"/>
            </w:tcBorders>
            <w:vAlign w:val="center"/>
          </w:tcPr>
          <w:p w14:paraId="39E13B41">
            <w:p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根据</w:t>
            </w:r>
            <w:r>
              <w:rPr>
                <w:rFonts w:hint="eastAsia" w:ascii="新宋体" w:hAnsi="新宋体" w:eastAsia="新宋体" w:cs="新宋体"/>
                <w:color w:val="auto"/>
                <w:kern w:val="0"/>
                <w:sz w:val="22"/>
                <w:szCs w:val="22"/>
                <w:highlight w:val="none"/>
              </w:rPr>
              <w:t>投标人</w:t>
            </w:r>
            <w:r>
              <w:rPr>
                <w:rFonts w:hint="eastAsia" w:ascii="新宋体" w:hAnsi="新宋体" w:eastAsia="新宋体" w:cs="新宋体"/>
                <w:color w:val="auto"/>
                <w:kern w:val="0"/>
                <w:sz w:val="22"/>
                <w:szCs w:val="22"/>
                <w:highlight w:val="none"/>
                <w:lang w:bidi="ar"/>
              </w:rPr>
              <w:t>售后服务标准，故障响应修复时间方式及保障措施等方面。</w:t>
            </w:r>
          </w:p>
          <w:p w14:paraId="31310720">
            <w:p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1、能贴合采购人需求，措施合理可行、完善度强的得6分；</w:t>
            </w:r>
          </w:p>
          <w:p w14:paraId="196D9B9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kern w:val="0"/>
                <w:sz w:val="22"/>
                <w:szCs w:val="22"/>
                <w:highlight w:val="none"/>
                <w:lang w:bidi="ar"/>
              </w:rPr>
              <w:t>能贴合采购人需求</w:t>
            </w:r>
            <w:r>
              <w:rPr>
                <w:rFonts w:hint="eastAsia" w:ascii="新宋体" w:hAnsi="新宋体" w:eastAsia="新宋体" w:cs="新宋体"/>
                <w:color w:val="auto"/>
                <w:sz w:val="22"/>
                <w:szCs w:val="22"/>
                <w:highlight w:val="none"/>
              </w:rPr>
              <w:t>，较合理可行、针对性较强的得4分；</w:t>
            </w:r>
          </w:p>
          <w:p w14:paraId="5D334F4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lang w:bidi="ar"/>
              </w:rPr>
              <w:t>能贴合采购人需求</w:t>
            </w:r>
            <w:r>
              <w:rPr>
                <w:rFonts w:hint="eastAsia" w:ascii="新宋体" w:hAnsi="新宋体" w:eastAsia="新宋体" w:cs="新宋体"/>
                <w:color w:val="auto"/>
                <w:sz w:val="22"/>
                <w:szCs w:val="22"/>
                <w:highlight w:val="none"/>
              </w:rPr>
              <w:t>，合理性、可行性、针对性一般的得2分；</w:t>
            </w:r>
          </w:p>
          <w:p w14:paraId="54C551FE">
            <w:pPr>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4、不提供不得分。</w:t>
            </w:r>
          </w:p>
        </w:tc>
        <w:tc>
          <w:tcPr>
            <w:tcW w:w="750" w:type="dxa"/>
            <w:tcBorders>
              <w:top w:val="single" w:color="auto" w:sz="4" w:space="0"/>
              <w:left w:val="single" w:color="auto" w:sz="4" w:space="0"/>
              <w:bottom w:val="single" w:color="auto" w:sz="4" w:space="0"/>
            </w:tcBorders>
            <w:vAlign w:val="center"/>
          </w:tcPr>
          <w:p w14:paraId="6B812E52">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r>
      <w:tr w14:paraId="5F19F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3" w:type="dxa"/>
            <w:vMerge w:val="continue"/>
            <w:tcBorders>
              <w:left w:val="single" w:color="auto" w:sz="4" w:space="0"/>
              <w:right w:val="single" w:color="auto" w:sz="4" w:space="0"/>
            </w:tcBorders>
            <w:vAlign w:val="center"/>
          </w:tcPr>
          <w:p w14:paraId="37C5DA1D">
            <w:pPr>
              <w:spacing w:line="460" w:lineRule="exact"/>
              <w:jc w:val="center"/>
              <w:rPr>
                <w:rFonts w:ascii="新宋体" w:hAnsi="新宋体" w:eastAsia="新宋体" w:cs="新宋体"/>
                <w:color w:val="auto"/>
                <w:sz w:val="22"/>
                <w:szCs w:val="22"/>
                <w:highlight w:val="none"/>
              </w:rPr>
            </w:pPr>
          </w:p>
        </w:tc>
        <w:tc>
          <w:tcPr>
            <w:tcW w:w="1725" w:type="dxa"/>
            <w:vMerge w:val="continue"/>
            <w:tcBorders>
              <w:left w:val="single" w:color="auto" w:sz="4" w:space="0"/>
              <w:right w:val="single" w:color="auto" w:sz="4" w:space="0"/>
            </w:tcBorders>
            <w:vAlign w:val="center"/>
          </w:tcPr>
          <w:p w14:paraId="185C18AA">
            <w:pPr>
              <w:spacing w:line="460" w:lineRule="exact"/>
              <w:jc w:val="center"/>
              <w:rPr>
                <w:rFonts w:ascii="新宋体" w:hAnsi="新宋体" w:eastAsia="新宋体" w:cs="新宋体"/>
                <w:color w:val="auto"/>
                <w:sz w:val="22"/>
                <w:szCs w:val="22"/>
                <w:highlight w:val="none"/>
              </w:rPr>
            </w:pPr>
          </w:p>
        </w:tc>
        <w:tc>
          <w:tcPr>
            <w:tcW w:w="6413" w:type="dxa"/>
            <w:tcBorders>
              <w:top w:val="single" w:color="auto" w:sz="4" w:space="0"/>
              <w:left w:val="single" w:color="auto" w:sz="4" w:space="0"/>
              <w:bottom w:val="single" w:color="auto" w:sz="4" w:space="0"/>
              <w:right w:val="single" w:color="auto" w:sz="4" w:space="0"/>
            </w:tcBorders>
            <w:vAlign w:val="center"/>
          </w:tcPr>
          <w:p w14:paraId="405832F0">
            <w:p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rPr>
              <w:t>根据投标人</w:t>
            </w:r>
            <w:r>
              <w:rPr>
                <w:rFonts w:hint="eastAsia" w:ascii="新宋体" w:hAnsi="新宋体" w:eastAsia="新宋体" w:cs="新宋体"/>
                <w:color w:val="auto"/>
                <w:kern w:val="0"/>
                <w:sz w:val="22"/>
                <w:szCs w:val="22"/>
                <w:highlight w:val="none"/>
                <w:lang w:bidi="ar"/>
              </w:rPr>
              <w:t xml:space="preserve">提供的售后服务方案、维护人员和机构等情况，维保期内外的后续技术支持和维护能力情况等；对服务承诺的保障措施。 </w:t>
            </w:r>
          </w:p>
          <w:p w14:paraId="2B16A1CE">
            <w:p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1、售后服务人员、机构技术维护能力强的得6分；</w:t>
            </w:r>
          </w:p>
          <w:p w14:paraId="6C62D313">
            <w:p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2、售后服务人员、机构技术维护能力一般的得3分；</w:t>
            </w:r>
          </w:p>
          <w:p w14:paraId="7B5D8794">
            <w:p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3、无方案、措施：0分。</w:t>
            </w:r>
          </w:p>
        </w:tc>
        <w:tc>
          <w:tcPr>
            <w:tcW w:w="750" w:type="dxa"/>
            <w:tcBorders>
              <w:top w:val="single" w:color="auto" w:sz="4" w:space="0"/>
              <w:left w:val="single" w:color="auto" w:sz="4" w:space="0"/>
              <w:bottom w:val="single" w:color="auto" w:sz="4" w:space="0"/>
            </w:tcBorders>
            <w:vAlign w:val="center"/>
          </w:tcPr>
          <w:p w14:paraId="1B3E8B6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r>
      <w:tr w14:paraId="6E330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3" w:type="dxa"/>
            <w:vMerge w:val="continue"/>
            <w:tcBorders>
              <w:left w:val="single" w:color="auto" w:sz="4" w:space="0"/>
              <w:right w:val="single" w:color="auto" w:sz="4" w:space="0"/>
            </w:tcBorders>
            <w:vAlign w:val="center"/>
          </w:tcPr>
          <w:p w14:paraId="68296E9E">
            <w:pPr>
              <w:spacing w:line="460" w:lineRule="exact"/>
              <w:jc w:val="center"/>
              <w:rPr>
                <w:rFonts w:ascii="新宋体" w:hAnsi="新宋体" w:eastAsia="新宋体" w:cs="新宋体"/>
                <w:color w:val="auto"/>
                <w:sz w:val="22"/>
                <w:szCs w:val="22"/>
                <w:highlight w:val="none"/>
              </w:rPr>
            </w:pPr>
          </w:p>
        </w:tc>
        <w:tc>
          <w:tcPr>
            <w:tcW w:w="1725" w:type="dxa"/>
            <w:vMerge w:val="continue"/>
            <w:tcBorders>
              <w:left w:val="single" w:color="auto" w:sz="4" w:space="0"/>
              <w:right w:val="single" w:color="auto" w:sz="4" w:space="0"/>
            </w:tcBorders>
            <w:vAlign w:val="center"/>
          </w:tcPr>
          <w:p w14:paraId="652A96DF">
            <w:pPr>
              <w:spacing w:line="460" w:lineRule="exact"/>
              <w:jc w:val="center"/>
              <w:rPr>
                <w:rFonts w:ascii="新宋体" w:hAnsi="新宋体" w:eastAsia="新宋体" w:cs="新宋体"/>
                <w:color w:val="auto"/>
                <w:sz w:val="22"/>
                <w:szCs w:val="22"/>
                <w:highlight w:val="none"/>
              </w:rPr>
            </w:pPr>
          </w:p>
        </w:tc>
        <w:tc>
          <w:tcPr>
            <w:tcW w:w="6413" w:type="dxa"/>
            <w:tcBorders>
              <w:top w:val="single" w:color="auto" w:sz="4" w:space="0"/>
              <w:left w:val="single" w:color="auto" w:sz="4" w:space="0"/>
              <w:bottom w:val="single" w:color="auto" w:sz="4" w:space="0"/>
              <w:right w:val="single" w:color="auto" w:sz="4" w:space="0"/>
            </w:tcBorders>
            <w:vAlign w:val="center"/>
          </w:tcPr>
          <w:p w14:paraId="4751B61E">
            <w:p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sz w:val="22"/>
                <w:szCs w:val="22"/>
                <w:highlight w:val="none"/>
              </w:rPr>
              <w:t>备件、零配件的供应能力和保障措施，最多3分</w:t>
            </w:r>
          </w:p>
        </w:tc>
        <w:tc>
          <w:tcPr>
            <w:tcW w:w="750" w:type="dxa"/>
            <w:tcBorders>
              <w:top w:val="single" w:color="auto" w:sz="4" w:space="0"/>
              <w:left w:val="single" w:color="auto" w:sz="4" w:space="0"/>
              <w:bottom w:val="single" w:color="auto" w:sz="4" w:space="0"/>
            </w:tcBorders>
            <w:vAlign w:val="center"/>
          </w:tcPr>
          <w:p w14:paraId="21ABB871">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3分 </w:t>
            </w:r>
          </w:p>
        </w:tc>
      </w:tr>
      <w:tr w14:paraId="2D223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vAlign w:val="center"/>
          </w:tcPr>
          <w:p w14:paraId="42E75837">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725" w:type="dxa"/>
            <w:tcBorders>
              <w:top w:val="single" w:color="auto" w:sz="4" w:space="0"/>
              <w:left w:val="single" w:color="auto" w:sz="4" w:space="0"/>
              <w:bottom w:val="single" w:color="auto" w:sz="4" w:space="0"/>
              <w:right w:val="single" w:color="auto" w:sz="4" w:space="0"/>
            </w:tcBorders>
            <w:vAlign w:val="center"/>
          </w:tcPr>
          <w:p w14:paraId="3335EE9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优惠条件</w:t>
            </w:r>
          </w:p>
        </w:tc>
        <w:tc>
          <w:tcPr>
            <w:tcW w:w="6413" w:type="dxa"/>
            <w:tcBorders>
              <w:top w:val="single" w:color="auto" w:sz="4" w:space="0"/>
              <w:left w:val="single" w:color="auto" w:sz="4" w:space="0"/>
              <w:bottom w:val="single" w:color="auto" w:sz="4" w:space="0"/>
              <w:right w:val="single" w:color="auto" w:sz="4" w:space="0"/>
            </w:tcBorders>
          </w:tcPr>
          <w:p w14:paraId="7DA2017F">
            <w:pPr>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根据投标人给采购人提供的与本项目有关的各种优惠条件，最多</w:t>
            </w:r>
            <w:r>
              <w:rPr>
                <w:rFonts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分。</w:t>
            </w:r>
          </w:p>
        </w:tc>
        <w:tc>
          <w:tcPr>
            <w:tcW w:w="750" w:type="dxa"/>
            <w:tcBorders>
              <w:top w:val="single" w:color="auto" w:sz="4" w:space="0"/>
              <w:left w:val="single" w:color="auto" w:sz="4" w:space="0"/>
              <w:bottom w:val="single" w:color="auto" w:sz="4" w:space="0"/>
            </w:tcBorders>
            <w:vAlign w:val="center"/>
          </w:tcPr>
          <w:p w14:paraId="09A9758A">
            <w:pPr>
              <w:spacing w:line="460" w:lineRule="exact"/>
              <w:jc w:val="center"/>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分</w:t>
            </w:r>
          </w:p>
        </w:tc>
      </w:tr>
      <w:tr w14:paraId="1D8FB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vAlign w:val="center"/>
          </w:tcPr>
          <w:p w14:paraId="16A88E01">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725" w:type="dxa"/>
            <w:tcBorders>
              <w:top w:val="single" w:color="auto" w:sz="4" w:space="0"/>
              <w:left w:val="single" w:color="auto" w:sz="4" w:space="0"/>
              <w:right w:val="single" w:color="auto" w:sz="4" w:space="0"/>
            </w:tcBorders>
            <w:vAlign w:val="center"/>
          </w:tcPr>
          <w:p w14:paraId="1265B850">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同类业绩</w:t>
            </w:r>
          </w:p>
        </w:tc>
        <w:tc>
          <w:tcPr>
            <w:tcW w:w="6413" w:type="dxa"/>
            <w:tcBorders>
              <w:top w:val="single" w:color="auto" w:sz="4" w:space="0"/>
              <w:left w:val="single" w:color="auto" w:sz="4" w:space="0"/>
              <w:right w:val="single" w:color="auto" w:sz="4" w:space="0"/>
            </w:tcBorders>
            <w:vAlign w:val="center"/>
          </w:tcPr>
          <w:p w14:paraId="79D8A586">
            <w:pPr>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提供投标人2021年1月1日（以签订时间为准）以来同类项目业绩的，每提供1个得1分，最高得3分（提供合同复印件加盖投标人公章，不提供或资料提供不全的不得分）。</w:t>
            </w:r>
          </w:p>
        </w:tc>
        <w:tc>
          <w:tcPr>
            <w:tcW w:w="750" w:type="dxa"/>
            <w:tcBorders>
              <w:top w:val="single" w:color="auto" w:sz="4" w:space="0"/>
              <w:left w:val="single" w:color="auto" w:sz="4" w:space="0"/>
            </w:tcBorders>
            <w:vAlign w:val="center"/>
          </w:tcPr>
          <w:p w14:paraId="5020CDE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bl>
    <w:p w14:paraId="5127325B">
      <w:pPr>
        <w:pStyle w:val="24"/>
        <w:spacing w:line="460" w:lineRule="exact"/>
        <w:ind w:left="0"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2、报价评分（30分）（权值30%）：</w:t>
      </w:r>
    </w:p>
    <w:p w14:paraId="0D7417C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满足招标文件要求且投标报价最低的投标报价为评标基准价，其余投标人投标报价与该基准价对比，计算出商务报价评分值（保留小数2位）：</w:t>
      </w:r>
    </w:p>
    <w:p w14:paraId="0742D53A">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1）有效投标人的投标报价等于评标基准价时其报价分为满分（30分）；</w:t>
      </w:r>
    </w:p>
    <w:p w14:paraId="7DE8220F">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3C6497D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投标报价得分=（评分基准价/投标人投标报价）× 价格权值 ×100（保留小数2位）</w:t>
      </w:r>
    </w:p>
    <w:p w14:paraId="47308C3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3、有效投标人的综合得分为技术分和商务（报价）分的总和。</w:t>
      </w:r>
    </w:p>
    <w:p w14:paraId="5515AF06">
      <w:pPr>
        <w:spacing w:line="460" w:lineRule="exact"/>
        <w:ind w:firstLine="539" w:firstLineChars="245"/>
        <w:rPr>
          <w:rFonts w:ascii="新宋体" w:hAnsi="新宋体" w:eastAsia="新宋体"/>
          <w:color w:val="auto"/>
          <w:sz w:val="22"/>
          <w:szCs w:val="22"/>
          <w:highlight w:val="none"/>
          <w:lang w:val="zh-CN"/>
        </w:rPr>
      </w:pPr>
      <w:r>
        <w:rPr>
          <w:rFonts w:hint="eastAsia" w:ascii="新宋体" w:hAnsi="新宋体" w:eastAsia="新宋体"/>
          <w:color w:val="auto"/>
          <w:sz w:val="22"/>
          <w:szCs w:val="22"/>
          <w:highlight w:val="none"/>
          <w:lang w:val="zh-CN"/>
        </w:rPr>
        <w:t>根据</w:t>
      </w:r>
      <w:r>
        <w:rPr>
          <w:rFonts w:hint="eastAsia" w:ascii="新宋体" w:hAnsi="新宋体" w:eastAsia="新宋体" w:cs="新宋体"/>
          <w:color w:val="auto"/>
          <w:kern w:val="0"/>
          <w:sz w:val="22"/>
          <w:szCs w:val="22"/>
          <w:highlight w:val="none"/>
        </w:rPr>
        <w:t>《政府采购促进中小企业发展管理办法》（财库〔2020〕46号）、《财政部关于进一步加大政府采购支持中小企业力度的通知》（财库〔2022〕19号）、《浙江省财政厅关于进一步加大政府采购支持中小企业力度助力扎实稳住经济的通知》（浙财采监〔2022〕8号）等有关规定</w:t>
      </w:r>
      <w:r>
        <w:rPr>
          <w:rFonts w:hint="eastAsia" w:ascii="新宋体" w:hAnsi="新宋体" w:eastAsia="新宋体"/>
          <w:color w:val="auto"/>
          <w:sz w:val="22"/>
          <w:szCs w:val="22"/>
          <w:highlight w:val="none"/>
          <w:lang w:val="zh-CN"/>
        </w:rPr>
        <w:t>，对</w:t>
      </w:r>
      <w:r>
        <w:rPr>
          <w:rFonts w:hint="eastAsia" w:ascii="新宋体" w:hAnsi="新宋体" w:eastAsia="新宋体"/>
          <w:color w:val="auto"/>
          <w:sz w:val="22"/>
          <w:szCs w:val="22"/>
          <w:highlight w:val="none"/>
        </w:rPr>
        <w:t>货物类项目</w:t>
      </w:r>
      <w:r>
        <w:rPr>
          <w:rFonts w:hint="eastAsia" w:ascii="新宋体" w:hAnsi="新宋体" w:eastAsia="新宋体"/>
          <w:color w:val="auto"/>
          <w:sz w:val="22"/>
          <w:szCs w:val="22"/>
          <w:highlight w:val="none"/>
          <w:lang w:val="zh-CN"/>
        </w:rPr>
        <w:t>投标产品为小型或微型企业生产的，</w:t>
      </w:r>
      <w:r>
        <w:rPr>
          <w:rFonts w:hint="eastAsia" w:ascii="新宋体" w:hAnsi="新宋体" w:eastAsia="新宋体"/>
          <w:color w:val="auto"/>
          <w:sz w:val="22"/>
          <w:szCs w:val="22"/>
          <w:highlight w:val="none"/>
        </w:rPr>
        <w:t>工程、服务类项目由小型或微型企业承建、承接的</w:t>
      </w:r>
      <w:r>
        <w:rPr>
          <w:rFonts w:hint="eastAsia" w:ascii="新宋体" w:hAnsi="新宋体" w:eastAsia="新宋体"/>
          <w:color w:val="auto"/>
          <w:sz w:val="22"/>
          <w:szCs w:val="22"/>
          <w:highlight w:val="none"/>
          <w:lang w:val="zh-CN"/>
        </w:rPr>
        <w:t>，</w:t>
      </w:r>
      <w:r>
        <w:rPr>
          <w:rFonts w:hint="eastAsia" w:ascii="新宋体" w:hAnsi="新宋体" w:eastAsia="新宋体"/>
          <w:color w:val="auto"/>
          <w:sz w:val="22"/>
          <w:szCs w:val="22"/>
          <w:highlight w:val="none"/>
          <w:u w:val="single"/>
          <w:lang w:val="zh-CN"/>
        </w:rPr>
        <w:t>价格给予</w:t>
      </w:r>
      <w:r>
        <w:rPr>
          <w:rFonts w:hint="eastAsia" w:ascii="新宋体" w:hAnsi="新宋体" w:eastAsia="新宋体"/>
          <w:color w:val="auto"/>
          <w:sz w:val="22"/>
          <w:szCs w:val="22"/>
          <w:highlight w:val="none"/>
          <w:u w:val="single"/>
        </w:rPr>
        <w:t>10</w:t>
      </w:r>
      <w:r>
        <w:rPr>
          <w:rFonts w:hint="eastAsia" w:ascii="新宋体" w:hAnsi="新宋体" w:eastAsia="新宋体"/>
          <w:color w:val="auto"/>
          <w:sz w:val="22"/>
          <w:szCs w:val="22"/>
          <w:highlight w:val="none"/>
          <w:u w:val="single"/>
          <w:lang w:val="zh-CN"/>
        </w:rPr>
        <w:t>%的扣除</w:t>
      </w:r>
      <w:r>
        <w:rPr>
          <w:rFonts w:hint="eastAsia" w:ascii="新宋体" w:hAnsi="新宋体" w:eastAsia="新宋体"/>
          <w:color w:val="auto"/>
          <w:sz w:val="22"/>
          <w:szCs w:val="22"/>
          <w:highlight w:val="none"/>
          <w:lang w:val="zh-CN"/>
        </w:rPr>
        <w:t>，用扣除后的价格参与价格评分。</w:t>
      </w:r>
    </w:p>
    <w:p w14:paraId="1FE98EB5">
      <w:pPr>
        <w:spacing w:line="460" w:lineRule="exact"/>
        <w:ind w:firstLine="541" w:firstLineChars="245"/>
        <w:rPr>
          <w:rFonts w:ascii="新宋体" w:hAnsi="新宋体" w:eastAsia="新宋体"/>
          <w:b/>
          <w:bCs/>
          <w:color w:val="auto"/>
          <w:sz w:val="22"/>
          <w:szCs w:val="22"/>
          <w:highlight w:val="none"/>
          <w:lang w:val="zh-CN"/>
        </w:rPr>
      </w:pPr>
      <w:r>
        <w:rPr>
          <w:rFonts w:hint="eastAsia" w:ascii="新宋体" w:hAnsi="新宋体" w:eastAsia="新宋体"/>
          <w:b/>
          <w:bCs/>
          <w:color w:val="auto"/>
          <w:sz w:val="22"/>
          <w:szCs w:val="22"/>
          <w:highlight w:val="none"/>
          <w:lang w:val="zh-CN"/>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w:t>
      </w:r>
    </w:p>
    <w:p w14:paraId="1A22E9FE">
      <w:pPr>
        <w:spacing w:line="460" w:lineRule="exact"/>
        <w:ind w:firstLine="541" w:firstLineChars="245"/>
        <w:rPr>
          <w:rFonts w:ascii="新宋体" w:hAnsi="新宋体" w:eastAsia="新宋体"/>
          <w:b/>
          <w:bCs/>
          <w:color w:val="auto"/>
          <w:sz w:val="22"/>
          <w:szCs w:val="22"/>
          <w:highlight w:val="none"/>
          <w:lang w:val="zh-CN"/>
        </w:rPr>
      </w:pPr>
      <w:r>
        <w:rPr>
          <w:rFonts w:hint="eastAsia" w:ascii="新宋体" w:hAnsi="新宋体" w:eastAsia="新宋体"/>
          <w:b/>
          <w:bCs/>
          <w:color w:val="auto"/>
          <w:sz w:val="22"/>
          <w:szCs w:val="22"/>
          <w:highlight w:val="none"/>
          <w:lang w:val="zh-CN"/>
        </w:rPr>
        <w:t>联合体各方均为小型、微型企业的，联合体视同为小型、微型企业享受规定的扶持政策。</w:t>
      </w:r>
    </w:p>
    <w:p w14:paraId="4D14932D">
      <w:pPr>
        <w:spacing w:line="460" w:lineRule="exact"/>
        <w:ind w:firstLine="541" w:firstLineChars="245"/>
        <w:rPr>
          <w:rFonts w:ascii="新宋体" w:hAnsi="新宋体" w:eastAsia="新宋体"/>
          <w:b/>
          <w:bCs/>
          <w:color w:val="auto"/>
          <w:sz w:val="22"/>
          <w:szCs w:val="22"/>
          <w:highlight w:val="none"/>
          <w:lang w:val="zh-CN"/>
        </w:rPr>
      </w:pPr>
      <w:r>
        <w:rPr>
          <w:rFonts w:hint="eastAsia" w:ascii="新宋体" w:hAnsi="新宋体" w:eastAsia="新宋体"/>
          <w:b/>
          <w:bCs/>
          <w:color w:val="auto"/>
          <w:sz w:val="22"/>
          <w:szCs w:val="22"/>
          <w:highlight w:val="none"/>
          <w:lang w:val="zh-CN"/>
        </w:rPr>
        <w:t>组成联合体的大中型企业和其他自然人、法人或者其他组织，与小型、微型企业之间不得存在投资关系。</w:t>
      </w:r>
    </w:p>
    <w:p w14:paraId="1842EFDA">
      <w:pPr>
        <w:spacing w:line="460" w:lineRule="exact"/>
        <w:ind w:firstLine="541" w:firstLineChars="245"/>
        <w:rPr>
          <w:rFonts w:ascii="新宋体" w:hAnsi="新宋体" w:eastAsia="新宋体" w:cs="新宋体"/>
          <w:b/>
          <w:bCs/>
          <w:color w:val="auto"/>
          <w:sz w:val="22"/>
          <w:szCs w:val="22"/>
          <w:highlight w:val="none"/>
          <w:u w:val="single"/>
        </w:rPr>
      </w:pPr>
      <w:r>
        <w:rPr>
          <w:rFonts w:hint="eastAsia" w:ascii="新宋体" w:hAnsi="新宋体" w:eastAsia="新宋体"/>
          <w:b/>
          <w:bCs/>
          <w:color w:val="auto"/>
          <w:sz w:val="22"/>
          <w:szCs w:val="22"/>
          <w:highlight w:val="none"/>
          <w:lang w:val="zh-CN"/>
        </w:rPr>
        <w:t>监狱企业、</w:t>
      </w:r>
      <w:r>
        <w:rPr>
          <w:rFonts w:hint="eastAsia" w:ascii="宋体" w:hAnsi="宋体" w:cs="仿宋"/>
          <w:b/>
          <w:color w:val="auto"/>
          <w:sz w:val="22"/>
          <w:szCs w:val="22"/>
          <w:highlight w:val="none"/>
        </w:rPr>
        <w:t>残疾人福利性单位</w:t>
      </w:r>
      <w:r>
        <w:rPr>
          <w:rFonts w:hint="eastAsia" w:ascii="新宋体" w:hAnsi="新宋体" w:eastAsia="新宋体"/>
          <w:b/>
          <w:bCs/>
          <w:color w:val="auto"/>
          <w:sz w:val="22"/>
          <w:szCs w:val="22"/>
          <w:highlight w:val="none"/>
          <w:lang w:val="zh-CN"/>
        </w:rPr>
        <w:t>视同小微企业，其产品参加本项目投标的，享受小微企业同等的价格扣除。</w:t>
      </w:r>
    </w:p>
    <w:p w14:paraId="5A03C411">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437ABE70">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98DBB27">
      <w:pPr>
        <w:spacing w:line="460" w:lineRule="exact"/>
        <w:ind w:firstLine="541" w:firstLineChars="245"/>
        <w:outlineLvl w:val="1"/>
        <w:rPr>
          <w:rFonts w:ascii="宋体" w:hAnsi="宋体" w:cs="宋体"/>
          <w:b/>
          <w:bCs/>
          <w:color w:val="auto"/>
          <w:sz w:val="22"/>
          <w:szCs w:val="22"/>
          <w:highlight w:val="none"/>
        </w:rPr>
      </w:pPr>
      <w:bookmarkStart w:id="360" w:name="_Toc13268"/>
      <w:bookmarkStart w:id="361" w:name="_Toc4727"/>
      <w:bookmarkStart w:id="362" w:name="_Toc3647"/>
      <w:bookmarkStart w:id="363" w:name="_Toc18694"/>
      <w:bookmarkStart w:id="364" w:name="_Toc19345"/>
      <w:bookmarkStart w:id="365" w:name="_Toc31532"/>
      <w:bookmarkStart w:id="366" w:name="_Toc2482"/>
      <w:r>
        <w:rPr>
          <w:rFonts w:hint="eastAsia" w:ascii="宋体" w:hAnsi="宋体" w:cs="宋体"/>
          <w:b/>
          <w:bCs/>
          <w:color w:val="auto"/>
          <w:sz w:val="22"/>
          <w:szCs w:val="22"/>
          <w:highlight w:val="none"/>
        </w:rPr>
        <w:t>六、定标办法</w:t>
      </w:r>
      <w:bookmarkEnd w:id="360"/>
      <w:bookmarkEnd w:id="361"/>
      <w:bookmarkEnd w:id="362"/>
      <w:bookmarkEnd w:id="363"/>
      <w:bookmarkEnd w:id="364"/>
      <w:bookmarkEnd w:id="365"/>
      <w:bookmarkEnd w:id="366"/>
    </w:p>
    <w:p w14:paraId="47E41A9A">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14:paraId="00E8EF5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1.1由评标委员会确定中标候选人。</w:t>
      </w:r>
    </w:p>
    <w:p w14:paraId="62AC2AE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采购人推荐。</w:t>
      </w:r>
    </w:p>
    <w:p w14:paraId="76CE7D9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2、确定中标人</w:t>
      </w:r>
    </w:p>
    <w:p w14:paraId="3316A7E6">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2.1采购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3B283D9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2.2如中标人放弃中标；或未能在规定时间内与采购人签订合同的；或者经质疑，采购人审查后，确因排名第一的候选人在本次采购活动中存在违法违规行为或其他原因使质疑成立的，采购人可以视情况直接确定排名第二的候选人为中标人或重新组织招标。</w:t>
      </w:r>
    </w:p>
    <w:p w14:paraId="57304C8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中标人确定后，采购人将在指定媒体公告中标结果，采购人向中标人发出中标通知书。</w:t>
      </w:r>
    </w:p>
    <w:p w14:paraId="7A516BA5">
      <w:pPr>
        <w:spacing w:line="460" w:lineRule="exact"/>
        <w:ind w:firstLine="541" w:firstLineChars="245"/>
        <w:outlineLvl w:val="1"/>
        <w:rPr>
          <w:rFonts w:ascii="宋体" w:hAnsi="宋体" w:cs="宋体"/>
          <w:b/>
          <w:color w:val="auto"/>
          <w:sz w:val="22"/>
          <w:szCs w:val="22"/>
          <w:highlight w:val="none"/>
        </w:rPr>
      </w:pPr>
      <w:bookmarkStart w:id="367" w:name="_Toc13992"/>
      <w:bookmarkStart w:id="368" w:name="_Toc3629"/>
      <w:bookmarkStart w:id="369" w:name="_Toc24136"/>
      <w:bookmarkStart w:id="370" w:name="_Toc2652"/>
      <w:bookmarkStart w:id="371" w:name="_Toc19656"/>
      <w:bookmarkStart w:id="372" w:name="_Toc25361"/>
      <w:bookmarkStart w:id="373" w:name="_Toc17587"/>
      <w:r>
        <w:rPr>
          <w:rFonts w:hint="eastAsia" w:ascii="宋体" w:hAnsi="宋体" w:cs="宋体"/>
          <w:b/>
          <w:color w:val="auto"/>
          <w:sz w:val="22"/>
          <w:szCs w:val="22"/>
          <w:highlight w:val="none"/>
        </w:rPr>
        <w:t>七、投标人义务</w:t>
      </w:r>
      <w:bookmarkEnd w:id="367"/>
      <w:bookmarkEnd w:id="368"/>
      <w:bookmarkEnd w:id="369"/>
      <w:bookmarkEnd w:id="370"/>
      <w:bookmarkEnd w:id="371"/>
      <w:bookmarkEnd w:id="372"/>
      <w:bookmarkEnd w:id="373"/>
    </w:p>
    <w:p w14:paraId="0FD234DF">
      <w:pPr>
        <w:spacing w:line="460" w:lineRule="exact"/>
        <w:ind w:firstLine="539" w:firstLineChars="245"/>
        <w:rPr>
          <w:rFonts w:ascii="宋体" w:hAnsi="宋体" w:cs="宋体"/>
          <w:color w:val="auto"/>
          <w:highlight w:val="none"/>
        </w:rPr>
      </w:pPr>
      <w:r>
        <w:rPr>
          <w:rFonts w:hint="eastAsia" w:ascii="宋体" w:hAnsi="宋体" w:cs="宋体"/>
          <w:color w:val="auto"/>
          <w:sz w:val="22"/>
          <w:szCs w:val="22"/>
          <w:highlight w:val="none"/>
        </w:rPr>
        <w:t>投标人应随时接受评标委员会的询标，解答包括有关的商务、技术问题等。评标结束，所有评标资料存招标机构备查。</w:t>
      </w:r>
    </w:p>
    <w:p w14:paraId="202AE0BD">
      <w:pPr>
        <w:spacing w:line="460" w:lineRule="exact"/>
        <w:ind w:firstLine="539" w:firstLineChars="245"/>
        <w:rPr>
          <w:rFonts w:ascii="宋体" w:hAnsi="宋体" w:cs="宋体"/>
          <w:color w:val="auto"/>
          <w:sz w:val="22"/>
          <w:szCs w:val="22"/>
          <w:highlight w:val="none"/>
        </w:rPr>
      </w:pPr>
    </w:p>
    <w:sectPr>
      <w:headerReference r:id="rId6"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8485B">
    <w:pPr>
      <w:pStyle w:val="36"/>
      <w:jc w:val="center"/>
    </w:pPr>
    <w:r>
      <mc:AlternateContent>
        <mc:Choice Requires="wps">
          <w:drawing>
            <wp:anchor distT="0" distB="0" distL="114300" distR="114300" simplePos="0" relativeHeight="251659264" behindDoc="0" locked="0" layoutInCell="1" allowOverlap="1">
              <wp:simplePos x="0" y="0"/>
              <wp:positionH relativeFrom="margin">
                <wp:posOffset>2449830</wp:posOffset>
              </wp:positionH>
              <wp:positionV relativeFrom="paragraph">
                <wp:posOffset>0</wp:posOffset>
              </wp:positionV>
              <wp:extent cx="458470" cy="1828800"/>
              <wp:effectExtent l="0" t="0" r="0" b="0"/>
              <wp:wrapNone/>
              <wp:docPr id="2" name="文本框 3077"/>
              <wp:cNvGraphicFramePr/>
              <a:graphic xmlns:a="http://schemas.openxmlformats.org/drawingml/2006/main">
                <a:graphicData uri="http://schemas.microsoft.com/office/word/2010/wordprocessingShape">
                  <wps:wsp>
                    <wps:cNvSpPr txBox="1"/>
                    <wps:spPr>
                      <a:xfrm>
                        <a:off x="0" y="0"/>
                        <a:ext cx="458470" cy="1828800"/>
                      </a:xfrm>
                      <a:prstGeom prst="rect">
                        <a:avLst/>
                      </a:prstGeom>
                      <a:noFill/>
                      <a:ln w="15875">
                        <a:noFill/>
                      </a:ln>
                    </wps:spPr>
                    <wps:txbx>
                      <w:txbxContent>
                        <w:p w14:paraId="25DCAB57">
                          <w:pPr>
                            <w:pStyle w:val="3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txbxContent>
                    </wps:txbx>
                    <wps:bodyPr wrap="square" lIns="0" tIns="0" rIns="0" bIns="0">
                      <a:spAutoFit/>
                    </wps:bodyPr>
                  </wps:wsp>
                </a:graphicData>
              </a:graphic>
            </wp:anchor>
          </w:drawing>
        </mc:Choice>
        <mc:Fallback>
          <w:pict>
            <v:shape id="文本框 3077" o:spid="_x0000_s1026" o:spt="202" type="#_x0000_t202" style="position:absolute;left:0pt;margin-left:192.9pt;margin-top:0pt;height:144pt;width:36.1pt;mso-position-horizontal-relative:margin;z-index:251659264;mso-width-relative:page;mso-height-relative:page;" filled="f" stroked="f" coordsize="21600,21600" o:gfxdata="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aFoCY1wAAAAgBAAAPAAAAAAAAAAEAIAAA&#10;ACIAAABkcnMvZG93bnJldi54bWxQSwECFAAUAAAACACHTuJA3l282tQBAACbAwAADgAAAAAAAAAB&#10;ACAAAAAmAQAAZHJzL2Uyb0RvYy54bWxQSwUGAAAAAAYABgBZAQAAbAUAAAAA&#10;">
              <v:fill on="f" focussize="0,0"/>
              <v:stroke on="f" weight="1.25pt"/>
              <v:imagedata o:title=""/>
              <o:lock v:ext="edit" aspectratio="f"/>
              <v:textbox inset="0mm,0mm,0mm,0mm" style="mso-fit-shape-to-text:t;">
                <w:txbxContent>
                  <w:p w14:paraId="25DCAB57">
                    <w:pPr>
                      <w:pStyle w:val="3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txbxContent>
              </v:textbox>
            </v:shape>
          </w:pict>
        </mc:Fallback>
      </mc:AlternateContent>
    </w:r>
  </w:p>
  <w:p w14:paraId="2DBB9E7A">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FA4B9">
    <w:pPr>
      <w:pStyle w:val="37"/>
      <w:pBdr>
        <w:bottom w:val="single" w:color="auto" w:sz="6" w:space="0"/>
      </w:pBdr>
      <w:jc w:val="both"/>
    </w:pPr>
    <w:r>
      <w:rPr>
        <w:rFonts w:hint="eastAsia"/>
      </w:rPr>
      <w:t xml:space="preserve">温州医科大学招标文件                                                  项目编号：WMU-2024ZB936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182D">
    <w:pPr>
      <w:pStyle w:val="37"/>
      <w:pBdr>
        <w:bottom w:val="single" w:color="auto" w:sz="6" w:space="0"/>
      </w:pBdr>
      <w:jc w:val="both"/>
    </w:pPr>
    <w:r>
      <w:rPr>
        <w:rFonts w:hint="eastAsia"/>
      </w:rPr>
      <w:t xml:space="preserve">温州医科大学招标文件                                                  项目编号：WMU-2024ZB936  </w:t>
    </w:r>
  </w:p>
  <w:p w14:paraId="062465B2">
    <w:pPr>
      <w:pStyle w:val="3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276D1">
    <w:pPr>
      <w:pStyle w:val="37"/>
      <w:pBdr>
        <w:bottom w:val="single" w:color="auto" w:sz="4" w:space="1"/>
      </w:pBdr>
      <w:jc w:val="both"/>
    </w:pPr>
    <w:r>
      <w:rPr>
        <w:rFonts w:hint="eastAsia"/>
      </w:rPr>
      <w:t xml:space="preserve">温州医科大学招标文件                                                             项目编号：WMU-2024ZB936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0EE6B"/>
    <w:multiLevelType w:val="singleLevel"/>
    <w:tmpl w:val="B1C0EE6B"/>
    <w:lvl w:ilvl="0" w:tentative="0">
      <w:start w:val="5"/>
      <w:numFmt w:val="chineseCounting"/>
      <w:suff w:val="nothing"/>
      <w:lvlText w:val="%1、"/>
      <w:lvlJc w:val="left"/>
      <w:rPr>
        <w:rFonts w:hint="eastAsia"/>
      </w:rPr>
    </w:lvl>
  </w:abstractNum>
  <w:abstractNum w:abstractNumId="1">
    <w:nsid w:val="BAF9EC89"/>
    <w:multiLevelType w:val="singleLevel"/>
    <w:tmpl w:val="BAF9EC89"/>
    <w:lvl w:ilvl="0" w:tentative="0">
      <w:start w:val="1"/>
      <w:numFmt w:val="chineseCounting"/>
      <w:suff w:val="nothing"/>
      <w:lvlText w:val="（%1）"/>
      <w:lvlJc w:val="left"/>
      <w:rPr>
        <w:rFonts w:hint="eastAsia"/>
      </w:rPr>
    </w:lvl>
  </w:abstractNum>
  <w:abstractNum w:abstractNumId="2">
    <w:nsid w:val="CD31F181"/>
    <w:multiLevelType w:val="singleLevel"/>
    <w:tmpl w:val="CD31F181"/>
    <w:lvl w:ilvl="0" w:tentative="0">
      <w:start w:val="1"/>
      <w:numFmt w:val="decimal"/>
      <w:suff w:val="nothing"/>
      <w:lvlText w:val="%1、"/>
      <w:lvlJc w:val="left"/>
    </w:lvl>
  </w:abstractNum>
  <w:abstractNum w:abstractNumId="3">
    <w:nsid w:val="48675D29"/>
    <w:multiLevelType w:val="singleLevel"/>
    <w:tmpl w:val="48675D29"/>
    <w:lvl w:ilvl="0" w:tentative="0">
      <w:start w:val="9"/>
      <w:numFmt w:val="decimal"/>
      <w:suff w:val="nothing"/>
      <w:lvlText w:val="（%1）"/>
      <w:lvlJc w:val="left"/>
    </w:lvl>
  </w:abstractNum>
  <w:abstractNum w:abstractNumId="4">
    <w:nsid w:val="52D7A3B6"/>
    <w:multiLevelType w:val="singleLevel"/>
    <w:tmpl w:val="52D7A3B6"/>
    <w:lvl w:ilvl="0" w:tentative="0">
      <w:start w:val="1"/>
      <w:numFmt w:val="decimal"/>
      <w:suff w:val="nothing"/>
      <w:lvlText w:val="（%1）"/>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0NmYwMTIwOTRmM2U5ZmE5ZmRkOTg1NDdjYzQ4Y2QifQ=="/>
  </w:docVars>
  <w:rsids>
    <w:rsidRoot w:val="00172A27"/>
    <w:rsid w:val="0002229F"/>
    <w:rsid w:val="00025DC7"/>
    <w:rsid w:val="001330A2"/>
    <w:rsid w:val="001375C0"/>
    <w:rsid w:val="00172A27"/>
    <w:rsid w:val="0019455F"/>
    <w:rsid w:val="001D7D7C"/>
    <w:rsid w:val="003033AF"/>
    <w:rsid w:val="003A2A47"/>
    <w:rsid w:val="003B1E8D"/>
    <w:rsid w:val="003E6FB1"/>
    <w:rsid w:val="00467882"/>
    <w:rsid w:val="00475AAE"/>
    <w:rsid w:val="005736BA"/>
    <w:rsid w:val="0057485A"/>
    <w:rsid w:val="005978B8"/>
    <w:rsid w:val="005F0A4C"/>
    <w:rsid w:val="00605459"/>
    <w:rsid w:val="0063056E"/>
    <w:rsid w:val="006712ED"/>
    <w:rsid w:val="006F0BE0"/>
    <w:rsid w:val="00706719"/>
    <w:rsid w:val="00736F05"/>
    <w:rsid w:val="0074694C"/>
    <w:rsid w:val="0075479D"/>
    <w:rsid w:val="00767F98"/>
    <w:rsid w:val="0077607E"/>
    <w:rsid w:val="007953A3"/>
    <w:rsid w:val="007A5A00"/>
    <w:rsid w:val="008011C5"/>
    <w:rsid w:val="00824181"/>
    <w:rsid w:val="00872009"/>
    <w:rsid w:val="008C715B"/>
    <w:rsid w:val="008E3815"/>
    <w:rsid w:val="00944BC5"/>
    <w:rsid w:val="009D6EF6"/>
    <w:rsid w:val="009E4FBA"/>
    <w:rsid w:val="009F30F1"/>
    <w:rsid w:val="009F445E"/>
    <w:rsid w:val="00A95464"/>
    <w:rsid w:val="00B27F8D"/>
    <w:rsid w:val="00B61CE5"/>
    <w:rsid w:val="00B72974"/>
    <w:rsid w:val="00B75F10"/>
    <w:rsid w:val="00B90220"/>
    <w:rsid w:val="00BE7C5D"/>
    <w:rsid w:val="00C85187"/>
    <w:rsid w:val="00CA35F5"/>
    <w:rsid w:val="00CE261F"/>
    <w:rsid w:val="00D14C34"/>
    <w:rsid w:val="00D202C2"/>
    <w:rsid w:val="00D2033B"/>
    <w:rsid w:val="00D31581"/>
    <w:rsid w:val="00D95FAF"/>
    <w:rsid w:val="00DA24F1"/>
    <w:rsid w:val="00DB6D78"/>
    <w:rsid w:val="00DD141F"/>
    <w:rsid w:val="00DF49CA"/>
    <w:rsid w:val="00E230B2"/>
    <w:rsid w:val="00E348BC"/>
    <w:rsid w:val="00EC2597"/>
    <w:rsid w:val="00ED1E2A"/>
    <w:rsid w:val="00F2209D"/>
    <w:rsid w:val="00F42E54"/>
    <w:rsid w:val="00F505AC"/>
    <w:rsid w:val="00FA24F1"/>
    <w:rsid w:val="00FB7D84"/>
    <w:rsid w:val="00FC4656"/>
    <w:rsid w:val="00FC4F5E"/>
    <w:rsid w:val="011F6B26"/>
    <w:rsid w:val="012810B4"/>
    <w:rsid w:val="01372171"/>
    <w:rsid w:val="013F27ED"/>
    <w:rsid w:val="01416FEB"/>
    <w:rsid w:val="01444FC2"/>
    <w:rsid w:val="015277DC"/>
    <w:rsid w:val="015C42F3"/>
    <w:rsid w:val="017973E5"/>
    <w:rsid w:val="01BB610E"/>
    <w:rsid w:val="01F15D70"/>
    <w:rsid w:val="020E0E62"/>
    <w:rsid w:val="02241550"/>
    <w:rsid w:val="02437BF2"/>
    <w:rsid w:val="024A13AC"/>
    <w:rsid w:val="02614B1A"/>
    <w:rsid w:val="02755A09"/>
    <w:rsid w:val="028F54FF"/>
    <w:rsid w:val="02953272"/>
    <w:rsid w:val="02974AC8"/>
    <w:rsid w:val="029A7AFD"/>
    <w:rsid w:val="03002925"/>
    <w:rsid w:val="030F34B6"/>
    <w:rsid w:val="03104FB0"/>
    <w:rsid w:val="034A3564"/>
    <w:rsid w:val="034C70E3"/>
    <w:rsid w:val="03541CD8"/>
    <w:rsid w:val="035449CF"/>
    <w:rsid w:val="035E4655"/>
    <w:rsid w:val="03601F25"/>
    <w:rsid w:val="03756184"/>
    <w:rsid w:val="03973EA6"/>
    <w:rsid w:val="03B44E81"/>
    <w:rsid w:val="03E3512A"/>
    <w:rsid w:val="04113D07"/>
    <w:rsid w:val="04212E87"/>
    <w:rsid w:val="043053DA"/>
    <w:rsid w:val="044F4C88"/>
    <w:rsid w:val="04531FA4"/>
    <w:rsid w:val="04A51BAC"/>
    <w:rsid w:val="04B539BC"/>
    <w:rsid w:val="04CB22A6"/>
    <w:rsid w:val="05011E4D"/>
    <w:rsid w:val="050D4A5F"/>
    <w:rsid w:val="05241C5C"/>
    <w:rsid w:val="057C6E97"/>
    <w:rsid w:val="059B02C8"/>
    <w:rsid w:val="05A23DFD"/>
    <w:rsid w:val="05B54827"/>
    <w:rsid w:val="05E2749C"/>
    <w:rsid w:val="05E9329B"/>
    <w:rsid w:val="062A2873"/>
    <w:rsid w:val="06402525"/>
    <w:rsid w:val="070545E2"/>
    <w:rsid w:val="0705724E"/>
    <w:rsid w:val="073564AA"/>
    <w:rsid w:val="07453BEF"/>
    <w:rsid w:val="0747552D"/>
    <w:rsid w:val="07477178"/>
    <w:rsid w:val="07544F67"/>
    <w:rsid w:val="076E786E"/>
    <w:rsid w:val="077F0754"/>
    <w:rsid w:val="07995C3D"/>
    <w:rsid w:val="07B16BEF"/>
    <w:rsid w:val="07BA7187"/>
    <w:rsid w:val="07C30E4D"/>
    <w:rsid w:val="07E24498"/>
    <w:rsid w:val="07EF6B7E"/>
    <w:rsid w:val="07F43B72"/>
    <w:rsid w:val="07FF20A7"/>
    <w:rsid w:val="08186C61"/>
    <w:rsid w:val="082E6AED"/>
    <w:rsid w:val="08301451"/>
    <w:rsid w:val="0870649C"/>
    <w:rsid w:val="087972CF"/>
    <w:rsid w:val="08805ACF"/>
    <w:rsid w:val="089A0148"/>
    <w:rsid w:val="08A072E6"/>
    <w:rsid w:val="0908668B"/>
    <w:rsid w:val="09387F7D"/>
    <w:rsid w:val="093F28DD"/>
    <w:rsid w:val="09405F6A"/>
    <w:rsid w:val="096A7D94"/>
    <w:rsid w:val="096B25B6"/>
    <w:rsid w:val="096D3384"/>
    <w:rsid w:val="098C12EA"/>
    <w:rsid w:val="09C073F6"/>
    <w:rsid w:val="09DF00A6"/>
    <w:rsid w:val="0A2A628A"/>
    <w:rsid w:val="0A496C6B"/>
    <w:rsid w:val="0A4A4820"/>
    <w:rsid w:val="0A7022A3"/>
    <w:rsid w:val="0A703FAD"/>
    <w:rsid w:val="0A97481C"/>
    <w:rsid w:val="0AA85CD1"/>
    <w:rsid w:val="0AB92AB5"/>
    <w:rsid w:val="0AD96629"/>
    <w:rsid w:val="0AE3391E"/>
    <w:rsid w:val="0AEB534A"/>
    <w:rsid w:val="0AEC0A73"/>
    <w:rsid w:val="0B08561C"/>
    <w:rsid w:val="0B0F3B3C"/>
    <w:rsid w:val="0B1A73CC"/>
    <w:rsid w:val="0B793B03"/>
    <w:rsid w:val="0B7D2716"/>
    <w:rsid w:val="0B7D6DAE"/>
    <w:rsid w:val="0BCB14A3"/>
    <w:rsid w:val="0BD66F7F"/>
    <w:rsid w:val="0C015C4E"/>
    <w:rsid w:val="0C262886"/>
    <w:rsid w:val="0C272E0B"/>
    <w:rsid w:val="0C331F58"/>
    <w:rsid w:val="0C3A18FA"/>
    <w:rsid w:val="0C3D2E11"/>
    <w:rsid w:val="0C3F1CD5"/>
    <w:rsid w:val="0C710F12"/>
    <w:rsid w:val="0C8D5356"/>
    <w:rsid w:val="0C935463"/>
    <w:rsid w:val="0CBB2740"/>
    <w:rsid w:val="0CFD7670"/>
    <w:rsid w:val="0CFF7854"/>
    <w:rsid w:val="0D131EEF"/>
    <w:rsid w:val="0D1E6764"/>
    <w:rsid w:val="0D217569"/>
    <w:rsid w:val="0D3F34E2"/>
    <w:rsid w:val="0D452BE9"/>
    <w:rsid w:val="0D545189"/>
    <w:rsid w:val="0D677729"/>
    <w:rsid w:val="0D6B6185"/>
    <w:rsid w:val="0D7553C0"/>
    <w:rsid w:val="0D9715BA"/>
    <w:rsid w:val="0DB84DC7"/>
    <w:rsid w:val="0DE934ED"/>
    <w:rsid w:val="0DFC74A1"/>
    <w:rsid w:val="0E053600"/>
    <w:rsid w:val="0E48055A"/>
    <w:rsid w:val="0E892B37"/>
    <w:rsid w:val="0EB95367"/>
    <w:rsid w:val="0ECA1221"/>
    <w:rsid w:val="0ED10E9D"/>
    <w:rsid w:val="0EDE7AD9"/>
    <w:rsid w:val="0EDF69EB"/>
    <w:rsid w:val="0F2261B2"/>
    <w:rsid w:val="0F3754EB"/>
    <w:rsid w:val="0F5D2358"/>
    <w:rsid w:val="0F762C4A"/>
    <w:rsid w:val="0F79019B"/>
    <w:rsid w:val="0FBE1ECE"/>
    <w:rsid w:val="0FD36534"/>
    <w:rsid w:val="0FDF2AA2"/>
    <w:rsid w:val="0FE20A73"/>
    <w:rsid w:val="0FF42924"/>
    <w:rsid w:val="10003DE9"/>
    <w:rsid w:val="100376D9"/>
    <w:rsid w:val="1006133A"/>
    <w:rsid w:val="104211F7"/>
    <w:rsid w:val="106B1AC3"/>
    <w:rsid w:val="106F71AB"/>
    <w:rsid w:val="1092654A"/>
    <w:rsid w:val="10B31D1B"/>
    <w:rsid w:val="10C12337"/>
    <w:rsid w:val="10C47A4A"/>
    <w:rsid w:val="10C928E0"/>
    <w:rsid w:val="10D90315"/>
    <w:rsid w:val="10E536D5"/>
    <w:rsid w:val="1126516A"/>
    <w:rsid w:val="11B36134"/>
    <w:rsid w:val="11BF4CAB"/>
    <w:rsid w:val="11C43551"/>
    <w:rsid w:val="11DF71C9"/>
    <w:rsid w:val="120D4517"/>
    <w:rsid w:val="122311E2"/>
    <w:rsid w:val="125257CA"/>
    <w:rsid w:val="1286509F"/>
    <w:rsid w:val="12AF7CF6"/>
    <w:rsid w:val="12B60843"/>
    <w:rsid w:val="12D637BE"/>
    <w:rsid w:val="12DA4BE2"/>
    <w:rsid w:val="12F01674"/>
    <w:rsid w:val="12FA6151"/>
    <w:rsid w:val="131266F0"/>
    <w:rsid w:val="133178BA"/>
    <w:rsid w:val="13580201"/>
    <w:rsid w:val="13635613"/>
    <w:rsid w:val="13A90F03"/>
    <w:rsid w:val="13BE6268"/>
    <w:rsid w:val="13C93111"/>
    <w:rsid w:val="13D34030"/>
    <w:rsid w:val="13FF7A53"/>
    <w:rsid w:val="1407509A"/>
    <w:rsid w:val="143652C2"/>
    <w:rsid w:val="144012B7"/>
    <w:rsid w:val="14842E95"/>
    <w:rsid w:val="14EB1A29"/>
    <w:rsid w:val="14F95557"/>
    <w:rsid w:val="150B2E49"/>
    <w:rsid w:val="15150E31"/>
    <w:rsid w:val="152F1721"/>
    <w:rsid w:val="1573652E"/>
    <w:rsid w:val="15897A85"/>
    <w:rsid w:val="159E4E04"/>
    <w:rsid w:val="15C216B2"/>
    <w:rsid w:val="15D53A02"/>
    <w:rsid w:val="15E94B40"/>
    <w:rsid w:val="15E96100"/>
    <w:rsid w:val="15F3003D"/>
    <w:rsid w:val="16075434"/>
    <w:rsid w:val="161A56A4"/>
    <w:rsid w:val="163004AD"/>
    <w:rsid w:val="16630751"/>
    <w:rsid w:val="166E0962"/>
    <w:rsid w:val="167F5567"/>
    <w:rsid w:val="1693619A"/>
    <w:rsid w:val="16AA3642"/>
    <w:rsid w:val="16F94DEE"/>
    <w:rsid w:val="170A2C33"/>
    <w:rsid w:val="171B618B"/>
    <w:rsid w:val="173739A8"/>
    <w:rsid w:val="174709EC"/>
    <w:rsid w:val="175F4275"/>
    <w:rsid w:val="178779AC"/>
    <w:rsid w:val="17981ED7"/>
    <w:rsid w:val="17B9696A"/>
    <w:rsid w:val="17D66CEA"/>
    <w:rsid w:val="18053987"/>
    <w:rsid w:val="1826131F"/>
    <w:rsid w:val="18271D4B"/>
    <w:rsid w:val="1861279C"/>
    <w:rsid w:val="18642035"/>
    <w:rsid w:val="186C3AF5"/>
    <w:rsid w:val="1877210B"/>
    <w:rsid w:val="18D04684"/>
    <w:rsid w:val="18DA5364"/>
    <w:rsid w:val="18E109AB"/>
    <w:rsid w:val="18E64FD6"/>
    <w:rsid w:val="19257F5C"/>
    <w:rsid w:val="194B0024"/>
    <w:rsid w:val="194D1E03"/>
    <w:rsid w:val="196210F5"/>
    <w:rsid w:val="19642DC0"/>
    <w:rsid w:val="196868F5"/>
    <w:rsid w:val="196E79CE"/>
    <w:rsid w:val="198E61C9"/>
    <w:rsid w:val="19EC27FE"/>
    <w:rsid w:val="1A1071C9"/>
    <w:rsid w:val="1A340690"/>
    <w:rsid w:val="1A8861D5"/>
    <w:rsid w:val="1A8E4AD8"/>
    <w:rsid w:val="1AF759DC"/>
    <w:rsid w:val="1B43291B"/>
    <w:rsid w:val="1B4643E1"/>
    <w:rsid w:val="1BBB665B"/>
    <w:rsid w:val="1BF57F17"/>
    <w:rsid w:val="1C1F574B"/>
    <w:rsid w:val="1C237506"/>
    <w:rsid w:val="1C2568C9"/>
    <w:rsid w:val="1C32098C"/>
    <w:rsid w:val="1C3705CD"/>
    <w:rsid w:val="1C420BEA"/>
    <w:rsid w:val="1C6F7740"/>
    <w:rsid w:val="1C794E77"/>
    <w:rsid w:val="1C8D151D"/>
    <w:rsid w:val="1C9660BA"/>
    <w:rsid w:val="1CAA5871"/>
    <w:rsid w:val="1CB50CD3"/>
    <w:rsid w:val="1CBE4C52"/>
    <w:rsid w:val="1CD86210"/>
    <w:rsid w:val="1CD94F00"/>
    <w:rsid w:val="1CDA36AB"/>
    <w:rsid w:val="1CE16994"/>
    <w:rsid w:val="1D042D5C"/>
    <w:rsid w:val="1D07422E"/>
    <w:rsid w:val="1D2031B4"/>
    <w:rsid w:val="1D31465B"/>
    <w:rsid w:val="1D4D4E89"/>
    <w:rsid w:val="1D840887"/>
    <w:rsid w:val="1D984AA7"/>
    <w:rsid w:val="1DC96A5B"/>
    <w:rsid w:val="1DCC2305"/>
    <w:rsid w:val="1DE72054"/>
    <w:rsid w:val="1DE8273A"/>
    <w:rsid w:val="1E2817C0"/>
    <w:rsid w:val="1E4235E0"/>
    <w:rsid w:val="1E532BCB"/>
    <w:rsid w:val="1E694D77"/>
    <w:rsid w:val="1EA0401F"/>
    <w:rsid w:val="1EC1289C"/>
    <w:rsid w:val="1EC85D86"/>
    <w:rsid w:val="1ED406AD"/>
    <w:rsid w:val="1EDF5DFF"/>
    <w:rsid w:val="1EFF1D12"/>
    <w:rsid w:val="1F0115E6"/>
    <w:rsid w:val="1F400D45"/>
    <w:rsid w:val="1F5B0E3C"/>
    <w:rsid w:val="1F69425B"/>
    <w:rsid w:val="1F812736"/>
    <w:rsid w:val="1F997D08"/>
    <w:rsid w:val="1F9A0B7D"/>
    <w:rsid w:val="1FAD00B8"/>
    <w:rsid w:val="1FC638E1"/>
    <w:rsid w:val="1FC740F3"/>
    <w:rsid w:val="1FCE5ADD"/>
    <w:rsid w:val="1FD32D30"/>
    <w:rsid w:val="1FE57748"/>
    <w:rsid w:val="20077099"/>
    <w:rsid w:val="200D6F47"/>
    <w:rsid w:val="20125A90"/>
    <w:rsid w:val="201C6E50"/>
    <w:rsid w:val="2028604D"/>
    <w:rsid w:val="203C74A5"/>
    <w:rsid w:val="2053359A"/>
    <w:rsid w:val="20DC5417"/>
    <w:rsid w:val="210407C2"/>
    <w:rsid w:val="2125593E"/>
    <w:rsid w:val="21365423"/>
    <w:rsid w:val="213A4458"/>
    <w:rsid w:val="213D35C4"/>
    <w:rsid w:val="219465A8"/>
    <w:rsid w:val="21A572BA"/>
    <w:rsid w:val="22273C78"/>
    <w:rsid w:val="22611515"/>
    <w:rsid w:val="2266158B"/>
    <w:rsid w:val="227472EC"/>
    <w:rsid w:val="22953CD1"/>
    <w:rsid w:val="22BC2FE9"/>
    <w:rsid w:val="23093AA8"/>
    <w:rsid w:val="238610A7"/>
    <w:rsid w:val="2387736F"/>
    <w:rsid w:val="239BBA44"/>
    <w:rsid w:val="23A07A94"/>
    <w:rsid w:val="24003A9F"/>
    <w:rsid w:val="24327716"/>
    <w:rsid w:val="244A4713"/>
    <w:rsid w:val="244E0E93"/>
    <w:rsid w:val="24C10CA1"/>
    <w:rsid w:val="24D10F97"/>
    <w:rsid w:val="25001CA1"/>
    <w:rsid w:val="25133EC3"/>
    <w:rsid w:val="25203D1B"/>
    <w:rsid w:val="253F1B87"/>
    <w:rsid w:val="25831E3A"/>
    <w:rsid w:val="25BC27B3"/>
    <w:rsid w:val="25C15516"/>
    <w:rsid w:val="25D961F9"/>
    <w:rsid w:val="25DC45DF"/>
    <w:rsid w:val="26067BCA"/>
    <w:rsid w:val="26245372"/>
    <w:rsid w:val="264B1EE2"/>
    <w:rsid w:val="264B6355"/>
    <w:rsid w:val="264C07F6"/>
    <w:rsid w:val="265C22FB"/>
    <w:rsid w:val="26627459"/>
    <w:rsid w:val="26BB5760"/>
    <w:rsid w:val="26C413CE"/>
    <w:rsid w:val="26D15A67"/>
    <w:rsid w:val="26DE4C51"/>
    <w:rsid w:val="26F84ED3"/>
    <w:rsid w:val="26FD49E5"/>
    <w:rsid w:val="27177B5F"/>
    <w:rsid w:val="27215E15"/>
    <w:rsid w:val="273374C3"/>
    <w:rsid w:val="27352E0C"/>
    <w:rsid w:val="27691FEB"/>
    <w:rsid w:val="276C2A47"/>
    <w:rsid w:val="27753BB8"/>
    <w:rsid w:val="27995126"/>
    <w:rsid w:val="27D822AE"/>
    <w:rsid w:val="27FB6EF7"/>
    <w:rsid w:val="280B7BBA"/>
    <w:rsid w:val="28271C94"/>
    <w:rsid w:val="286607D4"/>
    <w:rsid w:val="28AB52FD"/>
    <w:rsid w:val="28B700EB"/>
    <w:rsid w:val="28BB1CFA"/>
    <w:rsid w:val="28C93469"/>
    <w:rsid w:val="28F039B6"/>
    <w:rsid w:val="29007903"/>
    <w:rsid w:val="291E3312"/>
    <w:rsid w:val="294C745E"/>
    <w:rsid w:val="299A46A2"/>
    <w:rsid w:val="29A2742D"/>
    <w:rsid w:val="29C05EFF"/>
    <w:rsid w:val="29C1387D"/>
    <w:rsid w:val="2A0540EB"/>
    <w:rsid w:val="2A450970"/>
    <w:rsid w:val="2A4B75E1"/>
    <w:rsid w:val="2A542FA4"/>
    <w:rsid w:val="2A8E2C92"/>
    <w:rsid w:val="2A8F75F4"/>
    <w:rsid w:val="2A9A167B"/>
    <w:rsid w:val="2AEC78EA"/>
    <w:rsid w:val="2AF00FDF"/>
    <w:rsid w:val="2B165412"/>
    <w:rsid w:val="2B536385"/>
    <w:rsid w:val="2B8E438A"/>
    <w:rsid w:val="2B955CE5"/>
    <w:rsid w:val="2BA43086"/>
    <w:rsid w:val="2BA44C1F"/>
    <w:rsid w:val="2BB86970"/>
    <w:rsid w:val="2BC479C2"/>
    <w:rsid w:val="2BE760A3"/>
    <w:rsid w:val="2BEC7E2C"/>
    <w:rsid w:val="2BF0173C"/>
    <w:rsid w:val="2C1D7843"/>
    <w:rsid w:val="2C242D48"/>
    <w:rsid w:val="2C294F8C"/>
    <w:rsid w:val="2C345177"/>
    <w:rsid w:val="2C4C6FDD"/>
    <w:rsid w:val="2C5C384A"/>
    <w:rsid w:val="2C6B6A7F"/>
    <w:rsid w:val="2CAA6184"/>
    <w:rsid w:val="2CAE3665"/>
    <w:rsid w:val="2CE12422"/>
    <w:rsid w:val="2D067826"/>
    <w:rsid w:val="2D0C2EEA"/>
    <w:rsid w:val="2D2507C8"/>
    <w:rsid w:val="2D3622E0"/>
    <w:rsid w:val="2D391DD0"/>
    <w:rsid w:val="2D4E6221"/>
    <w:rsid w:val="2D504D62"/>
    <w:rsid w:val="2D6B4B28"/>
    <w:rsid w:val="2DFF4A83"/>
    <w:rsid w:val="2E122008"/>
    <w:rsid w:val="2E180D7A"/>
    <w:rsid w:val="2E2E2168"/>
    <w:rsid w:val="2E40448B"/>
    <w:rsid w:val="2E6F4D13"/>
    <w:rsid w:val="2EC861BD"/>
    <w:rsid w:val="2ED266D6"/>
    <w:rsid w:val="2F025B51"/>
    <w:rsid w:val="2F032CD9"/>
    <w:rsid w:val="2F5479BA"/>
    <w:rsid w:val="2F652DBB"/>
    <w:rsid w:val="2F6C589B"/>
    <w:rsid w:val="2FC87C04"/>
    <w:rsid w:val="30127895"/>
    <w:rsid w:val="30253D18"/>
    <w:rsid w:val="304618DE"/>
    <w:rsid w:val="304E56F7"/>
    <w:rsid w:val="30D00A85"/>
    <w:rsid w:val="311F6DD1"/>
    <w:rsid w:val="31280E5F"/>
    <w:rsid w:val="315C0464"/>
    <w:rsid w:val="317E778D"/>
    <w:rsid w:val="31A46759"/>
    <w:rsid w:val="31A729C5"/>
    <w:rsid w:val="31AC33EA"/>
    <w:rsid w:val="31FD5F2E"/>
    <w:rsid w:val="32314873"/>
    <w:rsid w:val="32556035"/>
    <w:rsid w:val="32572E2A"/>
    <w:rsid w:val="32A06764"/>
    <w:rsid w:val="32A12700"/>
    <w:rsid w:val="32B42BC5"/>
    <w:rsid w:val="32B703C5"/>
    <w:rsid w:val="32D5578E"/>
    <w:rsid w:val="331B051A"/>
    <w:rsid w:val="332A470C"/>
    <w:rsid w:val="333E0AA9"/>
    <w:rsid w:val="33492157"/>
    <w:rsid w:val="334D54A5"/>
    <w:rsid w:val="33594892"/>
    <w:rsid w:val="338C350C"/>
    <w:rsid w:val="33A725A4"/>
    <w:rsid w:val="33DF5176"/>
    <w:rsid w:val="33E96E13"/>
    <w:rsid w:val="34104E5F"/>
    <w:rsid w:val="341C76D3"/>
    <w:rsid w:val="342F1C9A"/>
    <w:rsid w:val="343A07D4"/>
    <w:rsid w:val="343F797A"/>
    <w:rsid w:val="34592F90"/>
    <w:rsid w:val="3472746F"/>
    <w:rsid w:val="34AB08B2"/>
    <w:rsid w:val="34CD2882"/>
    <w:rsid w:val="34F32C75"/>
    <w:rsid w:val="34F7608F"/>
    <w:rsid w:val="352441F3"/>
    <w:rsid w:val="352F238C"/>
    <w:rsid w:val="353A62AA"/>
    <w:rsid w:val="354E6AA6"/>
    <w:rsid w:val="3561697A"/>
    <w:rsid w:val="359039E0"/>
    <w:rsid w:val="359C5E8A"/>
    <w:rsid w:val="360C55AE"/>
    <w:rsid w:val="361B6F0C"/>
    <w:rsid w:val="362D24BD"/>
    <w:rsid w:val="367F3CF4"/>
    <w:rsid w:val="368173F8"/>
    <w:rsid w:val="3693324F"/>
    <w:rsid w:val="369FE906"/>
    <w:rsid w:val="36B81822"/>
    <w:rsid w:val="36CC5A63"/>
    <w:rsid w:val="36DD4630"/>
    <w:rsid w:val="36E21805"/>
    <w:rsid w:val="36EC2369"/>
    <w:rsid w:val="375F7D75"/>
    <w:rsid w:val="376EB343"/>
    <w:rsid w:val="3790271A"/>
    <w:rsid w:val="37A9022D"/>
    <w:rsid w:val="37AC2C61"/>
    <w:rsid w:val="37BF3380"/>
    <w:rsid w:val="37BF8F28"/>
    <w:rsid w:val="37EA6A6A"/>
    <w:rsid w:val="38091819"/>
    <w:rsid w:val="380E4F1F"/>
    <w:rsid w:val="3811327A"/>
    <w:rsid w:val="38262013"/>
    <w:rsid w:val="38432EAC"/>
    <w:rsid w:val="384A0536"/>
    <w:rsid w:val="38930D40"/>
    <w:rsid w:val="3906602A"/>
    <w:rsid w:val="39213268"/>
    <w:rsid w:val="39617AB4"/>
    <w:rsid w:val="39CD32B0"/>
    <w:rsid w:val="3A124335"/>
    <w:rsid w:val="3A265859"/>
    <w:rsid w:val="3A9C4BBA"/>
    <w:rsid w:val="3A9F2513"/>
    <w:rsid w:val="3AAD5BAB"/>
    <w:rsid w:val="3AB07AF3"/>
    <w:rsid w:val="3AC72086"/>
    <w:rsid w:val="3AC751D2"/>
    <w:rsid w:val="3AF25758"/>
    <w:rsid w:val="3B3E6753"/>
    <w:rsid w:val="3B5C2617"/>
    <w:rsid w:val="3BBF1028"/>
    <w:rsid w:val="3BF93AB6"/>
    <w:rsid w:val="3C0C7345"/>
    <w:rsid w:val="3C1425E4"/>
    <w:rsid w:val="3C3E6F24"/>
    <w:rsid w:val="3C7D7C99"/>
    <w:rsid w:val="3C8E5B9D"/>
    <w:rsid w:val="3C9B1352"/>
    <w:rsid w:val="3CC5239C"/>
    <w:rsid w:val="3CFA03A0"/>
    <w:rsid w:val="3D380096"/>
    <w:rsid w:val="3D4C0BB6"/>
    <w:rsid w:val="3D507557"/>
    <w:rsid w:val="3D585B11"/>
    <w:rsid w:val="3D5E1585"/>
    <w:rsid w:val="3D6669E6"/>
    <w:rsid w:val="3D7409E0"/>
    <w:rsid w:val="3D755F99"/>
    <w:rsid w:val="3D7A2502"/>
    <w:rsid w:val="3DB226DA"/>
    <w:rsid w:val="3DD705A5"/>
    <w:rsid w:val="3DF66F91"/>
    <w:rsid w:val="3E0A6B94"/>
    <w:rsid w:val="3E3A38EF"/>
    <w:rsid w:val="3E4C63DD"/>
    <w:rsid w:val="3E59117D"/>
    <w:rsid w:val="3EA13331"/>
    <w:rsid w:val="3EC12A78"/>
    <w:rsid w:val="3EDD4A14"/>
    <w:rsid w:val="3EFC3198"/>
    <w:rsid w:val="3EFD35FC"/>
    <w:rsid w:val="3F1C67B3"/>
    <w:rsid w:val="3F4C7741"/>
    <w:rsid w:val="3F4E0AF4"/>
    <w:rsid w:val="3F6131BF"/>
    <w:rsid w:val="3F631D44"/>
    <w:rsid w:val="3F87161D"/>
    <w:rsid w:val="3FC22A30"/>
    <w:rsid w:val="3FC245C5"/>
    <w:rsid w:val="3FCB1275"/>
    <w:rsid w:val="3FF43235"/>
    <w:rsid w:val="3FF45099"/>
    <w:rsid w:val="401D6D4D"/>
    <w:rsid w:val="40254781"/>
    <w:rsid w:val="403060F0"/>
    <w:rsid w:val="40A065BD"/>
    <w:rsid w:val="40AB39E0"/>
    <w:rsid w:val="40B3401B"/>
    <w:rsid w:val="40BC5D48"/>
    <w:rsid w:val="40E718C2"/>
    <w:rsid w:val="40F44108"/>
    <w:rsid w:val="40FF1F62"/>
    <w:rsid w:val="4197782B"/>
    <w:rsid w:val="41A3018B"/>
    <w:rsid w:val="41A535AA"/>
    <w:rsid w:val="41AA34F2"/>
    <w:rsid w:val="41E16A27"/>
    <w:rsid w:val="41EC0D67"/>
    <w:rsid w:val="4237178D"/>
    <w:rsid w:val="4241137D"/>
    <w:rsid w:val="429C1435"/>
    <w:rsid w:val="42E16EB3"/>
    <w:rsid w:val="42E34762"/>
    <w:rsid w:val="42E94B51"/>
    <w:rsid w:val="431300AC"/>
    <w:rsid w:val="4314169A"/>
    <w:rsid w:val="432705CC"/>
    <w:rsid w:val="434004A6"/>
    <w:rsid w:val="43470FC4"/>
    <w:rsid w:val="435A06C4"/>
    <w:rsid w:val="4364538A"/>
    <w:rsid w:val="43665A5C"/>
    <w:rsid w:val="436A0E5F"/>
    <w:rsid w:val="436A5C58"/>
    <w:rsid w:val="439D783D"/>
    <w:rsid w:val="439F1B8F"/>
    <w:rsid w:val="43AF4742"/>
    <w:rsid w:val="43B8313D"/>
    <w:rsid w:val="440202B5"/>
    <w:rsid w:val="4431337C"/>
    <w:rsid w:val="443644DA"/>
    <w:rsid w:val="444730A2"/>
    <w:rsid w:val="44473503"/>
    <w:rsid w:val="444A72BB"/>
    <w:rsid w:val="44587DBF"/>
    <w:rsid w:val="446D0F76"/>
    <w:rsid w:val="449F563D"/>
    <w:rsid w:val="44BB1973"/>
    <w:rsid w:val="44E57F64"/>
    <w:rsid w:val="44EB0D5C"/>
    <w:rsid w:val="44FE278B"/>
    <w:rsid w:val="45025959"/>
    <w:rsid w:val="4555322C"/>
    <w:rsid w:val="456C41D2"/>
    <w:rsid w:val="45714C61"/>
    <w:rsid w:val="458F25B2"/>
    <w:rsid w:val="45926E86"/>
    <w:rsid w:val="45AE7BDE"/>
    <w:rsid w:val="45EE76B2"/>
    <w:rsid w:val="46544D63"/>
    <w:rsid w:val="46840369"/>
    <w:rsid w:val="469461AE"/>
    <w:rsid w:val="46990B0B"/>
    <w:rsid w:val="46C96D69"/>
    <w:rsid w:val="46CD7FE0"/>
    <w:rsid w:val="470671AC"/>
    <w:rsid w:val="47166DC7"/>
    <w:rsid w:val="47782AC4"/>
    <w:rsid w:val="47AB6627"/>
    <w:rsid w:val="47C05CA9"/>
    <w:rsid w:val="47F354E7"/>
    <w:rsid w:val="48392FEA"/>
    <w:rsid w:val="48396CD0"/>
    <w:rsid w:val="48531B40"/>
    <w:rsid w:val="485E1B03"/>
    <w:rsid w:val="48690867"/>
    <w:rsid w:val="488C61D2"/>
    <w:rsid w:val="48965ED0"/>
    <w:rsid w:val="48991014"/>
    <w:rsid w:val="489C2525"/>
    <w:rsid w:val="48DF1DC3"/>
    <w:rsid w:val="48EF319B"/>
    <w:rsid w:val="48EF714D"/>
    <w:rsid w:val="491E147D"/>
    <w:rsid w:val="4924281B"/>
    <w:rsid w:val="49321AAF"/>
    <w:rsid w:val="494B4C4F"/>
    <w:rsid w:val="494F75D6"/>
    <w:rsid w:val="495D5814"/>
    <w:rsid w:val="495F69C1"/>
    <w:rsid w:val="496559B2"/>
    <w:rsid w:val="496770E4"/>
    <w:rsid w:val="49AC2396"/>
    <w:rsid w:val="49AD3D5C"/>
    <w:rsid w:val="49C56596"/>
    <w:rsid w:val="4A2138A6"/>
    <w:rsid w:val="4A2867C8"/>
    <w:rsid w:val="4A48022F"/>
    <w:rsid w:val="4A5E6550"/>
    <w:rsid w:val="4A7103C0"/>
    <w:rsid w:val="4A7D7970"/>
    <w:rsid w:val="4ABF2E3F"/>
    <w:rsid w:val="4AC8014A"/>
    <w:rsid w:val="4AE419A1"/>
    <w:rsid w:val="4AEC71C1"/>
    <w:rsid w:val="4AFF0413"/>
    <w:rsid w:val="4B066AD1"/>
    <w:rsid w:val="4B70026E"/>
    <w:rsid w:val="4BBA1EA3"/>
    <w:rsid w:val="4C227943"/>
    <w:rsid w:val="4C9778E8"/>
    <w:rsid w:val="4C9F2852"/>
    <w:rsid w:val="4CB27F58"/>
    <w:rsid w:val="4CB92ABE"/>
    <w:rsid w:val="4CCC6242"/>
    <w:rsid w:val="4CE612F9"/>
    <w:rsid w:val="4D0900C6"/>
    <w:rsid w:val="4D096E8F"/>
    <w:rsid w:val="4D2E48C1"/>
    <w:rsid w:val="4D3413B0"/>
    <w:rsid w:val="4D653CC4"/>
    <w:rsid w:val="4D6F4EDD"/>
    <w:rsid w:val="4D854E1E"/>
    <w:rsid w:val="4DA145FE"/>
    <w:rsid w:val="4DCF60C5"/>
    <w:rsid w:val="4E103A51"/>
    <w:rsid w:val="4E1C751D"/>
    <w:rsid w:val="4E2A36E9"/>
    <w:rsid w:val="4E2C41C7"/>
    <w:rsid w:val="4E4671B8"/>
    <w:rsid w:val="4E522D0C"/>
    <w:rsid w:val="4EB44BE7"/>
    <w:rsid w:val="4F105740"/>
    <w:rsid w:val="4F3717BD"/>
    <w:rsid w:val="4F5F021D"/>
    <w:rsid w:val="4F610FB8"/>
    <w:rsid w:val="4F645A5D"/>
    <w:rsid w:val="4FD84E79"/>
    <w:rsid w:val="4FDC39DC"/>
    <w:rsid w:val="4FDF2870"/>
    <w:rsid w:val="50132220"/>
    <w:rsid w:val="5026426A"/>
    <w:rsid w:val="502C38B9"/>
    <w:rsid w:val="50445F58"/>
    <w:rsid w:val="504A26F6"/>
    <w:rsid w:val="504F2B7C"/>
    <w:rsid w:val="50750D8C"/>
    <w:rsid w:val="50A456F9"/>
    <w:rsid w:val="50E50AC2"/>
    <w:rsid w:val="50F37CB3"/>
    <w:rsid w:val="51022393"/>
    <w:rsid w:val="510961FA"/>
    <w:rsid w:val="51256C9D"/>
    <w:rsid w:val="5134433D"/>
    <w:rsid w:val="514915AE"/>
    <w:rsid w:val="51622499"/>
    <w:rsid w:val="51703763"/>
    <w:rsid w:val="519A7D87"/>
    <w:rsid w:val="51A5075C"/>
    <w:rsid w:val="51AC33C5"/>
    <w:rsid w:val="51AF57C6"/>
    <w:rsid w:val="51D91B03"/>
    <w:rsid w:val="523562A6"/>
    <w:rsid w:val="52381C50"/>
    <w:rsid w:val="524A562E"/>
    <w:rsid w:val="52601278"/>
    <w:rsid w:val="5288376A"/>
    <w:rsid w:val="52C32C39"/>
    <w:rsid w:val="52D474B8"/>
    <w:rsid w:val="52DD1C78"/>
    <w:rsid w:val="52ED05BC"/>
    <w:rsid w:val="52F512FA"/>
    <w:rsid w:val="5319496F"/>
    <w:rsid w:val="531F2B83"/>
    <w:rsid w:val="532F30EC"/>
    <w:rsid w:val="533711EA"/>
    <w:rsid w:val="53567BEF"/>
    <w:rsid w:val="53576E60"/>
    <w:rsid w:val="53816B21"/>
    <w:rsid w:val="53987113"/>
    <w:rsid w:val="53B319B5"/>
    <w:rsid w:val="54421A1B"/>
    <w:rsid w:val="5449107B"/>
    <w:rsid w:val="544B29D0"/>
    <w:rsid w:val="544C52F5"/>
    <w:rsid w:val="54E95147"/>
    <w:rsid w:val="550D2648"/>
    <w:rsid w:val="55712821"/>
    <w:rsid w:val="559E2EBF"/>
    <w:rsid w:val="55A1413E"/>
    <w:rsid w:val="55CA584F"/>
    <w:rsid w:val="55E97EAE"/>
    <w:rsid w:val="55EB6283"/>
    <w:rsid w:val="55FD7B2E"/>
    <w:rsid w:val="560517F8"/>
    <w:rsid w:val="561305EC"/>
    <w:rsid w:val="56241695"/>
    <w:rsid w:val="562B0B73"/>
    <w:rsid w:val="562B1343"/>
    <w:rsid w:val="5651208F"/>
    <w:rsid w:val="5689563B"/>
    <w:rsid w:val="56B8479E"/>
    <w:rsid w:val="56BB2D2F"/>
    <w:rsid w:val="56C3708C"/>
    <w:rsid w:val="56CA6853"/>
    <w:rsid w:val="56ED629A"/>
    <w:rsid w:val="57071F43"/>
    <w:rsid w:val="5718139C"/>
    <w:rsid w:val="57225A2C"/>
    <w:rsid w:val="572B4892"/>
    <w:rsid w:val="575801D6"/>
    <w:rsid w:val="57616002"/>
    <w:rsid w:val="578B0492"/>
    <w:rsid w:val="578E25D7"/>
    <w:rsid w:val="57C26B2D"/>
    <w:rsid w:val="57E66D1D"/>
    <w:rsid w:val="57F83669"/>
    <w:rsid w:val="57FF24BC"/>
    <w:rsid w:val="5841719C"/>
    <w:rsid w:val="589D2963"/>
    <w:rsid w:val="58AE15EB"/>
    <w:rsid w:val="58DE757B"/>
    <w:rsid w:val="5921150F"/>
    <w:rsid w:val="597342F4"/>
    <w:rsid w:val="59943DE5"/>
    <w:rsid w:val="59B20F9F"/>
    <w:rsid w:val="59B35B4B"/>
    <w:rsid w:val="59B67BE2"/>
    <w:rsid w:val="59B819C2"/>
    <w:rsid w:val="59E94E4A"/>
    <w:rsid w:val="5A004493"/>
    <w:rsid w:val="5A4E1DB8"/>
    <w:rsid w:val="5A6E1159"/>
    <w:rsid w:val="5A7066E6"/>
    <w:rsid w:val="5A7C0EA3"/>
    <w:rsid w:val="5A9F6BD3"/>
    <w:rsid w:val="5AA62937"/>
    <w:rsid w:val="5AB920FA"/>
    <w:rsid w:val="5AC87F20"/>
    <w:rsid w:val="5ADF613B"/>
    <w:rsid w:val="5AED215F"/>
    <w:rsid w:val="5AFD02AF"/>
    <w:rsid w:val="5B021445"/>
    <w:rsid w:val="5B076E4A"/>
    <w:rsid w:val="5B13747C"/>
    <w:rsid w:val="5B1B2537"/>
    <w:rsid w:val="5B204573"/>
    <w:rsid w:val="5B58368C"/>
    <w:rsid w:val="5B95104C"/>
    <w:rsid w:val="5BEE69DD"/>
    <w:rsid w:val="5C0230C0"/>
    <w:rsid w:val="5C0F17BB"/>
    <w:rsid w:val="5C3F1579"/>
    <w:rsid w:val="5C861647"/>
    <w:rsid w:val="5C942F44"/>
    <w:rsid w:val="5C964DBE"/>
    <w:rsid w:val="5C9B11E3"/>
    <w:rsid w:val="5CB42CBE"/>
    <w:rsid w:val="5CBB1864"/>
    <w:rsid w:val="5CBD3460"/>
    <w:rsid w:val="5CF94831"/>
    <w:rsid w:val="5D1C12A9"/>
    <w:rsid w:val="5D5729F6"/>
    <w:rsid w:val="5D6A3D29"/>
    <w:rsid w:val="5D9F77DE"/>
    <w:rsid w:val="5DA83D4F"/>
    <w:rsid w:val="5DB252C1"/>
    <w:rsid w:val="5DB67000"/>
    <w:rsid w:val="5DB93E54"/>
    <w:rsid w:val="5DE577D1"/>
    <w:rsid w:val="5DE70C7D"/>
    <w:rsid w:val="5E0C2497"/>
    <w:rsid w:val="5E1223FD"/>
    <w:rsid w:val="5E411A4B"/>
    <w:rsid w:val="5E473B1C"/>
    <w:rsid w:val="5E5F7D3B"/>
    <w:rsid w:val="5EC400A3"/>
    <w:rsid w:val="5F042E24"/>
    <w:rsid w:val="5F2356CA"/>
    <w:rsid w:val="5F3E2B5F"/>
    <w:rsid w:val="5F522D7B"/>
    <w:rsid w:val="5F535EE5"/>
    <w:rsid w:val="5F644FE3"/>
    <w:rsid w:val="5F6E7AEA"/>
    <w:rsid w:val="5FA410D6"/>
    <w:rsid w:val="5FAB282F"/>
    <w:rsid w:val="5FAF8A79"/>
    <w:rsid w:val="5FBA1FC5"/>
    <w:rsid w:val="5FBE77CF"/>
    <w:rsid w:val="5FC25F15"/>
    <w:rsid w:val="5FC43550"/>
    <w:rsid w:val="5FCB6A79"/>
    <w:rsid w:val="5FDA9553"/>
    <w:rsid w:val="5FE71F50"/>
    <w:rsid w:val="5FF511BE"/>
    <w:rsid w:val="5FFF2396"/>
    <w:rsid w:val="5FFFE563"/>
    <w:rsid w:val="6007755F"/>
    <w:rsid w:val="604A14EE"/>
    <w:rsid w:val="60817E51"/>
    <w:rsid w:val="60B542AD"/>
    <w:rsid w:val="61053D86"/>
    <w:rsid w:val="615B1AFB"/>
    <w:rsid w:val="61775424"/>
    <w:rsid w:val="61835C74"/>
    <w:rsid w:val="61A345CF"/>
    <w:rsid w:val="61DE2370"/>
    <w:rsid w:val="61F71FD6"/>
    <w:rsid w:val="622F7629"/>
    <w:rsid w:val="623A7D7A"/>
    <w:rsid w:val="626E4109"/>
    <w:rsid w:val="62741BFE"/>
    <w:rsid w:val="62804DB9"/>
    <w:rsid w:val="62980D9A"/>
    <w:rsid w:val="629F55E2"/>
    <w:rsid w:val="62CD53DB"/>
    <w:rsid w:val="62F616C7"/>
    <w:rsid w:val="63381068"/>
    <w:rsid w:val="63544BD1"/>
    <w:rsid w:val="635A423F"/>
    <w:rsid w:val="638527C3"/>
    <w:rsid w:val="63A50501"/>
    <w:rsid w:val="63F8673F"/>
    <w:rsid w:val="63FF6967"/>
    <w:rsid w:val="6407452F"/>
    <w:rsid w:val="645F5DC9"/>
    <w:rsid w:val="646E3CB5"/>
    <w:rsid w:val="64AB075F"/>
    <w:rsid w:val="64BE611F"/>
    <w:rsid w:val="64E51842"/>
    <w:rsid w:val="65444882"/>
    <w:rsid w:val="657C36B8"/>
    <w:rsid w:val="65D72728"/>
    <w:rsid w:val="65DC7438"/>
    <w:rsid w:val="65E120E1"/>
    <w:rsid w:val="65EB1A66"/>
    <w:rsid w:val="65F430E2"/>
    <w:rsid w:val="66117811"/>
    <w:rsid w:val="666E2046"/>
    <w:rsid w:val="669323DE"/>
    <w:rsid w:val="66A74A52"/>
    <w:rsid w:val="66AA37C4"/>
    <w:rsid w:val="66C04514"/>
    <w:rsid w:val="66D22371"/>
    <w:rsid w:val="66D734E4"/>
    <w:rsid w:val="66E11E63"/>
    <w:rsid w:val="67371992"/>
    <w:rsid w:val="673A3D9F"/>
    <w:rsid w:val="673A4648"/>
    <w:rsid w:val="6741323A"/>
    <w:rsid w:val="67580D25"/>
    <w:rsid w:val="675B6AFA"/>
    <w:rsid w:val="67701028"/>
    <w:rsid w:val="67795629"/>
    <w:rsid w:val="677F598A"/>
    <w:rsid w:val="678A05F9"/>
    <w:rsid w:val="678A0690"/>
    <w:rsid w:val="678B77A6"/>
    <w:rsid w:val="67A75387"/>
    <w:rsid w:val="68100B7A"/>
    <w:rsid w:val="6819737B"/>
    <w:rsid w:val="68201E16"/>
    <w:rsid w:val="68293455"/>
    <w:rsid w:val="68A443E5"/>
    <w:rsid w:val="68F240C7"/>
    <w:rsid w:val="692B759D"/>
    <w:rsid w:val="693518F9"/>
    <w:rsid w:val="69412846"/>
    <w:rsid w:val="695D0BE9"/>
    <w:rsid w:val="69694CF5"/>
    <w:rsid w:val="696B7731"/>
    <w:rsid w:val="69A06439"/>
    <w:rsid w:val="69B8614D"/>
    <w:rsid w:val="69D229D3"/>
    <w:rsid w:val="69D84081"/>
    <w:rsid w:val="69FD46DC"/>
    <w:rsid w:val="6A147F71"/>
    <w:rsid w:val="6A384C5A"/>
    <w:rsid w:val="6A726123"/>
    <w:rsid w:val="6A9B699A"/>
    <w:rsid w:val="6ABE60E9"/>
    <w:rsid w:val="6AE9755F"/>
    <w:rsid w:val="6AF763A4"/>
    <w:rsid w:val="6B0B1847"/>
    <w:rsid w:val="6B0C0BEA"/>
    <w:rsid w:val="6B292FAB"/>
    <w:rsid w:val="6B696C8B"/>
    <w:rsid w:val="6B7F5533"/>
    <w:rsid w:val="6B93280A"/>
    <w:rsid w:val="6BED7225"/>
    <w:rsid w:val="6C1B1900"/>
    <w:rsid w:val="6C391476"/>
    <w:rsid w:val="6C4D0633"/>
    <w:rsid w:val="6C88304D"/>
    <w:rsid w:val="6C954F10"/>
    <w:rsid w:val="6CA13AB4"/>
    <w:rsid w:val="6CFF695D"/>
    <w:rsid w:val="6D032D5E"/>
    <w:rsid w:val="6D0675E3"/>
    <w:rsid w:val="6D284DE3"/>
    <w:rsid w:val="6D4C14BC"/>
    <w:rsid w:val="6D5E1397"/>
    <w:rsid w:val="6D6535F8"/>
    <w:rsid w:val="6D6A7A88"/>
    <w:rsid w:val="6DB10E69"/>
    <w:rsid w:val="6DDE7D58"/>
    <w:rsid w:val="6DE30B59"/>
    <w:rsid w:val="6E074888"/>
    <w:rsid w:val="6E12150B"/>
    <w:rsid w:val="6E1B0232"/>
    <w:rsid w:val="6E4101E5"/>
    <w:rsid w:val="6E835256"/>
    <w:rsid w:val="6EB70495"/>
    <w:rsid w:val="6EB74809"/>
    <w:rsid w:val="6EB90F5C"/>
    <w:rsid w:val="6EDF1252"/>
    <w:rsid w:val="6EF963B0"/>
    <w:rsid w:val="6EFD3C1A"/>
    <w:rsid w:val="6EFF15E7"/>
    <w:rsid w:val="6F0A071A"/>
    <w:rsid w:val="6F194CCB"/>
    <w:rsid w:val="6F366286"/>
    <w:rsid w:val="6F49026C"/>
    <w:rsid w:val="6F50716D"/>
    <w:rsid w:val="6F644F21"/>
    <w:rsid w:val="6F7B2B4B"/>
    <w:rsid w:val="6F837F46"/>
    <w:rsid w:val="6F98233C"/>
    <w:rsid w:val="6FDC6FF5"/>
    <w:rsid w:val="6FE74D84"/>
    <w:rsid w:val="70140259"/>
    <w:rsid w:val="701F5075"/>
    <w:rsid w:val="70402F20"/>
    <w:rsid w:val="70441C8E"/>
    <w:rsid w:val="70524D90"/>
    <w:rsid w:val="70BA2FA5"/>
    <w:rsid w:val="70BD378A"/>
    <w:rsid w:val="71062E6C"/>
    <w:rsid w:val="712E47F6"/>
    <w:rsid w:val="7134474E"/>
    <w:rsid w:val="715A415B"/>
    <w:rsid w:val="7161483B"/>
    <w:rsid w:val="717363AB"/>
    <w:rsid w:val="71870707"/>
    <w:rsid w:val="71982C53"/>
    <w:rsid w:val="71D40552"/>
    <w:rsid w:val="71E1094E"/>
    <w:rsid w:val="71FE7FD5"/>
    <w:rsid w:val="720D678D"/>
    <w:rsid w:val="7249538F"/>
    <w:rsid w:val="725F6BE2"/>
    <w:rsid w:val="72762278"/>
    <w:rsid w:val="727B3A93"/>
    <w:rsid w:val="72FD2856"/>
    <w:rsid w:val="731C7EC5"/>
    <w:rsid w:val="73251E72"/>
    <w:rsid w:val="733E62E4"/>
    <w:rsid w:val="73915317"/>
    <w:rsid w:val="73BF8210"/>
    <w:rsid w:val="73CA79D7"/>
    <w:rsid w:val="73E350DB"/>
    <w:rsid w:val="741218FE"/>
    <w:rsid w:val="743E2DF5"/>
    <w:rsid w:val="743E5B76"/>
    <w:rsid w:val="745C3B28"/>
    <w:rsid w:val="745E4549"/>
    <w:rsid w:val="747221FB"/>
    <w:rsid w:val="747F7695"/>
    <w:rsid w:val="748E7375"/>
    <w:rsid w:val="74D156FD"/>
    <w:rsid w:val="74E840FD"/>
    <w:rsid w:val="751F640F"/>
    <w:rsid w:val="752407A4"/>
    <w:rsid w:val="75526983"/>
    <w:rsid w:val="756B446A"/>
    <w:rsid w:val="75A33669"/>
    <w:rsid w:val="75A96327"/>
    <w:rsid w:val="75AD3CB7"/>
    <w:rsid w:val="75E874BC"/>
    <w:rsid w:val="75F68BDB"/>
    <w:rsid w:val="75F7534C"/>
    <w:rsid w:val="760926D0"/>
    <w:rsid w:val="76142AA0"/>
    <w:rsid w:val="7615746B"/>
    <w:rsid w:val="76240449"/>
    <w:rsid w:val="76414119"/>
    <w:rsid w:val="766D7A52"/>
    <w:rsid w:val="769C0ADE"/>
    <w:rsid w:val="76BF7C12"/>
    <w:rsid w:val="76C030CD"/>
    <w:rsid w:val="76EA2099"/>
    <w:rsid w:val="77234FCF"/>
    <w:rsid w:val="77581BEA"/>
    <w:rsid w:val="7795168F"/>
    <w:rsid w:val="77C5082F"/>
    <w:rsid w:val="78122985"/>
    <w:rsid w:val="786B1CDE"/>
    <w:rsid w:val="78926E68"/>
    <w:rsid w:val="789B791D"/>
    <w:rsid w:val="789D5077"/>
    <w:rsid w:val="78B13B95"/>
    <w:rsid w:val="78B617B4"/>
    <w:rsid w:val="78C52B6C"/>
    <w:rsid w:val="78CD0527"/>
    <w:rsid w:val="78FE24A2"/>
    <w:rsid w:val="79045905"/>
    <w:rsid w:val="79152FEB"/>
    <w:rsid w:val="797A63CF"/>
    <w:rsid w:val="79817742"/>
    <w:rsid w:val="79842ABB"/>
    <w:rsid w:val="79D1132C"/>
    <w:rsid w:val="79D234B5"/>
    <w:rsid w:val="79D84C43"/>
    <w:rsid w:val="79DA2354"/>
    <w:rsid w:val="79E7F454"/>
    <w:rsid w:val="79EC63BA"/>
    <w:rsid w:val="7A1025E2"/>
    <w:rsid w:val="7A1D37FE"/>
    <w:rsid w:val="7A893971"/>
    <w:rsid w:val="7AA8721A"/>
    <w:rsid w:val="7AA96EB5"/>
    <w:rsid w:val="7ABC3697"/>
    <w:rsid w:val="7AD45005"/>
    <w:rsid w:val="7AD61FD9"/>
    <w:rsid w:val="7AE4462C"/>
    <w:rsid w:val="7AFB336D"/>
    <w:rsid w:val="7B244303"/>
    <w:rsid w:val="7B486A4D"/>
    <w:rsid w:val="7B582F56"/>
    <w:rsid w:val="7B751FD5"/>
    <w:rsid w:val="7B7E6EE8"/>
    <w:rsid w:val="7BAD6EB9"/>
    <w:rsid w:val="7BBC2008"/>
    <w:rsid w:val="7BC040B8"/>
    <w:rsid w:val="7BD75BE6"/>
    <w:rsid w:val="7BD96D1A"/>
    <w:rsid w:val="7C116E57"/>
    <w:rsid w:val="7C3E5A74"/>
    <w:rsid w:val="7C43783F"/>
    <w:rsid w:val="7C592AD4"/>
    <w:rsid w:val="7C6341CC"/>
    <w:rsid w:val="7CB7798D"/>
    <w:rsid w:val="7CCF79B4"/>
    <w:rsid w:val="7CD478E4"/>
    <w:rsid w:val="7CDE3370"/>
    <w:rsid w:val="7CDE524D"/>
    <w:rsid w:val="7CE439ED"/>
    <w:rsid w:val="7CF53A15"/>
    <w:rsid w:val="7CF85706"/>
    <w:rsid w:val="7D0B53EF"/>
    <w:rsid w:val="7D20578D"/>
    <w:rsid w:val="7D846E42"/>
    <w:rsid w:val="7DA01B79"/>
    <w:rsid w:val="7DF613F7"/>
    <w:rsid w:val="7DF62DC9"/>
    <w:rsid w:val="7E3B3F4D"/>
    <w:rsid w:val="7EA426CC"/>
    <w:rsid w:val="7EBB1F39"/>
    <w:rsid w:val="7EBD4CC0"/>
    <w:rsid w:val="7EC035FD"/>
    <w:rsid w:val="7EC40A24"/>
    <w:rsid w:val="7ED34FE4"/>
    <w:rsid w:val="7EE2740E"/>
    <w:rsid w:val="7F2733BE"/>
    <w:rsid w:val="7F283120"/>
    <w:rsid w:val="7F435AF9"/>
    <w:rsid w:val="7F525EB9"/>
    <w:rsid w:val="7F540119"/>
    <w:rsid w:val="7F6337BD"/>
    <w:rsid w:val="7F751AFD"/>
    <w:rsid w:val="7F7C472D"/>
    <w:rsid w:val="7F846908"/>
    <w:rsid w:val="7FAB4958"/>
    <w:rsid w:val="7FB551BC"/>
    <w:rsid w:val="7FD446E9"/>
    <w:rsid w:val="7FDFB310"/>
    <w:rsid w:val="7FF702D1"/>
    <w:rsid w:val="96DB4A44"/>
    <w:rsid w:val="BEEFA0AE"/>
    <w:rsid w:val="BFB06F73"/>
    <w:rsid w:val="D73FDC58"/>
    <w:rsid w:val="DF7D31F0"/>
    <w:rsid w:val="E56A0BF8"/>
    <w:rsid w:val="F3DEF808"/>
    <w:rsid w:val="F63608EC"/>
    <w:rsid w:val="F97737E4"/>
    <w:rsid w:val="FBFC38B8"/>
    <w:rsid w:val="FE86FC7A"/>
    <w:rsid w:val="FFFFF8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jc w:val="center"/>
      <w:outlineLvl w:val="0"/>
    </w:pPr>
    <w:rPr>
      <w:rFonts w:eastAsia="黑体"/>
      <w:b/>
      <w:sz w:val="32"/>
      <w:szCs w:val="20"/>
    </w:rPr>
  </w:style>
  <w:style w:type="paragraph" w:styleId="4">
    <w:name w:val="heading 2"/>
    <w:basedOn w:val="1"/>
    <w:next w:val="1"/>
    <w:link w:val="66"/>
    <w:qFormat/>
    <w:uiPriority w:val="0"/>
    <w:pPr>
      <w:keepNext/>
      <w:outlineLvl w:val="1"/>
    </w:pPr>
    <w:rPr>
      <w:rFonts w:ascii="仿宋_GB2312"/>
      <w:b/>
      <w:sz w:val="28"/>
      <w:szCs w:val="32"/>
    </w:rPr>
  </w:style>
  <w:style w:type="paragraph" w:styleId="5">
    <w:name w:val="heading 3"/>
    <w:basedOn w:val="1"/>
    <w:next w:val="1"/>
    <w:link w:val="67"/>
    <w:qFormat/>
    <w:uiPriority w:val="0"/>
    <w:pPr>
      <w:keepNext/>
      <w:keepLines/>
      <w:spacing w:line="540" w:lineRule="atLeast"/>
      <w:outlineLvl w:val="2"/>
    </w:pPr>
    <w:rPr>
      <w:rFonts w:eastAsia="黑体"/>
      <w:b/>
      <w:sz w:val="28"/>
      <w:szCs w:val="20"/>
    </w:rPr>
  </w:style>
  <w:style w:type="paragraph" w:styleId="6">
    <w:name w:val="heading 4"/>
    <w:basedOn w:val="1"/>
    <w:next w:val="1"/>
    <w:link w:val="68"/>
    <w:qFormat/>
    <w:uiPriority w:val="0"/>
    <w:pPr>
      <w:keepNext/>
      <w:keepLines/>
      <w:spacing w:line="540" w:lineRule="atLeast"/>
      <w:outlineLvl w:val="3"/>
    </w:pPr>
    <w:rPr>
      <w:sz w:val="28"/>
      <w:szCs w:val="28"/>
    </w:rPr>
  </w:style>
  <w:style w:type="paragraph" w:styleId="7">
    <w:name w:val="heading 5"/>
    <w:basedOn w:val="1"/>
    <w:next w:val="1"/>
    <w:link w:val="69"/>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70"/>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2"/>
    <w:qFormat/>
    <w:uiPriority w:val="0"/>
    <w:pPr>
      <w:keepNext/>
      <w:keepLines/>
      <w:spacing w:before="240" w:after="64" w:line="317" w:lineRule="auto"/>
      <w:outlineLvl w:val="6"/>
    </w:pPr>
    <w:rPr>
      <w:b/>
      <w:sz w:val="24"/>
      <w:szCs w:val="20"/>
    </w:rPr>
  </w:style>
  <w:style w:type="paragraph" w:styleId="11">
    <w:name w:val="heading 8"/>
    <w:basedOn w:val="1"/>
    <w:next w:val="9"/>
    <w:link w:val="73"/>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74"/>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2">
    <w:name w:val="macro"/>
    <w:link w:val="6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71"/>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uiPriority w:val="0"/>
    <w:pPr>
      <w:tabs>
        <w:tab w:val="left" w:pos="360"/>
      </w:tabs>
    </w:pPr>
    <w:rPr>
      <w:rFonts w:ascii="Calibri" w:hAnsi="Calibri"/>
      <w:szCs w:val="22"/>
    </w:rPr>
  </w:style>
  <w:style w:type="paragraph" w:styleId="17">
    <w:name w:val="Document Map"/>
    <w:basedOn w:val="1"/>
    <w:link w:val="75"/>
    <w:uiPriority w:val="0"/>
    <w:pPr>
      <w:shd w:val="clear" w:color="auto" w:fill="000080"/>
    </w:pPr>
  </w:style>
  <w:style w:type="paragraph" w:styleId="18">
    <w:name w:val="annotation text"/>
    <w:basedOn w:val="1"/>
    <w:link w:val="76"/>
    <w:uiPriority w:val="0"/>
    <w:pPr>
      <w:jc w:val="left"/>
    </w:pPr>
  </w:style>
  <w:style w:type="paragraph" w:styleId="19">
    <w:name w:val="Salutation"/>
    <w:basedOn w:val="1"/>
    <w:next w:val="1"/>
    <w:link w:val="77"/>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78"/>
    <w:uiPriority w:val="0"/>
    <w:pPr>
      <w:autoSpaceDE w:val="0"/>
      <w:autoSpaceDN w:val="0"/>
      <w:adjustRightInd w:val="0"/>
      <w:jc w:val="center"/>
    </w:pPr>
  </w:style>
  <w:style w:type="paragraph" w:styleId="21">
    <w:name w:val="Body Text"/>
    <w:basedOn w:val="1"/>
    <w:next w:val="22"/>
    <w:link w:val="79"/>
    <w:uiPriority w:val="0"/>
    <w:pPr>
      <w:spacing w:after="120"/>
    </w:pPr>
    <w:rPr>
      <w:rFonts w:ascii="仿宋_GB2312"/>
      <w:b/>
    </w:rPr>
  </w:style>
  <w:style w:type="paragraph" w:styleId="22">
    <w:name w:val="Body Text First Indent"/>
    <w:basedOn w:val="21"/>
    <w:next w:val="23"/>
    <w:link w:val="80"/>
    <w:uiPriority w:val="0"/>
    <w:pPr>
      <w:autoSpaceDE w:val="0"/>
      <w:autoSpaceDN w:val="0"/>
      <w:adjustRightInd w:val="0"/>
      <w:ind w:firstLine="420" w:firstLineChars="100"/>
      <w:jc w:val="left"/>
    </w:pPr>
    <w:rPr>
      <w:rFonts w:ascii="Calibri"/>
      <w:b w:val="0"/>
      <w:kern w:val="0"/>
      <w:sz w:val="20"/>
      <w:szCs w:val="20"/>
    </w:rPr>
  </w:style>
  <w:style w:type="paragraph" w:styleId="23">
    <w:name w:val="toc 6"/>
    <w:basedOn w:val="1"/>
    <w:next w:val="1"/>
    <w:uiPriority w:val="0"/>
    <w:pPr>
      <w:autoSpaceDE w:val="0"/>
      <w:autoSpaceDN w:val="0"/>
      <w:adjustRightInd w:val="0"/>
      <w:ind w:left="2100" w:leftChars="1000"/>
      <w:jc w:val="left"/>
    </w:pPr>
    <w:rPr>
      <w:kern w:val="0"/>
      <w:sz w:val="20"/>
      <w:szCs w:val="20"/>
    </w:rPr>
  </w:style>
  <w:style w:type="paragraph" w:styleId="24">
    <w:name w:val="Body Text Indent"/>
    <w:basedOn w:val="1"/>
    <w:link w:val="95"/>
    <w:uiPriority w:val="0"/>
    <w:pPr>
      <w:ind w:left="480" w:hanging="480" w:hangingChars="200"/>
    </w:pPr>
    <w:rPr>
      <w:sz w:val="24"/>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line="520" w:lineRule="exact"/>
      <w:ind w:left="540" w:leftChars="257" w:right="-514"/>
    </w:pPr>
    <w:rPr>
      <w:rFonts w:ascii="宋体" w:hAnsi="宋体"/>
      <w:sz w:val="24"/>
    </w:rPr>
  </w:style>
  <w:style w:type="paragraph" w:styleId="27">
    <w:name w:val="List Bullet 2"/>
    <w:basedOn w:val="1"/>
    <w:uiPriority w:val="0"/>
    <w:pPr>
      <w:tabs>
        <w:tab w:val="left" w:pos="780"/>
      </w:tabs>
      <w:spacing w:line="360" w:lineRule="auto"/>
      <w:ind w:left="780" w:leftChars="200" w:hanging="360" w:hangingChars="200"/>
    </w:pPr>
  </w:style>
  <w:style w:type="paragraph" w:styleId="28">
    <w:name w:val="toc 5"/>
    <w:basedOn w:val="1"/>
    <w:next w:val="1"/>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82"/>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1">
    <w:name w:val="List Number 4"/>
    <w:basedOn w:val="1"/>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83"/>
    <w:uiPriority w:val="0"/>
    <w:pPr>
      <w:ind w:left="100" w:leftChars="2500"/>
    </w:pPr>
  </w:style>
  <w:style w:type="paragraph" w:styleId="34">
    <w:name w:val="Body Text Indent 2"/>
    <w:basedOn w:val="1"/>
    <w:link w:val="84"/>
    <w:uiPriority w:val="0"/>
    <w:pPr>
      <w:spacing w:line="500" w:lineRule="exact"/>
      <w:ind w:firstLine="511" w:firstLineChars="213"/>
    </w:pPr>
    <w:rPr>
      <w:sz w:val="24"/>
    </w:rPr>
  </w:style>
  <w:style w:type="paragraph" w:styleId="35">
    <w:name w:val="Balloon Text"/>
    <w:basedOn w:val="1"/>
    <w:link w:val="85"/>
    <w:qFormat/>
    <w:uiPriority w:val="0"/>
    <w:rPr>
      <w:sz w:val="18"/>
      <w:szCs w:val="18"/>
    </w:rPr>
  </w:style>
  <w:style w:type="paragraph" w:styleId="36">
    <w:name w:val="footer"/>
    <w:basedOn w:val="1"/>
    <w:next w:val="1"/>
    <w:link w:val="86"/>
    <w:qFormat/>
    <w:uiPriority w:val="0"/>
    <w:pPr>
      <w:tabs>
        <w:tab w:val="center" w:pos="4153"/>
        <w:tab w:val="right" w:pos="8306"/>
      </w:tabs>
      <w:snapToGrid w:val="0"/>
      <w:jc w:val="left"/>
    </w:pPr>
    <w:rPr>
      <w:sz w:val="18"/>
      <w:szCs w:val="18"/>
    </w:rPr>
  </w:style>
  <w:style w:type="paragraph" w:styleId="37">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88"/>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9">
    <w:name w:val="toc 1"/>
    <w:basedOn w:val="1"/>
    <w:next w:val="1"/>
    <w:qFormat/>
    <w:uiPriority w:val="0"/>
  </w:style>
  <w:style w:type="paragraph" w:styleId="40">
    <w:name w:val="toc 4"/>
    <w:basedOn w:val="1"/>
    <w:next w:val="1"/>
    <w:uiPriority w:val="0"/>
    <w:pPr>
      <w:autoSpaceDE w:val="0"/>
      <w:autoSpaceDN w:val="0"/>
      <w:adjustRightInd w:val="0"/>
      <w:ind w:left="1260" w:leftChars="600"/>
      <w:jc w:val="left"/>
    </w:pPr>
    <w:rPr>
      <w:kern w:val="0"/>
      <w:sz w:val="20"/>
      <w:szCs w:val="20"/>
    </w:rPr>
  </w:style>
  <w:style w:type="paragraph" w:styleId="4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style>
  <w:style w:type="paragraph" w:styleId="44">
    <w:name w:val="footnote text"/>
    <w:basedOn w:val="1"/>
    <w:qFormat/>
    <w:uiPriority w:val="0"/>
    <w:pPr>
      <w:snapToGrid w:val="0"/>
      <w:jc w:val="left"/>
    </w:pPr>
    <w:rPr>
      <w:sz w:val="18"/>
    </w:rPr>
  </w:style>
  <w:style w:type="paragraph" w:styleId="45">
    <w:name w:val="Body Text Indent 3"/>
    <w:basedOn w:val="1"/>
    <w:link w:val="90"/>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91"/>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92"/>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93"/>
    <w:qFormat/>
    <w:uiPriority w:val="0"/>
    <w:rPr>
      <w:b/>
      <w:bCs/>
    </w:rPr>
  </w:style>
  <w:style w:type="paragraph" w:styleId="52">
    <w:name w:val="Body Text First Indent 2"/>
    <w:basedOn w:val="24"/>
    <w:next w:val="1"/>
    <w:link w:val="94"/>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rFonts w:ascii="仿宋_GB2312" w:eastAsia="仿宋_GB2312"/>
      <w:bCs/>
      <w:sz w:val="32"/>
      <w:szCs w:val="32"/>
    </w:rPr>
  </w:style>
  <w:style w:type="character" w:styleId="57">
    <w:name w:val="page number"/>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character" w:customStyle="1" w:styleId="64">
    <w:name w:val="宏文本 字符"/>
    <w:link w:val="2"/>
    <w:uiPriority w:val="0"/>
    <w:rPr>
      <w:rFonts w:ascii="Courier New" w:hAnsi="Courier New" w:eastAsia="Times New Roman"/>
      <w:kern w:val="2"/>
      <w:sz w:val="24"/>
      <w:szCs w:val="24"/>
      <w:lang w:val="en-US" w:eastAsia="zh-CN" w:bidi="ar-SA"/>
    </w:rPr>
  </w:style>
  <w:style w:type="character" w:customStyle="1" w:styleId="65">
    <w:name w:val="标题 1 字符"/>
    <w:link w:val="3"/>
    <w:uiPriority w:val="0"/>
    <w:rPr>
      <w:rFonts w:eastAsia="黑体"/>
      <w:b/>
      <w:kern w:val="2"/>
      <w:sz w:val="32"/>
      <w:lang w:val="en-US" w:eastAsia="zh-CN" w:bidi="ar-SA"/>
    </w:rPr>
  </w:style>
  <w:style w:type="character" w:customStyle="1" w:styleId="66">
    <w:name w:val="标题 2 字符"/>
    <w:link w:val="4"/>
    <w:qFormat/>
    <w:uiPriority w:val="0"/>
    <w:rPr>
      <w:rFonts w:ascii="仿宋_GB2312" w:eastAsia="宋体"/>
      <w:b/>
      <w:kern w:val="2"/>
      <w:sz w:val="28"/>
      <w:szCs w:val="32"/>
      <w:lang w:val="en-US" w:eastAsia="zh-CN" w:bidi="ar-SA"/>
    </w:rPr>
  </w:style>
  <w:style w:type="character" w:customStyle="1" w:styleId="67">
    <w:name w:val="标题 3 字符"/>
    <w:link w:val="5"/>
    <w:uiPriority w:val="0"/>
    <w:rPr>
      <w:rFonts w:eastAsia="黑体"/>
      <w:b/>
      <w:kern w:val="2"/>
      <w:sz w:val="28"/>
      <w:lang w:val="en-US" w:eastAsia="zh-CN" w:bidi="ar-SA"/>
    </w:rPr>
  </w:style>
  <w:style w:type="character" w:customStyle="1" w:styleId="68">
    <w:name w:val="标题 4 字符"/>
    <w:link w:val="6"/>
    <w:uiPriority w:val="0"/>
    <w:rPr>
      <w:rFonts w:eastAsia="宋体"/>
      <w:kern w:val="2"/>
      <w:sz w:val="28"/>
      <w:szCs w:val="28"/>
      <w:lang w:val="en-US" w:eastAsia="zh-CN" w:bidi="ar-SA"/>
    </w:rPr>
  </w:style>
  <w:style w:type="character" w:customStyle="1" w:styleId="69">
    <w:name w:val="标题 5 字符"/>
    <w:link w:val="7"/>
    <w:qFormat/>
    <w:uiPriority w:val="0"/>
    <w:rPr>
      <w:rFonts w:eastAsia="宋体"/>
      <w:b/>
      <w:bCs/>
      <w:sz w:val="28"/>
      <w:szCs w:val="28"/>
      <w:lang w:bidi="ar-SA"/>
    </w:rPr>
  </w:style>
  <w:style w:type="character" w:customStyle="1" w:styleId="70">
    <w:name w:val="标题 6 字符"/>
    <w:link w:val="8"/>
    <w:uiPriority w:val="0"/>
    <w:rPr>
      <w:rFonts w:ascii="Arial" w:hAnsi="Arial" w:eastAsia="黑体"/>
      <w:b/>
      <w:kern w:val="2"/>
      <w:sz w:val="24"/>
      <w:lang w:val="en-US" w:eastAsia="zh-CN" w:bidi="ar-SA"/>
    </w:rPr>
  </w:style>
  <w:style w:type="character" w:customStyle="1" w:styleId="71">
    <w:name w:val="正文缩进 字符"/>
    <w:link w:val="9"/>
    <w:uiPriority w:val="0"/>
    <w:rPr>
      <w:rFonts w:ascii="仿宋_GB2312" w:eastAsia="宋体"/>
      <w:b/>
      <w:sz w:val="21"/>
      <w:szCs w:val="32"/>
      <w:lang w:val="en-US" w:eastAsia="zh-CN" w:bidi="ar-SA"/>
    </w:rPr>
  </w:style>
  <w:style w:type="character" w:customStyle="1" w:styleId="72">
    <w:name w:val="标题 7 字符"/>
    <w:link w:val="10"/>
    <w:qFormat/>
    <w:uiPriority w:val="0"/>
    <w:rPr>
      <w:rFonts w:eastAsia="宋体"/>
      <w:b/>
      <w:kern w:val="2"/>
      <w:sz w:val="24"/>
      <w:lang w:val="en-US" w:eastAsia="zh-CN" w:bidi="ar-SA"/>
    </w:rPr>
  </w:style>
  <w:style w:type="character" w:customStyle="1" w:styleId="73">
    <w:name w:val="标题 8 字符"/>
    <w:link w:val="11"/>
    <w:uiPriority w:val="0"/>
    <w:rPr>
      <w:rFonts w:ascii="Arial" w:hAnsi="Arial" w:eastAsia="黑体"/>
      <w:kern w:val="2"/>
      <w:sz w:val="24"/>
      <w:lang w:val="en-US" w:eastAsia="zh-CN" w:bidi="ar-SA"/>
    </w:rPr>
  </w:style>
  <w:style w:type="character" w:customStyle="1" w:styleId="74">
    <w:name w:val="标题 9 字符"/>
    <w:link w:val="12"/>
    <w:uiPriority w:val="0"/>
    <w:rPr>
      <w:rFonts w:ascii="Arial" w:hAnsi="Arial" w:eastAsia="黑体"/>
      <w:kern w:val="2"/>
      <w:sz w:val="21"/>
      <w:lang w:val="en-US" w:eastAsia="zh-CN" w:bidi="ar-SA"/>
    </w:rPr>
  </w:style>
  <w:style w:type="character" w:customStyle="1" w:styleId="75">
    <w:name w:val="文档结构图 字符"/>
    <w:link w:val="17"/>
    <w:qFormat/>
    <w:uiPriority w:val="0"/>
    <w:rPr>
      <w:rFonts w:eastAsia="宋体"/>
      <w:kern w:val="2"/>
      <w:sz w:val="21"/>
      <w:szCs w:val="24"/>
      <w:lang w:val="en-US" w:eastAsia="zh-CN" w:bidi="ar-SA"/>
    </w:rPr>
  </w:style>
  <w:style w:type="character" w:customStyle="1" w:styleId="76">
    <w:name w:val="批注文字 字符"/>
    <w:link w:val="18"/>
    <w:qFormat/>
    <w:uiPriority w:val="0"/>
    <w:rPr>
      <w:rFonts w:eastAsia="宋体"/>
      <w:kern w:val="2"/>
      <w:sz w:val="21"/>
      <w:szCs w:val="24"/>
      <w:lang w:val="en-US" w:eastAsia="zh-CN" w:bidi="ar-SA"/>
    </w:rPr>
  </w:style>
  <w:style w:type="character" w:customStyle="1" w:styleId="77">
    <w:name w:val="称呼 字符"/>
    <w:link w:val="19"/>
    <w:uiPriority w:val="0"/>
    <w:rPr>
      <w:rFonts w:ascii="仿宋_GB2312" w:eastAsia="仿宋_GB2312"/>
      <w:b/>
      <w:sz w:val="24"/>
      <w:szCs w:val="32"/>
    </w:rPr>
  </w:style>
  <w:style w:type="character" w:customStyle="1" w:styleId="78">
    <w:name w:val="正文文本 3 字符"/>
    <w:link w:val="20"/>
    <w:qFormat/>
    <w:uiPriority w:val="0"/>
  </w:style>
  <w:style w:type="character" w:customStyle="1" w:styleId="79">
    <w:name w:val="正文文本 字符"/>
    <w:link w:val="21"/>
    <w:uiPriority w:val="0"/>
    <w:rPr>
      <w:rFonts w:ascii="仿宋_GB2312" w:eastAsia="宋体"/>
      <w:b/>
      <w:kern w:val="2"/>
      <w:sz w:val="21"/>
      <w:szCs w:val="24"/>
      <w:lang w:val="en-US" w:eastAsia="zh-CN" w:bidi="ar-SA"/>
    </w:rPr>
  </w:style>
  <w:style w:type="character" w:customStyle="1" w:styleId="80">
    <w:name w:val="正文文本首行缩进 字符"/>
    <w:link w:val="22"/>
    <w:uiPriority w:val="0"/>
    <w:rPr>
      <w:rFonts w:eastAsia="宋体"/>
      <w:lang w:val="en-US" w:eastAsia="zh-CN" w:bidi="ar-SA"/>
    </w:rPr>
  </w:style>
  <w:style w:type="character" w:customStyle="1" w:styleId="81">
    <w:name w:val="正文文本缩进 字符1"/>
    <w:qFormat/>
    <w:uiPriority w:val="0"/>
    <w:rPr>
      <w:rFonts w:hint="default" w:ascii="Calibri" w:hAnsi="Calibri" w:cs="Calibri"/>
      <w:kern w:val="2"/>
      <w:sz w:val="21"/>
      <w:szCs w:val="22"/>
    </w:rPr>
  </w:style>
  <w:style w:type="character" w:customStyle="1" w:styleId="82">
    <w:name w:val="纯文本 字符"/>
    <w:link w:val="30"/>
    <w:uiPriority w:val="0"/>
    <w:rPr>
      <w:rFonts w:ascii="宋体" w:hAnsi="Courier New" w:eastAsia="宋体"/>
      <w:b/>
      <w:sz w:val="21"/>
      <w:szCs w:val="21"/>
      <w:lang w:val="en-US" w:eastAsia="zh-CN" w:bidi="ar-SA"/>
    </w:rPr>
  </w:style>
  <w:style w:type="character" w:customStyle="1" w:styleId="83">
    <w:name w:val="日期 字符"/>
    <w:link w:val="33"/>
    <w:uiPriority w:val="0"/>
    <w:rPr>
      <w:rFonts w:eastAsia="宋体"/>
      <w:kern w:val="2"/>
      <w:sz w:val="21"/>
      <w:szCs w:val="24"/>
      <w:lang w:val="en-US" w:eastAsia="zh-CN" w:bidi="ar-SA"/>
    </w:rPr>
  </w:style>
  <w:style w:type="character" w:customStyle="1" w:styleId="84">
    <w:name w:val="正文文本缩进 2 字符"/>
    <w:link w:val="34"/>
    <w:qFormat/>
    <w:uiPriority w:val="0"/>
    <w:rPr>
      <w:rFonts w:eastAsia="宋体"/>
      <w:kern w:val="2"/>
      <w:sz w:val="24"/>
      <w:szCs w:val="24"/>
      <w:lang w:val="en-US" w:eastAsia="zh-CN" w:bidi="ar-SA"/>
    </w:rPr>
  </w:style>
  <w:style w:type="character" w:customStyle="1" w:styleId="85">
    <w:name w:val="批注框文本 字符"/>
    <w:link w:val="35"/>
    <w:uiPriority w:val="0"/>
    <w:rPr>
      <w:rFonts w:eastAsia="宋体"/>
      <w:kern w:val="2"/>
      <w:sz w:val="18"/>
      <w:szCs w:val="18"/>
      <w:lang w:val="en-US" w:eastAsia="zh-CN" w:bidi="ar-SA"/>
    </w:rPr>
  </w:style>
  <w:style w:type="character" w:customStyle="1" w:styleId="86">
    <w:name w:val="页脚 字符"/>
    <w:link w:val="36"/>
    <w:uiPriority w:val="0"/>
    <w:rPr>
      <w:rFonts w:eastAsia="宋体"/>
      <w:kern w:val="2"/>
      <w:sz w:val="18"/>
      <w:szCs w:val="18"/>
      <w:lang w:val="en-US" w:eastAsia="zh-CN" w:bidi="ar-SA"/>
    </w:rPr>
  </w:style>
  <w:style w:type="character" w:customStyle="1" w:styleId="87">
    <w:name w:val="页眉 字符"/>
    <w:link w:val="37"/>
    <w:qFormat/>
    <w:uiPriority w:val="0"/>
    <w:rPr>
      <w:rFonts w:eastAsia="宋体"/>
      <w:kern w:val="2"/>
      <w:sz w:val="18"/>
      <w:szCs w:val="18"/>
      <w:lang w:val="en-US" w:eastAsia="zh-CN" w:bidi="ar-SA"/>
    </w:rPr>
  </w:style>
  <w:style w:type="character" w:customStyle="1" w:styleId="88">
    <w:name w:val="签名 字符"/>
    <w:link w:val="38"/>
    <w:uiPriority w:val="0"/>
    <w:rPr>
      <w:rFonts w:ascii="仿宋_GB2312" w:eastAsia="仿宋_GB2312"/>
      <w:b/>
      <w:sz w:val="24"/>
      <w:szCs w:val="32"/>
    </w:rPr>
  </w:style>
  <w:style w:type="character" w:customStyle="1" w:styleId="89">
    <w:name w:val="副标题 字符"/>
    <w:link w:val="41"/>
    <w:uiPriority w:val="0"/>
    <w:rPr>
      <w:rFonts w:ascii="Cambria" w:hAnsi="Cambria" w:eastAsia="宋体"/>
      <w:b/>
      <w:bCs/>
      <w:kern w:val="28"/>
      <w:sz w:val="32"/>
      <w:szCs w:val="32"/>
      <w:lang w:val="en-US" w:eastAsia="zh-CN" w:bidi="ar-SA"/>
    </w:rPr>
  </w:style>
  <w:style w:type="character" w:customStyle="1" w:styleId="90">
    <w:name w:val="正文文本缩进 3 字符"/>
    <w:link w:val="45"/>
    <w:uiPriority w:val="0"/>
    <w:rPr>
      <w:rFonts w:eastAsia="宋体"/>
      <w:kern w:val="2"/>
      <w:sz w:val="24"/>
      <w:szCs w:val="24"/>
      <w:lang w:val="en-US" w:eastAsia="zh-CN" w:bidi="ar-SA"/>
    </w:rPr>
  </w:style>
  <w:style w:type="character" w:customStyle="1" w:styleId="91">
    <w:name w:val="正文文本 2 字符"/>
    <w:link w:val="48"/>
    <w:uiPriority w:val="0"/>
  </w:style>
  <w:style w:type="character" w:customStyle="1" w:styleId="92">
    <w:name w:val="标题 字符"/>
    <w:link w:val="50"/>
    <w:uiPriority w:val="0"/>
    <w:rPr>
      <w:rFonts w:ascii="Cambria" w:hAnsi="Cambria" w:eastAsia="宋体"/>
      <w:b/>
      <w:bCs/>
      <w:kern w:val="2"/>
      <w:sz w:val="32"/>
      <w:szCs w:val="32"/>
      <w:lang w:val="en-US" w:eastAsia="zh-CN" w:bidi="ar-SA"/>
    </w:rPr>
  </w:style>
  <w:style w:type="character" w:customStyle="1" w:styleId="93">
    <w:name w:val="批注主题 字符"/>
    <w:link w:val="51"/>
    <w:uiPriority w:val="0"/>
    <w:rPr>
      <w:rFonts w:eastAsia="宋体"/>
      <w:b/>
      <w:bCs/>
      <w:kern w:val="2"/>
      <w:sz w:val="21"/>
      <w:szCs w:val="24"/>
      <w:lang w:val="en-US" w:eastAsia="zh-CN" w:bidi="ar-SA"/>
    </w:rPr>
  </w:style>
  <w:style w:type="character" w:customStyle="1" w:styleId="94">
    <w:name w:val="正文文本首行缩进 2 字符"/>
    <w:link w:val="52"/>
    <w:qFormat/>
    <w:uiPriority w:val="0"/>
    <w:rPr>
      <w:rFonts w:hint="default" w:ascii="Calibri" w:hAnsi="Calibri" w:cs="Calibri"/>
      <w:kern w:val="2"/>
      <w:sz w:val="21"/>
      <w:szCs w:val="22"/>
    </w:rPr>
  </w:style>
  <w:style w:type="character" w:customStyle="1" w:styleId="95">
    <w:name w:val="正文文本缩进 字符"/>
    <w:link w:val="24"/>
    <w:qFormat/>
    <w:uiPriority w:val="0"/>
    <w:rPr>
      <w:rFonts w:eastAsia="宋体"/>
      <w:kern w:val="2"/>
      <w:sz w:val="24"/>
      <w:szCs w:val="24"/>
      <w:lang w:val="en-US" w:eastAsia="zh-CN" w:bidi="ar-SA"/>
    </w:rPr>
  </w:style>
  <w:style w:type="character" w:customStyle="1" w:styleId="96">
    <w:name w:val="font21"/>
    <w:qFormat/>
    <w:uiPriority w:val="0"/>
    <w:rPr>
      <w:rFonts w:ascii="Wingdings 2" w:hAnsi="Wingdings 2" w:eastAsia="Wingdings 2" w:cs="Wingdings 2"/>
      <w:b/>
      <w:color w:val="000000"/>
      <w:sz w:val="20"/>
      <w:szCs w:val="20"/>
      <w:u w:val="none"/>
    </w:rPr>
  </w:style>
  <w:style w:type="character" w:customStyle="1" w:styleId="97">
    <w:name w:val="Footer-Even Char2"/>
    <w:uiPriority w:val="0"/>
    <w:rPr>
      <w:kern w:val="2"/>
      <w:sz w:val="18"/>
      <w:szCs w:val="18"/>
    </w:rPr>
  </w:style>
  <w:style w:type="character" w:customStyle="1" w:styleId="98">
    <w:name w:val="Style5"/>
    <w:uiPriority w:val="0"/>
    <w:rPr>
      <w:rFonts w:ascii="Calibri" w:hAnsi="宋体" w:eastAsia="宋体" w:cs="Times New Roman"/>
      <w:sz w:val="22"/>
      <w:szCs w:val="22"/>
      <w:lang w:eastAsia="zh-CN"/>
    </w:rPr>
  </w:style>
  <w:style w:type="character" w:customStyle="1" w:styleId="99">
    <w:name w:val="正文1 Char Char"/>
    <w:link w:val="100"/>
    <w:uiPriority w:val="0"/>
    <w:rPr>
      <w:rFonts w:ascii="宋体" w:hAnsi="宋体" w:eastAsia="宋体" w:cs="宋体"/>
      <w:sz w:val="21"/>
      <w:lang w:val="en-US" w:eastAsia="zh-CN" w:bidi="ar-SA"/>
    </w:rPr>
  </w:style>
  <w:style w:type="paragraph" w:customStyle="1" w:styleId="100">
    <w:name w:val="正文1"/>
    <w:basedOn w:val="1"/>
    <w:link w:val="99"/>
    <w:uiPriority w:val="0"/>
    <w:pPr>
      <w:widowControl/>
      <w:spacing w:line="360" w:lineRule="auto"/>
      <w:ind w:left="360" w:firstLine="420"/>
      <w:jc w:val="left"/>
    </w:pPr>
    <w:rPr>
      <w:rFonts w:ascii="宋体" w:hAnsi="宋体" w:cs="宋体"/>
      <w:kern w:val="0"/>
      <w:szCs w:val="20"/>
    </w:rPr>
  </w:style>
  <w:style w:type="character" w:customStyle="1" w:styleId="101">
    <w:name w:val="heading 3 Char1"/>
    <w:qFormat/>
    <w:uiPriority w:val="0"/>
    <w:rPr>
      <w:rFonts w:eastAsia="宋体"/>
      <w:b/>
      <w:bCs/>
      <w:kern w:val="2"/>
      <w:sz w:val="32"/>
      <w:szCs w:val="32"/>
      <w:lang w:val="en-US" w:eastAsia="zh-CN" w:bidi="ar-SA"/>
    </w:rPr>
  </w:style>
  <w:style w:type="character" w:customStyle="1" w:styleId="102">
    <w:name w:val="style13"/>
    <w:uiPriority w:val="0"/>
  </w:style>
  <w:style w:type="character" w:customStyle="1" w:styleId="103">
    <w:name w:val="heading 1 Char2"/>
    <w:uiPriority w:val="0"/>
    <w:rPr>
      <w:b/>
      <w:bCs/>
      <w:kern w:val="44"/>
      <w:sz w:val="44"/>
      <w:szCs w:val="44"/>
    </w:rPr>
  </w:style>
  <w:style w:type="character" w:customStyle="1" w:styleId="104">
    <w:name w:val="heading 1 Char"/>
    <w:uiPriority w:val="0"/>
    <w:rPr>
      <w:rFonts w:ascii="Arial" w:hAnsi="Arial" w:eastAsia="黑体"/>
      <w:b/>
      <w:sz w:val="36"/>
      <w:szCs w:val="36"/>
    </w:rPr>
  </w:style>
  <w:style w:type="character" w:customStyle="1" w:styleId="105">
    <w:name w:val="heading 2 Char2"/>
    <w:uiPriority w:val="0"/>
    <w:rPr>
      <w:rFonts w:ascii="Cambria" w:hAnsi="Cambria"/>
      <w:b/>
      <w:bCs/>
      <w:kern w:val="2"/>
      <w:sz w:val="32"/>
      <w:szCs w:val="32"/>
    </w:rPr>
  </w:style>
  <w:style w:type="character" w:customStyle="1" w:styleId="106">
    <w:name w:val="heading 7 Char1"/>
    <w:uiPriority w:val="0"/>
    <w:rPr>
      <w:rFonts w:ascii="Arial" w:hAnsi="Arial" w:eastAsia="黑体"/>
      <w:sz w:val="21"/>
      <w:szCs w:val="21"/>
      <w:lang w:val="en-US" w:eastAsia="zh-CN" w:bidi="ar-SA"/>
    </w:rPr>
  </w:style>
  <w:style w:type="character" w:customStyle="1" w:styleId="107">
    <w:name w:val="Plain Text Char"/>
    <w:uiPriority w:val="0"/>
    <w:rPr>
      <w:rFonts w:ascii="宋体" w:hAnsi="Courier New" w:eastAsia="宋体" w:cs="Times New Roman"/>
      <w:sz w:val="21"/>
      <w:szCs w:val="21"/>
    </w:rPr>
  </w:style>
  <w:style w:type="character" w:customStyle="1" w:styleId="108">
    <w:name w:val="表格 Char Char"/>
    <w:link w:val="109"/>
    <w:uiPriority w:val="0"/>
    <w:rPr>
      <w:rFonts w:ascii="宋体" w:hAnsi="宋体" w:eastAsia="宋体"/>
      <w:lang w:val="en-US" w:eastAsia="zh-CN" w:bidi="ar-SA"/>
    </w:rPr>
  </w:style>
  <w:style w:type="paragraph" w:customStyle="1" w:styleId="109">
    <w:name w:val="表格"/>
    <w:basedOn w:val="1"/>
    <w:link w:val="108"/>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10">
    <w:name w:val="Char Char17"/>
    <w:uiPriority w:val="0"/>
    <w:rPr>
      <w:rFonts w:ascii="Cambria" w:hAnsi="Cambria"/>
      <w:b/>
      <w:bCs/>
      <w:kern w:val="2"/>
      <w:sz w:val="28"/>
      <w:szCs w:val="28"/>
    </w:rPr>
  </w:style>
  <w:style w:type="character" w:customStyle="1" w:styleId="111">
    <w:name w:val="明显参考1"/>
    <w:uiPriority w:val="0"/>
    <w:rPr>
      <w:b/>
      <w:bCs/>
      <w:smallCaps/>
      <w:color w:val="C0504D"/>
      <w:spacing w:val="5"/>
      <w:u w:val="single"/>
    </w:rPr>
  </w:style>
  <w:style w:type="character" w:customStyle="1" w:styleId="112">
    <w:name w:val="Char Char27"/>
    <w:uiPriority w:val="0"/>
    <w:rPr>
      <w:rFonts w:eastAsia="宋体"/>
      <w:kern w:val="2"/>
      <w:sz w:val="28"/>
      <w:lang w:val="en-US" w:eastAsia="zh-CN" w:bidi="ar-SA"/>
    </w:rPr>
  </w:style>
  <w:style w:type="character" w:customStyle="1" w:styleId="113">
    <w:name w:val="heading 8 Char1"/>
    <w:uiPriority w:val="0"/>
    <w:rPr>
      <w:rFonts w:ascii="Arial" w:hAnsi="Arial" w:eastAsia="黑体"/>
      <w:sz w:val="24"/>
      <w:lang w:val="en-US" w:eastAsia="zh-CN" w:bidi="ar-SA"/>
    </w:rPr>
  </w:style>
  <w:style w:type="character" w:customStyle="1" w:styleId="114">
    <w:name w:val="Footer-Even Char1"/>
    <w:uiPriority w:val="0"/>
    <w:rPr>
      <w:rFonts w:eastAsia="宋体"/>
      <w:kern w:val="2"/>
      <w:sz w:val="18"/>
      <w:szCs w:val="18"/>
      <w:lang w:val="en-US" w:eastAsia="zh-CN" w:bidi="ar-SA"/>
    </w:rPr>
  </w:style>
  <w:style w:type="character" w:customStyle="1" w:styleId="115">
    <w:name w:val="Style3"/>
    <w:uiPriority w:val="0"/>
    <w:rPr>
      <w:rFonts w:ascii="Calibri" w:hAnsi="宋体" w:eastAsia="宋体" w:cs="Times New Roman"/>
      <w:szCs w:val="22"/>
      <w:lang w:eastAsia="zh-CN"/>
    </w:rPr>
  </w:style>
  <w:style w:type="character" w:customStyle="1" w:styleId="116">
    <w:name w:val="heading 4 Char1"/>
    <w:uiPriority w:val="0"/>
    <w:rPr>
      <w:rFonts w:ascii="Cambria" w:hAnsi="Cambria" w:eastAsia="宋体"/>
      <w:b/>
      <w:bCs/>
      <w:kern w:val="2"/>
      <w:sz w:val="28"/>
      <w:szCs w:val="28"/>
      <w:lang w:val="en-US" w:eastAsia="zh-CN" w:bidi="ar-SA"/>
    </w:rPr>
  </w:style>
  <w:style w:type="character" w:customStyle="1" w:styleId="117">
    <w:name w:val="表正文 Char2"/>
    <w:uiPriority w:val="0"/>
    <w:rPr>
      <w:rFonts w:ascii="Times New Roman" w:hAnsi="Times New Roman" w:eastAsia="宋体" w:cs="Times New Roman"/>
      <w:szCs w:val="24"/>
    </w:rPr>
  </w:style>
  <w:style w:type="character" w:customStyle="1" w:styleId="118">
    <w:name w:val="heading 3 Char2"/>
    <w:qFormat/>
    <w:uiPriority w:val="0"/>
    <w:rPr>
      <w:b/>
      <w:bCs/>
      <w:kern w:val="2"/>
      <w:sz w:val="32"/>
      <w:szCs w:val="32"/>
    </w:rPr>
  </w:style>
  <w:style w:type="character" w:customStyle="1" w:styleId="119">
    <w:name w:val="Char Char201"/>
    <w:qFormat/>
    <w:uiPriority w:val="0"/>
    <w:rPr>
      <w:rFonts w:ascii="Cambria" w:hAnsi="Cambria" w:eastAsia="宋体" w:cs="Times New Roman"/>
      <w:b/>
      <w:bCs/>
      <w:sz w:val="32"/>
      <w:szCs w:val="32"/>
    </w:rPr>
  </w:style>
  <w:style w:type="character" w:customStyle="1" w:styleId="120">
    <w:name w:val="Char Char4"/>
    <w:uiPriority w:val="0"/>
    <w:rPr>
      <w:rFonts w:ascii="Cambria" w:hAnsi="Cambria" w:eastAsia="宋体"/>
      <w:b/>
      <w:bCs/>
      <w:sz w:val="32"/>
      <w:szCs w:val="32"/>
      <w:lang w:bidi="ar-SA"/>
    </w:rPr>
  </w:style>
  <w:style w:type="character" w:customStyle="1" w:styleId="121">
    <w:name w:val="Char Char12"/>
    <w:uiPriority w:val="0"/>
    <w:rPr>
      <w:rFonts w:eastAsia="宋体"/>
      <w:kern w:val="2"/>
      <w:sz w:val="21"/>
      <w:szCs w:val="24"/>
      <w:lang w:val="en-US" w:eastAsia="zh-CN" w:bidi="ar-SA"/>
    </w:rPr>
  </w:style>
  <w:style w:type="character" w:customStyle="1" w:styleId="122">
    <w:name w:val="font31"/>
    <w:uiPriority w:val="0"/>
    <w:rPr>
      <w:rFonts w:hint="eastAsia" w:ascii="宋体" w:hAnsi="宋体" w:eastAsia="宋体" w:cs="宋体"/>
      <w:color w:val="000000"/>
      <w:sz w:val="24"/>
      <w:szCs w:val="24"/>
      <w:u w:val="single"/>
    </w:rPr>
  </w:style>
  <w:style w:type="character" w:customStyle="1" w:styleId="123">
    <w:name w:val="不明显参考1"/>
    <w:qFormat/>
    <w:uiPriority w:val="0"/>
    <w:rPr>
      <w:smallCaps/>
      <w:color w:val="C0504D"/>
      <w:u w:val="single"/>
    </w:rPr>
  </w:style>
  <w:style w:type="character" w:customStyle="1" w:styleId="124">
    <w:name w:val="heading 2 Char"/>
    <w:uiPriority w:val="0"/>
    <w:rPr>
      <w:rFonts w:ascii="Arial" w:hAnsi="Arial" w:eastAsia="黑体" w:cs="Times New Roman"/>
      <w:sz w:val="30"/>
      <w:szCs w:val="24"/>
    </w:rPr>
  </w:style>
  <w:style w:type="character" w:customStyle="1" w:styleId="125">
    <w:name w:val="Style1"/>
    <w:uiPriority w:val="0"/>
    <w:rPr>
      <w:rFonts w:ascii="Calibri" w:hAnsi="宋体" w:eastAsia="宋体" w:cs="Times New Roman"/>
      <w:sz w:val="22"/>
      <w:szCs w:val="22"/>
      <w:lang w:eastAsia="zh-CN"/>
    </w:rPr>
  </w:style>
  <w:style w:type="character" w:customStyle="1" w:styleId="126">
    <w:name w:val="Char Char18"/>
    <w:uiPriority w:val="0"/>
    <w:rPr>
      <w:b/>
      <w:bCs/>
      <w:kern w:val="2"/>
      <w:sz w:val="32"/>
      <w:szCs w:val="32"/>
    </w:rPr>
  </w:style>
  <w:style w:type="character" w:customStyle="1" w:styleId="127">
    <w:name w:val="书籍标题1"/>
    <w:uiPriority w:val="0"/>
    <w:rPr>
      <w:b/>
      <w:bCs/>
      <w:smallCaps/>
      <w:spacing w:val="5"/>
    </w:rPr>
  </w:style>
  <w:style w:type="character" w:customStyle="1" w:styleId="128">
    <w:name w:val="_Style 127"/>
    <w:qFormat/>
    <w:uiPriority w:val="0"/>
    <w:rPr>
      <w:b/>
      <w:bCs/>
      <w:smallCaps/>
      <w:color w:val="C0504D"/>
      <w:spacing w:val="5"/>
      <w:u w:val="single"/>
    </w:rPr>
  </w:style>
  <w:style w:type="character" w:customStyle="1" w:styleId="129">
    <w:name w:val="Table Text Char Char"/>
    <w:link w:val="130"/>
    <w:qFormat/>
    <w:uiPriority w:val="0"/>
    <w:rPr>
      <w:sz w:val="21"/>
      <w:lang w:val="en-US" w:eastAsia="en-US" w:bidi="ar-SA"/>
    </w:rPr>
  </w:style>
  <w:style w:type="paragraph" w:customStyle="1" w:styleId="130">
    <w:name w:val="Table Text"/>
    <w:basedOn w:val="1"/>
    <w:link w:val="129"/>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1">
    <w:name w:val="Char Char211"/>
    <w:qFormat/>
    <w:uiPriority w:val="0"/>
    <w:rPr>
      <w:rFonts w:ascii="Times New Roman" w:hAnsi="Times New Roman" w:eastAsia="宋体" w:cs="Times New Roman"/>
      <w:b/>
      <w:bCs/>
      <w:kern w:val="44"/>
      <w:sz w:val="44"/>
      <w:szCs w:val="44"/>
    </w:rPr>
  </w:style>
  <w:style w:type="character" w:customStyle="1" w:styleId="132">
    <w:name w:val="heading 4 Char"/>
    <w:qFormat/>
    <w:uiPriority w:val="0"/>
    <w:rPr>
      <w:rFonts w:ascii="Arial" w:hAnsi="Arial" w:eastAsia="黑体" w:cs="Times New Roman"/>
      <w:sz w:val="21"/>
      <w:szCs w:val="21"/>
    </w:rPr>
  </w:style>
  <w:style w:type="character" w:customStyle="1" w:styleId="133">
    <w:name w:val="Char Char22"/>
    <w:uiPriority w:val="0"/>
    <w:rPr>
      <w:rFonts w:ascii="Arial" w:hAnsi="Arial" w:eastAsia="黑体"/>
      <w:b/>
      <w:bCs/>
      <w:kern w:val="44"/>
      <w:sz w:val="30"/>
      <w:szCs w:val="44"/>
      <w:lang w:val="en-US" w:eastAsia="zh-CN" w:bidi="ar-SA"/>
    </w:rPr>
  </w:style>
  <w:style w:type="character" w:customStyle="1" w:styleId="134">
    <w:name w:val="Char Char20"/>
    <w:qFormat/>
    <w:uiPriority w:val="0"/>
    <w:rPr>
      <w:b/>
      <w:bCs/>
      <w:kern w:val="44"/>
      <w:sz w:val="44"/>
      <w:szCs w:val="44"/>
    </w:rPr>
  </w:style>
  <w:style w:type="character" w:customStyle="1" w:styleId="135">
    <w:name w:val="heading 6 Char1"/>
    <w:qFormat/>
    <w:uiPriority w:val="0"/>
    <w:rPr>
      <w:rFonts w:ascii="Arial" w:hAnsi="Arial" w:eastAsia="黑体"/>
      <w:kern w:val="2"/>
      <w:sz w:val="24"/>
      <w:szCs w:val="24"/>
      <w:lang w:val="en-US" w:eastAsia="zh-CN" w:bidi="ar-SA"/>
    </w:rPr>
  </w:style>
  <w:style w:type="character" w:customStyle="1" w:styleId="136">
    <w:name w:val="Char Char21"/>
    <w:qFormat/>
    <w:uiPriority w:val="0"/>
    <w:rPr>
      <w:rFonts w:ascii="Times New Roman" w:hAnsi="Times New Roman" w:eastAsia="宋体" w:cs="Times New Roman"/>
      <w:b/>
      <w:bCs/>
      <w:kern w:val="44"/>
      <w:sz w:val="44"/>
      <w:szCs w:val="44"/>
    </w:rPr>
  </w:style>
  <w:style w:type="character" w:customStyle="1" w:styleId="137">
    <w:name w:val="Char Char15"/>
    <w:qFormat/>
    <w:uiPriority w:val="0"/>
    <w:rPr>
      <w:rFonts w:ascii="Arial" w:hAnsi="Arial" w:eastAsia="黑体"/>
      <w:sz w:val="24"/>
      <w:szCs w:val="24"/>
    </w:rPr>
  </w:style>
  <w:style w:type="character" w:customStyle="1" w:styleId="138">
    <w:name w:val="ändrad Char1"/>
    <w:qFormat/>
    <w:uiPriority w:val="0"/>
    <w:rPr>
      <w:rFonts w:ascii="仿宋_GB2312" w:eastAsia="宋体"/>
      <w:b/>
      <w:kern w:val="2"/>
      <w:sz w:val="21"/>
      <w:szCs w:val="24"/>
      <w:lang w:val="en-US" w:eastAsia="zh-CN" w:bidi="ar-SA"/>
    </w:rPr>
  </w:style>
  <w:style w:type="character" w:customStyle="1" w:styleId="139">
    <w:name w:val="heading 1 Char1"/>
    <w:uiPriority w:val="0"/>
    <w:rPr>
      <w:rFonts w:eastAsia="宋体"/>
      <w:b/>
      <w:bCs/>
      <w:kern w:val="44"/>
      <w:sz w:val="44"/>
      <w:szCs w:val="44"/>
      <w:lang w:val="en-US" w:eastAsia="zh-CN" w:bidi="ar-SA"/>
    </w:rPr>
  </w:style>
  <w:style w:type="character" w:customStyle="1" w:styleId="140">
    <w:name w:val="PI Char"/>
    <w:qFormat/>
    <w:uiPriority w:val="0"/>
    <w:rPr>
      <w:rFonts w:ascii="宋体" w:hAnsi="宋体"/>
      <w:sz w:val="24"/>
    </w:rPr>
  </w:style>
  <w:style w:type="character" w:customStyle="1" w:styleId="141">
    <w:name w:val="heading 5 Char"/>
    <w:qFormat/>
    <w:uiPriority w:val="0"/>
    <w:rPr>
      <w:rFonts w:ascii="Arial" w:hAnsi="Arial" w:eastAsia="黑体"/>
      <w:sz w:val="21"/>
      <w:szCs w:val="21"/>
    </w:rPr>
  </w:style>
  <w:style w:type="character" w:customStyle="1" w:styleId="142">
    <w:name w:val="blue1"/>
    <w:qFormat/>
    <w:uiPriority w:val="0"/>
  </w:style>
  <w:style w:type="character" w:customStyle="1" w:styleId="143">
    <w:name w:val="Char Char2"/>
    <w:qFormat/>
    <w:uiPriority w:val="0"/>
    <w:rPr>
      <w:rFonts w:ascii="Arial" w:hAnsi="Arial" w:eastAsia="黑体"/>
      <w:b/>
      <w:bCs/>
      <w:kern w:val="44"/>
      <w:sz w:val="30"/>
      <w:szCs w:val="44"/>
      <w:lang w:val="en-US" w:eastAsia="zh-CN" w:bidi="ar-SA"/>
    </w:rPr>
  </w:style>
  <w:style w:type="character" w:customStyle="1" w:styleId="144">
    <w:name w:val="Char Char Char1"/>
    <w:qFormat/>
    <w:uiPriority w:val="0"/>
    <w:rPr>
      <w:rFonts w:ascii="宋体" w:hAnsi="Courier New"/>
      <w:sz w:val="21"/>
      <w:szCs w:val="21"/>
    </w:rPr>
  </w:style>
  <w:style w:type="character" w:customStyle="1" w:styleId="145">
    <w:name w:val="Style2"/>
    <w:qFormat/>
    <w:uiPriority w:val="0"/>
    <w:rPr>
      <w:rFonts w:ascii="Calibri" w:hAnsi="宋体" w:eastAsia="宋体" w:cs="Times New Roman"/>
      <w:sz w:val="22"/>
      <w:szCs w:val="22"/>
      <w:lang w:eastAsia="zh-CN"/>
    </w:rPr>
  </w:style>
  <w:style w:type="character" w:customStyle="1" w:styleId="146">
    <w:name w:val="Char Char41"/>
    <w:qFormat/>
    <w:uiPriority w:val="0"/>
    <w:rPr>
      <w:rFonts w:ascii="Cambria" w:hAnsi="Cambria" w:eastAsia="宋体"/>
      <w:b/>
      <w:bCs/>
      <w:sz w:val="32"/>
      <w:szCs w:val="32"/>
      <w:lang w:bidi="ar-SA"/>
    </w:rPr>
  </w:style>
  <w:style w:type="character" w:customStyle="1" w:styleId="147">
    <w:name w:val="样式 标题 3 + 黑体 小四 Char Char"/>
    <w:link w:val="148"/>
    <w:qFormat/>
    <w:uiPriority w:val="0"/>
    <w:rPr>
      <w:rFonts w:ascii="黑体" w:hAnsi="Arial" w:eastAsia="黑体"/>
      <w:bCs/>
      <w:sz w:val="24"/>
      <w:szCs w:val="24"/>
      <w:lang w:bidi="ar-SA"/>
    </w:rPr>
  </w:style>
  <w:style w:type="paragraph" w:customStyle="1" w:styleId="148">
    <w:name w:val="样式 标题 3 + 黑体 小四"/>
    <w:basedOn w:val="5"/>
    <w:link w:val="147"/>
    <w:qFormat/>
    <w:uiPriority w:val="0"/>
    <w:pPr>
      <w:spacing w:before="260" w:after="260" w:line="413" w:lineRule="auto"/>
    </w:pPr>
    <w:rPr>
      <w:rFonts w:ascii="黑体" w:hAnsi="Arial"/>
      <w:b w:val="0"/>
      <w:bCs/>
      <w:kern w:val="0"/>
      <w:sz w:val="24"/>
      <w:szCs w:val="24"/>
    </w:rPr>
  </w:style>
  <w:style w:type="character" w:customStyle="1" w:styleId="149">
    <w:name w:val="Char Char121"/>
    <w:qFormat/>
    <w:uiPriority w:val="0"/>
    <w:rPr>
      <w:rFonts w:eastAsia="宋体"/>
      <w:kern w:val="2"/>
      <w:sz w:val="21"/>
      <w:szCs w:val="24"/>
      <w:lang w:val="en-US" w:eastAsia="zh-CN" w:bidi="ar-SA"/>
    </w:rPr>
  </w:style>
  <w:style w:type="character" w:customStyle="1" w:styleId="150">
    <w:name w:val="Char Char111"/>
    <w:qFormat/>
    <w:uiPriority w:val="0"/>
    <w:rPr>
      <w:rFonts w:ascii="Times New Roman" w:hAnsi="Times New Roman" w:eastAsia="宋体" w:cs="Times New Roman"/>
      <w:sz w:val="18"/>
      <w:szCs w:val="18"/>
    </w:rPr>
  </w:style>
  <w:style w:type="character" w:customStyle="1" w:styleId="151">
    <w:name w:val="heading 5 Char1"/>
    <w:qFormat/>
    <w:uiPriority w:val="0"/>
    <w:rPr>
      <w:rFonts w:eastAsia="宋体"/>
      <w:b/>
      <w:bCs/>
      <w:kern w:val="2"/>
      <w:sz w:val="28"/>
      <w:szCs w:val="28"/>
      <w:lang w:val="en-US" w:eastAsia="zh-CN" w:bidi="ar-SA"/>
    </w:rPr>
  </w:style>
  <w:style w:type="character" w:customStyle="1" w:styleId="152">
    <w:name w:val="Char Char24"/>
    <w:qFormat/>
    <w:uiPriority w:val="0"/>
    <w:rPr>
      <w:rFonts w:eastAsia="宋体"/>
      <w:b/>
      <w:kern w:val="2"/>
      <w:sz w:val="28"/>
      <w:lang w:val="en-US" w:eastAsia="zh-CN" w:bidi="ar-SA"/>
    </w:rPr>
  </w:style>
  <w:style w:type="character" w:customStyle="1" w:styleId="153">
    <w:name w:val="明显强调1"/>
    <w:qFormat/>
    <w:uiPriority w:val="0"/>
    <w:rPr>
      <w:b/>
      <w:bCs/>
      <w:i/>
      <w:iCs/>
      <w:color w:val="4F81BD"/>
    </w:rPr>
  </w:style>
  <w:style w:type="character" w:customStyle="1" w:styleId="154">
    <w:name w:val="heading 4 Char2"/>
    <w:qFormat/>
    <w:uiPriority w:val="0"/>
    <w:rPr>
      <w:rFonts w:ascii="Cambria" w:hAnsi="Cambria"/>
      <w:b/>
      <w:bCs/>
      <w:kern w:val="2"/>
      <w:sz w:val="28"/>
      <w:szCs w:val="28"/>
    </w:rPr>
  </w:style>
  <w:style w:type="character" w:customStyle="1" w:styleId="155">
    <w:name w:val="Ò³Ã¼ Char Char1"/>
    <w:qFormat/>
    <w:uiPriority w:val="0"/>
    <w:rPr>
      <w:rFonts w:eastAsia="宋体"/>
      <w:kern w:val="2"/>
      <w:sz w:val="18"/>
      <w:szCs w:val="18"/>
      <w:lang w:val="en-US" w:eastAsia="zh-CN" w:bidi="ar-SA"/>
    </w:rPr>
  </w:style>
  <w:style w:type="character" w:customStyle="1" w:styleId="156">
    <w:name w:val="Char Char1"/>
    <w:qFormat/>
    <w:uiPriority w:val="0"/>
    <w:rPr>
      <w:rFonts w:eastAsia="宋体"/>
      <w:sz w:val="21"/>
      <w:lang w:val="en-US" w:eastAsia="zh-CN" w:bidi="ar-SA"/>
    </w:rPr>
  </w:style>
  <w:style w:type="character" w:customStyle="1" w:styleId="157">
    <w:name w:val="ListLabel 1"/>
    <w:qFormat/>
    <w:uiPriority w:val="7"/>
    <w:rPr>
      <w:rFonts w:ascii="宋体" w:hAnsi="宋体" w:cs="宋体"/>
      <w:color w:val="FF0000"/>
      <w:sz w:val="24"/>
    </w:rPr>
  </w:style>
  <w:style w:type="character" w:customStyle="1" w:styleId="158">
    <w:name w:val="不明显强调1"/>
    <w:qFormat/>
    <w:uiPriority w:val="0"/>
    <w:rPr>
      <w:i/>
      <w:iCs/>
      <w:color w:val="808080"/>
    </w:rPr>
  </w:style>
  <w:style w:type="character" w:customStyle="1" w:styleId="159">
    <w:name w:val="PI Char2"/>
    <w:qFormat/>
    <w:uiPriority w:val="0"/>
    <w:rPr>
      <w:kern w:val="2"/>
      <w:sz w:val="24"/>
      <w:szCs w:val="24"/>
    </w:rPr>
  </w:style>
  <w:style w:type="character" w:customStyle="1" w:styleId="160">
    <w:name w:val="Footer-Even Char"/>
    <w:uiPriority w:val="0"/>
    <w:rPr>
      <w:sz w:val="18"/>
      <w:szCs w:val="18"/>
    </w:rPr>
  </w:style>
  <w:style w:type="character" w:customStyle="1" w:styleId="161">
    <w:name w:val="Char Char Char"/>
    <w:uiPriority w:val="0"/>
    <w:rPr>
      <w:rFonts w:ascii="宋体" w:hAnsi="Courier New" w:eastAsia="宋体"/>
      <w:b/>
      <w:sz w:val="21"/>
      <w:szCs w:val="21"/>
      <w:lang w:val="en-US" w:eastAsia="zh-CN" w:bidi="ar-SA"/>
    </w:rPr>
  </w:style>
  <w:style w:type="character" w:customStyle="1" w:styleId="162">
    <w:name w:val="Char Char19"/>
    <w:uiPriority w:val="0"/>
    <w:rPr>
      <w:rFonts w:ascii="Cambria" w:hAnsi="Cambria"/>
      <w:b/>
      <w:bCs/>
      <w:kern w:val="2"/>
      <w:sz w:val="32"/>
      <w:szCs w:val="32"/>
    </w:rPr>
  </w:style>
  <w:style w:type="character" w:customStyle="1" w:styleId="163">
    <w:name w:val="引用 字符"/>
    <w:link w:val="164"/>
    <w:uiPriority w:val="0"/>
    <w:rPr>
      <w:rFonts w:ascii="Calibri" w:hAnsi="Calibri" w:eastAsia="宋体"/>
      <w:i/>
      <w:iCs/>
      <w:color w:val="000000"/>
      <w:lang w:val="en-US" w:eastAsia="zh-CN" w:bidi="ar-SA"/>
    </w:rPr>
  </w:style>
  <w:style w:type="paragraph" w:styleId="164">
    <w:name w:val="Quote"/>
    <w:basedOn w:val="1"/>
    <w:next w:val="1"/>
    <w:link w:val="163"/>
    <w:qFormat/>
    <w:uiPriority w:val="0"/>
    <w:rPr>
      <w:i/>
      <w:iCs/>
      <w:color w:val="000000"/>
      <w:kern w:val="0"/>
      <w:sz w:val="20"/>
      <w:szCs w:val="20"/>
    </w:rPr>
  </w:style>
  <w:style w:type="character" w:customStyle="1" w:styleId="165">
    <w:name w:val="样式 宋体"/>
    <w:uiPriority w:val="0"/>
    <w:rPr>
      <w:rFonts w:ascii="宋体" w:hAnsi="宋体" w:eastAsia="宋体"/>
      <w:sz w:val="24"/>
      <w:szCs w:val="24"/>
    </w:rPr>
  </w:style>
  <w:style w:type="character" w:customStyle="1" w:styleId="166">
    <w:name w:val="Char Char61"/>
    <w:qFormat/>
    <w:uiPriority w:val="0"/>
    <w:rPr>
      <w:rFonts w:ascii="Times New Roman" w:hAnsi="Times New Roman" w:eastAsia="宋体" w:cs="Times New Roman"/>
      <w:szCs w:val="24"/>
    </w:rPr>
  </w:style>
  <w:style w:type="character" w:customStyle="1" w:styleId="167">
    <w:name w:val="Char Char6"/>
    <w:uiPriority w:val="0"/>
    <w:rPr>
      <w:rFonts w:ascii="Times New Roman" w:hAnsi="Times New Roman" w:eastAsia="宋体" w:cs="Times New Roman"/>
      <w:szCs w:val="24"/>
    </w:rPr>
  </w:style>
  <w:style w:type="character" w:customStyle="1" w:styleId="168">
    <w:name w:val="无间隔 字符"/>
    <w:link w:val="169"/>
    <w:uiPriority w:val="0"/>
    <w:rPr>
      <w:rFonts w:eastAsia="Times New Roman"/>
      <w:sz w:val="22"/>
      <w:szCs w:val="22"/>
      <w:lang w:val="en-US" w:eastAsia="zh-CN" w:bidi="ar-SA"/>
    </w:rPr>
  </w:style>
  <w:style w:type="paragraph" w:styleId="169">
    <w:name w:val="No Spacing"/>
    <w:link w:val="168"/>
    <w:qFormat/>
    <w:uiPriority w:val="0"/>
    <w:rPr>
      <w:rFonts w:ascii="Times New Roman" w:hAnsi="Times New Roman" w:eastAsia="Times New Roman" w:cs="Times New Roman"/>
      <w:sz w:val="22"/>
      <w:szCs w:val="22"/>
      <w:lang w:val="en-US" w:eastAsia="zh-CN" w:bidi="ar-SA"/>
    </w:rPr>
  </w:style>
  <w:style w:type="character" w:customStyle="1" w:styleId="170">
    <w:name w:val="Char Char271"/>
    <w:uiPriority w:val="0"/>
    <w:rPr>
      <w:rFonts w:eastAsia="宋体"/>
      <w:kern w:val="2"/>
      <w:sz w:val="28"/>
      <w:lang w:val="en-US" w:eastAsia="zh-CN" w:bidi="ar-SA"/>
    </w:rPr>
  </w:style>
  <w:style w:type="character" w:customStyle="1" w:styleId="171">
    <w:name w:val="Ò³Ã¼ Char Char"/>
    <w:uiPriority w:val="0"/>
    <w:rPr>
      <w:sz w:val="18"/>
      <w:szCs w:val="18"/>
    </w:rPr>
  </w:style>
  <w:style w:type="character" w:customStyle="1" w:styleId="172">
    <w:name w:val="_Style 171"/>
    <w:qFormat/>
    <w:uiPriority w:val="0"/>
    <w:rPr>
      <w:b/>
      <w:bCs/>
      <w:smallCaps/>
      <w:spacing w:val="5"/>
    </w:rPr>
  </w:style>
  <w:style w:type="character" w:customStyle="1" w:styleId="173">
    <w:name w:val="Ò³Ã¼ Char Char2"/>
    <w:uiPriority w:val="0"/>
    <w:rPr>
      <w:kern w:val="2"/>
      <w:sz w:val="18"/>
      <w:szCs w:val="18"/>
    </w:rPr>
  </w:style>
  <w:style w:type="character" w:customStyle="1" w:styleId="174">
    <w:name w:val="明显引用 字符"/>
    <w:link w:val="175"/>
    <w:uiPriority w:val="0"/>
    <w:rPr>
      <w:rFonts w:ascii="Calibri" w:hAnsi="Calibri" w:eastAsia="宋体"/>
      <w:b/>
      <w:bCs/>
      <w:i/>
      <w:iCs/>
      <w:color w:val="4F81BD"/>
      <w:lang w:val="en-US" w:eastAsia="zh-CN" w:bidi="ar-SA"/>
    </w:rPr>
  </w:style>
  <w:style w:type="paragraph" w:styleId="175">
    <w:name w:val="Intense Quote"/>
    <w:basedOn w:val="1"/>
    <w:next w:val="1"/>
    <w:link w:val="174"/>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76">
    <w:name w:val="heading 3 Char"/>
    <w:uiPriority w:val="0"/>
    <w:rPr>
      <w:rFonts w:ascii="Arial" w:hAnsi="Arial" w:eastAsia="黑体"/>
      <w:sz w:val="28"/>
      <w:szCs w:val="24"/>
    </w:rPr>
  </w:style>
  <w:style w:type="character" w:customStyle="1" w:styleId="177">
    <w:name w:val="Char Char241"/>
    <w:uiPriority w:val="0"/>
    <w:rPr>
      <w:rFonts w:eastAsia="宋体"/>
      <w:b/>
      <w:kern w:val="2"/>
      <w:sz w:val="28"/>
      <w:lang w:val="en-US" w:eastAsia="zh-CN" w:bidi="ar-SA"/>
    </w:rPr>
  </w:style>
  <w:style w:type="character" w:customStyle="1" w:styleId="178">
    <w:name w:val="PI Char1"/>
    <w:uiPriority w:val="0"/>
    <w:rPr>
      <w:rFonts w:eastAsia="宋体"/>
      <w:kern w:val="2"/>
      <w:sz w:val="24"/>
      <w:szCs w:val="24"/>
      <w:lang w:val="en-US" w:eastAsia="zh-CN" w:bidi="ar-SA"/>
    </w:rPr>
  </w:style>
  <w:style w:type="character" w:customStyle="1" w:styleId="179">
    <w:name w:val="_Style 178"/>
    <w:qFormat/>
    <w:uiPriority w:val="0"/>
    <w:rPr>
      <w:smallCaps/>
      <w:color w:val="C0504D"/>
      <w:u w:val="single"/>
    </w:rPr>
  </w:style>
  <w:style w:type="character" w:customStyle="1" w:styleId="180">
    <w:name w:val="style41"/>
    <w:uiPriority w:val="0"/>
    <w:rPr>
      <w:color w:val="auto"/>
    </w:rPr>
  </w:style>
  <w:style w:type="character" w:customStyle="1" w:styleId="181">
    <w:name w:val="Char Char16"/>
    <w:uiPriority w:val="0"/>
    <w:rPr>
      <w:b/>
      <w:bCs/>
      <w:kern w:val="2"/>
      <w:sz w:val="28"/>
      <w:szCs w:val="28"/>
    </w:rPr>
  </w:style>
  <w:style w:type="character" w:customStyle="1" w:styleId="182">
    <w:name w:val="_Style 181"/>
    <w:qFormat/>
    <w:uiPriority w:val="0"/>
    <w:rPr>
      <w:i/>
      <w:iCs/>
      <w:color w:val="808080"/>
    </w:rPr>
  </w:style>
  <w:style w:type="character" w:customStyle="1" w:styleId="183">
    <w:name w:val="dandyren_title1"/>
    <w:uiPriority w:val="0"/>
    <w:rPr>
      <w:b/>
      <w:bCs/>
      <w:color w:val="FF6633"/>
      <w:sz w:val="18"/>
      <w:szCs w:val="18"/>
    </w:rPr>
  </w:style>
  <w:style w:type="character" w:customStyle="1" w:styleId="184">
    <w:name w:val="style21"/>
    <w:uiPriority w:val="0"/>
    <w:rPr>
      <w:sz w:val="15"/>
      <w:szCs w:val="15"/>
    </w:rPr>
  </w:style>
  <w:style w:type="character" w:customStyle="1" w:styleId="185">
    <w:name w:val="style111"/>
    <w:qFormat/>
    <w:uiPriority w:val="0"/>
    <w:rPr>
      <w:sz w:val="27"/>
      <w:szCs w:val="27"/>
    </w:rPr>
  </w:style>
  <w:style w:type="character" w:customStyle="1" w:styleId="186">
    <w:name w:val="smalltxt1"/>
    <w:qFormat/>
    <w:uiPriority w:val="0"/>
    <w:rPr>
      <w:rFonts w:hint="default" w:ascii="ˎ̥" w:hAnsi="ˎ̥"/>
      <w:sz w:val="24"/>
      <w:szCs w:val="24"/>
    </w:rPr>
  </w:style>
  <w:style w:type="character" w:customStyle="1" w:styleId="187">
    <w:name w:val="heading 5 Char2"/>
    <w:qFormat/>
    <w:uiPriority w:val="0"/>
    <w:rPr>
      <w:b/>
      <w:bCs/>
      <w:kern w:val="2"/>
      <w:sz w:val="28"/>
      <w:szCs w:val="28"/>
    </w:rPr>
  </w:style>
  <w:style w:type="character" w:customStyle="1" w:styleId="188">
    <w:name w:val="Char Char11"/>
    <w:uiPriority w:val="0"/>
    <w:rPr>
      <w:rFonts w:ascii="Times New Roman" w:hAnsi="Times New Roman" w:eastAsia="宋体" w:cs="Times New Roman"/>
      <w:sz w:val="18"/>
      <w:szCs w:val="18"/>
    </w:rPr>
  </w:style>
  <w:style w:type="character" w:customStyle="1" w:styleId="189">
    <w:name w:val="样式2 Char Char"/>
    <w:link w:val="190"/>
    <w:uiPriority w:val="0"/>
    <w:rPr>
      <w:rFonts w:ascii="宋体" w:hAnsi="宋体" w:eastAsia="宋体"/>
      <w:bCs/>
      <w:kern w:val="2"/>
      <w:sz w:val="28"/>
      <w:szCs w:val="28"/>
      <w:lang w:val="en-US" w:eastAsia="zh-CN" w:bidi="ar-SA"/>
    </w:rPr>
  </w:style>
  <w:style w:type="paragraph" w:customStyle="1" w:styleId="190">
    <w:name w:val="样式2"/>
    <w:basedOn w:val="4"/>
    <w:link w:val="189"/>
    <w:uiPriority w:val="0"/>
    <w:pPr>
      <w:keepLines/>
      <w:snapToGrid w:val="0"/>
      <w:spacing w:before="260" w:after="156" w:afterLines="50" w:line="480" w:lineRule="exact"/>
      <w:ind w:firstLine="556"/>
    </w:pPr>
    <w:rPr>
      <w:rFonts w:ascii="宋体" w:hAnsi="宋体"/>
      <w:b w:val="0"/>
      <w:bCs/>
      <w:szCs w:val="28"/>
    </w:rPr>
  </w:style>
  <w:style w:type="character" w:customStyle="1" w:styleId="191">
    <w:name w:val="gray6"/>
    <w:qFormat/>
    <w:uiPriority w:val="0"/>
  </w:style>
  <w:style w:type="character" w:customStyle="1" w:styleId="192">
    <w:name w:val="Style4"/>
    <w:qFormat/>
    <w:uiPriority w:val="0"/>
    <w:rPr>
      <w:rFonts w:ascii="Calibri" w:hAnsi="宋体" w:eastAsia="宋体" w:cs="Times New Roman"/>
      <w:szCs w:val="22"/>
      <w:lang w:eastAsia="zh-CN"/>
    </w:rPr>
  </w:style>
  <w:style w:type="character" w:customStyle="1" w:styleId="193">
    <w:name w:val="Char Char Char Char Char Char Char Char Char"/>
    <w:uiPriority w:val="0"/>
    <w:rPr>
      <w:rFonts w:ascii="宋体" w:hAnsi="Courier New" w:eastAsia="宋体"/>
      <w:sz w:val="21"/>
      <w:szCs w:val="21"/>
      <w:lang w:val="en-US" w:eastAsia="zh-CN" w:bidi="ar-SA"/>
    </w:rPr>
  </w:style>
  <w:style w:type="character" w:customStyle="1" w:styleId="194">
    <w:name w:val="pt141"/>
    <w:uiPriority w:val="0"/>
    <w:rPr>
      <w:color w:val="330066"/>
      <w:spacing w:val="450"/>
      <w:sz w:val="22"/>
      <w:szCs w:val="22"/>
    </w:rPr>
  </w:style>
  <w:style w:type="character" w:customStyle="1" w:styleId="195">
    <w:name w:val="heading 2 Char1"/>
    <w:uiPriority w:val="0"/>
    <w:rPr>
      <w:rFonts w:ascii="Cambria" w:hAnsi="Cambria" w:eastAsia="宋体"/>
      <w:b/>
      <w:bCs/>
      <w:kern w:val="2"/>
      <w:sz w:val="32"/>
      <w:szCs w:val="32"/>
      <w:lang w:val="en-US" w:eastAsia="zh-CN" w:bidi="ar-SA"/>
    </w:rPr>
  </w:style>
  <w:style w:type="character" w:customStyle="1" w:styleId="196">
    <w:name w:val="textcolor1"/>
    <w:uiPriority w:val="0"/>
    <w:rPr>
      <w:rFonts w:ascii="仿宋_GB2312" w:eastAsia="仿宋_GB2312"/>
      <w:b/>
      <w:color w:val="FF6600"/>
      <w:sz w:val="32"/>
      <w:szCs w:val="32"/>
    </w:rPr>
  </w:style>
  <w:style w:type="character" w:customStyle="1" w:styleId="197">
    <w:name w:val="_Style 196"/>
    <w:qFormat/>
    <w:uiPriority w:val="0"/>
    <w:rPr>
      <w:b/>
      <w:bCs/>
      <w:i/>
      <w:iCs/>
      <w:color w:val="4F81BD"/>
    </w:rPr>
  </w:style>
  <w:style w:type="character" w:customStyle="1" w:styleId="198">
    <w:name w:val="heading 9 Char1"/>
    <w:uiPriority w:val="0"/>
    <w:rPr>
      <w:rFonts w:ascii="Arial" w:hAnsi="Arial" w:eastAsia="黑体"/>
      <w:sz w:val="21"/>
      <w:lang w:val="en-US" w:eastAsia="zh-CN" w:bidi="ar-SA"/>
    </w:rPr>
  </w:style>
  <w:style w:type="character" w:customStyle="1" w:styleId="199">
    <w:name w:val="Texte Char Char"/>
    <w:uiPriority w:val="0"/>
    <w:rPr>
      <w:rFonts w:ascii="宋体" w:hAnsi="Courier New" w:eastAsia="宋体"/>
      <w:sz w:val="21"/>
      <w:szCs w:val="21"/>
      <w:lang w:val="en-US" w:eastAsia="zh-CN" w:bidi="ar-SA"/>
    </w:rPr>
  </w:style>
  <w:style w:type="character" w:customStyle="1" w:styleId="200">
    <w:name w:val="ändrad Char"/>
    <w:qFormat/>
    <w:uiPriority w:val="0"/>
    <w:rPr>
      <w:rFonts w:eastAsia="宋体"/>
      <w:kern w:val="2"/>
      <w:sz w:val="21"/>
      <w:szCs w:val="24"/>
      <w:lang w:val="en-US" w:eastAsia="zh-CN" w:bidi="ar-SA"/>
    </w:rPr>
  </w:style>
  <w:style w:type="paragraph" w:customStyle="1" w:styleId="201">
    <w:name w:val="Fließtext"/>
    <w:basedOn w:val="1"/>
    <w:qFormat/>
    <w:uiPriority w:val="0"/>
    <w:pPr>
      <w:overflowPunct w:val="0"/>
      <w:autoSpaceDE w:val="0"/>
      <w:autoSpaceDN w:val="0"/>
      <w:adjustRightInd w:val="0"/>
      <w:textAlignment w:val="baseline"/>
    </w:pPr>
    <w:rPr>
      <w:kern w:val="28"/>
      <w:szCs w:val="20"/>
    </w:rPr>
  </w:style>
  <w:style w:type="paragraph" w:customStyle="1" w:styleId="202">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204">
    <w:name w:val="_Style 203"/>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05">
    <w:name w:val="正文文字表格居中"/>
    <w:basedOn w:val="1"/>
    <w:next w:val="48"/>
    <w:uiPriority w:val="0"/>
    <w:pPr>
      <w:autoSpaceDE w:val="0"/>
      <w:autoSpaceDN w:val="0"/>
      <w:adjustRightInd w:val="0"/>
      <w:snapToGrid w:val="0"/>
      <w:spacing w:line="360" w:lineRule="auto"/>
      <w:jc w:val="left"/>
    </w:pPr>
    <w:rPr>
      <w:rFonts w:ascii="宋体"/>
      <w:b/>
      <w:kern w:val="0"/>
      <w:sz w:val="24"/>
      <w:szCs w:val="20"/>
    </w:rPr>
  </w:style>
  <w:style w:type="paragraph" w:customStyle="1" w:styleId="206">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7">
    <w:name w:val="保留正文"/>
    <w:basedOn w:val="21"/>
    <w:uiPriority w:val="0"/>
    <w:pPr>
      <w:keepNext/>
      <w:spacing w:after="160"/>
    </w:pPr>
    <w:rPr>
      <w:szCs w:val="20"/>
    </w:rPr>
  </w:style>
  <w:style w:type="paragraph" w:customStyle="1" w:styleId="208">
    <w:name w:val="此正文"/>
    <w:basedOn w:val="1"/>
    <w:uiPriority w:val="0"/>
    <w:pPr>
      <w:autoSpaceDE w:val="0"/>
      <w:autoSpaceDN w:val="0"/>
      <w:adjustRightInd w:val="0"/>
      <w:spacing w:line="360" w:lineRule="auto"/>
      <w:ind w:firstLine="200" w:firstLineChars="200"/>
      <w:jc w:val="left"/>
    </w:pPr>
    <w:rPr>
      <w:kern w:val="0"/>
      <w:sz w:val="24"/>
      <w:szCs w:val="20"/>
    </w:rPr>
  </w:style>
  <w:style w:type="paragraph" w:customStyle="1" w:styleId="209">
    <w:name w:val="Char Char Char Char Char Char Char Char Char Char Char Char Char"/>
    <w:basedOn w:val="1"/>
    <w:qFormat/>
    <w:uiPriority w:val="0"/>
  </w:style>
  <w:style w:type="paragraph" w:customStyle="1" w:styleId="210">
    <w:name w:val="正文－恩普"/>
    <w:basedOn w:val="9"/>
    <w:uiPriority w:val="0"/>
    <w:pPr>
      <w:adjustRightInd/>
      <w:spacing w:line="360" w:lineRule="auto"/>
      <w:ind w:firstLine="200" w:firstLineChars="200"/>
      <w:textAlignment w:val="auto"/>
    </w:pPr>
    <w:rPr>
      <w:kern w:val="2"/>
      <w:sz w:val="24"/>
      <w:szCs w:val="24"/>
    </w:rPr>
  </w:style>
  <w:style w:type="paragraph" w:customStyle="1" w:styleId="211">
    <w:name w:val="章标题"/>
    <w:next w:val="1"/>
    <w:uiPriority w:val="0"/>
    <w:pPr>
      <w:tabs>
        <w:tab w:val="left" w:pos="3469"/>
      </w:tabs>
      <w:spacing w:before="156" w:beforeLines="50" w:after="156" w:afterLines="50"/>
      <w:ind w:left="3469" w:hanging="420"/>
      <w:jc w:val="both"/>
      <w:outlineLvl w:val="1"/>
    </w:pPr>
    <w:rPr>
      <w:rFonts w:ascii="黑体" w:hAnsi="Times New Roman" w:eastAsia="黑体" w:cs="Times New Roman"/>
      <w:sz w:val="21"/>
      <w:lang w:val="en-US" w:eastAsia="zh-CN" w:bidi="ar-SA"/>
    </w:rPr>
  </w:style>
  <w:style w:type="paragraph" w:customStyle="1" w:styleId="212">
    <w:name w:val="小标题"/>
    <w:basedOn w:val="1"/>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13">
    <w:name w:val="p0"/>
    <w:basedOn w:val="1"/>
    <w:uiPriority w:val="0"/>
    <w:pPr>
      <w:widowControl/>
    </w:pPr>
    <w:rPr>
      <w:kern w:val="0"/>
      <w:szCs w:val="21"/>
    </w:rPr>
  </w:style>
  <w:style w:type="paragraph" w:customStyle="1" w:styleId="214">
    <w:name w:val="Char2"/>
    <w:basedOn w:val="1"/>
    <w:uiPriority w:val="0"/>
    <w:pPr>
      <w:autoSpaceDE w:val="0"/>
      <w:autoSpaceDN w:val="0"/>
      <w:adjustRightInd w:val="0"/>
      <w:jc w:val="left"/>
    </w:pPr>
    <w:rPr>
      <w:rFonts w:ascii="仿宋_GB2312" w:eastAsia="仿宋_GB2312"/>
      <w:b/>
      <w:kern w:val="0"/>
      <w:sz w:val="32"/>
      <w:szCs w:val="32"/>
    </w:rPr>
  </w:style>
  <w:style w:type="paragraph" w:customStyle="1" w:styleId="215">
    <w:name w:val="正文-宋体四号"/>
    <w:basedOn w:val="1"/>
    <w:uiPriority w:val="0"/>
    <w:pPr>
      <w:spacing w:line="360" w:lineRule="auto"/>
      <w:ind w:firstLine="560" w:firstLineChars="200"/>
    </w:pPr>
    <w:rPr>
      <w:rFonts w:cs="宋体"/>
      <w:sz w:val="28"/>
      <w:szCs w:val="20"/>
    </w:rPr>
  </w:style>
  <w:style w:type="paragraph" w:customStyle="1" w:styleId="216">
    <w:name w:val="Char1 Char Char Char Char Char Char"/>
    <w:basedOn w:val="1"/>
    <w:uiPriority w:val="0"/>
    <w:rPr>
      <w:rFonts w:ascii="宋体" w:hAnsi="宋体"/>
      <w:color w:val="000000"/>
      <w:sz w:val="24"/>
    </w:rPr>
  </w:style>
  <w:style w:type="paragraph" w:customStyle="1" w:styleId="217">
    <w:name w:val="Char1"/>
    <w:basedOn w:val="1"/>
    <w:uiPriority w:val="0"/>
    <w:rPr>
      <w:rFonts w:ascii="仿宋_GB2312" w:eastAsia="仿宋_GB2312"/>
      <w:b/>
      <w:sz w:val="32"/>
      <w:szCs w:val="32"/>
    </w:rPr>
  </w:style>
  <w:style w:type="paragraph" w:customStyle="1" w:styleId="218">
    <w:name w:val="xl85"/>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9">
    <w:name w:val="正文格式"/>
    <w:basedOn w:val="1"/>
    <w:qFormat/>
    <w:uiPriority w:val="0"/>
    <w:pPr>
      <w:widowControl/>
      <w:adjustRightInd w:val="0"/>
      <w:snapToGrid w:val="0"/>
      <w:ind w:firstLine="482"/>
      <w:textAlignment w:val="baseline"/>
    </w:pPr>
    <w:rPr>
      <w:rFonts w:ascii="仿宋" w:hAnsi="仿宋" w:eastAsia="仿宋"/>
      <w:sz w:val="24"/>
    </w:rPr>
  </w:style>
  <w:style w:type="paragraph" w:customStyle="1" w:styleId="220">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1">
    <w:name w:val="三级条标题"/>
    <w:basedOn w:val="222"/>
    <w:next w:val="1"/>
    <w:uiPriority w:val="0"/>
    <w:pPr>
      <w:tabs>
        <w:tab w:val="left" w:pos="3889"/>
        <w:tab w:val="left" w:pos="4309"/>
        <w:tab w:val="left" w:pos="4729"/>
      </w:tabs>
      <w:ind w:left="4729"/>
      <w:outlineLvl w:val="4"/>
    </w:pPr>
  </w:style>
  <w:style w:type="paragraph" w:customStyle="1" w:styleId="222">
    <w:name w:val="二级条标题"/>
    <w:basedOn w:val="223"/>
    <w:next w:val="1"/>
    <w:uiPriority w:val="0"/>
    <w:pPr>
      <w:tabs>
        <w:tab w:val="left" w:pos="3889"/>
        <w:tab w:val="left" w:pos="4309"/>
      </w:tabs>
      <w:ind w:left="4309"/>
      <w:outlineLvl w:val="3"/>
    </w:pPr>
  </w:style>
  <w:style w:type="paragraph" w:customStyle="1" w:styleId="223">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24">
    <w:name w:val="Char Char Char Char"/>
    <w:basedOn w:val="1"/>
    <w:uiPriority w:val="0"/>
    <w:pPr>
      <w:autoSpaceDE w:val="0"/>
      <w:autoSpaceDN w:val="0"/>
      <w:adjustRightInd w:val="0"/>
      <w:jc w:val="left"/>
    </w:pPr>
    <w:rPr>
      <w:rFonts w:ascii="Tahoma" w:hAnsi="Tahoma"/>
      <w:kern w:val="0"/>
      <w:sz w:val="24"/>
      <w:szCs w:val="20"/>
    </w:rPr>
  </w:style>
  <w:style w:type="paragraph" w:customStyle="1" w:styleId="225">
    <w:name w:val="图"/>
    <w:basedOn w:val="1"/>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26">
    <w:name w:val="xl9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27">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28">
    <w:name w:val="xl89"/>
    <w:basedOn w:val="1"/>
    <w:uiPriority w:val="0"/>
    <w:pPr>
      <w:widowControl/>
      <w:spacing w:before="100" w:beforeAutospacing="1" w:after="100" w:afterAutospacing="1"/>
      <w:jc w:val="left"/>
    </w:pPr>
    <w:rPr>
      <w:rFonts w:ascii="宋体" w:hAnsi="宋体" w:cs="宋体"/>
      <w:kern w:val="0"/>
      <w:sz w:val="24"/>
    </w:rPr>
  </w:style>
  <w:style w:type="paragraph" w:customStyle="1" w:styleId="229">
    <w:name w:val="表格文字（大）"/>
    <w:basedOn w:val="1"/>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30">
    <w:name w:val="xl66"/>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31">
    <w:name w:val="xl86"/>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33">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4">
    <w:name w:val="ÕýÎÄÊ×ÐÐËõ½ø"/>
    <w:basedOn w:val="1"/>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35">
    <w:name w:val="部分1"/>
    <w:basedOn w:val="1"/>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36">
    <w:name w:val="标准小四"/>
    <w:basedOn w:val="1"/>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76"/>
    <w:basedOn w:val="1"/>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9">
    <w:name w:val="1.1.1"/>
    <w:basedOn w:val="1"/>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40">
    <w:name w:val="tabletext"/>
    <w:basedOn w:val="1"/>
    <w:uiPriority w:val="0"/>
    <w:pPr>
      <w:widowControl/>
      <w:spacing w:line="300" w:lineRule="atLeast"/>
      <w:jc w:val="left"/>
    </w:pPr>
    <w:rPr>
      <w:rFonts w:ascii="宋体" w:hAnsi="宋体" w:cs="宋体"/>
      <w:kern w:val="0"/>
      <w:sz w:val="18"/>
      <w:szCs w:val="18"/>
    </w:rPr>
  </w:style>
  <w:style w:type="paragraph" w:customStyle="1" w:styleId="241">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42">
    <w:name w:val="Char Char Char Char Char Char Char"/>
    <w:basedOn w:val="1"/>
    <w:uiPriority w:val="0"/>
    <w:rPr>
      <w:rFonts w:ascii="仿宋_GB2312" w:eastAsia="仿宋_GB2312"/>
      <w:b/>
      <w:sz w:val="32"/>
      <w:szCs w:val="32"/>
    </w:rPr>
  </w:style>
  <w:style w:type="paragraph" w:customStyle="1" w:styleId="24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4">
    <w:name w:val="l正文"/>
    <w:basedOn w:val="1"/>
    <w:qFormat/>
    <w:uiPriority w:val="0"/>
    <w:pPr>
      <w:spacing w:line="360" w:lineRule="auto"/>
      <w:ind w:firstLine="200" w:firstLineChars="200"/>
    </w:pPr>
    <w:rPr>
      <w:rFonts w:ascii="宋体" w:hAnsi="宋体"/>
      <w:sz w:val="24"/>
    </w:rPr>
  </w:style>
  <w:style w:type="paragraph" w:customStyle="1" w:styleId="245">
    <w:name w:val="button"/>
    <w:basedOn w:val="1"/>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46">
    <w:name w:val="列项——（一级）"/>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47">
    <w:name w:val="简单回函地址"/>
    <w:basedOn w:val="1"/>
    <w:uiPriority w:val="0"/>
  </w:style>
  <w:style w:type="paragraph" w:customStyle="1" w:styleId="248">
    <w:name w:val="1 Char"/>
    <w:basedOn w:val="9"/>
    <w:uiPriority w:val="0"/>
    <w:pPr>
      <w:adjustRightInd/>
      <w:spacing w:line="360" w:lineRule="auto"/>
      <w:ind w:firstLine="200" w:firstLineChars="200"/>
      <w:textAlignment w:val="auto"/>
    </w:pPr>
    <w:rPr>
      <w:kern w:val="2"/>
    </w:rPr>
  </w:style>
  <w:style w:type="paragraph" w:customStyle="1" w:styleId="249">
    <w:name w:val="彩色列表 - 强调文字颜色 11"/>
    <w:basedOn w:val="1"/>
    <w:qFormat/>
    <w:uiPriority w:val="0"/>
    <w:pPr>
      <w:ind w:firstLine="420" w:firstLineChars="200"/>
    </w:pPr>
    <w:rPr>
      <w:rFonts w:ascii="Calibri" w:hAnsi="Calibri"/>
      <w:szCs w:val="22"/>
    </w:rPr>
  </w:style>
  <w:style w:type="paragraph" w:customStyle="1" w:styleId="250">
    <w:name w:val="技术报告正文"/>
    <w:basedOn w:val="1"/>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251">
    <w:name w:val="NICMAN Body Text"/>
    <w:basedOn w:val="1"/>
    <w:next w:val="21"/>
    <w:uiPriority w:val="0"/>
    <w:pPr>
      <w:autoSpaceDE w:val="0"/>
      <w:autoSpaceDN w:val="0"/>
      <w:adjustRightInd w:val="0"/>
      <w:spacing w:after="120"/>
      <w:jc w:val="left"/>
    </w:pPr>
    <w:rPr>
      <w:kern w:val="0"/>
      <w:sz w:val="20"/>
      <w:szCs w:val="20"/>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54">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55">
    <w:name w:val="Test2"/>
    <w:basedOn w:val="4"/>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56">
    <w:name w:val="xl8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58">
    <w:name w:val="Char Char Char Char Char Char Char Char Char Char Char Char Char1"/>
    <w:basedOn w:val="1"/>
    <w:qFormat/>
    <w:uiPriority w:val="0"/>
    <w:rPr>
      <w:rFonts w:ascii="Tahoma" w:hAnsi="Tahoma"/>
      <w:sz w:val="24"/>
      <w:szCs w:val="20"/>
    </w:rPr>
  </w:style>
  <w:style w:type="paragraph" w:customStyle="1" w:styleId="259">
    <w:name w:val="Char Char Char Char Char Char Char Char Char Char"/>
    <w:basedOn w:val="1"/>
    <w:uiPriority w:val="0"/>
    <w:pPr>
      <w:autoSpaceDE w:val="0"/>
      <w:autoSpaceDN w:val="0"/>
      <w:adjustRightInd w:val="0"/>
      <w:jc w:val="left"/>
    </w:pPr>
    <w:rPr>
      <w:rFonts w:ascii="仿宋_GB2312" w:eastAsia="仿宋_GB2312"/>
      <w:b/>
      <w:kern w:val="0"/>
      <w:sz w:val="32"/>
      <w:szCs w:val="32"/>
    </w:rPr>
  </w:style>
  <w:style w:type="paragraph" w:customStyle="1" w:styleId="260">
    <w:name w:val="纯文本1"/>
    <w:basedOn w:val="1"/>
    <w:uiPriority w:val="0"/>
    <w:pPr>
      <w:adjustRightInd w:val="0"/>
      <w:textAlignment w:val="baseline"/>
    </w:pPr>
    <w:rPr>
      <w:rFonts w:ascii="宋体" w:hAnsi="Courier New" w:eastAsia="楷体_GB2312"/>
      <w:sz w:val="28"/>
      <w:szCs w:val="20"/>
    </w:rPr>
  </w:style>
  <w:style w:type="paragraph" w:customStyle="1" w:styleId="261">
    <w:name w:val="样式 标题 3 + 黑体 小四 非加粗"/>
    <w:basedOn w:val="5"/>
    <w:uiPriority w:val="0"/>
    <w:pPr>
      <w:spacing w:before="260" w:after="260" w:line="413" w:lineRule="auto"/>
    </w:pPr>
    <w:rPr>
      <w:rFonts w:ascii="黑体" w:hAnsi="黑体"/>
      <w:b w:val="0"/>
      <w:kern w:val="0"/>
      <w:sz w:val="24"/>
      <w:szCs w:val="32"/>
    </w:rPr>
  </w:style>
  <w:style w:type="paragraph" w:customStyle="1" w:styleId="262">
    <w:name w:val="默认段落字体 Para Char Char Char Char Char Char Char"/>
    <w:basedOn w:val="1"/>
    <w:uiPriority w:val="0"/>
  </w:style>
  <w:style w:type="paragraph" w:customStyle="1" w:styleId="263">
    <w:name w:val="Char Char"/>
    <w:basedOn w:val="1"/>
    <w:uiPriority w:val="0"/>
    <w:rPr>
      <w:rFonts w:ascii="仿宋_GB2312" w:eastAsia="仿宋_GB2312"/>
      <w:b/>
      <w:sz w:val="32"/>
      <w:szCs w:val="32"/>
    </w:rPr>
  </w:style>
  <w:style w:type="paragraph" w:customStyle="1" w:styleId="264">
    <w:name w:val="xl8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5">
    <w:name w:val="文字"/>
    <w:basedOn w:val="1"/>
    <w:uiPriority w:val="0"/>
    <w:pPr>
      <w:tabs>
        <w:tab w:val="left" w:pos="8520"/>
      </w:tabs>
      <w:spacing w:line="312" w:lineRule="auto"/>
      <w:ind w:right="-210" w:firstLine="556"/>
    </w:pPr>
    <w:rPr>
      <w:rFonts w:ascii="宋体"/>
      <w:sz w:val="28"/>
      <w:szCs w:val="20"/>
    </w:rPr>
  </w:style>
  <w:style w:type="paragraph" w:customStyle="1" w:styleId="266">
    <w:name w:val="正文字缩2字"/>
    <w:basedOn w:val="1"/>
    <w:uiPriority w:val="0"/>
    <w:pPr>
      <w:spacing w:before="60" w:after="60" w:line="360" w:lineRule="auto"/>
      <w:ind w:left="200" w:leftChars="200" w:firstLine="200" w:firstLineChars="200"/>
    </w:pPr>
    <w:rPr>
      <w:sz w:val="24"/>
    </w:rPr>
  </w:style>
  <w:style w:type="paragraph" w:customStyle="1" w:styleId="267">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68">
    <w:name w:val="标题五"/>
    <w:basedOn w:val="1"/>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269">
    <w:name w:val="五级条标题"/>
    <w:basedOn w:val="270"/>
    <w:next w:val="1"/>
    <w:uiPriority w:val="0"/>
    <w:pPr>
      <w:tabs>
        <w:tab w:val="left" w:pos="3889"/>
        <w:tab w:val="left" w:pos="4309"/>
        <w:tab w:val="left" w:pos="5149"/>
        <w:tab w:val="left" w:pos="5569"/>
      </w:tabs>
      <w:ind w:left="5569"/>
      <w:outlineLvl w:val="6"/>
    </w:pPr>
  </w:style>
  <w:style w:type="paragraph" w:customStyle="1" w:styleId="270">
    <w:name w:val="四级条标题"/>
    <w:basedOn w:val="221"/>
    <w:next w:val="1"/>
    <w:uiPriority w:val="0"/>
    <w:pPr>
      <w:tabs>
        <w:tab w:val="left" w:pos="5149"/>
        <w:tab w:val="clear" w:pos="4729"/>
      </w:tabs>
      <w:ind w:left="5149"/>
      <w:outlineLvl w:val="5"/>
    </w:pPr>
  </w:style>
  <w:style w:type="paragraph" w:customStyle="1" w:styleId="271">
    <w:name w:val="标准段落"/>
    <w:basedOn w:val="1"/>
    <w:uiPriority w:val="0"/>
    <w:pPr>
      <w:spacing w:after="120" w:line="360" w:lineRule="auto"/>
      <w:ind w:firstLine="420"/>
    </w:pPr>
    <w:rPr>
      <w:rFonts w:ascii="黑体" w:hAnsi="宋体" w:eastAsia="黑体"/>
      <w:b/>
      <w:spacing w:val="6"/>
      <w:szCs w:val="22"/>
    </w:rPr>
  </w:style>
  <w:style w:type="paragraph" w:customStyle="1" w:styleId="272">
    <w:name w:val="VIT-Text"/>
    <w:basedOn w:val="1"/>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73">
    <w:name w:val="正文缩进1"/>
    <w:basedOn w:val="1"/>
    <w:next w:val="24"/>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74">
    <w:name w:val="正文文本 21"/>
    <w:basedOn w:val="1"/>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5">
    <w:name w:val="È±Ê¡ÎÄ±¾ Char"/>
    <w:basedOn w:val="1"/>
    <w:uiPriority w:val="0"/>
    <w:pPr>
      <w:widowControl/>
      <w:overflowPunct w:val="0"/>
      <w:autoSpaceDE w:val="0"/>
      <w:autoSpaceDN w:val="0"/>
      <w:adjustRightInd w:val="0"/>
      <w:textAlignment w:val="baseline"/>
    </w:pPr>
    <w:rPr>
      <w:szCs w:val="21"/>
      <w:lang w:val="zh-CN"/>
    </w:rPr>
  </w:style>
  <w:style w:type="paragraph" w:customStyle="1" w:styleId="276">
    <w:name w:val="WW-正文文字缩进 2"/>
    <w:basedOn w:val="1"/>
    <w:uiPriority w:val="0"/>
    <w:pPr>
      <w:suppressAutoHyphens/>
      <w:autoSpaceDE w:val="0"/>
      <w:autoSpaceDN w:val="0"/>
      <w:adjustRightInd w:val="0"/>
      <w:ind w:firstLine="420"/>
      <w:jc w:val="left"/>
    </w:pPr>
    <w:rPr>
      <w:kern w:val="1"/>
      <w:sz w:val="20"/>
      <w:szCs w:val="20"/>
    </w:rPr>
  </w:style>
  <w:style w:type="paragraph" w:customStyle="1" w:styleId="277">
    <w:name w:val="xl29"/>
    <w:basedOn w:val="1"/>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78">
    <w:name w:val="Table Heading"/>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79">
    <w:name w:val="Char Char1 Char Char Char Char Char Char Char Char Char Char Char Char Char Char"/>
    <w:basedOn w:val="1"/>
    <w:uiPriority w:val="0"/>
    <w:pPr>
      <w:widowControl/>
      <w:autoSpaceDE w:val="0"/>
      <w:autoSpaceDN w:val="0"/>
      <w:adjustRightInd w:val="0"/>
      <w:spacing w:after="160" w:line="240" w:lineRule="exact"/>
      <w:jc w:val="left"/>
    </w:pPr>
    <w:rPr>
      <w:kern w:val="0"/>
      <w:sz w:val="20"/>
      <w:szCs w:val="20"/>
    </w:rPr>
  </w:style>
  <w:style w:type="paragraph" w:customStyle="1" w:styleId="280">
    <w:name w:val="排列"/>
    <w:basedOn w:val="1"/>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81">
    <w:name w:val="Item List in Table"/>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2">
    <w:name w:val="表内文字"/>
    <w:basedOn w:val="1"/>
    <w:qFormat/>
    <w:uiPriority w:val="0"/>
    <w:pPr>
      <w:spacing w:line="240" w:lineRule="atLeast"/>
      <w:jc w:val="center"/>
    </w:pPr>
    <w:rPr>
      <w:rFonts w:ascii="Arial" w:hAnsi="Arial" w:cs="Arial"/>
      <w:b/>
      <w:bCs/>
    </w:rPr>
  </w:style>
  <w:style w:type="paragraph" w:customStyle="1" w:styleId="283">
    <w:name w:val="Char13"/>
    <w:basedOn w:val="1"/>
    <w:uiPriority w:val="0"/>
    <w:pPr>
      <w:widowControl/>
      <w:spacing w:after="160" w:line="240" w:lineRule="exact"/>
      <w:jc w:val="left"/>
    </w:pPr>
    <w:rPr>
      <w:rFonts w:ascii="Verdana" w:hAnsi="Verdana"/>
      <w:kern w:val="0"/>
      <w:sz w:val="20"/>
      <w:szCs w:val="20"/>
      <w:lang w:eastAsia="en-US"/>
    </w:rPr>
  </w:style>
  <w:style w:type="paragraph" w:customStyle="1" w:styleId="284">
    <w:name w:val="xl8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5">
    <w:name w:val="Char11"/>
    <w:basedOn w:val="1"/>
    <w:uiPriority w:val="0"/>
    <w:pPr>
      <w:autoSpaceDE w:val="0"/>
      <w:autoSpaceDN w:val="0"/>
      <w:adjustRightInd w:val="0"/>
      <w:jc w:val="left"/>
    </w:pPr>
    <w:rPr>
      <w:rFonts w:ascii="仿宋_GB2312" w:eastAsia="仿宋_GB2312"/>
      <w:b/>
      <w:kern w:val="0"/>
      <w:sz w:val="32"/>
      <w:szCs w:val="32"/>
    </w:rPr>
  </w:style>
  <w:style w:type="paragraph" w:customStyle="1" w:styleId="286">
    <w:name w:val="段"/>
    <w:next w:val="1"/>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7">
    <w:name w:val="正文（首行缩进）"/>
    <w:basedOn w:val="24"/>
    <w:uiPriority w:val="0"/>
    <w:pPr>
      <w:widowControl/>
      <w:overflowPunct w:val="0"/>
      <w:autoSpaceDE w:val="0"/>
      <w:autoSpaceDN w:val="0"/>
      <w:adjustRightInd w:val="0"/>
      <w:spacing w:before="156" w:beforeLines="50" w:after="120" w:line="400" w:lineRule="exact"/>
      <w:ind w:left="200" w:leftChars="200" w:firstLine="200" w:firstLineChars="200"/>
      <w:jc w:val="left"/>
      <w:textAlignment w:val="baseline"/>
    </w:pPr>
    <w:rPr>
      <w:spacing w:val="10"/>
      <w:kern w:val="0"/>
      <w:szCs w:val="20"/>
    </w:rPr>
  </w:style>
  <w:style w:type="paragraph" w:customStyle="1" w:styleId="288">
    <w:name w:val="标书正文带编号"/>
    <w:basedOn w:val="1"/>
    <w:uiPriority w:val="0"/>
    <w:pPr>
      <w:tabs>
        <w:tab w:val="left" w:pos="397"/>
      </w:tabs>
      <w:autoSpaceDE w:val="0"/>
      <w:autoSpaceDN w:val="0"/>
      <w:adjustRightInd w:val="0"/>
      <w:ind w:firstLine="397"/>
      <w:jc w:val="left"/>
    </w:pPr>
    <w:rPr>
      <w:rFonts w:cs="宋体"/>
      <w:kern w:val="0"/>
      <w:sz w:val="20"/>
      <w:szCs w:val="21"/>
    </w:rPr>
  </w:style>
  <w:style w:type="paragraph" w:customStyle="1" w:styleId="28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0">
    <w:name w:val="14"/>
    <w:basedOn w:val="1"/>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291">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92">
    <w:name w:val="xl35"/>
    <w:basedOn w:val="1"/>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93">
    <w:name w:val="列出段落2"/>
    <w:basedOn w:val="1"/>
    <w:qFormat/>
    <w:uiPriority w:val="34"/>
    <w:pPr>
      <w:ind w:firstLine="420" w:firstLineChars="200"/>
    </w:pPr>
  </w:style>
  <w:style w:type="paragraph" w:customStyle="1" w:styleId="294">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95">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6">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7">
    <w:name w:val="Char Char Char Char1"/>
    <w:basedOn w:val="17"/>
    <w:uiPriority w:val="0"/>
    <w:rPr>
      <w:rFonts w:ascii="Tahoma" w:hAnsi="Tahoma"/>
      <w:sz w:val="24"/>
    </w:rPr>
  </w:style>
  <w:style w:type="paragraph" w:customStyle="1" w:styleId="298">
    <w:name w:val="正文样式 首行缩进:  0.74 厘米"/>
    <w:basedOn w:val="1"/>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299">
    <w:name w:val="_Style 3"/>
    <w:basedOn w:val="1"/>
    <w:next w:val="1"/>
    <w:qFormat/>
    <w:uiPriority w:val="34"/>
    <w:pPr>
      <w:spacing w:line="360" w:lineRule="auto"/>
      <w:ind w:firstLine="420" w:firstLineChars="200"/>
    </w:pPr>
  </w:style>
  <w:style w:type="paragraph" w:customStyle="1" w:styleId="30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01">
    <w:name w:val="正文文本缩进 31"/>
    <w:basedOn w:val="1"/>
    <w:uiPriority w:val="99"/>
    <w:pPr>
      <w:spacing w:line="300" w:lineRule="auto"/>
      <w:ind w:firstLine="480" w:firstLineChars="200"/>
      <w:jc w:val="left"/>
    </w:pPr>
    <w:rPr>
      <w:kern w:val="0"/>
      <w:sz w:val="24"/>
    </w:rPr>
  </w:style>
  <w:style w:type="paragraph" w:customStyle="1" w:styleId="302">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03">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4">
    <w:name w:val="样式"/>
    <w:basedOn w:val="1"/>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05">
    <w:name w:val="xl25"/>
    <w:basedOn w:val="1"/>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6">
    <w:name w:val="Char Char Char Char Char Char Char1"/>
    <w:basedOn w:val="1"/>
    <w:qFormat/>
    <w:uiPriority w:val="0"/>
    <w:rPr>
      <w:rFonts w:ascii="仿宋_GB2312" w:eastAsia="仿宋_GB2312"/>
      <w:b/>
      <w:sz w:val="32"/>
      <w:szCs w:val="32"/>
    </w:rPr>
  </w:style>
  <w:style w:type="paragraph" w:styleId="307">
    <w:name w:val="List Paragraph"/>
    <w:basedOn w:val="1"/>
    <w:qFormat/>
    <w:uiPriority w:val="0"/>
    <w:pPr>
      <w:ind w:firstLine="420" w:firstLineChars="200"/>
    </w:pPr>
    <w:rPr>
      <w:rFonts w:ascii="Calibri" w:hAnsi="Calibri"/>
      <w:szCs w:val="22"/>
    </w:rPr>
  </w:style>
  <w:style w:type="paragraph" w:customStyle="1" w:styleId="308">
    <w:name w:val="列表内容"/>
    <w:basedOn w:val="1"/>
    <w:next w:val="1"/>
    <w:uiPriority w:val="0"/>
    <w:pPr>
      <w:widowControl/>
      <w:autoSpaceDE w:val="0"/>
      <w:autoSpaceDN w:val="0"/>
      <w:adjustRightInd w:val="0"/>
      <w:ind w:firstLine="200"/>
      <w:jc w:val="left"/>
    </w:pPr>
    <w:rPr>
      <w:kern w:val="0"/>
      <w:sz w:val="18"/>
      <w:szCs w:val="20"/>
    </w:rPr>
  </w:style>
  <w:style w:type="paragraph" w:customStyle="1" w:styleId="309">
    <w:name w:val="Char"/>
    <w:basedOn w:val="1"/>
    <w:uiPriority w:val="0"/>
    <w:rPr>
      <w:rFonts w:ascii="仿宋_GB2312" w:eastAsia="仿宋_GB2312"/>
      <w:b/>
      <w:sz w:val="32"/>
      <w:szCs w:val="32"/>
    </w:rPr>
  </w:style>
  <w:style w:type="paragraph" w:customStyle="1" w:styleId="310">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311">
    <w:name w:val="xl8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文档正文"/>
    <w:basedOn w:val="1"/>
    <w:uiPriority w:val="0"/>
    <w:pPr>
      <w:adjustRightInd w:val="0"/>
      <w:spacing w:line="300" w:lineRule="auto"/>
      <w:ind w:firstLine="567"/>
      <w:textAlignment w:val="baseline"/>
    </w:pPr>
    <w:rPr>
      <w:kern w:val="0"/>
      <w:sz w:val="24"/>
      <w:szCs w:val="20"/>
    </w:rPr>
  </w:style>
  <w:style w:type="paragraph" w:customStyle="1" w:styleId="313">
    <w:name w:val="正文 首行缩进:  2 字符 Char"/>
    <w:basedOn w:val="1"/>
    <w:uiPriority w:val="0"/>
    <w:pPr>
      <w:spacing w:line="360" w:lineRule="auto"/>
      <w:ind w:firstLine="480"/>
    </w:pPr>
    <w:rPr>
      <w:rFonts w:cs="宋体"/>
      <w:sz w:val="24"/>
      <w:szCs w:val="20"/>
    </w:rPr>
  </w:style>
  <w:style w:type="paragraph" w:customStyle="1" w:styleId="314">
    <w:name w:val="正文2"/>
    <w:basedOn w:val="1"/>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315">
    <w:name w:val="列出段落1"/>
    <w:basedOn w:val="1"/>
    <w:uiPriority w:val="0"/>
    <w:pPr>
      <w:ind w:firstLine="420" w:firstLineChars="200"/>
    </w:pPr>
    <w:rPr>
      <w:szCs w:val="20"/>
    </w:rPr>
  </w:style>
  <w:style w:type="paragraph" w:customStyle="1" w:styleId="316">
    <w:name w:val="样式5"/>
    <w:basedOn w:val="9"/>
    <w:uiPriority w:val="0"/>
    <w:pPr>
      <w:adjustRightInd/>
      <w:spacing w:line="360" w:lineRule="auto"/>
      <w:ind w:firstLine="200" w:firstLineChars="200"/>
      <w:textAlignment w:val="auto"/>
    </w:pPr>
    <w:rPr>
      <w:sz w:val="28"/>
      <w:szCs w:val="21"/>
    </w:rPr>
  </w:style>
  <w:style w:type="paragraph" w:customStyle="1" w:styleId="317">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318">
    <w:name w:val="features1"/>
    <w:basedOn w:val="1"/>
    <w:uiPriority w:val="0"/>
    <w:pPr>
      <w:widowControl/>
      <w:spacing w:before="100" w:beforeAutospacing="1" w:after="100" w:afterAutospacing="1"/>
      <w:jc w:val="left"/>
    </w:pPr>
    <w:rPr>
      <w:rFonts w:ascii="宋体" w:hAnsi="宋体" w:cs="宋体"/>
      <w:b/>
      <w:bCs/>
      <w:kern w:val="0"/>
      <w:sz w:val="18"/>
      <w:szCs w:val="18"/>
    </w:rPr>
  </w:style>
  <w:style w:type="paragraph" w:customStyle="1" w:styleId="319">
    <w:name w:val="Char3 Char Char Char"/>
    <w:basedOn w:val="1"/>
    <w:qFormat/>
    <w:uiPriority w:val="0"/>
  </w:style>
  <w:style w:type="paragraph" w:customStyle="1" w:styleId="320">
    <w:name w:val="xl78"/>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21">
    <w:name w:val="Char Char13"/>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22">
    <w:name w:val="xl91"/>
    <w:basedOn w:val="1"/>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3">
    <w:name w:val="xl65"/>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24">
    <w:name w:val="样式1"/>
    <w:basedOn w:val="1"/>
    <w:uiPriority w:val="0"/>
    <w:pPr>
      <w:autoSpaceDE w:val="0"/>
      <w:autoSpaceDN w:val="0"/>
      <w:adjustRightInd w:val="0"/>
      <w:spacing w:line="400" w:lineRule="exact"/>
    </w:pPr>
    <w:rPr>
      <w:rFonts w:ascii="宋体" w:cs="宋体"/>
      <w:kern w:val="0"/>
    </w:rPr>
  </w:style>
  <w:style w:type="paragraph" w:customStyle="1" w:styleId="325">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6">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7">
    <w:name w:val="List Paragraph1"/>
    <w:basedOn w:val="1"/>
    <w:uiPriority w:val="0"/>
    <w:pPr>
      <w:ind w:firstLine="420" w:firstLineChars="200"/>
    </w:pPr>
    <w:rPr>
      <w:rFonts w:ascii="Calibri" w:hAnsi="Calibri"/>
      <w:szCs w:val="22"/>
    </w:rPr>
  </w:style>
  <w:style w:type="paragraph" w:customStyle="1" w:styleId="328">
    <w:name w:val="样式 左侧:  0.85 厘米 首行缩进:  0.85 厘米"/>
    <w:basedOn w:val="1"/>
    <w:uiPriority w:val="0"/>
    <w:pPr>
      <w:autoSpaceDE w:val="0"/>
      <w:autoSpaceDN w:val="0"/>
      <w:adjustRightInd w:val="0"/>
      <w:spacing w:line="360" w:lineRule="auto"/>
      <w:ind w:firstLine="482"/>
      <w:jc w:val="left"/>
    </w:pPr>
    <w:rPr>
      <w:rFonts w:cs="宋体"/>
      <w:kern w:val="0"/>
      <w:sz w:val="24"/>
      <w:szCs w:val="20"/>
    </w:rPr>
  </w:style>
  <w:style w:type="paragraph" w:customStyle="1" w:styleId="329">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30">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31">
    <w:name w:val="List Paragraph2"/>
    <w:basedOn w:val="1"/>
    <w:uiPriority w:val="0"/>
    <w:pPr>
      <w:ind w:firstLine="420" w:firstLineChars="200"/>
    </w:pPr>
  </w:style>
  <w:style w:type="paragraph" w:customStyle="1" w:styleId="332">
    <w:name w:val="样式 标题 1Level 1Level 11h1II+IHeading1H1-Heading 1Header 1..."/>
    <w:basedOn w:val="3"/>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333">
    <w:name w:val="xl83"/>
    <w:basedOn w:val="1"/>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34">
    <w:name w:val="_Style 333"/>
    <w:unhideWhenUsed/>
    <w:uiPriority w:val="99"/>
    <w:rPr>
      <w:rFonts w:ascii="Times New Roman" w:hAnsi="Times New Roman" w:eastAsia="宋体" w:cs="Times New Roman"/>
      <w:kern w:val="2"/>
      <w:sz w:val="21"/>
      <w:szCs w:val="24"/>
      <w:lang w:val="en-US" w:eastAsia="zh-CN" w:bidi="ar-SA"/>
    </w:rPr>
  </w:style>
  <w:style w:type="character" w:customStyle="1" w:styleId="335">
    <w:name w:val="NormalCharacter"/>
    <w:uiPriority w:val="0"/>
  </w:style>
  <w:style w:type="paragraph" w:customStyle="1" w:styleId="336">
    <w:name w:val="表格文字"/>
    <w:basedOn w:val="1"/>
    <w:next w:val="21"/>
    <w:qFormat/>
    <w:uiPriority w:val="0"/>
    <w:pPr>
      <w:adjustRightInd w:val="0"/>
      <w:spacing w:line="420" w:lineRule="atLeast"/>
      <w:jc w:val="left"/>
      <w:textAlignment w:val="baseline"/>
    </w:pPr>
  </w:style>
  <w:style w:type="character" w:customStyle="1" w:styleId="337">
    <w:name w:val="font61"/>
    <w:uiPriority w:val="0"/>
    <w:rPr>
      <w:rFonts w:hint="default" w:ascii="仿宋_GB2312" w:eastAsia="仿宋_GB2312" w:cs="仿宋_GB2312"/>
      <w:color w:val="000000"/>
      <w:sz w:val="22"/>
      <w:szCs w:val="22"/>
      <w:u w:val="none"/>
    </w:rPr>
  </w:style>
  <w:style w:type="character" w:customStyle="1" w:styleId="338">
    <w:name w:val="font71"/>
    <w:uiPriority w:val="0"/>
    <w:rPr>
      <w:rFonts w:hint="default" w:ascii="仿宋_GB2312" w:eastAsia="仿宋_GB2312" w:cs="仿宋_GB2312"/>
      <w:b/>
      <w:bCs/>
      <w:color w:val="000000"/>
      <w:sz w:val="22"/>
      <w:szCs w:val="22"/>
      <w:u w:val="none"/>
    </w:rPr>
  </w:style>
  <w:style w:type="character" w:customStyle="1" w:styleId="339">
    <w:name w:val="font13"/>
    <w:uiPriority w:val="0"/>
    <w:rPr>
      <w:rFonts w:hint="eastAsia" w:ascii="宋体" w:hAnsi="宋体" w:eastAsia="宋体" w:cs="宋体"/>
      <w:color w:val="000000"/>
      <w:sz w:val="22"/>
      <w:szCs w:val="22"/>
      <w:u w:val="none"/>
    </w:rPr>
  </w:style>
  <w:style w:type="character" w:customStyle="1" w:styleId="340">
    <w:name w:val="font81"/>
    <w:qFormat/>
    <w:uiPriority w:val="0"/>
    <w:rPr>
      <w:rFonts w:hint="default" w:ascii="Times New Roman" w:hAnsi="Times New Roman" w:cs="Times New Roman"/>
      <w:color w:val="000000"/>
      <w:sz w:val="22"/>
      <w:szCs w:val="22"/>
      <w:u w:val="none"/>
    </w:rPr>
  </w:style>
  <w:style w:type="character" w:customStyle="1" w:styleId="341">
    <w:name w:val="font91"/>
    <w:qFormat/>
    <w:uiPriority w:val="0"/>
    <w:rPr>
      <w:rFonts w:hint="default" w:ascii="Times New Roman" w:hAnsi="Times New Roman" w:cs="Times New Roman"/>
      <w:color w:val="000000"/>
      <w:sz w:val="22"/>
      <w:szCs w:val="22"/>
      <w:u w:val="none"/>
    </w:rPr>
  </w:style>
  <w:style w:type="character" w:customStyle="1" w:styleId="342">
    <w:name w:val="font41"/>
    <w:qFormat/>
    <w:uiPriority w:val="0"/>
    <w:rPr>
      <w:rFonts w:hint="default" w:ascii="Times New Roman" w:hAnsi="Times New Roman" w:cs="Times New Roman"/>
      <w:color w:val="000000"/>
      <w:sz w:val="22"/>
      <w:szCs w:val="22"/>
      <w:u w:val="none"/>
    </w:rPr>
  </w:style>
  <w:style w:type="paragraph" w:customStyle="1" w:styleId="343">
    <w:name w:val="_Style 1"/>
    <w:basedOn w:val="1"/>
    <w:qFormat/>
    <w:uiPriority w:val="34"/>
    <w:pPr>
      <w:widowControl/>
      <w:spacing w:before="100" w:beforeAutospacing="1" w:after="100" w:afterAutospacing="1" w:line="360" w:lineRule="auto"/>
      <w:ind w:left="57" w:firstLine="420" w:firstLineChars="200"/>
      <w:jc w:val="left"/>
    </w:pPr>
    <w:rPr>
      <w:rFonts w:ascii="Arial" w:hAnsi="Arial" w:cs="Arial"/>
      <w:bCs/>
      <w:iCs/>
      <w:kern w:val="0"/>
      <w:sz w:val="1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91</Pages>
  <Words>50554</Words>
  <Characters>54361</Characters>
  <Lines>447</Lines>
  <Paragraphs>126</Paragraphs>
  <TotalTime>31</TotalTime>
  <ScaleCrop>false</ScaleCrop>
  <LinksUpToDate>false</LinksUpToDate>
  <CharactersWithSpaces>57554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2024-07-01T01:23:00Z</dcterms:created>
  <dc:creator>zyq</dc:creator>
  <cp:lastModifiedBy>历程</cp:lastModifiedBy>
  <cp:lastPrinted>2023-05-13T16:49:00Z</cp:lastPrinted>
  <dcterms:modified xsi:type="dcterms:W3CDTF">2024-07-01T03:57:44Z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88360B0399364CCB86AFCA67FC171D44_13</vt:lpwstr>
  </property>
</Properties>
</file>