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br w:type="textWrapping"/>
      </w:r>
      <w:r>
        <w:rPr>
          <w:rFonts w:hint="eastAsia" w:ascii="宋体" w:hAnsi="宋体" w:cs="宋体"/>
          <w:color w:val="auto"/>
          <w:sz w:val="48"/>
          <w:szCs w:val="48"/>
          <w:highlight w:val="none"/>
          <w:lang w:eastAsia="zh-CN"/>
        </w:rPr>
        <w:t>龙湾区桃花岛中学AI智慧体测系统采购</w:t>
      </w:r>
      <w:r>
        <w:rPr>
          <w:rFonts w:hint="eastAsia" w:ascii="宋体" w:hAnsi="宋体" w:cs="宋体"/>
          <w:color w:val="auto"/>
          <w:sz w:val="48"/>
          <w:szCs w:val="48"/>
          <w:highlight w:val="none"/>
          <w:lang w:eastAsia="zh-CN"/>
        </w:rPr>
        <w:br w:type="textWrapping"/>
      </w:r>
      <w:r>
        <w:rPr>
          <w:rFonts w:hint="eastAsia" w:ascii="宋体" w:hAnsi="宋体" w:cs="宋体"/>
          <w:color w:val="auto"/>
          <w:sz w:val="48"/>
          <w:szCs w:val="48"/>
          <w:highlight w:val="none"/>
          <w:lang w:eastAsia="zh-CN"/>
        </w:rPr>
        <w:br w:type="textWrapping"/>
      </w:r>
      <w:r>
        <w:rPr>
          <w:rFonts w:hint="eastAsia" w:ascii="宋体" w:hAnsi="宋体" w:cs="宋体"/>
          <w:color w:val="auto"/>
          <w:sz w:val="48"/>
          <w:szCs w:val="48"/>
          <w:highlight w:val="none"/>
          <w:lang w:eastAsia="zh-CN"/>
        </w:rPr>
        <w:br w:type="textWrapping"/>
      </w:r>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ZJDY-2024061102</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both"/>
        <w:rPr>
          <w:rFonts w:ascii="宋体" w:hAnsi="宋体" w:cs="宋体"/>
          <w:color w:val="auto"/>
          <w:sz w:val="24"/>
          <w:highlight w:val="none"/>
        </w:rPr>
      </w:pPr>
    </w:p>
    <w:p>
      <w:pPr>
        <w:spacing w:line="360" w:lineRule="auto"/>
        <w:jc w:val="center"/>
        <w:rPr>
          <w:rFonts w:ascii="宋体" w:hAnsi="宋体" w:cs="宋体"/>
          <w:color w:val="auto"/>
          <w:sz w:val="24"/>
          <w:highlight w:val="none"/>
        </w:rPr>
      </w:pPr>
      <w:r>
        <w:rPr>
          <w:rFonts w:ascii="宋体" w:hAnsi="宋体" w:cs="宋体"/>
          <w:color w:val="auto"/>
          <w:sz w:val="24"/>
          <w:highlight w:val="none"/>
        </w:rPr>
        <w:br w:type="textWrapping"/>
      </w:r>
      <w:r>
        <w:rPr>
          <w:rFonts w:ascii="宋体" w:hAnsi="宋体" w:cs="宋体"/>
          <w:color w:val="auto"/>
          <w:sz w:val="24"/>
          <w:highlight w:val="none"/>
        </w:rPr>
        <w:br w:type="textWrapping"/>
      </w:r>
    </w:p>
    <w:p>
      <w:pPr>
        <w:spacing w:line="360" w:lineRule="auto"/>
        <w:rPr>
          <w:rFonts w:ascii="宋体" w:hAnsi="宋体" w:cs="宋体"/>
          <w:color w:val="auto"/>
          <w:sz w:val="32"/>
          <w:szCs w:val="32"/>
          <w:highlight w:val="none"/>
        </w:rPr>
      </w:pPr>
    </w:p>
    <w:p>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：温州市龙湾区桃花岛中学</w:t>
      </w:r>
      <w:r>
        <w:rPr>
          <w:rFonts w:hint="eastAsia" w:ascii="宋体" w:hAnsi="宋体" w:cs="宋体"/>
          <w:color w:val="auto"/>
          <w:sz w:val="32"/>
          <w:szCs w:val="32"/>
          <w:highlight w:val="none"/>
        </w:rPr>
        <w:t>）</w:t>
      </w:r>
    </w:p>
    <w:p>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：浙江东益工程咨询有限公司</w:t>
      </w:r>
      <w:r>
        <w:rPr>
          <w:rFonts w:hint="eastAsia" w:ascii="宋体" w:hAnsi="宋体" w:cs="宋体"/>
          <w:bCs/>
          <w:color w:val="auto"/>
          <w:sz w:val="32"/>
          <w:szCs w:val="32"/>
          <w:highlight w:val="none"/>
        </w:rPr>
        <w:t>）</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br w:type="textWrapping"/>
      </w: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七</w:t>
      </w:r>
      <w:r>
        <w:rPr>
          <w:rFonts w:hint="eastAsia" w:ascii="宋体" w:hAnsi="宋体" w:cs="宋体"/>
          <w:bCs/>
          <w:color w:val="auto"/>
          <w:sz w:val="32"/>
          <w:szCs w:val="32"/>
          <w:highlight w:val="none"/>
        </w:rPr>
        <w:t>月</w:t>
      </w:r>
    </w:p>
    <w:p>
      <w:pPr>
        <w:spacing w:line="360" w:lineRule="auto"/>
        <w:jc w:val="center"/>
        <w:rPr>
          <w:rFonts w:ascii="宋体" w:hAnsi="宋体" w:cs="宋体"/>
          <w:color w:val="auto"/>
          <w:sz w:val="24"/>
          <w:highlight w:val="none"/>
        </w:rPr>
        <w:sectPr>
          <w:headerReference r:id="rId4" w:type="first"/>
          <w:footerReference r:id="rId6" w:type="first"/>
          <w:headerReference r:id="rId3" w:type="default"/>
          <w:footerReference r:id="rId5"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2"/>
        <w:rPr>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728647"/>
      <w:bookmarkEnd w:id="3"/>
      <w:bookmarkStart w:id="4" w:name="_Hlt74707423"/>
      <w:bookmarkEnd w:id="4"/>
      <w:bookmarkStart w:id="5" w:name="_Hlt74729822"/>
      <w:bookmarkEnd w:id="5"/>
      <w:bookmarkStart w:id="6" w:name="_Hlt74649545"/>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00" w:lineRule="exact"/>
        <w:ind w:firstLine="480" w:firstLineChars="200"/>
        <w:textAlignment w:val="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00" w:lineRule="exact"/>
        <w:ind w:firstLine="480" w:firstLineChars="200"/>
        <w:textAlignment w:val="auto"/>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龙湾区桃花岛中学AI智慧体测系统采购</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20"/>
          <w:rFonts w:cs="Times New Roman" w:asciiTheme="minorEastAsia" w:hAnsiTheme="minorEastAsia" w:eastAsiaTheme="minorEastAsia"/>
          <w:snapToGrid/>
          <w:color w:val="auto"/>
          <w:kern w:val="2"/>
          <w:sz w:val="24"/>
          <w:szCs w:val="24"/>
          <w:highlight w:val="none"/>
        </w:rPr>
        <w:t>https://www.zcygov.cn/）获取（下载）招标文件，并于</w:t>
      </w:r>
      <w:r>
        <w:rPr>
          <w:rStyle w:val="20"/>
          <w:rFonts w:hint="eastAsia" w:cs="Times New Roman" w:asciiTheme="minorEastAsia" w:hAnsiTheme="minorEastAsia" w:eastAsiaTheme="minorEastAsia"/>
          <w:snapToGrid/>
          <w:color w:val="auto"/>
          <w:kern w:val="2"/>
          <w:sz w:val="24"/>
          <w:szCs w:val="24"/>
          <w:highlight w:val="none"/>
          <w:lang w:eastAsia="zh-CN"/>
        </w:rPr>
        <w:t>2024年</w:t>
      </w:r>
      <w:r>
        <w:rPr>
          <w:rStyle w:val="20"/>
          <w:rFonts w:hint="eastAsia" w:cs="Times New Roman" w:asciiTheme="minorEastAsia" w:hAnsiTheme="minorEastAsia" w:eastAsiaTheme="minorEastAsia"/>
          <w:snapToGrid/>
          <w:color w:val="auto"/>
          <w:kern w:val="2"/>
          <w:sz w:val="24"/>
          <w:szCs w:val="24"/>
          <w:highlight w:val="none"/>
          <w:lang w:val="en-US" w:eastAsia="zh-CN"/>
        </w:rPr>
        <w:t xml:space="preserve"> 7 </w:t>
      </w:r>
      <w:r>
        <w:rPr>
          <w:rStyle w:val="20"/>
          <w:rFonts w:hint="eastAsia" w:cs="Times New Roman" w:asciiTheme="minorEastAsia" w:hAnsiTheme="minorEastAsia" w:eastAsiaTheme="minorEastAsia"/>
          <w:snapToGrid/>
          <w:color w:val="auto"/>
          <w:kern w:val="2"/>
          <w:sz w:val="24"/>
          <w:szCs w:val="24"/>
          <w:highlight w:val="none"/>
          <w:lang w:eastAsia="zh-CN"/>
        </w:rPr>
        <w:t>月</w:t>
      </w:r>
      <w:r>
        <w:rPr>
          <w:rStyle w:val="20"/>
          <w:rFonts w:hint="eastAsia" w:cs="Times New Roman" w:asciiTheme="minorEastAsia" w:hAnsiTheme="minorEastAsia" w:eastAsiaTheme="minorEastAsia"/>
          <w:snapToGrid/>
          <w:color w:val="auto"/>
          <w:kern w:val="2"/>
          <w:sz w:val="24"/>
          <w:szCs w:val="24"/>
          <w:highlight w:val="none"/>
          <w:lang w:val="en-US" w:eastAsia="zh-CN"/>
        </w:rPr>
        <w:t xml:space="preserve"> 25 </w:t>
      </w:r>
      <w:r>
        <w:rPr>
          <w:rStyle w:val="20"/>
          <w:rFonts w:hint="eastAsia" w:cs="Times New Roman" w:asciiTheme="minorEastAsia" w:hAnsiTheme="minorEastAsia" w:eastAsiaTheme="minorEastAsia"/>
          <w:snapToGrid/>
          <w:color w:val="auto"/>
          <w:kern w:val="2"/>
          <w:sz w:val="24"/>
          <w:szCs w:val="24"/>
          <w:highlight w:val="none"/>
          <w:lang w:eastAsia="zh-CN"/>
        </w:rPr>
        <w:t>日</w:t>
      </w:r>
      <w:r>
        <w:rPr>
          <w:rStyle w:val="20"/>
          <w:rFonts w:hint="eastAsia" w:cs="Times New Roman" w:asciiTheme="minorEastAsia" w:hAnsiTheme="minorEastAsia" w:eastAsiaTheme="minorEastAsia"/>
          <w:snapToGrid/>
          <w:color w:val="auto"/>
          <w:kern w:val="2"/>
          <w:sz w:val="24"/>
          <w:szCs w:val="24"/>
          <w:highlight w:val="none"/>
          <w:lang w:val="en-US" w:eastAsia="zh-CN"/>
        </w:rPr>
        <w:t>14</w:t>
      </w:r>
      <w:r>
        <w:rPr>
          <w:rStyle w:val="20"/>
          <w:rFonts w:hint="eastAsia" w:cs="Times New Roman" w:asciiTheme="minorEastAsia" w:hAnsiTheme="minorEastAsia" w:eastAsiaTheme="minorEastAsia"/>
          <w:snapToGrid/>
          <w:color w:val="auto"/>
          <w:kern w:val="2"/>
          <w:sz w:val="24"/>
          <w:szCs w:val="24"/>
          <w:highlight w:val="none"/>
          <w:lang w:eastAsia="zh-CN"/>
        </w:rPr>
        <w:t>点30分</w:t>
      </w:r>
      <w:r>
        <w:rPr>
          <w:rStyle w:val="20"/>
          <w:rFonts w:hint="eastAsia" w:cs="Times New Roman" w:asciiTheme="minorEastAsia" w:hAnsiTheme="minorEastAsia" w:eastAsiaTheme="minorEastAsia"/>
          <w:bCs/>
          <w:snapToGrid/>
          <w:color w:val="auto"/>
          <w:kern w:val="2"/>
          <w:sz w:val="24"/>
          <w:szCs w:val="24"/>
          <w:highlight w:val="none"/>
        </w:rPr>
        <w:t>00秒</w:t>
      </w:r>
      <w:r>
        <w:rPr>
          <w:rStyle w:val="20"/>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keepNext w:val="0"/>
        <w:keepLines w:val="0"/>
        <w:pageBreakBefore w:val="0"/>
        <w:kinsoku/>
        <w:wordWrap/>
        <w:overflowPunct/>
        <w:topLinePunct w:val="0"/>
        <w:autoSpaceDE/>
        <w:autoSpaceDN/>
        <w:bidi w:val="0"/>
        <w:adjustRightInd w:val="0"/>
        <w:spacing w:line="400" w:lineRule="exac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ZJDY-2024061102</w:t>
      </w:r>
    </w:p>
    <w:p>
      <w:pPr>
        <w:keepNext w:val="0"/>
        <w:keepLines w:val="0"/>
        <w:pageBreakBefore w:val="0"/>
        <w:kinsoku/>
        <w:wordWrap/>
        <w:overflowPunct/>
        <w:topLinePunct w:val="0"/>
        <w:autoSpaceDE/>
        <w:autoSpaceDN/>
        <w:bidi w:val="0"/>
        <w:adjustRightInd w:val="0"/>
        <w:spacing w:line="400" w:lineRule="exac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龙湾区桃花岛中学AI智慧体测系统采购</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eastAsia="zh-CN"/>
        </w:rPr>
        <w:t xml:space="preserve">562652 </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eastAsia="zh-CN"/>
        </w:rPr>
        <w:t>562652</w:t>
      </w:r>
      <w:r>
        <w:rPr>
          <w:rFonts w:hint="eastAsia" w:ascii="宋体" w:hAnsi="宋体" w:cs="宋体"/>
          <w:color w:val="auto"/>
          <w:sz w:val="24"/>
          <w:highlight w:val="none"/>
        </w:rPr>
        <w:t xml:space="preserve"> </w:t>
      </w:r>
    </w:p>
    <w:p>
      <w:pPr>
        <w:pStyle w:val="7"/>
        <w:keepNext w:val="0"/>
        <w:keepLines w:val="0"/>
        <w:pageBreakBefore w:val="0"/>
        <w:kinsoku/>
        <w:wordWrap/>
        <w:overflowPunct/>
        <w:topLinePunct w:val="0"/>
        <w:autoSpaceDE/>
        <w:autoSpaceDN/>
        <w:bidi w:val="0"/>
        <w:adjustRightInd w:val="0"/>
        <w:spacing w:line="400" w:lineRule="exact"/>
        <w:ind w:firstLine="480"/>
        <w:textAlignment w:val="auto"/>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龙湾区桃花岛中学AI智慧体测系统采购</w:t>
      </w: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21"/>
        <w:keepNext w:val="0"/>
        <w:keepLines w:val="0"/>
        <w:pageBreakBefore w:val="0"/>
        <w:kinsoku/>
        <w:wordWrap/>
        <w:overflowPunct/>
        <w:topLinePunct w:val="0"/>
        <w:autoSpaceDE/>
        <w:autoSpaceDN/>
        <w:bidi w:val="0"/>
        <w:adjustRightInd w:val="0"/>
        <w:spacing w:before="0" w:line="400" w:lineRule="exact"/>
        <w:ind w:firstLine="482"/>
        <w:textAlignment w:val="auto"/>
        <w:outlineLvl w:val="2"/>
        <w:rPr>
          <w:rFonts w:ascii="宋体" w:hAnsi="宋体" w:cs="宋体"/>
          <w:color w:val="auto"/>
          <w:highlight w:val="none"/>
        </w:rPr>
      </w:pPr>
      <w:r>
        <w:rPr>
          <w:rFonts w:hint="eastAsia" w:ascii="宋体" w:hAnsi="宋体" w:cs="宋体"/>
          <w:b/>
          <w:color w:val="auto"/>
          <w:highlight w:val="none"/>
        </w:rPr>
        <w:t>合同履约期限：详见招标文件第三部分采购需求</w:t>
      </w:r>
      <w:r>
        <w:rPr>
          <w:rFonts w:hint="eastAsia" w:ascii="宋体" w:hAnsi="宋体" w:cs="宋体"/>
          <w:b/>
          <w:color w:val="auto"/>
          <w:highlight w:val="none"/>
          <w:lang w:eastAsia="zh-CN"/>
        </w:rPr>
        <w:t>。</w:t>
      </w:r>
      <w:r>
        <w:rPr>
          <w:rFonts w:hint="eastAsia" w:ascii="宋体" w:hAnsi="宋体" w:cs="宋体"/>
          <w:b/>
          <w:color w:val="auto"/>
          <w:highlight w:val="none"/>
        </w:rPr>
        <w:t xml:space="preserve"> </w:t>
      </w:r>
    </w:p>
    <w:p>
      <w:pPr>
        <w:pStyle w:val="7"/>
        <w:keepNext w:val="0"/>
        <w:keepLines w:val="0"/>
        <w:pageBreakBefore w:val="0"/>
        <w:kinsoku/>
        <w:wordWrap/>
        <w:overflowPunct/>
        <w:topLinePunct w:val="0"/>
        <w:autoSpaceDE/>
        <w:autoSpaceDN/>
        <w:bidi w:val="0"/>
        <w:adjustRightInd w:val="0"/>
        <w:spacing w:line="400" w:lineRule="exact"/>
        <w:ind w:firstLine="480"/>
        <w:textAlignment w:val="auto"/>
        <w:rPr>
          <w:rFonts w:hAnsi="宋体" w:cs="宋体"/>
          <w:color w:val="auto"/>
          <w:kern w:val="0"/>
          <w:sz w:val="24"/>
          <w:highlight w:val="none"/>
        </w:rPr>
      </w:pPr>
      <w:r>
        <w:rPr>
          <w:rFonts w:hint="eastAsia" w:hAnsi="宋体" w:cs="宋体"/>
          <w:b/>
          <w:color w:val="auto"/>
          <w:sz w:val="24"/>
          <w:highlight w:val="none"/>
        </w:rPr>
        <w:t>本项目</w:t>
      </w:r>
      <w:r>
        <w:rPr>
          <w:rFonts w:hint="eastAsia" w:hAnsi="宋体" w:cs="宋体"/>
          <w:b/>
          <w:color w:val="auto"/>
          <w:sz w:val="24"/>
          <w:highlight w:val="none"/>
          <w:lang w:val="en-US" w:eastAsia="zh-CN"/>
        </w:rPr>
        <w:t>不</w:t>
      </w:r>
      <w:r>
        <w:rPr>
          <w:rFonts w:hint="eastAsia" w:hAnsi="宋体" w:cs="宋体"/>
          <w:b/>
          <w:color w:val="auto"/>
          <w:sz w:val="24"/>
          <w:highlight w:val="none"/>
        </w:rPr>
        <w:t>接受联合体投标</w:t>
      </w:r>
      <w:r>
        <w:rPr>
          <w:rFonts w:hint="eastAsia" w:hAnsi="宋体" w:cs="宋体"/>
          <w:color w:val="auto"/>
          <w:kern w:val="0"/>
          <w:sz w:val="24"/>
          <w:highlight w:val="none"/>
        </w:rPr>
        <w:t>。</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二、</w:t>
      </w:r>
      <w:bookmarkStart w:id="10" w:name="_Hlk101132948"/>
      <w:r>
        <w:rPr>
          <w:rFonts w:hint="eastAsia" w:ascii="宋体" w:hAnsi="宋体" w:cs="宋体"/>
          <w:b/>
          <w:color w:val="auto"/>
          <w:sz w:val="24"/>
          <w:highlight w:val="none"/>
        </w:rPr>
        <w:t>申请人的资格要求</w:t>
      </w:r>
      <w:bookmarkEnd w:id="10"/>
      <w:r>
        <w:rPr>
          <w:rFonts w:hint="eastAsia" w:ascii="宋体" w:hAnsi="宋体" w:cs="宋体"/>
          <w:b/>
          <w:color w:val="auto"/>
          <w:sz w:val="24"/>
          <w:highlight w:val="none"/>
        </w:rPr>
        <w:t>：</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keepNext w:val="0"/>
        <w:keepLines w:val="0"/>
        <w:pageBreakBefore w:val="0"/>
        <w:kinsoku/>
        <w:wordWrap/>
        <w:overflowPunct/>
        <w:topLinePunct w:val="0"/>
        <w:autoSpaceDE/>
        <w:autoSpaceDN/>
        <w:bidi w:val="0"/>
        <w:adjustRightInd w:val="0"/>
        <w:spacing w:line="400" w:lineRule="exact"/>
        <w:ind w:firstLine="897" w:firstLineChars="374"/>
        <w:textAlignment w:val="auto"/>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.本项目的特定资格要求：无；</w:t>
      </w:r>
    </w:p>
    <w:p>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2024年</w:t>
      </w:r>
      <w:r>
        <w:rPr>
          <w:rFonts w:hint="eastAsia" w:ascii="宋体" w:hAnsi="宋体" w:cs="宋体"/>
          <w:color w:val="auto"/>
          <w:sz w:val="24"/>
          <w:highlight w:val="none"/>
          <w:u w:val="single"/>
          <w:lang w:val="en-US" w:eastAsia="zh-CN"/>
        </w:rPr>
        <w:t xml:space="preserve"> 7 </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 xml:space="preserve"> 25 </w:t>
      </w:r>
      <w:r>
        <w:rPr>
          <w:rFonts w:hint="eastAsia" w:ascii="宋体" w:hAnsi="宋体" w:cs="宋体"/>
          <w:color w:val="auto"/>
          <w:sz w:val="24"/>
          <w:highlight w:val="none"/>
          <w:u w:val="single"/>
          <w:lang w:eastAsia="zh-CN"/>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2024年</w:t>
      </w:r>
      <w:r>
        <w:rPr>
          <w:rFonts w:hint="eastAsia" w:ascii="宋体" w:hAnsi="宋体" w:cs="宋体"/>
          <w:color w:val="auto"/>
          <w:sz w:val="24"/>
          <w:highlight w:val="none"/>
          <w:u w:val="single"/>
          <w:lang w:val="en-US" w:eastAsia="zh-CN"/>
        </w:rPr>
        <w:t xml:space="preserve"> 7 </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 xml:space="preserve"> 25 </w:t>
      </w:r>
      <w:r>
        <w:rPr>
          <w:rFonts w:hint="eastAsia" w:ascii="宋体" w:hAnsi="宋体" w:cs="宋体"/>
          <w:color w:val="auto"/>
          <w:sz w:val="24"/>
          <w:highlight w:val="none"/>
          <w:u w:val="single"/>
          <w:lang w:eastAsia="zh-CN"/>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lang w:eastAsia="zh-CN"/>
        </w:rPr>
        <w:t>点30分</w:t>
      </w:r>
      <w:r>
        <w:rPr>
          <w:rFonts w:hint="eastAsia" w:ascii="宋体" w:hAnsi="宋体" w:cs="宋体"/>
          <w:color w:val="auto"/>
          <w:sz w:val="24"/>
          <w:highlight w:val="none"/>
          <w:u w:val="single"/>
        </w:rPr>
        <w:t>00秒</w:t>
      </w:r>
      <w:r>
        <w:rPr>
          <w:rFonts w:hint="eastAsia" w:ascii="宋体" w:hAnsi="宋体" w:cs="宋体"/>
          <w:color w:val="auto"/>
          <w:sz w:val="24"/>
          <w:highlight w:val="none"/>
        </w:rPr>
        <w:t>（北京时间）</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2024年</w:t>
      </w:r>
      <w:r>
        <w:rPr>
          <w:rFonts w:hint="eastAsia" w:ascii="宋体" w:hAnsi="宋体" w:cs="宋体"/>
          <w:color w:val="auto"/>
          <w:sz w:val="24"/>
          <w:highlight w:val="none"/>
          <w:u w:val="single"/>
          <w:lang w:val="en-US" w:eastAsia="zh-CN"/>
        </w:rPr>
        <w:t xml:space="preserve"> 7 </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 xml:space="preserve"> 25 </w:t>
      </w:r>
      <w:r>
        <w:rPr>
          <w:rFonts w:hint="eastAsia" w:ascii="宋体" w:hAnsi="宋体" w:cs="宋体"/>
          <w:color w:val="auto"/>
          <w:sz w:val="24"/>
          <w:highlight w:val="none"/>
          <w:u w:val="single"/>
          <w:lang w:eastAsia="zh-CN"/>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lang w:eastAsia="zh-CN"/>
        </w:rPr>
        <w:t>点30分</w:t>
      </w:r>
      <w:r>
        <w:rPr>
          <w:rFonts w:hint="eastAsia" w:ascii="宋体" w:hAnsi="宋体" w:cs="宋体"/>
          <w:color w:val="auto"/>
          <w:sz w:val="24"/>
          <w:highlight w:val="none"/>
          <w:u w:val="single"/>
        </w:rPr>
        <w:t>00秒</w:t>
      </w:r>
    </w:p>
    <w:p>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六、其他补充事宜</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eastAsia="zh-CN"/>
        </w:rPr>
        <w:t xml:space="preserve">浙江省温州市龙湾区蒲州街道众意路277号 </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传    真： /</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叶老师</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0577-56890705</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徐老师</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0577-56890705</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浙江东益工程咨询有限公司</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浙江省温州市龙湾区海工大道857号</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吕晶晶</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eastAsia="zh-CN"/>
        </w:rPr>
        <w:t>15257768876</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叶佳俊</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13736938289</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pPr>
        <w:keepNext w:val="0"/>
        <w:keepLines w:val="0"/>
        <w:pageBreakBefore w:val="0"/>
        <w:kinsoku/>
        <w:wordWrap/>
        <w:overflowPunct/>
        <w:topLinePunct w:val="0"/>
        <w:autoSpaceDE/>
        <w:autoSpaceDN/>
        <w:bidi w:val="0"/>
        <w:adjustRightInd w:val="0"/>
        <w:spacing w:line="400" w:lineRule="exac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温州市龙湾区财政局</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eastAsia="zh-CN"/>
        </w:rPr>
        <w:t>温州市龙湾区永宁西路565号温州银行大楼14-16层</w:t>
      </w: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textAlignment w:val="auto"/>
        <w:rPr>
          <w:rFonts w:ascii="宋体" w:hAnsi="宋体" w:cs="宋体"/>
          <w:color w:val="auto"/>
          <w:sz w:val="24"/>
          <w:highlight w:val="none"/>
        </w:rPr>
      </w:pPr>
      <w:r>
        <w:rPr>
          <w:rFonts w:hint="eastAsia" w:ascii="宋体" w:hAnsi="宋体" w:cs="宋体"/>
          <w:color w:val="auto"/>
          <w:sz w:val="24"/>
          <w:highlight w:val="none"/>
        </w:rPr>
        <w:t xml:space="preserve">    传    真： /</w:t>
      </w:r>
    </w:p>
    <w:p>
      <w:pPr>
        <w:keepNext w:val="0"/>
        <w:keepLines w:val="0"/>
        <w:pageBreakBefore w:val="0"/>
        <w:kinsoku/>
        <w:wordWrap/>
        <w:overflowPunct/>
        <w:topLinePunct w:val="0"/>
        <w:autoSpaceDE/>
        <w:autoSpaceDN/>
        <w:bidi w:val="0"/>
        <w:adjustRightInd w:val="0"/>
        <w:spacing w:line="400" w:lineRule="exact"/>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联系人 ：</w:t>
      </w:r>
      <w:r>
        <w:rPr>
          <w:rFonts w:hint="eastAsia" w:ascii="宋体" w:hAnsi="宋体" w:cs="宋体"/>
          <w:color w:val="auto"/>
          <w:sz w:val="24"/>
          <w:highlight w:val="none"/>
          <w:lang w:eastAsia="zh-CN"/>
        </w:rPr>
        <w:t>陈先生</w:t>
      </w:r>
    </w:p>
    <w:p>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监督投诉电话：电话：</w:t>
      </w:r>
      <w:r>
        <w:rPr>
          <w:rFonts w:hint="eastAsia" w:ascii="宋体" w:hAnsi="宋体" w:cs="宋体"/>
          <w:color w:val="auto"/>
          <w:sz w:val="24"/>
          <w:highlight w:val="none"/>
          <w:lang w:eastAsia="zh-CN"/>
        </w:rPr>
        <w:t>0577-85600839</w:t>
      </w:r>
    </w:p>
    <w:p>
      <w:pPr>
        <w:keepNext w:val="0"/>
        <w:keepLines w:val="0"/>
        <w:pageBreakBefore w:val="0"/>
        <w:kinsoku/>
        <w:wordWrap/>
        <w:overflowPunct/>
        <w:topLinePunct w:val="0"/>
        <w:autoSpaceDE/>
        <w:autoSpaceDN/>
        <w:bidi w:val="0"/>
        <w:adjustRightInd w:val="0"/>
        <w:spacing w:line="40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 xml:space="preserve">    </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pStyle w:val="10"/>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pPr>
        <w:pStyle w:val="5"/>
        <w:rPr>
          <w:rFonts w:ascii="宋体"/>
          <w:snapToGrid w:val="0"/>
          <w:color w:val="auto"/>
          <w:highlight w:val="none"/>
        </w:rPr>
      </w:pPr>
      <w:r>
        <w:rPr>
          <w:color w:val="auto"/>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16"/>
        <w:tblW w:w="105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80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事项</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项目属性与核心产品</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kern w:val="0"/>
                <w:sz w:val="24"/>
                <w:highlight w:val="none"/>
                <w:u w:val="single"/>
              </w:rPr>
              <w:t>校园智慧体育大数据服务平台</w:t>
            </w:r>
            <w:r>
              <w:rPr>
                <w:rFonts w:hint="eastAsia" w:ascii="宋体" w:hAnsi="宋体" w:cs="宋体"/>
                <w:color w:val="auto"/>
                <w:kern w:val="0"/>
                <w:sz w:val="24"/>
                <w:highlight w:val="none"/>
                <w:u w:val="single"/>
                <w:lang w:eastAsia="zh-CN"/>
              </w:rPr>
              <w:t>、阳光跑AI算法及服务、AI体育角</w:t>
            </w:r>
            <w:r>
              <w:rPr>
                <w:rFonts w:hint="eastAsia" w:ascii="宋体" w:hAnsi="宋体" w:cs="宋体"/>
                <w:color w:val="auto"/>
                <w:kern w:val="0"/>
                <w:sz w:val="24"/>
                <w:highlight w:val="none"/>
                <w:u w:val="single"/>
                <w:lang w:val="en-US" w:eastAsia="zh-CN"/>
              </w:rPr>
              <w:t>等</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8035" w:type="dxa"/>
            <w:tcBorders>
              <w:top w:val="single" w:color="000000" w:sz="8" w:space="0"/>
              <w:left w:val="single" w:color="000000" w:sz="2" w:space="0"/>
              <w:bottom w:val="single" w:color="000000" w:sz="8" w:space="0"/>
              <w:right w:val="single" w:color="000000" w:sz="8" w:space="0"/>
            </w:tcBorders>
            <w:vAlign w:val="center"/>
          </w:tcPr>
          <w:p>
            <w:pPr>
              <w:pStyle w:val="5"/>
              <w:suppressLineNumbers w:val="0"/>
              <w:spacing w:before="0" w:beforeAutospacing="0" w:after="0" w:afterAutospacing="0"/>
              <w:ind w:left="0" w:leftChars="0" w:right="0" w:firstLine="0" w:firstLineChars="0"/>
              <w:rPr>
                <w:rFonts w:hint="default" w:ascii="宋体" w:hAnsi="宋体" w:eastAsia="宋体" w:cs="宋体"/>
                <w:color w:val="auto"/>
                <w:highlight w:val="none"/>
                <w:lang w:val="en-US"/>
              </w:rPr>
            </w:pPr>
            <w:r>
              <w:rPr>
                <w:rFonts w:hint="eastAsia" w:ascii="宋体" w:hAnsi="宋体" w:cs="宋体"/>
                <w:b w:val="0"/>
                <w:bCs w:val="0"/>
                <w:color w:val="auto"/>
                <w:kern w:val="0"/>
                <w:sz w:val="24"/>
                <w:highlight w:val="none"/>
              </w:rPr>
              <w:t>（1）</w:t>
            </w:r>
            <w:r>
              <w:rPr>
                <w:rFonts w:hint="eastAsia" w:ascii="宋体" w:hAnsi="宋体" w:eastAsia="宋体" w:cs="宋体"/>
                <w:b w:val="0"/>
                <w:bCs w:val="0"/>
                <w:color w:val="auto"/>
                <w:kern w:val="0"/>
                <w:sz w:val="24"/>
                <w:highlight w:val="none"/>
                <w:u w:val="single"/>
                <w:lang w:eastAsia="zh-CN"/>
              </w:rPr>
              <w:t>标的：龙湾区桃花岛中学AI智慧体测系统采购，属</w:t>
            </w:r>
            <w:r>
              <w:rPr>
                <w:rFonts w:hint="eastAsia" w:ascii="宋体" w:hAnsi="宋体" w:eastAsia="宋体" w:cs="宋体"/>
                <w:b w:val="0"/>
                <w:bCs w:val="0"/>
                <w:color w:val="auto"/>
                <w:kern w:val="0"/>
                <w:sz w:val="24"/>
                <w:highlight w:val="none"/>
                <w:u w:val="single"/>
              </w:rPr>
              <w:t>于</w:t>
            </w:r>
            <w:r>
              <w:rPr>
                <w:rFonts w:hint="eastAsia" w:ascii="宋体" w:hAnsi="宋体" w:eastAsia="宋体" w:cs="宋体"/>
                <w:b w:val="0"/>
                <w:bCs w:val="0"/>
                <w:color w:val="auto"/>
                <w:kern w:val="0"/>
                <w:sz w:val="24"/>
                <w:highlight w:val="none"/>
                <w:u w:val="single"/>
                <w:lang w:eastAsia="zh-CN"/>
              </w:rPr>
              <w:t xml:space="preserve"> </w:t>
            </w:r>
            <w:r>
              <w:rPr>
                <w:rFonts w:hint="eastAsia" w:ascii="宋体" w:hAnsi="宋体" w:eastAsia="宋体" w:cs="宋体"/>
                <w:b w:val="0"/>
                <w:bCs w:val="0"/>
                <w:color w:val="auto"/>
                <w:kern w:val="0"/>
                <w:sz w:val="24"/>
                <w:highlight w:val="none"/>
                <w:u w:val="single"/>
                <w:lang w:eastAsia="zh-CN"/>
              </w:rPr>
              <w:sym w:font="Wingdings" w:char="00FE"/>
            </w:r>
            <w:r>
              <w:rPr>
                <w:rFonts w:hint="eastAsia" w:ascii="宋体" w:hAnsi="宋体" w:eastAsia="宋体" w:cs="宋体"/>
                <w:b w:val="0"/>
                <w:bCs w:val="0"/>
                <w:color w:val="auto"/>
                <w:kern w:val="0"/>
                <w:sz w:val="24"/>
                <w:highlight w:val="none"/>
                <w:u w:val="single"/>
                <w:lang w:eastAsia="zh-CN"/>
              </w:rPr>
              <w:t>工业（包括采矿业，制造业，电力、热力、燃气及水生产和供应业）</w:t>
            </w:r>
            <w:r>
              <w:rPr>
                <w:rFonts w:hint="eastAsia" w:ascii="宋体" w:hAnsi="宋体" w:eastAsia="宋体" w:cs="宋体"/>
                <w:b w:val="0"/>
                <w:bCs w:val="0"/>
                <w:color w:val="auto"/>
                <w:kern w:val="0"/>
                <w:sz w:val="24"/>
                <w:highlight w:val="none"/>
                <w:u w:val="single"/>
                <w:lang w:val="en-US" w:eastAsia="zh-CN"/>
              </w:rPr>
              <w:t xml:space="preserve"> 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default" w:ascii="宋体" w:hAnsi="宋体" w:cs="宋体"/>
                <w:b/>
                <w:color w:val="auto"/>
                <w:sz w:val="24"/>
                <w:highlight w:val="none"/>
              </w:rPr>
            </w:pPr>
            <w:r>
              <w:rPr>
                <w:rFonts w:hint="eastAsia" w:ascii="宋体" w:hAnsi="宋体" w:cs="宋体"/>
                <w:b/>
                <w:color w:val="auto"/>
                <w:sz w:val="24"/>
                <w:highlight w:val="none"/>
              </w:rPr>
              <w:t>分包</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样品提供</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b/>
                <w:color w:val="auto"/>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Cs/>
                <w:color w:val="auto"/>
                <w:sz w:val="24"/>
                <w:highlight w:val="none"/>
              </w:rPr>
            </w:pPr>
            <w:r>
              <w:rPr>
                <w:rFonts w:hint="eastAsia" w:ascii="宋体" w:hAnsi="宋体" w:cs="宋体"/>
                <w:b/>
                <w:color w:val="auto"/>
                <w:sz w:val="24"/>
                <w:highlight w:val="none"/>
              </w:rPr>
              <w:t>方案讲解演示</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b/>
                <w:color w:val="auto"/>
                <w:kern w:val="0"/>
                <w:sz w:val="24"/>
                <w:highlight w:val="none"/>
                <w:lang w:val="zh-CN"/>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8035"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vMerge w:val="continue"/>
            <w:tcBorders>
              <w:left w:val="single" w:color="auto" w:sz="4" w:space="0"/>
              <w:bottom w:val="single" w:color="auto" w:sz="4" w:space="0"/>
              <w:right w:val="single" w:color="auto" w:sz="4" w:space="0"/>
            </w:tcBorders>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p>
        </w:tc>
        <w:tc>
          <w:tcPr>
            <w:tcW w:w="8035"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textAlignment w:val="auto"/>
              <w:rPr>
                <w:rFonts w:hint="default"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报价要求</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left"/>
              <w:textAlignment w:val="auto"/>
              <w:rPr>
                <w:rFonts w:hint="default"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left"/>
              <w:textAlignment w:val="auto"/>
              <w:rPr>
                <w:rFonts w:hint="default"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firstLine="241" w:firstLineChars="100"/>
              <w:jc w:val="left"/>
              <w:textAlignment w:val="auto"/>
              <w:rPr>
                <w:rFonts w:hint="default"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firstLine="241" w:firstLineChars="100"/>
              <w:jc w:val="left"/>
              <w:textAlignment w:val="auto"/>
              <w:rPr>
                <w:rFonts w:hint="default"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241" w:firstLineChars="100"/>
              <w:textAlignment w:val="auto"/>
              <w:rPr>
                <w:rFonts w:hint="default"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241" w:firstLineChars="100"/>
              <w:textAlignment w:val="auto"/>
              <w:rPr>
                <w:rFonts w:hint="default"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000000" w:sz="8" w:space="0"/>
              <w:right w:val="single" w:color="000000" w:sz="2"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中小企业信用融资</w:t>
            </w:r>
          </w:p>
        </w:tc>
        <w:tc>
          <w:tcPr>
            <w:tcW w:w="8035" w:type="dxa"/>
            <w:tcBorders>
              <w:top w:val="single" w:color="000000" w:sz="8" w:space="0"/>
              <w:left w:val="single" w:color="000000" w:sz="2"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480" w:firstLineChars="200"/>
              <w:textAlignment w:val="auto"/>
              <w:rPr>
                <w:rFonts w:hint="default"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8035" w:type="dxa"/>
            <w:tcBorders>
              <w:top w:val="single" w:color="000000" w:sz="8" w:space="0"/>
              <w:left w:val="single" w:color="000000" w:sz="2" w:space="0"/>
              <w:bottom w:val="single" w:color="000000" w:sz="8" w:space="0"/>
              <w:right w:val="single" w:color="000000" w:sz="8" w:space="0"/>
            </w:tcBorders>
            <w:vAlign w:val="center"/>
          </w:tcPr>
          <w:p>
            <w:pPr>
              <w:pStyle w:val="10"/>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kern w:val="28"/>
                <w:sz w:val="24"/>
                <w:szCs w:val="24"/>
                <w:highlight w:val="none"/>
                <w:u w:val="single"/>
                <w:lang w:eastAsia="zh-CN"/>
              </w:rPr>
              <w:t>浙江省温州市龙湾区海工大道857号</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吕女士</w:t>
            </w:r>
            <w:r>
              <w:rPr>
                <w:rFonts w:hint="eastAsia" w:ascii="宋体" w:hAnsi="宋体" w:eastAsia="宋体" w:cs="宋体"/>
                <w:color w:val="auto"/>
                <w:kern w:val="28"/>
                <w:sz w:val="24"/>
                <w:szCs w:val="24"/>
                <w:highlight w:val="none"/>
                <w:u w:val="single"/>
                <w:lang w:val="en-US" w:eastAsia="zh-CN"/>
              </w:rPr>
              <w:t>，</w:t>
            </w:r>
            <w:r>
              <w:rPr>
                <w:rFonts w:hint="eastAsia" w:hAnsi="宋体" w:cs="宋体"/>
                <w:color w:val="auto"/>
                <w:kern w:val="28"/>
                <w:sz w:val="24"/>
                <w:szCs w:val="24"/>
                <w:highlight w:val="none"/>
                <w:u w:val="single"/>
                <w:lang w:val="en-US" w:eastAsia="zh-CN"/>
              </w:rPr>
              <w:t>15257768876</w:t>
            </w:r>
            <w:r>
              <w:rPr>
                <w:rFonts w:hint="eastAsia" w:ascii="宋体" w:hAnsi="宋体" w:eastAsia="宋体" w:cs="宋体"/>
                <w:color w:val="auto"/>
                <w:kern w:val="28"/>
                <w:sz w:val="24"/>
                <w:szCs w:val="24"/>
                <w:highlight w:val="none"/>
                <w:u w:val="single"/>
                <w:lang w:eastAsia="zh-CN"/>
              </w:rPr>
              <w:t>。</w:t>
            </w:r>
            <w:r>
              <w:rPr>
                <w:rFonts w:hint="eastAsia" w:hAnsi="宋体" w:cs="宋体"/>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803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bottom w:val="single" w:color="auto" w:sz="4" w:space="0"/>
              <w:right w:val="single" w:color="000000" w:sz="2"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p>
        </w:tc>
        <w:tc>
          <w:tcPr>
            <w:tcW w:w="8035"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00" w:lineRule="exact"/>
              <w:ind w:left="0" w:right="0"/>
              <w:jc w:val="center"/>
              <w:textAlignment w:val="auto"/>
              <w:rPr>
                <w:rFonts w:hint="default" w:ascii="宋体" w:hAnsi="宋体" w:cs="宋体"/>
                <w:b/>
                <w:color w:val="auto"/>
                <w:sz w:val="24"/>
                <w:highlight w:val="none"/>
              </w:rPr>
            </w:pPr>
            <w:r>
              <w:rPr>
                <w:rFonts w:hint="eastAsia" w:ascii="宋体" w:hAnsi="宋体" w:cs="仿宋_GB2312"/>
                <w:b/>
                <w:color w:val="auto"/>
                <w:sz w:val="24"/>
                <w:highlight w:val="none"/>
              </w:rPr>
              <w:t>代理服务费</w:t>
            </w:r>
          </w:p>
        </w:tc>
        <w:tc>
          <w:tcPr>
            <w:tcW w:w="8035" w:type="dxa"/>
            <w:tcBorders>
              <w:top w:val="single" w:color="auto" w:sz="4" w:space="0"/>
              <w:left w:val="single" w:color="000000" w:sz="2" w:space="0"/>
              <w:bottom w:val="single" w:color="000000" w:sz="8" w:space="0"/>
              <w:right w:val="single" w:color="000000" w:sz="8" w:space="0"/>
            </w:tcBorders>
            <w:vAlign w:val="center"/>
          </w:tcPr>
          <w:p>
            <w:pPr>
              <w:pStyle w:val="10"/>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textAlignment w:val="auto"/>
              <w:rPr>
                <w:rFonts w:hint="eastAsia" w:cs="Arial" w:asciiTheme="minorEastAsia" w:hAnsiTheme="minorEastAsia" w:eastAsiaTheme="minorEastAsia"/>
                <w:color w:val="auto"/>
                <w:kern w:val="0"/>
                <w:sz w:val="24"/>
                <w:highlight w:val="none"/>
              </w:rPr>
            </w:pPr>
            <w:r>
              <w:rPr>
                <w:rFonts w:hint="eastAsia" w:ascii="宋体" w:hAnsi="宋体" w:cs="宋体"/>
                <w:b/>
                <w:bCs/>
                <w:snapToGrid w:val="0"/>
                <w:color w:val="auto"/>
                <w:kern w:val="28"/>
                <w:sz w:val="24"/>
                <w:highlight w:val="none"/>
              </w:rPr>
              <w:t>采购代理服务费按关于印发《温州市招标代理费取费指引》（试行）温协〔2020〕20号的通知文件的标准收取，不足￥</w:t>
            </w:r>
            <w:r>
              <w:rPr>
                <w:rFonts w:hint="eastAsia" w:hAnsi="宋体" w:cs="宋体"/>
                <w:b/>
                <w:bCs/>
                <w:snapToGrid w:val="0"/>
                <w:color w:val="auto"/>
                <w:kern w:val="28"/>
                <w:sz w:val="24"/>
                <w:highlight w:val="none"/>
                <w:lang w:val="en-US" w:eastAsia="zh-CN"/>
              </w:rPr>
              <w:t>100</w:t>
            </w:r>
            <w:r>
              <w:rPr>
                <w:rFonts w:hint="eastAsia" w:ascii="宋体" w:hAnsi="宋体" w:cs="宋体"/>
                <w:b/>
                <w:bCs/>
                <w:snapToGrid w:val="0"/>
                <w:color w:val="auto"/>
                <w:kern w:val="28"/>
                <w:sz w:val="24"/>
                <w:highlight w:val="none"/>
              </w:rPr>
              <w:t>00元，按最低收费￥</w:t>
            </w:r>
            <w:r>
              <w:rPr>
                <w:rFonts w:hint="eastAsia" w:hAnsi="宋体" w:cs="宋体"/>
                <w:b/>
                <w:bCs/>
                <w:snapToGrid w:val="0"/>
                <w:color w:val="auto"/>
                <w:kern w:val="28"/>
                <w:sz w:val="24"/>
                <w:highlight w:val="none"/>
                <w:lang w:val="en-US" w:eastAsia="zh-CN"/>
              </w:rPr>
              <w:t>10</w:t>
            </w:r>
            <w:r>
              <w:rPr>
                <w:rFonts w:hint="eastAsia" w:ascii="宋体" w:hAnsi="宋体" w:cs="宋体"/>
                <w:b/>
                <w:bCs/>
                <w:snapToGrid w:val="0"/>
                <w:color w:val="auto"/>
                <w:kern w:val="28"/>
                <w:sz w:val="24"/>
                <w:highlight w:val="none"/>
              </w:rPr>
              <w:t>000元收取。由中标人在领取中标通知书时支付给招标代理机构。该费用在投标文件中不单列，由中标人在投标总报价中综合考虑。</w:t>
            </w:r>
          </w:p>
        </w:tc>
      </w:tr>
    </w:tbl>
    <w:p>
      <w:pPr>
        <w:snapToGrid w:val="0"/>
        <w:spacing w:line="360" w:lineRule="auto"/>
        <w:jc w:val="center"/>
        <w:rPr>
          <w:rFonts w:ascii="宋体" w:hAnsi="宋体" w:cs="宋体"/>
          <w:b/>
          <w:color w:val="auto"/>
          <w:sz w:val="32"/>
          <w:szCs w:val="20"/>
          <w:highlight w:val="none"/>
        </w:rPr>
      </w:pPr>
    </w:p>
    <w:bookmarkEnd w:id="9"/>
    <w:p>
      <w:pPr>
        <w:adjustRightInd/>
        <w:spacing w:line="360" w:lineRule="auto"/>
        <w:ind w:firstLine="3845" w:firstLineChars="1197"/>
        <w:outlineLvl w:val="0"/>
        <w:rPr>
          <w:rFonts w:hint="eastAsia" w:ascii="宋体" w:hAnsi="宋体" w:cs="宋体"/>
          <w:b/>
          <w:color w:val="auto"/>
          <w:sz w:val="32"/>
          <w:szCs w:val="20"/>
          <w:highlight w:val="none"/>
        </w:rPr>
        <w:sectPr>
          <w:footerReference r:id="rId8" w:type="first"/>
          <w:footerReference r:id="rId7" w:type="default"/>
          <w:pgSz w:w="11906" w:h="16838"/>
          <w:pgMar w:top="680" w:right="1134" w:bottom="468" w:left="1134" w:header="851" w:footer="992" w:gutter="0"/>
          <w:pgBorders>
            <w:top w:val="none" w:sz="0" w:space="0"/>
            <w:left w:val="none" w:sz="0" w:space="0"/>
            <w:bottom w:val="none" w:sz="0" w:space="0"/>
            <w:right w:val="none" w:sz="0" w:space="0"/>
          </w:pgBorders>
          <w:pgNumType w:fmt="decimal" w:start="1"/>
          <w:cols w:space="720" w:num="1"/>
          <w:titlePg/>
          <w:docGrid w:linePitch="312" w:charSpace="0"/>
        </w:sectPr>
      </w:pPr>
      <w:bookmarkStart w:id="11" w:name="第三部分"/>
      <w:bookmarkStart w:id="12" w:name="_Toc164416483"/>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pPr>
        <w:pageBreakBefore w:val="0"/>
        <w:kinsoku/>
        <w:wordWrap/>
        <w:overflowPunct/>
        <w:topLinePunct w:val="0"/>
        <w:bidi w:val="0"/>
        <w:snapToGrid w:val="0"/>
        <w:spacing w:beforeAutospacing="0" w:line="400" w:lineRule="exact"/>
        <w:ind w:firstLine="361" w:firstLineChars="150"/>
        <w:jc w:val="left"/>
        <w:textAlignment w:val="auto"/>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pageBreakBefore w:val="0"/>
        <w:kinsoku/>
        <w:wordWrap/>
        <w:overflowPunct/>
        <w:topLinePunct w:val="0"/>
        <w:bidi w:val="0"/>
        <w:snapToGrid w:val="0"/>
        <w:spacing w:beforeAutospacing="0" w:line="400" w:lineRule="exact"/>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pageBreakBefore w:val="0"/>
        <w:kinsoku/>
        <w:wordWrap/>
        <w:overflowPunct/>
        <w:topLinePunct w:val="0"/>
        <w:bidi w:val="0"/>
        <w:adjustRightInd/>
        <w:spacing w:beforeAutospacing="0" w:line="400" w:lineRule="exact"/>
        <w:textAlignment w:val="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pageBreakBefore w:val="0"/>
        <w:kinsoku/>
        <w:wordWrap/>
        <w:overflowPunct/>
        <w:topLinePunct w:val="0"/>
        <w:bidi w:val="0"/>
        <w:spacing w:beforeAutospacing="0" w:line="400" w:lineRule="exact"/>
        <w:ind w:firstLine="241" w:firstLineChars="100"/>
        <w:textAlignment w:val="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pageBreakBefore w:val="0"/>
        <w:kinsoku/>
        <w:wordWrap/>
        <w:overflowPunct/>
        <w:topLinePunct w:val="0"/>
        <w:bidi w:val="0"/>
        <w:spacing w:beforeAutospacing="0" w:line="400" w:lineRule="exact"/>
        <w:ind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pageBreakBefore w:val="0"/>
        <w:kinsoku/>
        <w:wordWrap/>
        <w:overflowPunct/>
        <w:topLinePunct w:val="0"/>
        <w:bidi w:val="0"/>
        <w:spacing w:beforeAutospacing="0" w:line="400" w:lineRule="exact"/>
        <w:ind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3.2 支持绿色发展</w:t>
      </w:r>
    </w:p>
    <w:p>
      <w:pPr>
        <w:pageBreakBefore w:val="0"/>
        <w:kinsoku/>
        <w:wordWrap/>
        <w:overflowPunct/>
        <w:topLinePunct w:val="0"/>
        <w:bidi w:val="0"/>
        <w:spacing w:beforeAutospacing="0" w:line="400" w:lineRule="exact"/>
        <w:ind w:firstLine="480" w:firstLineChars="200"/>
        <w:textAlignment w:val="auto"/>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3"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3"/>
    </w:p>
    <w:p>
      <w:pPr>
        <w:pageBreakBefore w:val="0"/>
        <w:kinsoku/>
        <w:wordWrap/>
        <w:overflowPunct/>
        <w:topLinePunct w:val="0"/>
        <w:bidi w:val="0"/>
        <w:spacing w:beforeAutospacing="0" w:line="400" w:lineRule="exact"/>
        <w:ind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3.3支持中小企业发展</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pageBreakBefore w:val="0"/>
        <w:widowControl/>
        <w:kinsoku/>
        <w:wordWrap/>
        <w:overflowPunct/>
        <w:topLinePunct w:val="0"/>
        <w:bidi w:val="0"/>
        <w:spacing w:beforeAutospacing="0" w:line="400" w:lineRule="exact"/>
        <w:ind w:firstLine="480" w:firstLineChars="200"/>
        <w:jc w:val="left"/>
        <w:textAlignment w:val="auto"/>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pageBreakBefore w:val="0"/>
        <w:widowControl/>
        <w:kinsoku/>
        <w:wordWrap/>
        <w:overflowPunct/>
        <w:topLinePunct w:val="0"/>
        <w:bidi w:val="0"/>
        <w:spacing w:beforeAutospacing="0" w:line="40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4" w:name="_Hlk101132181"/>
      <w:r>
        <w:rPr>
          <w:rFonts w:hint="eastAsia" w:ascii="宋体" w:hAnsi="宋体" w:cs="宋体"/>
          <w:color w:val="auto"/>
          <w:sz w:val="24"/>
          <w:highlight w:val="none"/>
        </w:rPr>
        <w:t>联合协议或者分包意向协议约定小微企业的合同份额占到合同总金额30%以上的</w:t>
      </w:r>
      <w:bookmarkEnd w:id="14"/>
      <w:r>
        <w:rPr>
          <w:rFonts w:hint="eastAsia" w:ascii="宋体" w:hAnsi="宋体" w:cs="宋体"/>
          <w:color w:val="auto"/>
          <w:sz w:val="24"/>
          <w:highlight w:val="none"/>
        </w:rPr>
        <w:t>，对联合体或者大中型企业的报价给予4%的扣除，用扣除后的价格参加评审。组成联合体或者接受分包的小微企业与联合体内其他企业、分包企业之间存在直接控股、管理关系的，不享受价格扣除优惠政策。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pageBreakBefore w:val="0"/>
        <w:kinsoku/>
        <w:wordWrap/>
        <w:overflowPunct/>
        <w:topLinePunct w:val="0"/>
        <w:bidi w:val="0"/>
        <w:spacing w:beforeAutospacing="0" w:line="400" w:lineRule="exact"/>
        <w:ind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pageBreakBefore w:val="0"/>
        <w:kinsoku/>
        <w:wordWrap/>
        <w:overflowPunct/>
        <w:topLinePunct w:val="0"/>
        <w:bidi w:val="0"/>
        <w:spacing w:beforeAutospacing="0" w:line="40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pPr>
        <w:pStyle w:val="5"/>
        <w:pageBreakBefore w:val="0"/>
        <w:kinsoku/>
        <w:wordWrap/>
        <w:overflowPunct/>
        <w:topLinePunct w:val="0"/>
        <w:bidi w:val="0"/>
        <w:adjustRightInd w:val="0"/>
        <w:spacing w:beforeAutospacing="0" w:line="400" w:lineRule="exact"/>
        <w:ind w:left="0" w:firstLine="480" w:firstLineChars="200"/>
        <w:textAlignment w:val="auto"/>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pPr>
        <w:pageBreakBefore w:val="0"/>
        <w:kinsoku/>
        <w:wordWrap/>
        <w:overflowPunct/>
        <w:topLinePunct w:val="0"/>
        <w:bidi w:val="0"/>
        <w:spacing w:beforeAutospacing="0"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pageBreakBefore w:val="0"/>
        <w:kinsoku/>
        <w:wordWrap/>
        <w:overflowPunct/>
        <w:topLinePunct w:val="0"/>
        <w:bidi w:val="0"/>
        <w:spacing w:beforeAutospacing="0" w:line="400" w:lineRule="exact"/>
        <w:ind w:firstLine="480" w:firstLineChars="200"/>
        <w:textAlignment w:val="auto"/>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lang w:val="zh-CN"/>
        </w:rPr>
      </w:pPr>
      <w:r>
        <w:rPr>
          <w:rFonts w:hint="eastAsia"/>
          <w:color w:val="auto"/>
          <w:highlight w:val="none"/>
          <w:lang w:val="zh-CN"/>
        </w:rPr>
        <w:t>4.1在线询问、质疑、投诉</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ageBreakBefore w:val="0"/>
        <w:kinsoku/>
        <w:wordWrap/>
        <w:overflowPunct/>
        <w:topLinePunct w:val="0"/>
        <w:autoSpaceDE w:val="0"/>
        <w:autoSpaceDN w:val="0"/>
        <w:bidi w:val="0"/>
        <w:spacing w:beforeAutospacing="0" w:line="400" w:lineRule="exact"/>
        <w:ind w:firstLine="240" w:firstLineChars="1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pageBreakBefore w:val="0"/>
        <w:kinsoku/>
        <w:wordWrap/>
        <w:overflowPunct/>
        <w:topLinePunct w:val="0"/>
        <w:autoSpaceDE w:val="0"/>
        <w:autoSpaceDN w:val="0"/>
        <w:bidi w:val="0"/>
        <w:spacing w:beforeAutospacing="0" w:line="400" w:lineRule="exact"/>
        <w:ind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pageBreakBefore w:val="0"/>
        <w:kinsoku/>
        <w:wordWrap/>
        <w:overflowPunct/>
        <w:topLinePunct w:val="0"/>
        <w:autoSpaceDE w:val="0"/>
        <w:autoSpaceDN w:val="0"/>
        <w:bidi w:val="0"/>
        <w:spacing w:beforeAutospacing="0" w:line="400" w:lineRule="exact"/>
        <w:ind w:firstLine="240" w:firstLineChars="1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7"/>
        <w:pageBreakBefore w:val="0"/>
        <w:kinsoku/>
        <w:wordWrap/>
        <w:overflowPunct/>
        <w:topLinePunct w:val="0"/>
        <w:bidi w:val="0"/>
        <w:spacing w:beforeAutospacing="0" w:line="400" w:lineRule="exact"/>
        <w:ind w:firstLine="480" w:firstLineChars="200"/>
        <w:textAlignment w:val="auto"/>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10"/>
        <w:pageBreakBefore w:val="0"/>
        <w:kinsoku/>
        <w:wordWrap/>
        <w:overflowPunct/>
        <w:topLinePunct w:val="0"/>
        <w:bidi w:val="0"/>
        <w:spacing w:beforeAutospacing="0" w:line="400" w:lineRule="exact"/>
        <w:ind w:left="479" w:leftChars="228"/>
        <w:textAlignment w:val="auto"/>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10"/>
        <w:pageBreakBefore w:val="0"/>
        <w:kinsoku/>
        <w:wordWrap/>
        <w:overflowPunct/>
        <w:topLinePunct w:val="0"/>
        <w:bidi w:val="0"/>
        <w:spacing w:beforeAutospacing="0" w:line="400" w:lineRule="exact"/>
        <w:ind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10"/>
        <w:pageBreakBefore w:val="0"/>
        <w:kinsoku/>
        <w:wordWrap/>
        <w:overflowPunct/>
        <w:topLinePunct w:val="0"/>
        <w:bidi w:val="0"/>
        <w:spacing w:beforeAutospacing="0" w:line="400" w:lineRule="exact"/>
        <w:ind w:firstLine="960" w:firstLineChars="4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质疑函范本及制作说明详见附件2。</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4.3.4对同一采购程序环节的质疑，供应商须在法定质疑期内一次性提出。</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 号）,采购人或者</w:t>
      </w:r>
      <w:r>
        <w:rPr>
          <w:rFonts w:hint="eastAsia"/>
          <w:color w:val="auto"/>
          <w:highlight w:val="none"/>
          <w:lang w:eastAsia="zh-CN"/>
        </w:rPr>
        <w:t>采购代理机构</w:t>
      </w:r>
      <w:r>
        <w:rPr>
          <w:rFonts w:hint="eastAsia"/>
          <w:color w:val="auto"/>
          <w:highlight w:val="none"/>
        </w:rPr>
        <w:t>在质疑回复后在浙江政府采购网公开质疑答复，答复内容应当完整。</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80" w:firstLineChars="200"/>
        <w:contextualSpacing/>
        <w:textAlignment w:val="auto"/>
        <w:rPr>
          <w:color w:val="auto"/>
          <w:highlight w:val="none"/>
          <w:lang w:val="zh-CN"/>
        </w:rPr>
      </w:pPr>
      <w:r>
        <w:rPr>
          <w:rFonts w:hint="eastAsia"/>
          <w:color w:val="auto"/>
          <w:highlight w:val="none"/>
          <w:lang w:val="zh-CN"/>
        </w:rPr>
        <w:t>4.4供应商投诉</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4.4.3供应商投诉应当有明确的请求和必要的证明材料。</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4.4.4 以联合体形式参加政府采购活动的，其投诉应当由组成联合体的所有供应商共同提出。</w:t>
      </w:r>
    </w:p>
    <w:p>
      <w:pPr>
        <w:pStyle w:val="22"/>
        <w:pageBreakBefore w:val="0"/>
        <w:shd w:val="clear" w:color="auto" w:fill="FFFFFF"/>
        <w:kinsoku/>
        <w:wordWrap/>
        <w:overflowPunct/>
        <w:topLinePunct w:val="0"/>
        <w:bidi w:val="0"/>
        <w:snapToGrid w:val="0"/>
        <w:spacing w:before="0" w:beforeAutospacing="0" w:after="0" w:afterAutospacing="0" w:line="400" w:lineRule="exact"/>
        <w:ind w:firstLine="400"/>
        <w:contextualSpacing/>
        <w:textAlignment w:val="auto"/>
        <w:rPr>
          <w:color w:val="auto"/>
          <w:highlight w:val="none"/>
        </w:rPr>
      </w:pPr>
      <w:r>
        <w:rPr>
          <w:rFonts w:hint="eastAsia"/>
          <w:color w:val="auto"/>
          <w:highlight w:val="none"/>
        </w:rPr>
        <w:t>投诉书范本及制作说明详见附件3。</w:t>
      </w:r>
    </w:p>
    <w:p>
      <w:pPr>
        <w:pStyle w:val="21"/>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10"/>
        <w:keepNext w:val="0"/>
        <w:keepLines w:val="0"/>
        <w:pageBreakBefore w:val="0"/>
        <w:widowControl w:val="0"/>
        <w:kinsoku/>
        <w:wordWrap/>
        <w:overflowPunct/>
        <w:topLinePunct w:val="0"/>
        <w:autoSpaceDE/>
        <w:autoSpaceDN/>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10"/>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5.1.1招标公告；</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5.1.2投标人须知；</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5.1.3采购需求；</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5.1.4评标办法；</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10"/>
        <w:keepNext w:val="0"/>
        <w:keepLines w:val="0"/>
        <w:pageBreakBefore w:val="0"/>
        <w:widowControl w:val="0"/>
        <w:tabs>
          <w:tab w:val="left" w:pos="840"/>
        </w:tabs>
        <w:kinsoku/>
        <w:wordWrap/>
        <w:overflowPunct/>
        <w:topLinePunct w:val="0"/>
        <w:autoSpaceDE/>
        <w:autoSpaceDN/>
        <w:bidi w:val="0"/>
        <w:adjustRightInd w:val="0"/>
        <w:spacing w:line="400" w:lineRule="exact"/>
        <w:ind w:firstLine="960" w:firstLineChars="400"/>
        <w:textAlignment w:val="auto"/>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10"/>
        <w:keepNext w:val="0"/>
        <w:keepLines w:val="0"/>
        <w:pageBreakBefore w:val="0"/>
        <w:widowControl w:val="0"/>
        <w:kinsoku/>
        <w:wordWrap/>
        <w:overflowPunct/>
        <w:topLinePunct w:val="0"/>
        <w:autoSpaceDE/>
        <w:autoSpaceDN/>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7. 招标文件的获取</w:t>
      </w:r>
    </w:p>
    <w:p>
      <w:pPr>
        <w:keepNext w:val="0"/>
        <w:keepLines w:val="0"/>
        <w:pageBreakBefore w:val="0"/>
        <w:kinsoku/>
        <w:wordWrap/>
        <w:overflowPunct/>
        <w:topLinePunct w:val="0"/>
        <w:bidi w:val="0"/>
        <w:adjustRightInd w:val="0"/>
        <w:spacing w:line="400" w:lineRule="exact"/>
        <w:ind w:firstLine="480" w:firstLineChars="200"/>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10"/>
        <w:keepNext w:val="0"/>
        <w:keepLines w:val="0"/>
        <w:pageBreakBefore w:val="0"/>
        <w:kinsoku/>
        <w:wordWrap/>
        <w:overflowPunct/>
        <w:topLinePunct w:val="0"/>
        <w:bidi w:val="0"/>
        <w:adjustRightInd w:val="0"/>
        <w:spacing w:line="400" w:lineRule="exact"/>
        <w:ind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7"/>
        <w:keepNext w:val="0"/>
        <w:keepLines w:val="0"/>
        <w:pageBreakBefore w:val="0"/>
        <w:kinsoku/>
        <w:wordWrap/>
        <w:overflowPunct/>
        <w:topLinePunct w:val="0"/>
        <w:bidi w:val="0"/>
        <w:adjustRightInd w:val="0"/>
        <w:spacing w:line="400" w:lineRule="exact"/>
        <w:ind w:firstLine="470" w:firstLineChars="196"/>
        <w:textAlignment w:val="auto"/>
        <w:rPr>
          <w:rFonts w:hAnsi="宋体" w:cs="宋体"/>
          <w:color w:val="auto"/>
          <w:sz w:val="24"/>
          <w:highlight w:val="none"/>
        </w:rPr>
      </w:pPr>
      <w:r>
        <w:rPr>
          <w:rFonts w:hint="eastAsia" w:hAnsi="宋体" w:cs="宋体"/>
          <w:color w:val="auto"/>
          <w:sz w:val="24"/>
          <w:highlight w:val="none"/>
        </w:rPr>
        <w:t>本项目不需缴纳投标保证金。</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10. 投标文件的语言</w:t>
      </w:r>
    </w:p>
    <w:p>
      <w:pPr>
        <w:keepNext w:val="0"/>
        <w:keepLines w:val="0"/>
        <w:pageBreakBefore w:val="0"/>
        <w:kinsoku/>
        <w:wordWrap/>
        <w:overflowPunct/>
        <w:topLinePunct w:val="0"/>
        <w:autoSpaceDE w:val="0"/>
        <w:autoSpaceDN w:val="0"/>
        <w:bidi w:val="0"/>
        <w:adjustRightInd w:val="0"/>
        <w:spacing w:line="400" w:lineRule="exact"/>
        <w:ind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11. 投标文件的组成</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5" w:name="_Hlk101259339"/>
      <w:r>
        <w:rPr>
          <w:rFonts w:hint="eastAsia" w:ascii="宋体" w:hAnsi="宋体" w:cs="宋体"/>
          <w:snapToGrid w:val="0"/>
          <w:color w:val="auto"/>
          <w:kern w:val="28"/>
          <w:sz w:val="24"/>
          <w:szCs w:val="20"/>
          <w:highlight w:val="none"/>
        </w:rPr>
        <w:t>联合协议</w:t>
      </w:r>
      <w:bookmarkEnd w:id="15"/>
      <w:r>
        <w:rPr>
          <w:rFonts w:hint="eastAsia" w:ascii="宋体" w:hAnsi="宋体" w:cs="宋体"/>
          <w:snapToGrid w:val="0"/>
          <w:color w:val="auto"/>
          <w:kern w:val="28"/>
          <w:sz w:val="24"/>
          <w:szCs w:val="20"/>
          <w:highlight w:val="none"/>
        </w:rPr>
        <w:t>（如果有)；</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11.1.5</w:t>
      </w:r>
      <w:r>
        <w:rPr>
          <w:rFonts w:hint="eastAsia" w:ascii="宋体" w:hAnsi="宋体" w:cs="宋体"/>
          <w:color w:val="auto"/>
          <w:sz w:val="24"/>
          <w:highlight w:val="none"/>
        </w:rPr>
        <w:t>中小企业声明函。</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11.1.6</w:t>
      </w:r>
      <w:r>
        <w:rPr>
          <w:rFonts w:hint="eastAsia" w:ascii="宋体" w:hAnsi="宋体" w:cs="宋体"/>
          <w:color w:val="auto"/>
          <w:sz w:val="24"/>
          <w:highlight w:val="none"/>
        </w:rPr>
        <w:t>授权委托书或法定代表人（单位负责人、自然人本人）身份证明；</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11.1.7营业执照(或事业法人登记证书或其它工商等登记证明材料)</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11.2.2</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符合性审查资料；</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评标标准相应的商务技术资料；</w:t>
      </w:r>
    </w:p>
    <w:p>
      <w:pPr>
        <w:keepNext w:val="0"/>
        <w:keepLines w:val="0"/>
        <w:pageBreakBefore w:val="0"/>
        <w:kinsoku/>
        <w:wordWrap/>
        <w:overflowPunct/>
        <w:topLinePunct w:val="0"/>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投标标的清单；</w:t>
      </w:r>
    </w:p>
    <w:p>
      <w:pPr>
        <w:keepNext w:val="0"/>
        <w:keepLines w:val="0"/>
        <w:pageBreakBefore w:val="0"/>
        <w:kinsoku/>
        <w:wordWrap/>
        <w:overflowPunct/>
        <w:topLinePunct w:val="0"/>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pPr>
        <w:keepNext w:val="0"/>
        <w:keepLines w:val="0"/>
        <w:pageBreakBefore w:val="0"/>
        <w:kinsoku/>
        <w:wordWrap/>
        <w:overflowPunct/>
        <w:topLinePunct w:val="0"/>
        <w:bidi w:val="0"/>
        <w:adjustRightInd w:val="0"/>
        <w:snapToGrid w:val="0"/>
        <w:spacing w:line="400" w:lineRule="exact"/>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val="0"/>
        <w:spacing w:line="400" w:lineRule="exact"/>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pPr>
        <w:pStyle w:val="23"/>
        <w:keepNext w:val="0"/>
        <w:keepLines w:val="0"/>
        <w:pageBreakBefore w:val="0"/>
        <w:kinsoku/>
        <w:wordWrap/>
        <w:overflowPunct/>
        <w:topLinePunct w:val="0"/>
        <w:bidi w:val="0"/>
        <w:adjustRightInd w:val="0"/>
        <w:spacing w:line="400" w:lineRule="exact"/>
        <w:ind w:firstLine="960" w:firstLineChars="400"/>
        <w:textAlignment w:val="auto"/>
        <w:rPr>
          <w:color w:val="auto"/>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pPr>
        <w:keepNext w:val="0"/>
        <w:keepLines w:val="0"/>
        <w:pageBreakBefore w:val="0"/>
        <w:kinsoku/>
        <w:wordWrap/>
        <w:overflowPunct/>
        <w:topLinePunct w:val="0"/>
        <w:bidi w:val="0"/>
        <w:adjustRightInd w:val="0"/>
        <w:spacing w:line="400" w:lineRule="exact"/>
        <w:ind w:firstLine="723" w:firstLineChars="300"/>
        <w:textAlignment w:val="auto"/>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keepNext w:val="0"/>
        <w:keepLines w:val="0"/>
        <w:pageBreakBefore w:val="0"/>
        <w:kinsoku/>
        <w:wordWrap/>
        <w:overflowPunct/>
        <w:topLinePunct w:val="0"/>
        <w:bidi w:val="0"/>
        <w:adjustRightInd w:val="0"/>
        <w:spacing w:line="400" w:lineRule="exact"/>
        <w:ind w:firstLine="723" w:firstLineChars="300"/>
        <w:textAlignment w:val="auto"/>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pPr>
        <w:keepNext w:val="0"/>
        <w:keepLines w:val="0"/>
        <w:pageBreakBefore w:val="0"/>
        <w:kinsoku/>
        <w:wordWrap/>
        <w:overflowPunct/>
        <w:topLinePunct w:val="0"/>
        <w:bidi w:val="0"/>
        <w:adjustRightInd w:val="0"/>
        <w:spacing w:line="400" w:lineRule="exact"/>
        <w:ind w:firstLine="720" w:firstLineChars="300"/>
        <w:textAlignment w:val="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w:t>
      </w:r>
    </w:p>
    <w:p>
      <w:pPr>
        <w:pStyle w:val="21"/>
        <w:keepNext w:val="0"/>
        <w:keepLines w:val="0"/>
        <w:pageBreakBefore w:val="0"/>
        <w:kinsoku/>
        <w:wordWrap/>
        <w:overflowPunct/>
        <w:topLinePunct w:val="0"/>
        <w:bidi w:val="0"/>
        <w:adjustRightInd w:val="0"/>
        <w:snapToGrid w:val="0"/>
        <w:spacing w:before="0" w:line="400" w:lineRule="exact"/>
        <w:ind w:firstLine="0" w:firstLineChars="0"/>
        <w:textAlignment w:val="auto"/>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keepNext w:val="0"/>
        <w:keepLines w:val="0"/>
        <w:pageBreakBefore w:val="0"/>
        <w:kinsoku/>
        <w:wordWrap/>
        <w:overflowPunct/>
        <w:topLinePunct w:val="0"/>
        <w:bidi w:val="0"/>
        <w:adjustRightInd w:val="0"/>
        <w:spacing w:line="400" w:lineRule="exact"/>
        <w:ind w:firstLine="480" w:firstLineChars="200"/>
        <w:textAlignment w:val="auto"/>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adjustRightInd w:val="0"/>
        <w:spacing w:line="400" w:lineRule="exact"/>
        <w:ind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adjustRightInd w:val="0"/>
        <w:spacing w:line="400" w:lineRule="exact"/>
        <w:ind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adjustRightInd w:val="0"/>
        <w:snapToGrid w:val="0"/>
        <w:spacing w:line="400" w:lineRule="exact"/>
        <w:textAlignment w:val="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21"/>
        <w:keepNext w:val="0"/>
        <w:keepLines w:val="0"/>
        <w:pageBreakBefore w:val="0"/>
        <w:kinsoku/>
        <w:wordWrap/>
        <w:overflowPunct/>
        <w:topLinePunct w:val="0"/>
        <w:bidi w:val="0"/>
        <w:adjustRightInd w:val="0"/>
        <w:snapToGrid w:val="0"/>
        <w:spacing w:before="0" w:line="400" w:lineRule="exact"/>
        <w:ind w:firstLine="480"/>
        <w:textAlignment w:val="auto"/>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21"/>
        <w:keepNext w:val="0"/>
        <w:keepLines w:val="0"/>
        <w:pageBreakBefore w:val="0"/>
        <w:kinsoku/>
        <w:wordWrap/>
        <w:overflowPunct/>
        <w:topLinePunct w:val="0"/>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21"/>
        <w:keepNext w:val="0"/>
        <w:keepLines w:val="0"/>
        <w:pageBreakBefore w:val="0"/>
        <w:kinsoku/>
        <w:wordWrap/>
        <w:overflowPunct/>
        <w:topLinePunct w:val="0"/>
        <w:bidi w:val="0"/>
        <w:adjustRightInd w:val="0"/>
        <w:snapToGrid w:val="0"/>
        <w:spacing w:before="0" w:line="400" w:lineRule="exact"/>
        <w:ind w:firstLine="480"/>
        <w:textAlignment w:val="auto"/>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21"/>
        <w:keepNext w:val="0"/>
        <w:keepLines w:val="0"/>
        <w:pageBreakBefore w:val="0"/>
        <w:kinsoku/>
        <w:wordWrap/>
        <w:overflowPunct/>
        <w:topLinePunct w:val="0"/>
        <w:bidi w:val="0"/>
        <w:adjustRightInd w:val="0"/>
        <w:spacing w:before="0" w:line="400" w:lineRule="exact"/>
        <w:ind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10"/>
        <w:keepNext w:val="0"/>
        <w:keepLines w:val="0"/>
        <w:pageBreakBefore w:val="0"/>
        <w:kinsoku/>
        <w:wordWrap/>
        <w:overflowPunct/>
        <w:topLinePunct w:val="0"/>
        <w:bidi w:val="0"/>
        <w:adjustRightInd w:val="0"/>
        <w:spacing w:line="400" w:lineRule="exact"/>
        <w:textAlignment w:val="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10"/>
        <w:keepNext w:val="0"/>
        <w:keepLines w:val="0"/>
        <w:pageBreakBefore w:val="0"/>
        <w:kinsoku/>
        <w:wordWrap/>
        <w:overflowPunct/>
        <w:topLinePunct w:val="0"/>
        <w:bidi w:val="0"/>
        <w:adjustRightInd w:val="0"/>
        <w:spacing w:line="400" w:lineRule="exact"/>
        <w:ind w:firstLine="360" w:firstLineChars="150"/>
        <w:textAlignment w:val="auto"/>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10"/>
        <w:keepNext w:val="0"/>
        <w:keepLines w:val="0"/>
        <w:pageBreakBefore w:val="0"/>
        <w:kinsoku/>
        <w:wordWrap/>
        <w:overflowPunct/>
        <w:topLinePunct w:val="0"/>
        <w:bidi w:val="0"/>
        <w:adjustRightInd w:val="0"/>
        <w:spacing w:line="400" w:lineRule="exact"/>
        <w:ind w:firstLine="480" w:firstLineChars="200"/>
        <w:textAlignment w:val="auto"/>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10"/>
        <w:keepNext w:val="0"/>
        <w:keepLines w:val="0"/>
        <w:pageBreakBefore w:val="0"/>
        <w:kinsoku/>
        <w:wordWrap/>
        <w:overflowPunct/>
        <w:topLinePunct w:val="0"/>
        <w:bidi w:val="0"/>
        <w:adjustRightInd w:val="0"/>
        <w:spacing w:line="400" w:lineRule="exact"/>
        <w:ind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10"/>
        <w:keepNext w:val="0"/>
        <w:keepLines w:val="0"/>
        <w:pageBreakBefore w:val="0"/>
        <w:kinsoku/>
        <w:wordWrap/>
        <w:overflowPunct/>
        <w:topLinePunct w:val="0"/>
        <w:bidi w:val="0"/>
        <w:adjustRightInd w:val="0"/>
        <w:spacing w:line="400" w:lineRule="exact"/>
        <w:ind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10"/>
        <w:keepNext w:val="0"/>
        <w:keepLines w:val="0"/>
        <w:pageBreakBefore w:val="0"/>
        <w:kinsoku/>
        <w:wordWrap/>
        <w:overflowPunct/>
        <w:topLinePunct w:val="0"/>
        <w:bidi w:val="0"/>
        <w:adjustRightInd w:val="0"/>
        <w:spacing w:line="400" w:lineRule="exact"/>
        <w:ind w:firstLine="479" w:firstLineChars="199"/>
        <w:textAlignment w:val="auto"/>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21"/>
        <w:keepNext w:val="0"/>
        <w:keepLines w:val="0"/>
        <w:pageBreakBefore w:val="0"/>
        <w:kinsoku/>
        <w:wordWrap/>
        <w:overflowPunct/>
        <w:topLinePunct w:val="0"/>
        <w:bidi w:val="0"/>
        <w:adjustRightInd w:val="0"/>
        <w:spacing w:before="0" w:line="400" w:lineRule="exact"/>
        <w:ind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9"/>
        <w:keepNext w:val="0"/>
        <w:keepLines w:val="0"/>
        <w:pageBreakBefore w:val="0"/>
        <w:kinsoku/>
        <w:wordWrap/>
        <w:overflowPunct/>
        <w:topLinePunct w:val="0"/>
        <w:bidi w:val="0"/>
        <w:adjustRightInd w:val="0"/>
        <w:spacing w:line="400" w:lineRule="exact"/>
        <w:ind w:firstLine="360" w:firstLineChars="150"/>
        <w:textAlignment w:val="auto"/>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pPr>
        <w:pStyle w:val="21"/>
        <w:keepNext w:val="0"/>
        <w:keepLines w:val="0"/>
        <w:pageBreakBefore w:val="0"/>
        <w:kinsoku/>
        <w:wordWrap/>
        <w:overflowPunct/>
        <w:topLinePunct w:val="0"/>
        <w:bidi w:val="0"/>
        <w:adjustRightInd w:val="0"/>
        <w:spacing w:before="0" w:line="400" w:lineRule="exact"/>
        <w:ind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17.投标有效期</w:t>
      </w:r>
    </w:p>
    <w:p>
      <w:pPr>
        <w:keepNext w:val="0"/>
        <w:keepLines w:val="0"/>
        <w:pageBreakBefore w:val="0"/>
        <w:kinsoku/>
        <w:wordWrap/>
        <w:overflowPunct/>
        <w:topLinePunct w:val="0"/>
        <w:bidi w:val="0"/>
        <w:adjustRightInd w:val="0"/>
        <w:spacing w:line="400" w:lineRule="exact"/>
        <w:ind w:firstLine="480" w:firstLineChars="200"/>
        <w:textAlignment w:val="auto"/>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b/>
          <w:color w:val="auto"/>
          <w:sz w:val="32"/>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2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25"/>
        <w:keepNext w:val="0"/>
        <w:keepLines w:val="0"/>
        <w:pageBreakBefore w:val="0"/>
        <w:kinsoku/>
        <w:wordWrap/>
        <w:overflowPunct/>
        <w:topLinePunct w:val="0"/>
        <w:bidi w:val="0"/>
        <w:adjustRightInd w:val="0"/>
        <w:spacing w:before="0" w:line="400" w:lineRule="exact"/>
        <w:ind w:left="0" w:firstLine="241" w:firstLineChars="100"/>
        <w:contextualSpacing/>
        <w:textAlignment w:val="auto"/>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25"/>
        <w:keepNext w:val="0"/>
        <w:keepLines w:val="0"/>
        <w:pageBreakBefore w:val="0"/>
        <w:kinsoku/>
        <w:wordWrap/>
        <w:overflowPunct/>
        <w:topLinePunct w:val="0"/>
        <w:bidi w:val="0"/>
        <w:adjustRightInd w:val="0"/>
        <w:spacing w:before="0" w:line="400" w:lineRule="exact"/>
        <w:ind w:left="0" w:firstLine="480" w:firstLineChars="200"/>
        <w:contextualSpacing/>
        <w:textAlignment w:val="auto"/>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25"/>
        <w:keepNext w:val="0"/>
        <w:keepLines w:val="0"/>
        <w:pageBreakBefore w:val="0"/>
        <w:kinsoku/>
        <w:wordWrap/>
        <w:overflowPunct/>
        <w:topLinePunct w:val="0"/>
        <w:bidi w:val="0"/>
        <w:adjustRightInd w:val="0"/>
        <w:spacing w:before="0" w:line="400" w:lineRule="exact"/>
        <w:ind w:left="0" w:firstLine="240" w:firstLineChars="100"/>
        <w:contextualSpacing/>
        <w:textAlignment w:val="auto"/>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25"/>
        <w:keepNext w:val="0"/>
        <w:keepLines w:val="0"/>
        <w:pageBreakBefore w:val="0"/>
        <w:kinsoku/>
        <w:wordWrap/>
        <w:overflowPunct/>
        <w:topLinePunct w:val="0"/>
        <w:bidi w:val="0"/>
        <w:adjustRightInd w:val="0"/>
        <w:spacing w:before="0" w:line="400" w:lineRule="exact"/>
        <w:ind w:left="0" w:firstLine="240" w:firstLineChars="100"/>
        <w:contextualSpacing/>
        <w:textAlignment w:val="auto"/>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autoSpaceDE/>
        <w:autoSpaceDN/>
        <w:bidi w:val="0"/>
        <w:adjustRightInd w:val="0"/>
        <w:snapToGrid/>
        <w:spacing w:beforeAutospacing="0" w:line="400" w:lineRule="exact"/>
        <w:jc w:val="left"/>
        <w:textAlignment w:val="auto"/>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pPr>
        <w:pStyle w:val="21"/>
        <w:keepNext w:val="0"/>
        <w:keepLines w:val="0"/>
        <w:pageBreakBefore w:val="0"/>
        <w:kinsoku/>
        <w:wordWrap/>
        <w:overflowPunct/>
        <w:topLinePunct w:val="0"/>
        <w:bidi w:val="0"/>
        <w:adjustRightInd w:val="0"/>
        <w:snapToGrid w:val="0"/>
        <w:spacing w:before="0" w:line="400" w:lineRule="exact"/>
        <w:ind w:firstLine="480"/>
        <w:textAlignment w:val="auto"/>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pPr>
        <w:pStyle w:val="21"/>
        <w:keepNext w:val="0"/>
        <w:keepLines w:val="0"/>
        <w:pageBreakBefore w:val="0"/>
        <w:kinsoku/>
        <w:wordWrap/>
        <w:overflowPunct/>
        <w:topLinePunct w:val="0"/>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pPr>
        <w:pStyle w:val="21"/>
        <w:keepNext w:val="0"/>
        <w:keepLines w:val="0"/>
        <w:pageBreakBefore w:val="0"/>
        <w:kinsoku/>
        <w:wordWrap/>
        <w:overflowPunct/>
        <w:topLinePunct w:val="0"/>
        <w:bidi w:val="0"/>
        <w:adjustRightInd w:val="0"/>
        <w:spacing w:before="0" w:line="400" w:lineRule="exact"/>
        <w:ind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21"/>
        <w:keepNext w:val="0"/>
        <w:keepLines w:val="0"/>
        <w:pageBreakBefore w:val="0"/>
        <w:kinsoku/>
        <w:wordWrap/>
        <w:overflowPunct/>
        <w:topLinePunct w:val="0"/>
        <w:bidi w:val="0"/>
        <w:adjustRightInd w:val="0"/>
        <w:spacing w:before="0" w:line="400" w:lineRule="exact"/>
        <w:ind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pPr>
        <w:pStyle w:val="21"/>
        <w:keepNext w:val="0"/>
        <w:keepLines w:val="0"/>
        <w:pageBreakBefore w:val="0"/>
        <w:kinsoku/>
        <w:wordWrap/>
        <w:overflowPunct/>
        <w:topLinePunct w:val="0"/>
        <w:bidi w:val="0"/>
        <w:adjustRightInd w:val="0"/>
        <w:spacing w:before="0" w:line="400" w:lineRule="exact"/>
        <w:ind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21"/>
        <w:keepNext w:val="0"/>
        <w:keepLines w:val="0"/>
        <w:pageBreakBefore w:val="0"/>
        <w:kinsoku/>
        <w:wordWrap/>
        <w:overflowPunct/>
        <w:topLinePunct w:val="0"/>
        <w:bidi w:val="0"/>
        <w:adjustRightInd w:val="0"/>
        <w:spacing w:before="0" w:line="400" w:lineRule="exact"/>
        <w:ind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21"/>
        <w:keepNext w:val="0"/>
        <w:keepLines w:val="0"/>
        <w:pageBreakBefore w:val="0"/>
        <w:kinsoku/>
        <w:wordWrap/>
        <w:overflowPunct/>
        <w:topLinePunct w:val="0"/>
        <w:bidi w:val="0"/>
        <w:adjustRightInd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ascii="宋体" w:hAnsi="宋体" w:cs="宋体"/>
          <w:b/>
          <w:color w:val="auto"/>
          <w:sz w:val="24"/>
          <w:highlight w:val="none"/>
        </w:rPr>
      </w:pPr>
      <w:bookmarkStart w:id="16"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9"/>
        <w:keepNext w:val="0"/>
        <w:keepLines w:val="0"/>
        <w:pageBreakBefore w:val="0"/>
        <w:kinsoku/>
        <w:wordWrap/>
        <w:overflowPunct/>
        <w:topLinePunct w:val="0"/>
        <w:autoSpaceDE/>
        <w:autoSpaceDN/>
        <w:bidi w:val="0"/>
        <w:adjustRightInd w:val="0"/>
        <w:spacing w:line="400" w:lineRule="exact"/>
        <w:ind w:left="479" w:hanging="479" w:hangingChars="199"/>
        <w:textAlignment w:val="auto"/>
        <w:rPr>
          <w:rFonts w:cs="宋体"/>
          <w:b/>
          <w:color w:val="auto"/>
          <w:highlight w:val="none"/>
        </w:rPr>
      </w:pPr>
      <w:r>
        <w:rPr>
          <w:rFonts w:hint="eastAsia" w:cs="宋体"/>
          <w:b/>
          <w:color w:val="auto"/>
          <w:highlight w:val="none"/>
        </w:rPr>
        <w:t>22. 确定中标供应商</w:t>
      </w:r>
    </w:p>
    <w:p>
      <w:pPr>
        <w:pStyle w:val="21"/>
        <w:keepNext w:val="0"/>
        <w:keepLines w:val="0"/>
        <w:pageBreakBefore w:val="0"/>
        <w:kinsoku/>
        <w:wordWrap/>
        <w:overflowPunct/>
        <w:topLinePunct w:val="0"/>
        <w:autoSpaceDE/>
        <w:autoSpaceDN/>
        <w:bidi w:val="0"/>
        <w:adjustRightInd w:val="0"/>
        <w:snapToGrid w:val="0"/>
        <w:spacing w:before="0" w:line="400" w:lineRule="exact"/>
        <w:ind w:firstLine="480"/>
        <w:textAlignment w:val="auto"/>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pPr>
        <w:pStyle w:val="21"/>
        <w:keepNext w:val="0"/>
        <w:keepLines w:val="0"/>
        <w:pageBreakBefore w:val="0"/>
        <w:kinsoku/>
        <w:wordWrap/>
        <w:overflowPunct/>
        <w:topLinePunct w:val="0"/>
        <w:autoSpaceDE/>
        <w:autoSpaceDN/>
        <w:bidi w:val="0"/>
        <w:adjustRightInd w:val="0"/>
        <w:snapToGrid w:val="0"/>
        <w:spacing w:before="0" w:line="400" w:lineRule="exact"/>
        <w:ind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keepNext w:val="0"/>
        <w:keepLines w:val="0"/>
        <w:pageBreakBefore w:val="0"/>
        <w:widowControl/>
        <w:shd w:val="clear" w:color="auto" w:fill="FFFFFF"/>
        <w:kinsoku/>
        <w:wordWrap/>
        <w:overflowPunct/>
        <w:topLinePunct w:val="0"/>
        <w:autoSpaceDE/>
        <w:autoSpaceDN/>
        <w:bidi w:val="0"/>
        <w:adjustRightInd w:val="0"/>
        <w:spacing w:line="400" w:lineRule="exact"/>
        <w:ind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keepNext w:val="0"/>
        <w:keepLines w:val="0"/>
        <w:pageBreakBefore w:val="0"/>
        <w:widowControl/>
        <w:shd w:val="clear" w:color="auto" w:fill="FFFFFF"/>
        <w:kinsoku/>
        <w:wordWrap/>
        <w:overflowPunct/>
        <w:topLinePunct w:val="0"/>
        <w:autoSpaceDE/>
        <w:autoSpaceDN/>
        <w:bidi w:val="0"/>
        <w:adjustRightInd w:val="0"/>
        <w:spacing w:line="400" w:lineRule="exact"/>
        <w:ind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keepNext w:val="0"/>
        <w:keepLines w:val="0"/>
        <w:pageBreakBefore w:val="0"/>
        <w:widowControl/>
        <w:shd w:val="clear" w:color="auto" w:fill="FFFFFF"/>
        <w:kinsoku/>
        <w:wordWrap/>
        <w:overflowPunct/>
        <w:topLinePunct w:val="0"/>
        <w:autoSpaceDE/>
        <w:autoSpaceDN/>
        <w:bidi w:val="0"/>
        <w:adjustRightInd w:val="0"/>
        <w:spacing w:line="400" w:lineRule="exact"/>
        <w:ind w:firstLine="480"/>
        <w:jc w:val="left"/>
        <w:textAlignment w:val="auto"/>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pPr>
        <w:pStyle w:val="21"/>
        <w:keepNext w:val="0"/>
        <w:keepLines w:val="0"/>
        <w:pageBreakBefore w:val="0"/>
        <w:kinsoku/>
        <w:wordWrap/>
        <w:overflowPunct/>
        <w:topLinePunct w:val="0"/>
        <w:autoSpaceDE/>
        <w:autoSpaceDN/>
        <w:bidi w:val="0"/>
        <w:adjustRightInd w:val="0"/>
        <w:snapToGrid w:val="0"/>
        <w:spacing w:before="0" w:line="400" w:lineRule="exact"/>
        <w:ind w:firstLine="482" w:firstLineChars="200"/>
        <w:textAlignment w:val="auto"/>
        <w:rPr>
          <w:rFonts w:ascii="宋体" w:hAnsi="宋体" w:cs="宋体"/>
          <w:b/>
          <w:color w:val="auto"/>
          <w:sz w:val="32"/>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9"/>
        <w:pageBreakBefore w:val="0"/>
        <w:kinsoku/>
        <w:wordWrap/>
        <w:overflowPunct/>
        <w:topLinePunct w:val="0"/>
        <w:autoSpaceDE/>
        <w:autoSpaceDN/>
        <w:bidi w:val="0"/>
        <w:spacing w:line="400" w:lineRule="exact"/>
        <w:ind w:left="479" w:hanging="479" w:hangingChars="199"/>
        <w:textAlignment w:val="auto"/>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9"/>
        <w:pageBreakBefore w:val="0"/>
        <w:kinsoku/>
        <w:wordWrap/>
        <w:overflowPunct/>
        <w:topLinePunct w:val="0"/>
        <w:autoSpaceDE/>
        <w:autoSpaceDN/>
        <w:bidi w:val="0"/>
        <w:spacing w:line="400" w:lineRule="exact"/>
        <w:ind w:left="479" w:hanging="479" w:hangingChars="199"/>
        <w:textAlignment w:val="auto"/>
        <w:rPr>
          <w:rFonts w:cs="宋体"/>
          <w:b/>
          <w:color w:val="auto"/>
          <w:highlight w:val="none"/>
        </w:rPr>
      </w:pPr>
      <w:r>
        <w:rPr>
          <w:rFonts w:hint="eastAsia" w:cs="宋体"/>
          <w:b/>
          <w:color w:val="auto"/>
          <w:highlight w:val="none"/>
        </w:rPr>
        <w:t>25. 合同的签订</w:t>
      </w:r>
    </w:p>
    <w:p>
      <w:pPr>
        <w:pageBreakBefore w:val="0"/>
        <w:widowControl/>
        <w:shd w:val="clear" w:color="auto" w:fill="FFFFFF"/>
        <w:kinsoku/>
        <w:wordWrap/>
        <w:overflowPunct/>
        <w:topLinePunct w:val="0"/>
        <w:autoSpaceDE/>
        <w:autoSpaceDN/>
        <w:bidi w:val="0"/>
        <w:spacing w:line="400" w:lineRule="exact"/>
        <w:ind w:firstLine="480"/>
        <w:jc w:val="left"/>
        <w:textAlignment w:val="auto"/>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21"/>
        <w:pageBreakBefore w:val="0"/>
        <w:kinsoku/>
        <w:wordWrap/>
        <w:overflowPunct/>
        <w:topLinePunct w:val="0"/>
        <w:autoSpaceDE/>
        <w:autoSpaceDN/>
        <w:bidi w:val="0"/>
        <w:snapToGrid w:val="0"/>
        <w:spacing w:before="0" w:line="400" w:lineRule="exact"/>
        <w:ind w:firstLine="480"/>
        <w:textAlignment w:val="auto"/>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21"/>
        <w:pageBreakBefore w:val="0"/>
        <w:kinsoku/>
        <w:wordWrap/>
        <w:overflowPunct/>
        <w:topLinePunct w:val="0"/>
        <w:autoSpaceDE/>
        <w:autoSpaceDN/>
        <w:bidi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21"/>
        <w:pageBreakBefore w:val="0"/>
        <w:kinsoku/>
        <w:wordWrap/>
        <w:overflowPunct/>
        <w:topLinePunct w:val="0"/>
        <w:autoSpaceDE/>
        <w:autoSpaceDN/>
        <w:bidi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21"/>
        <w:pageBreakBefore w:val="0"/>
        <w:kinsoku/>
        <w:wordWrap/>
        <w:overflowPunct/>
        <w:topLinePunct w:val="0"/>
        <w:autoSpaceDE/>
        <w:autoSpaceDN/>
        <w:bidi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9"/>
        <w:pageBreakBefore w:val="0"/>
        <w:kinsoku/>
        <w:wordWrap/>
        <w:overflowPunct/>
        <w:topLinePunct w:val="0"/>
        <w:autoSpaceDE/>
        <w:autoSpaceDN/>
        <w:bidi w:val="0"/>
        <w:spacing w:line="400" w:lineRule="exact"/>
        <w:ind w:left="479" w:hanging="479" w:hangingChars="199"/>
        <w:textAlignment w:val="auto"/>
        <w:rPr>
          <w:rFonts w:cs="宋体"/>
          <w:b/>
          <w:color w:val="auto"/>
          <w:highlight w:val="none"/>
        </w:rPr>
      </w:pPr>
      <w:r>
        <w:rPr>
          <w:rFonts w:hint="eastAsia" w:cs="宋体"/>
          <w:b/>
          <w:color w:val="auto"/>
          <w:highlight w:val="none"/>
        </w:rPr>
        <w:t>26. 履约保证金</w:t>
      </w:r>
    </w:p>
    <w:p>
      <w:pPr>
        <w:pageBreakBefore w:val="0"/>
        <w:tabs>
          <w:tab w:val="left" w:pos="0"/>
        </w:tabs>
        <w:kinsoku/>
        <w:wordWrap/>
        <w:overflowPunct/>
        <w:topLinePunct w:val="0"/>
        <w:autoSpaceDE/>
        <w:autoSpaceDN/>
        <w:bidi w:val="0"/>
        <w:spacing w:line="400" w:lineRule="exact"/>
        <w:ind w:firstLine="482"/>
        <w:textAlignment w:val="auto"/>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5"/>
        <w:pageBreakBefore w:val="0"/>
        <w:kinsoku/>
        <w:wordWrap/>
        <w:overflowPunct/>
        <w:topLinePunct w:val="0"/>
        <w:autoSpaceDE/>
        <w:autoSpaceDN/>
        <w:bidi w:val="0"/>
        <w:spacing w:line="400" w:lineRule="exact"/>
        <w:ind w:left="0" w:firstLine="480" w:firstLineChars="200"/>
        <w:textAlignment w:val="auto"/>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pageBreakBefore w:val="0"/>
        <w:kinsoku/>
        <w:wordWrap/>
        <w:overflowPunct/>
        <w:topLinePunct w:val="0"/>
        <w:autoSpaceDE/>
        <w:autoSpaceDN/>
        <w:bidi w:val="0"/>
        <w:spacing w:line="400" w:lineRule="exact"/>
        <w:textAlignment w:val="auto"/>
        <w:rPr>
          <w:color w:val="auto"/>
          <w:highlight w:val="none"/>
        </w:rPr>
      </w:pPr>
      <w:r>
        <w:rPr>
          <w:rFonts w:ascii="宋体" w:hAnsi="宋体" w:eastAsia="宋体" w:cs="Times New Roman"/>
          <w:b/>
          <w:bCs/>
          <w:color w:val="auto"/>
          <w:kern w:val="2"/>
          <w:sz w:val="24"/>
          <w:szCs w:val="32"/>
          <w:highlight w:val="none"/>
          <w:lang w:val="en-US"/>
        </w:rPr>
        <w:t>27.预付款</w:t>
      </w:r>
    </w:p>
    <w:p>
      <w:pPr>
        <w:pageBreakBefore w:val="0"/>
        <w:kinsoku/>
        <w:wordWrap/>
        <w:overflowPunct/>
        <w:topLinePunct w:val="0"/>
        <w:autoSpaceDE/>
        <w:autoSpaceDN/>
        <w:bidi w:val="0"/>
        <w:adjustRightInd/>
        <w:spacing w:line="400" w:lineRule="exact"/>
        <w:ind w:firstLine="480" w:firstLineChars="200"/>
        <w:textAlignment w:val="auto"/>
        <w:rPr>
          <w:rFonts w:ascii="宋体" w:hAnsi="宋体" w:cs="宋体"/>
          <w:b/>
          <w:color w:val="auto"/>
          <w:sz w:val="32"/>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pPr>
        <w:keepNext w:val="0"/>
        <w:keepLines w:val="0"/>
        <w:pageBreakBefore w:val="0"/>
        <w:widowControl w:val="0"/>
        <w:kinsoku/>
        <w:wordWrap/>
        <w:overflowPunct/>
        <w:topLinePunct w:val="0"/>
        <w:autoSpaceDE/>
        <w:autoSpaceDN/>
        <w:bidi w:val="0"/>
        <w:adjustRightInd w:val="0"/>
        <w:snapToGrid w:val="0"/>
        <w:spacing w:line="600" w:lineRule="exact"/>
        <w:ind w:firstLine="3357" w:firstLineChars="1045"/>
        <w:textAlignment w:val="auto"/>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0" w:firstLineChars="0"/>
        <w:textAlignment w:val="auto"/>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480"/>
        <w:textAlignment w:val="auto"/>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21"/>
        <w:keepNext w:val="0"/>
        <w:keepLines w:val="0"/>
        <w:pageBreakBefore w:val="0"/>
        <w:widowControl w:val="0"/>
        <w:kinsoku/>
        <w:wordWrap/>
        <w:overflowPunct/>
        <w:topLinePunct w:val="0"/>
        <w:autoSpaceDE/>
        <w:autoSpaceDN/>
        <w:bidi w:val="0"/>
        <w:adjustRightInd w:val="0"/>
        <w:snapToGrid w:val="0"/>
        <w:spacing w:before="0" w:line="400" w:lineRule="exact"/>
        <w:ind w:firstLine="0" w:firstLineChars="0"/>
        <w:textAlignment w:val="auto"/>
        <w:rPr>
          <w:rFonts w:ascii="宋体" w:hAnsi="宋体" w:cs="宋体"/>
          <w:color w:val="auto"/>
          <w:sz w:val="24"/>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9"/>
        <w:pageBreakBefore w:val="0"/>
        <w:widowControl w:val="0"/>
        <w:kinsoku/>
        <w:wordWrap/>
        <w:overflowPunct/>
        <w:topLinePunct w:val="0"/>
        <w:autoSpaceDE/>
        <w:autoSpaceDN/>
        <w:bidi w:val="0"/>
        <w:spacing w:line="400" w:lineRule="exact"/>
        <w:ind w:firstLine="0" w:firstLineChars="0"/>
        <w:textAlignment w:val="auto"/>
        <w:rPr>
          <w:rFonts w:cs="宋体"/>
          <w:b/>
          <w:color w:val="auto"/>
          <w:highlight w:val="none"/>
        </w:rPr>
      </w:pPr>
      <w:r>
        <w:rPr>
          <w:rFonts w:hint="eastAsia" w:cs="宋体"/>
          <w:b/>
          <w:color w:val="auto"/>
          <w:highlight w:val="none"/>
        </w:rPr>
        <w:t>30.验收</w:t>
      </w:r>
    </w:p>
    <w:p>
      <w:pPr>
        <w:pageBreakBefore w:val="0"/>
        <w:widowControl w:val="0"/>
        <w:tabs>
          <w:tab w:val="left" w:pos="0"/>
        </w:tabs>
        <w:kinsoku/>
        <w:wordWrap/>
        <w:overflowPunct/>
        <w:topLinePunct w:val="0"/>
        <w:autoSpaceDE/>
        <w:autoSpaceDN/>
        <w:bidi w:val="0"/>
        <w:spacing w:line="400" w:lineRule="exact"/>
        <w:ind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pageBreakBefore w:val="0"/>
        <w:widowControl w:val="0"/>
        <w:tabs>
          <w:tab w:val="left" w:pos="0"/>
        </w:tabs>
        <w:kinsoku/>
        <w:wordWrap/>
        <w:overflowPunct/>
        <w:topLinePunct w:val="0"/>
        <w:autoSpaceDE/>
        <w:autoSpaceDN/>
        <w:bidi w:val="0"/>
        <w:spacing w:line="400" w:lineRule="exact"/>
        <w:ind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pageBreakBefore w:val="0"/>
        <w:widowControl w:val="0"/>
        <w:tabs>
          <w:tab w:val="left" w:pos="0"/>
        </w:tabs>
        <w:kinsoku/>
        <w:wordWrap/>
        <w:overflowPunct/>
        <w:topLinePunct w:val="0"/>
        <w:autoSpaceDE/>
        <w:autoSpaceDN/>
        <w:bidi w:val="0"/>
        <w:spacing w:line="400" w:lineRule="exact"/>
        <w:ind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pageBreakBefore w:val="0"/>
        <w:widowControl w:val="0"/>
        <w:tabs>
          <w:tab w:val="left" w:pos="0"/>
        </w:tabs>
        <w:kinsoku/>
        <w:wordWrap/>
        <w:overflowPunct/>
        <w:topLinePunct w:val="0"/>
        <w:autoSpaceDE/>
        <w:autoSpaceDN/>
        <w:bidi w:val="0"/>
        <w:spacing w:line="400" w:lineRule="exact"/>
        <w:ind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6"/>
      <w:bookmarkStart w:id="17" w:name="_Hlt74730295"/>
      <w:bookmarkEnd w:id="17"/>
      <w:bookmarkStart w:id="18" w:name="_Hlt68057669"/>
      <w:bookmarkEnd w:id="18"/>
      <w:bookmarkStart w:id="19" w:name="_Hlt75236011"/>
      <w:bookmarkEnd w:id="19"/>
      <w:bookmarkStart w:id="20" w:name="_Hlt74714665"/>
      <w:bookmarkEnd w:id="20"/>
      <w:bookmarkStart w:id="21" w:name="_Hlt68072998"/>
      <w:bookmarkEnd w:id="21"/>
      <w:bookmarkStart w:id="22" w:name="_Hlt75236101"/>
      <w:bookmarkEnd w:id="22"/>
      <w:bookmarkStart w:id="23" w:name="_Hlt68072990"/>
      <w:bookmarkEnd w:id="23"/>
      <w:bookmarkStart w:id="24" w:name="_Hlt68403820"/>
      <w:bookmarkEnd w:id="24"/>
      <w:bookmarkStart w:id="25" w:name="_Hlt74729768"/>
      <w:bookmarkEnd w:id="25"/>
      <w:bookmarkStart w:id="26" w:name="_Hlt68073093"/>
      <w:bookmarkEnd w:id="26"/>
      <w:bookmarkStart w:id="27" w:name="_Hlt74707468"/>
      <w:bookmarkEnd w:id="27"/>
      <w:bookmarkStart w:id="28" w:name="_Hlt75236290"/>
      <w:bookmarkEnd w:id="28"/>
    </w:p>
    <w:p>
      <w:pPr>
        <w:pStyle w:val="5"/>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pPr>
        <w:pStyle w:val="23"/>
        <w:pageBreakBefore w:val="0"/>
        <w:widowControl w:val="0"/>
        <w:kinsoku/>
        <w:wordWrap/>
        <w:overflowPunct/>
        <w:topLinePunct w:val="0"/>
        <w:autoSpaceDE/>
        <w:autoSpaceDN/>
        <w:bidi w:val="0"/>
        <w:spacing w:line="400" w:lineRule="exact"/>
        <w:textAlignment w:val="auto"/>
        <w:rPr>
          <w:color w:val="auto"/>
          <w:highlight w:val="none"/>
        </w:rPr>
        <w:sectPr>
          <w:pgSz w:w="11906" w:h="16838"/>
          <w:pgMar w:top="680" w:right="1134" w:bottom="468" w:left="1134" w:header="851" w:footer="992" w:gutter="0"/>
          <w:pgBorders>
            <w:top w:val="none" w:sz="0" w:space="0"/>
            <w:left w:val="none" w:sz="0" w:space="0"/>
            <w:bottom w:val="none" w:sz="0" w:space="0"/>
            <w:right w:val="none" w:sz="0" w:space="0"/>
          </w:pgBorders>
          <w:pgNumType w:fmt="decimal"/>
          <w:cols w:space="720" w:num="1"/>
          <w:titlePg/>
          <w:docGrid w:linePitch="312" w:charSpace="0"/>
        </w:sectPr>
      </w:pPr>
    </w:p>
    <w:bookmarkEnd w:id="11"/>
    <w:bookmarkEnd w:id="12"/>
    <w:p>
      <w:pPr>
        <w:spacing w:line="360" w:lineRule="auto"/>
        <w:jc w:val="center"/>
        <w:outlineLvl w:val="0"/>
        <w:rPr>
          <w:rFonts w:ascii="宋体" w:hAnsi="宋体" w:cs="宋体"/>
          <w:b/>
          <w:color w:val="auto"/>
          <w:sz w:val="36"/>
          <w:szCs w:val="36"/>
          <w:highlight w:val="none"/>
        </w:rPr>
      </w:pPr>
      <w:bookmarkStart w:id="29" w:name="第四部分"/>
      <w:r>
        <w:rPr>
          <w:rFonts w:hint="eastAsia" w:ascii="宋体" w:hAnsi="宋体" w:cs="宋体"/>
          <w:b/>
          <w:color w:val="auto"/>
          <w:sz w:val="36"/>
          <w:szCs w:val="36"/>
          <w:highlight w:val="none"/>
        </w:rPr>
        <w:t>第三部分   采购需求</w:t>
      </w:r>
    </w:p>
    <w:p>
      <w:pPr>
        <w:pStyle w:val="26"/>
        <w:keepNext w:val="0"/>
        <w:keepLines w:val="0"/>
        <w:pageBreakBefore w:val="0"/>
        <w:numPr>
          <w:ilvl w:val="0"/>
          <w:numId w:val="0"/>
        </w:numPr>
        <w:tabs>
          <w:tab w:val="left" w:pos="0"/>
        </w:tabs>
        <w:kinsoku/>
        <w:wordWrap/>
        <w:overflowPunct/>
        <w:topLinePunct w:val="0"/>
        <w:bidi w:val="0"/>
        <w:snapToGrid w:val="0"/>
        <w:spacing w:line="400" w:lineRule="atLeast"/>
        <w:ind w:leftChars="175"/>
        <w:jc w:val="left"/>
        <w:outlineLvl w:val="1"/>
        <w:rPr>
          <w:rFonts w:hint="eastAsia" w:ascii="宋体" w:hAnsi="宋体" w:eastAsia="宋体" w:cs="宋体"/>
          <w:b/>
          <w:color w:val="auto"/>
          <w:sz w:val="24"/>
          <w:szCs w:val="24"/>
          <w:highlight w:val="none"/>
        </w:rPr>
      </w:pPr>
      <w:bookmarkStart w:id="30" w:name="_Toc34404657"/>
      <w:bookmarkStart w:id="31" w:name="_Toc54678394"/>
      <w:bookmarkStart w:id="32" w:name="_Toc18736"/>
      <w:bookmarkStart w:id="33" w:name="_Toc9140"/>
      <w:bookmarkStart w:id="34" w:name="_Toc25285"/>
      <w:bookmarkStart w:id="35" w:name="_Toc24398"/>
      <w:bookmarkStart w:id="36" w:name="_Toc1073731504"/>
      <w:bookmarkStart w:id="37" w:name="_Toc16086243"/>
      <w:bookmarkStart w:id="38" w:name="_Toc14336"/>
      <w:bookmarkStart w:id="39" w:name="_Toc35522760"/>
      <w:bookmarkStart w:id="40" w:name="_Toc35508537"/>
      <w:bookmarkStart w:id="41" w:name="_Toc495404509"/>
      <w:bookmarkStart w:id="42" w:name="_Toc34916413"/>
      <w:bookmarkStart w:id="43" w:name="_Toc9196"/>
      <w:bookmarkStart w:id="44" w:name="_Toc1742"/>
      <w:bookmarkStart w:id="45" w:name="_Toc25103"/>
      <w:bookmarkStart w:id="46" w:name="_Toc27554081"/>
      <w:bookmarkStart w:id="47" w:name="_Toc16075"/>
      <w:bookmarkStart w:id="48" w:name="_Toc21571"/>
      <w:bookmarkStart w:id="49" w:name="_Toc54958215"/>
      <w:bookmarkStart w:id="50" w:name="_Toc34986240"/>
      <w:bookmarkStart w:id="51" w:name="_Toc12524837"/>
      <w:bookmarkStart w:id="52" w:name="_Toc29226791"/>
      <w:bookmarkStart w:id="53" w:name="_Toc28850"/>
      <w:bookmarkStart w:id="54" w:name="_Toc28624"/>
      <w:bookmarkStart w:id="55" w:name="_Toc502668317"/>
      <w:bookmarkStart w:id="56" w:name="_Toc34840474"/>
      <w:bookmarkStart w:id="57" w:name="_Toc26154"/>
      <w:bookmarkStart w:id="58" w:name="_Toc21204"/>
      <w:bookmarkStart w:id="59" w:name="_Toc35600201"/>
      <w:bookmarkStart w:id="60" w:name="_Toc27735"/>
      <w:bookmarkStart w:id="61" w:name="_Toc452111842"/>
      <w:bookmarkStart w:id="62" w:name="_Toc488314658"/>
      <w:bookmarkStart w:id="63" w:name="_Toc6351"/>
      <w:bookmarkStart w:id="64" w:name="_Toc11332"/>
      <w:r>
        <w:rPr>
          <w:rFonts w:hint="eastAsia" w:ascii="宋体" w:hAnsi="宋体" w:eastAsia="宋体" w:cs="宋体"/>
          <w:b/>
          <w:color w:val="auto"/>
          <w:sz w:val="24"/>
          <w:szCs w:val="24"/>
          <w:highlight w:val="none"/>
          <w:lang w:val="en-US" w:eastAsia="zh-CN"/>
        </w:rPr>
        <w:t>一、</w:t>
      </w:r>
      <w:r>
        <w:rPr>
          <w:rFonts w:hint="eastAsia" w:ascii="宋体" w:hAnsi="宋体" w:eastAsia="宋体" w:cs="宋体"/>
          <w:b/>
          <w:color w:val="auto"/>
          <w:sz w:val="24"/>
          <w:szCs w:val="24"/>
          <w:highlight w:val="none"/>
        </w:rPr>
        <w:t>概述</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bookmarkStart w:id="65" w:name="_Toc22909707"/>
      <w:bookmarkStart w:id="66" w:name="_Toc14794622"/>
      <w:bookmarkStart w:id="67" w:name="_Toc20120"/>
      <w:bookmarkStart w:id="68" w:name="_Toc5287469"/>
      <w:bookmarkStart w:id="69" w:name="_Toc44256582"/>
      <w:bookmarkStart w:id="70" w:name="_Toc25241317"/>
      <w:bookmarkStart w:id="71" w:name="_Toc44229553"/>
      <w:bookmarkStart w:id="72" w:name="_Toc17992968"/>
      <w:bookmarkStart w:id="73" w:name="_Toc24566457"/>
      <w:bookmarkStart w:id="74" w:name="_Toc41642960"/>
      <w:bookmarkStart w:id="75" w:name="_Toc17975036"/>
      <w:bookmarkStart w:id="76" w:name="_Toc8307800"/>
      <w:bookmarkStart w:id="77" w:name="_Toc37146035"/>
      <w:bookmarkStart w:id="78" w:name="_Toc14937259"/>
      <w:bookmarkStart w:id="79" w:name="_Toc5624938"/>
      <w:bookmarkStart w:id="80" w:name="_Toc25227822"/>
      <w:bookmarkStart w:id="81" w:name="_Toc22808714"/>
      <w:bookmarkStart w:id="82" w:name="_Toc8137051"/>
      <w:bookmarkStart w:id="83" w:name="_Toc10801"/>
      <w:bookmarkStart w:id="84" w:name="_Toc521590626"/>
      <w:bookmarkStart w:id="85" w:name="_Toc22817"/>
      <w:bookmarkStart w:id="86" w:name="_Toc22121"/>
      <w:bookmarkStart w:id="87" w:name="_Toc447271487"/>
      <w:bookmarkStart w:id="88" w:name="_Toc28291"/>
      <w:bookmarkStart w:id="89" w:name="_Toc28159"/>
      <w:bookmarkStart w:id="90" w:name="_Toc15699"/>
      <w:bookmarkStart w:id="91" w:name="_Toc27849"/>
      <w:bookmarkStart w:id="92" w:name="_Toc26649"/>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此份招标内容及技术要求书是招标文件的一部分，包括所有条款的具体说明及技术要求，投标供应商需在各自技术和商务占优势的基础上对本次招标服务进行投标报价。</w:t>
      </w:r>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bookmarkStart w:id="93" w:name="_Toc14937260"/>
      <w:bookmarkStart w:id="94" w:name="_Toc44256583"/>
      <w:bookmarkStart w:id="95" w:name="_Toc8307801"/>
      <w:bookmarkStart w:id="96" w:name="_Toc44229554"/>
      <w:bookmarkStart w:id="97" w:name="_Toc5287470"/>
      <w:bookmarkStart w:id="98" w:name="_Toc25227823"/>
      <w:bookmarkStart w:id="99" w:name="_Toc17975037"/>
      <w:bookmarkStart w:id="100" w:name="_Toc17992969"/>
      <w:bookmarkStart w:id="101" w:name="_Toc22808715"/>
      <w:bookmarkStart w:id="102" w:name="_Toc5624939"/>
      <w:bookmarkStart w:id="103" w:name="_Toc37146036"/>
      <w:bookmarkStart w:id="104" w:name="_Toc24566458"/>
      <w:bookmarkStart w:id="105" w:name="_Toc22909708"/>
      <w:bookmarkStart w:id="106" w:name="_Toc41642961"/>
      <w:bookmarkStart w:id="107" w:name="_Toc25241318"/>
      <w:bookmarkStart w:id="108" w:name="_Toc8137052"/>
      <w:bookmarkStart w:id="109" w:name="_Toc14794623"/>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各投标供应商于投标截止时间前自行到现场进行踏勘，以获取本次投标所需的现场资料及数据，投标供应商若未到现场踏勘，引起的一切后果均由其自行负责，由此造成投标价的偏差均不予调整。</w:t>
      </w:r>
    </w:p>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bookmarkStart w:id="110" w:name="_Toc37146037"/>
      <w:bookmarkStart w:id="111" w:name="_Toc8307802"/>
      <w:bookmarkStart w:id="112" w:name="_Toc22909709"/>
      <w:bookmarkStart w:id="113" w:name="_Toc14937261"/>
      <w:bookmarkStart w:id="114" w:name="_Toc22808716"/>
      <w:bookmarkStart w:id="115" w:name="_Toc5624940"/>
      <w:bookmarkStart w:id="116" w:name="_Toc25241319"/>
      <w:bookmarkStart w:id="117" w:name="_Toc25227824"/>
      <w:bookmarkStart w:id="118" w:name="_Toc24566459"/>
      <w:bookmarkStart w:id="119" w:name="_Toc44256584"/>
      <w:bookmarkStart w:id="120" w:name="_Toc17975038"/>
      <w:bookmarkStart w:id="121" w:name="_Toc5287471"/>
      <w:bookmarkStart w:id="122" w:name="_Toc17992970"/>
      <w:bookmarkStart w:id="123" w:name="_Toc41642962"/>
      <w:bookmarkStart w:id="124" w:name="_Toc14794624"/>
      <w:bookmarkStart w:id="125" w:name="_Toc44229555"/>
      <w:bookmarkStart w:id="126" w:name="_Toc8137053"/>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投标供应商必须完成招标内容和合同（基本要求、价格和服务）规定义务，不允许只对部分内容进行投标。</w:t>
      </w:r>
    </w:p>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本次采购的产品（服务）所涉及的产品标准、规范、验收标准、规范，应符合国家有关条例及规范。如有新的标准应采纳新标准。</w:t>
      </w:r>
    </w:p>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bookmarkStart w:id="127" w:name="_Toc25241321"/>
      <w:bookmarkStart w:id="128" w:name="_Toc14937263"/>
      <w:bookmarkStart w:id="129" w:name="_Toc14794626"/>
      <w:bookmarkStart w:id="130" w:name="_Toc25227826"/>
      <w:bookmarkStart w:id="131" w:name="_Toc5624942"/>
      <w:bookmarkStart w:id="132" w:name="_Toc44229557"/>
      <w:bookmarkStart w:id="133" w:name="_Toc22808718"/>
      <w:bookmarkStart w:id="134" w:name="_Toc17992972"/>
      <w:bookmarkStart w:id="135" w:name="_Toc31337"/>
      <w:bookmarkStart w:id="136" w:name="_Toc8307804"/>
      <w:bookmarkStart w:id="137" w:name="_Toc5287473"/>
      <w:bookmarkStart w:id="138" w:name="_Toc8137055"/>
      <w:bookmarkStart w:id="139" w:name="_Toc17975040"/>
      <w:bookmarkStart w:id="140" w:name="_Toc37146039"/>
      <w:bookmarkStart w:id="141" w:name="_Toc22909711"/>
      <w:bookmarkStart w:id="142" w:name="_Toc44256586"/>
      <w:bookmarkStart w:id="143" w:name="_Toc41642964"/>
      <w:bookmarkStart w:id="144" w:name="_Toc24566461"/>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在报价之前，投标供应商须仔细阅读招标文件，如发现有任何疑问、冲突或技术问题，投标供应商须在答疑截止时间前以书面形式向采购代理机构提出。逾期招标人不再作答复，有关风险及责任由投标供应商自行承担。</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pPr>
        <w:keepNext w:val="0"/>
        <w:keepLines w:val="0"/>
        <w:pageBreakBefore w:val="0"/>
        <w:widowControl/>
        <w:numPr>
          <w:ilvl w:val="0"/>
          <w:numId w:val="0"/>
        </w:numPr>
        <w:tabs>
          <w:tab w:val="left" w:pos="284"/>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本项目优先采购本国货物和服务，必须进行的技术引进和转让需符合国家政策和有利于国内行业的发展。项目中涉及到的设备、材料属于政府采购节能产品、环境标志产品的，要求符合相关规定。</w:t>
      </w:r>
    </w:p>
    <w:bookmarkEnd w:id="83"/>
    <w:bookmarkEnd w:id="84"/>
    <w:bookmarkEnd w:id="85"/>
    <w:bookmarkEnd w:id="86"/>
    <w:bookmarkEnd w:id="87"/>
    <w:bookmarkEnd w:id="88"/>
    <w:bookmarkEnd w:id="89"/>
    <w:bookmarkEnd w:id="90"/>
    <w:bookmarkEnd w:id="91"/>
    <w:bookmarkEnd w:id="92"/>
    <w:p>
      <w:pPr>
        <w:pStyle w:val="26"/>
        <w:keepNext w:val="0"/>
        <w:keepLines w:val="0"/>
        <w:pageBreakBefore w:val="0"/>
        <w:numPr>
          <w:ilvl w:val="0"/>
          <w:numId w:val="0"/>
        </w:numPr>
        <w:tabs>
          <w:tab w:val="left" w:pos="0"/>
        </w:tabs>
        <w:kinsoku/>
        <w:wordWrap/>
        <w:overflowPunct/>
        <w:topLinePunct w:val="0"/>
        <w:bidi w:val="0"/>
        <w:snapToGrid w:val="0"/>
        <w:spacing w:line="400" w:lineRule="atLeast"/>
        <w:ind w:leftChars="175"/>
        <w:jc w:val="left"/>
        <w:outlineLvl w:val="1"/>
        <w:rPr>
          <w:rFonts w:hint="eastAsia" w:ascii="宋体" w:hAnsi="宋体" w:eastAsia="宋体" w:cs="宋体"/>
          <w:b/>
          <w:color w:val="auto"/>
          <w:sz w:val="24"/>
          <w:szCs w:val="24"/>
          <w:highlight w:val="none"/>
        </w:rPr>
      </w:pPr>
      <w:bookmarkStart w:id="145" w:name="_Toc13930"/>
      <w:bookmarkStart w:id="146" w:name="_Toc20807"/>
      <w:bookmarkStart w:id="147" w:name="_Toc10129"/>
      <w:bookmarkStart w:id="148" w:name="_Toc15736"/>
      <w:bookmarkStart w:id="149" w:name="_Toc29036"/>
      <w:bookmarkStart w:id="150" w:name="_Toc5321"/>
      <w:bookmarkStart w:id="151" w:name="_Toc19580"/>
      <w:bookmarkStart w:id="152" w:name="_Toc26191"/>
      <w:bookmarkStart w:id="153" w:name="_Toc8087"/>
      <w:bookmarkStart w:id="154" w:name="_Toc31493"/>
      <w:bookmarkStart w:id="155" w:name="_Toc10446"/>
      <w:bookmarkStart w:id="156" w:name="_Toc24586"/>
      <w:bookmarkStart w:id="157" w:name="_Toc21177"/>
      <w:r>
        <w:rPr>
          <w:rFonts w:hint="eastAsia" w:ascii="宋体" w:hAnsi="宋体" w:eastAsia="宋体" w:cs="宋体"/>
          <w:b/>
          <w:color w:val="auto"/>
          <w:sz w:val="24"/>
          <w:szCs w:val="24"/>
          <w:highlight w:val="none"/>
          <w:lang w:val="en-US" w:eastAsia="zh-CN"/>
        </w:rPr>
        <w:t>二、</w:t>
      </w:r>
      <w:bookmarkEnd w:id="145"/>
      <w:bookmarkEnd w:id="146"/>
      <w:bookmarkEnd w:id="147"/>
      <w:bookmarkEnd w:id="148"/>
      <w:bookmarkEnd w:id="149"/>
      <w:bookmarkEnd w:id="150"/>
      <w:bookmarkEnd w:id="151"/>
      <w:bookmarkEnd w:id="152"/>
      <w:bookmarkEnd w:id="153"/>
      <w:bookmarkEnd w:id="154"/>
      <w:bookmarkEnd w:id="155"/>
      <w:bookmarkEnd w:id="156"/>
      <w:bookmarkEnd w:id="157"/>
      <w:r>
        <w:rPr>
          <w:rFonts w:hint="eastAsia" w:ascii="宋体" w:hAnsi="宋体" w:eastAsia="宋体" w:cs="宋体"/>
          <w:b/>
          <w:color w:val="auto"/>
          <w:sz w:val="24"/>
          <w:szCs w:val="24"/>
          <w:highlight w:val="none"/>
          <w:lang w:val="en-US" w:eastAsia="zh-CN"/>
        </w:rPr>
        <w:t>招标采购清单</w:t>
      </w:r>
    </w:p>
    <w:p>
      <w:pPr>
        <w:keepNext w:val="0"/>
        <w:keepLines w:val="0"/>
        <w:pageBreakBefore w:val="0"/>
        <w:kinsoku/>
        <w:wordWrap/>
        <w:overflowPunct/>
        <w:topLinePunct w:val="0"/>
        <w:bidi w:val="0"/>
        <w:spacing w:line="400" w:lineRule="atLeast"/>
        <w:ind w:firstLine="723" w:firstLineChars="300"/>
        <w:rPr>
          <w:rFonts w:hint="eastAsia" w:ascii="宋体" w:cs="宋体"/>
          <w:b/>
          <w:bCs w:val="0"/>
          <w:color w:val="auto"/>
          <w:sz w:val="24"/>
          <w:szCs w:val="24"/>
          <w:highlight w:val="none"/>
          <w:lang w:val="en-US" w:eastAsia="zh-CN"/>
        </w:rPr>
      </w:pPr>
      <w:r>
        <w:rPr>
          <w:rFonts w:hint="eastAsia" w:ascii="宋体" w:cs="宋体"/>
          <w:b/>
          <w:bCs w:val="0"/>
          <w:color w:val="auto"/>
          <w:sz w:val="24"/>
          <w:szCs w:val="24"/>
          <w:highlight w:val="none"/>
          <w:lang w:val="en-US" w:eastAsia="zh-CN"/>
        </w:rPr>
        <w:t>（一）采购清单汇总表</w:t>
      </w:r>
    </w:p>
    <w:tbl>
      <w:tblPr>
        <w:tblStyle w:val="16"/>
        <w:tblW w:w="1035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4635"/>
        <w:gridCol w:w="46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b/>
                <w:bCs/>
                <w:sz w:val="22"/>
                <w:szCs w:val="22"/>
                <w:highlight w:val="none"/>
              </w:rPr>
              <w:t>序号</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b/>
                <w:bCs/>
                <w:sz w:val="22"/>
                <w:szCs w:val="22"/>
                <w:highlight w:val="none"/>
              </w:rPr>
              <w:t>设备名称</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3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b/>
                <w:bCs/>
                <w:sz w:val="22"/>
                <w:szCs w:val="22"/>
                <w:highlight w:val="none"/>
              </w:rPr>
            </w:pPr>
            <w:r>
              <w:rPr>
                <w:rFonts w:hint="eastAsia" w:ascii="宋体"/>
                <w:b/>
                <w:bCs/>
                <w:sz w:val="22"/>
                <w:szCs w:val="22"/>
                <w:highlight w:val="none"/>
              </w:rPr>
              <w:t>龙湾桃花岛中学AI智慧体测系统配置清单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b/>
                <w:bCs/>
                <w:color w:val="000000"/>
                <w:kern w:val="0"/>
                <w:sz w:val="22"/>
                <w:szCs w:val="22"/>
                <w:highlight w:val="none"/>
                <w:lang w:bidi="ar"/>
              </w:rPr>
              <w:t>一</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校级平台</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b/>
                <w:bCs/>
                <w:color w:val="000000"/>
                <w:kern w:val="0"/>
                <w:sz w:val="22"/>
                <w:szCs w:val="22"/>
                <w:highlight w:val="none"/>
                <w:lang w:bidi="ar"/>
              </w:rPr>
              <w:t>二</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AI运动吧</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b/>
                <w:bCs/>
                <w:color w:val="000000"/>
                <w:kern w:val="0"/>
                <w:sz w:val="22"/>
                <w:szCs w:val="22"/>
                <w:highlight w:val="none"/>
                <w:lang w:bidi="ar"/>
              </w:rPr>
              <w:t>三</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AI操场吧</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b/>
                <w:bCs/>
                <w:color w:val="000000"/>
                <w:kern w:val="0"/>
                <w:sz w:val="22"/>
                <w:szCs w:val="22"/>
                <w:highlight w:val="none"/>
                <w:lang w:bidi="ar"/>
              </w:rPr>
              <w:t>四</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塑胶地面</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35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b/>
                <w:bCs/>
                <w:sz w:val="22"/>
                <w:szCs w:val="22"/>
                <w:highlight w:val="none"/>
              </w:rPr>
            </w:pPr>
            <w:r>
              <w:rPr>
                <w:rFonts w:hint="eastAsia" w:ascii="宋体"/>
                <w:b/>
                <w:bCs/>
                <w:sz w:val="22"/>
                <w:szCs w:val="22"/>
                <w:highlight w:val="none"/>
              </w:rPr>
              <w:t>龙湾桃花岛小学智慧体育运动系统配置清单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cs="宋体"/>
                <w:b/>
                <w:bCs/>
                <w:color w:val="000000"/>
                <w:kern w:val="0"/>
                <w:sz w:val="22"/>
                <w:szCs w:val="22"/>
                <w:highlight w:val="none"/>
                <w:lang w:bidi="ar"/>
              </w:rPr>
              <w:t>一</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校级平台</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cs="宋体"/>
                <w:b/>
                <w:bCs/>
                <w:color w:val="000000"/>
                <w:kern w:val="0"/>
                <w:sz w:val="22"/>
                <w:szCs w:val="22"/>
                <w:highlight w:val="none"/>
                <w:lang w:bidi="ar"/>
              </w:rPr>
              <w:t>二</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AI视觉室内项目</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color w:val="000000"/>
                <w:kern w:val="0"/>
                <w:sz w:val="22"/>
                <w:szCs w:val="22"/>
                <w:highlight w:val="none"/>
                <w:lang w:bidi="ar"/>
              </w:rPr>
            </w:pPr>
            <w:r>
              <w:rPr>
                <w:rFonts w:hint="eastAsia" w:ascii="宋体" w:hAnsi="宋体" w:cs="宋体"/>
                <w:b/>
                <w:bCs/>
                <w:color w:val="000000"/>
                <w:kern w:val="0"/>
                <w:sz w:val="22"/>
                <w:szCs w:val="22"/>
                <w:highlight w:val="none"/>
                <w:lang w:bidi="ar"/>
              </w:rPr>
              <w:t>三</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AI视觉体育运动项目</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b/>
                <w:bCs/>
                <w:sz w:val="22"/>
                <w:szCs w:val="22"/>
                <w:highlight w:val="none"/>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color w:val="000000"/>
                <w:kern w:val="0"/>
                <w:sz w:val="22"/>
                <w:szCs w:val="22"/>
                <w:highlight w:val="none"/>
                <w:lang w:bidi="ar"/>
              </w:rPr>
            </w:pPr>
            <w:r>
              <w:rPr>
                <w:rFonts w:hint="eastAsia" w:ascii="宋体" w:hAnsi="宋体" w:cs="宋体"/>
                <w:b/>
                <w:bCs/>
                <w:color w:val="000000"/>
                <w:kern w:val="0"/>
                <w:sz w:val="22"/>
                <w:szCs w:val="22"/>
                <w:highlight w:val="none"/>
                <w:lang w:bidi="ar"/>
              </w:rPr>
              <w:t>四</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配套硬件设施</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b/>
                <w:bCs/>
                <w:sz w:val="22"/>
                <w:szCs w:val="22"/>
                <w:highlight w:val="none"/>
              </w:rPr>
            </w:pPr>
            <w:r>
              <w:rPr>
                <w:rFonts w:hint="eastAsia" w:ascii="宋体"/>
                <w:b/>
                <w:bCs/>
                <w:sz w:val="22"/>
                <w:szCs w:val="22"/>
                <w:highlight w:val="none"/>
              </w:rPr>
              <w:t>见参数和要求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eastAsia="宋体" w:cs="宋体"/>
                <w:b/>
                <w:bCs/>
                <w:color w:val="000000"/>
                <w:kern w:val="0"/>
                <w:sz w:val="22"/>
                <w:szCs w:val="22"/>
                <w:highlight w:val="none"/>
                <w:lang w:eastAsia="zh-CN" w:bidi="ar"/>
              </w:rPr>
            </w:pPr>
            <w:r>
              <w:rPr>
                <w:rFonts w:hint="eastAsia" w:ascii="宋体" w:hAnsi="宋体" w:cs="宋体"/>
                <w:b/>
                <w:bCs/>
                <w:color w:val="000000"/>
                <w:kern w:val="0"/>
                <w:sz w:val="22"/>
                <w:szCs w:val="22"/>
                <w:highlight w:val="none"/>
                <w:lang w:val="en-US" w:eastAsia="zh-CN" w:bidi="ar"/>
              </w:rPr>
              <w:t>五</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rPr>
              <w:t>智慧体育项目施工</w:t>
            </w:r>
          </w:p>
        </w:tc>
        <w:tc>
          <w:tcPr>
            <w:tcW w:w="4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line="420" w:lineRule="exact"/>
              <w:ind w:left="0" w:right="0"/>
              <w:jc w:val="center"/>
              <w:rPr>
                <w:rFonts w:hint="eastAsia" w:ascii="宋体"/>
                <w:b/>
                <w:bCs/>
                <w:sz w:val="22"/>
                <w:szCs w:val="22"/>
                <w:highlight w:val="none"/>
              </w:rPr>
            </w:pPr>
            <w:r>
              <w:rPr>
                <w:rFonts w:hint="eastAsia" w:ascii="宋体"/>
                <w:b/>
                <w:bCs/>
                <w:sz w:val="22"/>
                <w:szCs w:val="22"/>
                <w:highlight w:val="none"/>
              </w:rPr>
              <w:t>见参数和要求</w:t>
            </w:r>
          </w:p>
        </w:tc>
      </w:tr>
    </w:tbl>
    <w:p>
      <w:pPr>
        <w:keepNext w:val="0"/>
        <w:keepLines w:val="0"/>
        <w:pageBreakBefore w:val="0"/>
        <w:kinsoku/>
        <w:wordWrap/>
        <w:overflowPunct/>
        <w:topLinePunct w:val="0"/>
        <w:bidi w:val="0"/>
        <w:spacing w:line="400" w:lineRule="atLeast"/>
        <w:ind w:firstLine="723" w:firstLineChars="300"/>
        <w:rPr>
          <w:rFonts w:hint="default" w:ascii="宋体" w:cs="宋体"/>
          <w:b/>
          <w:bCs w:val="0"/>
          <w:color w:val="auto"/>
          <w:sz w:val="24"/>
          <w:szCs w:val="24"/>
          <w:highlight w:val="none"/>
          <w:lang w:val="en-US" w:eastAsia="zh-CN"/>
        </w:rPr>
      </w:pPr>
    </w:p>
    <w:p>
      <w:pPr>
        <w:keepNext w:val="0"/>
        <w:keepLines w:val="0"/>
        <w:pageBreakBefore w:val="0"/>
        <w:kinsoku/>
        <w:wordWrap/>
        <w:overflowPunct/>
        <w:topLinePunct w:val="0"/>
        <w:bidi w:val="0"/>
        <w:spacing w:line="400" w:lineRule="atLeast"/>
        <w:ind w:firstLine="723" w:firstLineChars="300"/>
        <w:rPr>
          <w:rFonts w:hint="default" w:ascii="宋体" w:cs="宋体"/>
          <w:b/>
          <w:bCs w:val="0"/>
          <w:color w:val="auto"/>
          <w:sz w:val="24"/>
          <w:szCs w:val="24"/>
          <w:highlight w:val="none"/>
          <w:lang w:val="en-US" w:eastAsia="zh-CN"/>
        </w:rPr>
      </w:pPr>
      <w:r>
        <w:rPr>
          <w:rFonts w:hint="eastAsia" w:ascii="宋体" w:cs="宋体"/>
          <w:b/>
          <w:bCs w:val="0"/>
          <w:color w:val="auto"/>
          <w:sz w:val="24"/>
          <w:szCs w:val="24"/>
          <w:highlight w:val="none"/>
          <w:lang w:val="en-US" w:eastAsia="zh-CN"/>
        </w:rPr>
        <w:t>（二）各功能室参数要求：</w:t>
      </w:r>
    </w:p>
    <w:p>
      <w:pPr>
        <w:keepNext w:val="0"/>
        <w:keepLines w:val="0"/>
        <w:pageBreakBefore w:val="0"/>
        <w:kinsoku/>
        <w:wordWrap/>
        <w:overflowPunct/>
        <w:topLinePunct w:val="0"/>
        <w:bidi w:val="0"/>
        <w:spacing w:line="400" w:lineRule="atLeast"/>
        <w:ind w:firstLine="723" w:firstLineChars="300"/>
        <w:rPr>
          <w:rFonts w:hint="eastAsia" w:ascii="宋体" w:cs="宋体"/>
          <w:b/>
          <w:bCs w:val="0"/>
          <w:color w:val="auto"/>
          <w:sz w:val="24"/>
          <w:szCs w:val="24"/>
          <w:highlight w:val="none"/>
        </w:rPr>
      </w:pPr>
      <w:r>
        <w:rPr>
          <w:rFonts w:hint="eastAsia" w:ascii="宋体" w:cs="宋体"/>
          <w:b/>
          <w:bCs w:val="0"/>
          <w:color w:val="auto"/>
          <w:sz w:val="24"/>
          <w:szCs w:val="24"/>
          <w:highlight w:val="none"/>
          <w:lang w:val="en-US" w:eastAsia="zh-CN"/>
        </w:rPr>
        <w:t>1、</w:t>
      </w:r>
      <w:r>
        <w:rPr>
          <w:rFonts w:hint="eastAsia" w:ascii="宋体" w:cs="宋体"/>
          <w:b/>
          <w:bCs w:val="0"/>
          <w:color w:val="auto"/>
          <w:sz w:val="24"/>
          <w:szCs w:val="24"/>
          <w:highlight w:val="none"/>
        </w:rPr>
        <w:t>小学科学实验室</w:t>
      </w:r>
      <w:r>
        <w:rPr>
          <w:rFonts w:hint="eastAsia" w:ascii="宋体" w:cs="宋体"/>
          <w:b/>
          <w:bCs w:val="0"/>
          <w:color w:val="auto"/>
          <w:sz w:val="24"/>
          <w:szCs w:val="24"/>
          <w:highlight w:val="none"/>
          <w:lang w:val="en-US" w:eastAsia="zh-CN"/>
        </w:rPr>
        <w:t>（下述内容为单间</w:t>
      </w:r>
      <w:r>
        <w:rPr>
          <w:rFonts w:hint="eastAsia" w:ascii="宋体" w:cs="宋体"/>
          <w:b/>
          <w:bCs w:val="0"/>
          <w:color w:val="auto"/>
          <w:sz w:val="24"/>
          <w:szCs w:val="24"/>
          <w:highlight w:val="none"/>
        </w:rPr>
        <w:t>小学科学实验室</w:t>
      </w:r>
      <w:r>
        <w:rPr>
          <w:rFonts w:hint="eastAsia" w:ascii="宋体" w:cs="宋体"/>
          <w:b/>
          <w:bCs w:val="0"/>
          <w:color w:val="auto"/>
          <w:sz w:val="24"/>
          <w:szCs w:val="24"/>
          <w:highlight w:val="none"/>
          <w:lang w:val="en-US" w:eastAsia="zh-CN"/>
        </w:rPr>
        <w:t>参数要求，本项目</w:t>
      </w:r>
      <w:r>
        <w:rPr>
          <w:rFonts w:hint="eastAsia" w:ascii="宋体" w:cs="宋体"/>
          <w:b/>
          <w:bCs w:val="0"/>
          <w:color w:val="auto"/>
          <w:sz w:val="24"/>
          <w:szCs w:val="24"/>
          <w:highlight w:val="none"/>
        </w:rPr>
        <w:t>小学科学实验室</w:t>
      </w:r>
      <w:r>
        <w:rPr>
          <w:rFonts w:hint="eastAsia" w:ascii="宋体" w:cs="宋体"/>
          <w:b/>
          <w:bCs w:val="0"/>
          <w:color w:val="auto"/>
          <w:sz w:val="24"/>
          <w:szCs w:val="24"/>
          <w:highlight w:val="none"/>
          <w:lang w:val="en-US" w:eastAsia="zh-CN"/>
        </w:rPr>
        <w:t>采购数量为2间）</w:t>
      </w:r>
    </w:p>
    <w:tbl>
      <w:tblPr>
        <w:tblStyle w:val="16"/>
        <w:tblW w:w="158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5"/>
        <w:gridCol w:w="762"/>
        <w:gridCol w:w="730"/>
        <w:gridCol w:w="12180"/>
        <w:gridCol w:w="765"/>
        <w:gridCol w:w="750"/>
        <w:gridCol w:w="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rPr>
            </w:pP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产品名称</w:t>
            </w:r>
          </w:p>
        </w:tc>
        <w:tc>
          <w:tcPr>
            <w:tcW w:w="12180" w:type="dxa"/>
            <w:tcBorders>
              <w:top w:val="single" w:color="000000" w:sz="4" w:space="0"/>
              <w:left w:val="single" w:color="000000" w:sz="4" w:space="0"/>
              <w:bottom w:val="single" w:color="000000" w:sz="4" w:space="0"/>
              <w:right w:val="single" w:color="000000" w:sz="4" w:space="0"/>
            </w:tcBorders>
            <w:shd w:val="clear" w:color="auto" w:fill="FFFF00"/>
            <w:noWrap/>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产品规格</w:t>
            </w:r>
          </w:p>
        </w:tc>
        <w:tc>
          <w:tcPr>
            <w:tcW w:w="765" w:type="dxa"/>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单位</w:t>
            </w:r>
          </w:p>
        </w:tc>
        <w:tc>
          <w:tcPr>
            <w:tcW w:w="757" w:type="dxa"/>
            <w:gridSpan w:val="2"/>
            <w:tcBorders>
              <w:top w:val="single" w:color="000000" w:sz="4" w:space="0"/>
              <w:left w:val="single" w:color="000000" w:sz="4" w:space="0"/>
              <w:bottom w:val="single" w:color="000000" w:sz="4" w:space="0"/>
              <w:right w:val="single" w:color="000000" w:sz="4" w:space="0"/>
            </w:tcBorders>
            <w:shd w:val="clear" w:color="auto" w:fill="FFFF00"/>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一、</w:t>
            </w:r>
            <w:r>
              <w:rPr>
                <w:rFonts w:hint="eastAsia" w:ascii="宋体" w:hAnsi="宋体" w:eastAsia="宋体" w:cs="宋体"/>
                <w:b/>
                <w:bCs w:val="0"/>
                <w:color w:val="auto"/>
                <w:sz w:val="24"/>
                <w:szCs w:val="24"/>
                <w:highlight w:val="none"/>
              </w:rPr>
              <w:t>校级平台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校园智慧体育大数据服务平台</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1.具备自由练习、国家体测、赛事、家庭作业等功能模块；</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2.支持手机端登录一站式AI智慧体测评云系统，可操作系统平台开展测试；</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3.支持学生个人、班级、年级、全校体测成绩分析及汇总；</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4.支持学生信息管理、学生体测数据报表导出、体测功能设置；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5.支持测试视频存储与测试数据分析服务；支持学生视频数据推送家长端；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6.支持基于老师、班级、学校分别开通管理账号，分层分级管理；</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7.支持基于班级、学生的运动锻炼数据分析、展示与导出；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8.支持体育校级大数据平台展现跳绳、跳远、各类体测项目展示：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9.支持跨校比赛，可查看各校各项目数据排行榜；</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10.可一键生成体测成绩上报表、体测分析表等；</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11.可查看学生体质档案，包含在校运动档案、体测档案;</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学生通过看摄像头，自动识别学生人脸，显示学生个人运动档案：个人信息、体育综合评分、体育运动评分、本学期运动天数、身体形态、身体机能、运动能力图5个维度（力量、耐力、速度、柔韧、灵敏）、体质评定及运动处方，校长通过看摄像头，自动识别校长人脸，显示近一个月全校学生运动档案：总运动人次、跳绳排行榜、跳远排行榜、各项运动达标率、成绩统计、各项活跃度、优秀年级占比排名、日运动趋势图；（提供视频演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13、手机APP（AI趣运动）</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★13.1学生在家对着手机摄像头或者平板摄像头进行跳绳、开合跳、高抬腿、深蹲、象限跳等运动，视频 AI可以自动识别动作并进行计数，运动完成后，系统会生成运动报告，方便学生和家长进行查看。（提供视频演示）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13.2支持老师布置的单日、周期体育作业；学生家庭体育作业打卡提交，与校端APP数据同步，学生在家通过APP对着手机或者平板摄像头完成作业，老师可查看学生完成作业情况。</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13.3学生可通过完成运动挑战获得运动积分和勋章，并根据学生锻炼情况，系统为学生制定个性化提升方案和练习视频指导等，提升学生在家运动锻炼的兴趣和持续性。实现学校和家庭体育运动作业之间的无缝衔接和融合，提升家校协同育人的效果，促进学生全面发展和健康成长。</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13.支持全区/全校学生运动数据，体质健康数据查询；</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14.支持班级/个人学生运动数据，体质健康数据查询；</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15.支持全区各校各项运动周达标率，月达标率，学期达标率呈现；</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16.可在学校指定大屏上查看全校的各项运动活跃度，运动成绩达标率，并支持按周，月，学期的时间维度统计。</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17.人脸采集功能：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17.1应用系统内拍摄；（不支持相册内照片导入）</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17.2可选择学生编号，可选择学生性别。</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18.大屏设置功能：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18.1自定义大屏所要播放的排行榜内容，并进行画面预览；</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18.2选择各榜单播放的间隔时间及声音大小；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18.3可权限设置——仅管理员有权配置。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19.手机控制功能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19.1支持手机端切换体测模式、运动项目，视频可逐帧回放、逐帧定格画面、测试时间选择；</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19.2支持出现身份信息不匹配时，手动修改；</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19.3支持手机端控制开始、重置设备；</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19.4支持手机回放、查看历史记录，可对回放记录进行投屏，并切换相应遥控器。</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20.运动数据查看</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20.1全校概览支持查看全校学生的运动测试数据，运动成绩占比率，全校及个人成绩的汇总，平均分值；</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20.2能查看学生个人档案、成绩、曲线图，可查看单项目运动历史成绩记录以及相对应运动处方建议，历史视频可保存7天。</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20.3测试记录可查看学生运动时间、成绩、平均分，可手动排序、成绩生成表格一键导出；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20.4运动视频自动储存，可回放查看作弊，保证数据有效真实性，若有误可进行手动修改。</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75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二、</w:t>
            </w:r>
            <w:r>
              <w:rPr>
                <w:rFonts w:hint="eastAsia" w:ascii="宋体" w:hAnsi="宋体" w:eastAsia="宋体" w:cs="宋体"/>
                <w:b/>
                <w:bCs w:val="0"/>
                <w:color w:val="auto"/>
                <w:sz w:val="24"/>
                <w:szCs w:val="24"/>
                <w:highlight w:val="none"/>
              </w:rPr>
              <w:t>AI运动吧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▲5人跳绳</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▲3人纵跳摸高</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▲5人开合跳</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▲1人立定跳远</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▲3人仰卧起坐</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摄像头：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1.最高分辨率可达3840*2160@30fps，支持变焦2.7~12mm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2.支持背光补尝，强光抑制，3D数据降噪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3.120dB宽动态，适应不同监控环境</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4.支持ROI感兴趣区域增强编码，支持Smart265/264编码，可根据场景情况自适应调整码率分配，有效节省存储成本</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5.摄像头帧率≥30，支持3路视频码流</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边缘计算机：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1.CPU：8核CPU，主频≥1.8GHz;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2.算力：≤6T</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3.GPU：高性能智能计算芯片</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4.内存：8 GB LPDDR4x</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5.存储：64G</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6.HDMI ：1* HDMI</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7.USB3.0*4</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8.TF/SIM*1卡槽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9.Switch 1* Power Button (可选择上电自动开机)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10.内置2.4G/5G WIFI6,蓝牙5.0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11.工作温度：-20°C 至 60°C ；储藏温度：-20°C 至 70°C湿度：80%相对湿度，无凝结。</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12.操作系统 ：Android 12</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★提供GB 28380-2012标准中国节能产品认证证书（认监委认证的证书）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室内显示屏：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1.≥55寸显示终端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2.分辨率支持3840X2160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3.视频输入输出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4.支持HDMI音视频输入</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AI运动吧智慧体育运动系统：</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★AI运动项目单设备支持多个运动项目：AI智慧跳绳；AI智慧立定跳远；AI智慧纵跳摸高；AI智慧开合跳；AI智慧仰卧起坐；（提供《GB/T19851.122005》中小学体育器材要求的国家机构质量检测报告。）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功能需求支持：5人跳绳测试；立定跳远测试；3人纵跳摸高测试；5人开合跳测试；3人仰卧起坐测试；</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1、AI智慧跳绳测试仪：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在1个摄像头下，可支持5人运动同时测试、同时计时计数，运动过程中实现人脸识别、身份信息匹配，前端大屏跳绳过程数据实时显示、跳出测试区域提示、运动结束后15秒间段计数、中断数的呈现。（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两套跳绳测试仪可串联，支持手机端遥控操作两台设备，支持≥10人同时测试。</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测试范围：0-2000次，分值1次，允许误差：±1次。（提供《GB/T19851.122005》中小学体育器材要求的国家机构质量检测报告。）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运动结束后，形成个人运动报告，跳绳速率，并给出测评点评和锻炼建议，手机端查看视频回放。</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2、AI智慧立定跳远测试仪：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运动过程中应可实现人脸识别、身份信息匹配，支持基于视频实现立定跳远测距，自动识别踩线、单脚起跳、垫步跳、出界等犯规提示、成绩的实时交互呈现。（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测试范围：0~300cm；分度值：1cm；允许误差：±1cm；（提供《GB/T19851.122005》中小学体育器材要求的国家机构质量检测报告。）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支持“新纪录”等特效动画及语音提示；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支持跳远结束后起跳动作、腾空动作、落地动作分解显示；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3、AI智慧纵跳摸高测试仪：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★在1个摄像头下，可支持3人同时AI人脸识别进行摸高测距测试，运动过程中实现人脸识别、身份信息匹配，跳出界违规显示；（提供《GB/T19851.122005》中小学体育器材要求的国家机构质量检测报告。）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测试范围：0~320cm；分度值：1cm；允许误差：±1cm；（提供《GB/T19851.122005》中小学体育器材要求的国家机构质量检测报告。）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支持前端大屏跳高结果数据显示、瞬间画面呈现。支持“新纪录”等特效动画及语音提示；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4、AI智慧开合跳测试仪：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个摄像头下，可5人同时运动计时计数，运动过程中实现人脸识别、身份信息匹配，支持前端大屏开合跳过程数据实时显示，支持前端大屏结束后的计数呈现。（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测试范围：0~500次；分度值：1次；允许误差：±1次；（提供《GB/T19851.122005》中小学体育器材要求的国家机构质量检测报告。）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犯规动作不计数：需双手双脚运动，手不动或脚不动不计数。</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5、AI智慧仰卧起坐测试仪：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在1个摄像头下，可支持3人运动同时计时计数，运动过程中实现人脸识别、身份信息匹配，支持前端大屏仰卧起坐过程数据实时显示，支持前端大屏结束后的计数呈现。支持动作不规范(顶胯、未抱头、未触膝)违规不计数，记录并显示违规个数；（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测试范围：0~99次；分度值：1次；允许误差：±1次；（提供《GB/T19851.122005》中小学体育器材要求的国家机构质量检测报告。）</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可通过手机操控，切换模式；支持手机端进行成绩查询。</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三、AI操场吧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800米/1000米跑</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摄像头：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1.最高分辨率可达3840*2160@30fps，支持变焦2.7~12mm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2.支持背光补尝，强光抑制，3D数据降噪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3.120dB宽动态，适应不同监控环境</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4.支持ROI感兴趣区域增强编码，支持Smart265/264编码，可根据场景情况自适应调整码率分配，有效节省存储成本</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5.摄像头帧率≥30，支持3路视频码流</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边缘计算机：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1.CPU：8核CPU，主频≥1.8GHz;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2.算力：≤6T</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3.GPU：高性能智能计算芯片</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4.内存：8 GB LPDDR4x</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5.存储：64G</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6.HDMI ：1* HDMI</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7.USB3.0*4</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8.TF/SIM*1卡槽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9.Switch 1* Power Button (可选择上电自动开机)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10.内置2.4G/5G WIFI6,蓝牙5.0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11.工作温度：-20°C 至 60°C ；储藏温度：-20°C 至 70°C湿度：80%相对湿度，无凝结。</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12.操作系统 ：Android 12</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★提供GB 28380-2012标准中国节能产品认证证书（认监委认证的证书）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户外55寸屏：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1、电视屏：双立柱液晶</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2、箱体尺寸：带门 1980x860x160mm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3、箱体材质：1.2mm 镀锌板</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4、柱子直径：114mm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5、柱子高度：1100mm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6、箱体壁厚：3mm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7、表面处理方式：采用喷涂工艺防锈处理</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8、显示尺寸：1920x800mm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9、显示屏像素：宽384x高160点</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10、像数点间距：5 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11、像素构成：1R</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12、尺寸(长*宽*厚)：320*160mm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13、单元板拼接间隙：＜1mm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14、输入电压：AC220V±10:50Hz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15、信号输入接口类型：HUB08</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16、40A电源带模组数：≤5 张</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17、亮度：≥4000cd/㎡</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18、最佳视距：≥10m-100m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19、使用寿命：≥1 0万小时</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20、灰度等级：16bit</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21、工作温度范围：-10℃~50℃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22、模组平整度：＜0.5mm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23、像素密度：40000 Dots/㎡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24、灯管封装：SMD2839</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25、重量：400g</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26、模组分辨率：64*32dots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27、最大功耗：400W/㎡</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28、平均功耗：≤100-150W/㎡</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29、扫描方式：1/8 扫描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30、帧频：≥60Hz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31、屏幕垂直视角：120±10度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32、使用环境：室外</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33、平均无故障时间：≥10000 小时</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34、盲点率：＜0.0001，交付时为0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35、工作湿度范围：10%-95%</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36、刷新：240-1000Hz/s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系统支持同一场景，一套设备支持800米或1000米跑步测试项目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运动过程中实现人脸识别、身份信息匹配，测试结果大屏实时显示。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1.支持4-8跑道同时测试，无穿戴设备，随来随测，具备防替考功能；</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2.采用AI人脸识别秒级识别测试者身份信息，AI人体轨迹追踪智能识别踩线、抢跑，在终点屏幕显示违规信息，成绩无效；</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3.考试模式：老师在App统一控制，到达终点，终点屏幕显示测试者信息，支持召回重跑，可手动取消违规成绩，手动添加学生信息。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4.考核结束，成绩实时上传，测试者可在App实时查看。</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5.终点屏幕显示测试者实时成绩，实时头像，成绩排行及违规信息。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6.支持800米/1000米男女同测；可多组循环发令，前一组起跑后，后一组即可发令起跑，测试者随来随测，分组无上限；成绩自动检测，自动计时、自动计圈。</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符合《国家学生体质测试标准》要求，并提供《GB/T19851.122005》国家机构质量检测报告</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四、塑胶地面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13mm复合型EPDM材料(双层)</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▲底涂胶水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▲环保白颗粒</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▲单组分胶水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▲彩色EPDM橡胶颗粒(粒径1-3mm）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▲环保型稀释剂</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200</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龙湾桃花岛小学智慧体育运动系统配置清单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一、校级平台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智慧体育教学练测评系统</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1.具备快速测试、随堂测试、国家体测、自由练习四大功能模块；</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2.支持PC端、Pad端、手机端登录AI视觉体育评测与教学系统，可操作系统平台开展测试；</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3.支持学生个人、班级、年级、全校体测成绩分析及汇总；</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4.支持学生信息管理、学生体测数据报表导出、体测功能设置；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5.支持测试视频存储与测试数据分析服务；</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6.支持基于老师、班级、学校分别开通管理账号，分层分级管理；</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7.支持基于班级、学生的运动锻炼数据分析、展示与导出；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8.支持立定跳远、仰卧起坐、引体向上、实心球、铅球、跑步类（50/100米、800/1000米）、跳绳、排球测试等运动项目。</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二、AI视觉室内项目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AI体育角（跳远+跳绳+后续上线）</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产品配置：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●智能AI边缘计算盒</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●摄像头：高清摄像头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●电视屏：标配55寸</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●定制跳绳地贴：一套</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●定制跳远地垫：一个</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功能配置：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1.举手姿态激活运动项目；</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2.无感人脸识别，即到即测，成绩实时输出；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3.支持至少5人跳绳计时计数，1人立定跳远测距；</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4.跳远支持踩线、跨越跳等违规判定；</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5.跳绳支持比赛模式及练习模式，可统一计时或不同时计时；</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6.各项目运动榜单数据实时刷新；</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7.质保期内免费优化 上线后续项目 下一个项目是开合跳</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cs="宋体"/>
                <w:b/>
                <w:bCs w:val="0"/>
                <w:color w:val="auto"/>
                <w:sz w:val="24"/>
                <w:szCs w:val="24"/>
                <w:highlight w:val="none"/>
                <w:lang w:val="en-US" w:eastAsia="zh-CN"/>
              </w:rPr>
              <w:t>三</w:t>
            </w:r>
            <w:r>
              <w:rPr>
                <w:rFonts w:hint="eastAsia" w:ascii="宋体" w:hAnsi="宋体" w:eastAsia="宋体" w:cs="宋体"/>
                <w:b/>
                <w:bCs w:val="0"/>
                <w:color w:val="auto"/>
                <w:sz w:val="24"/>
                <w:szCs w:val="24"/>
                <w:highlight w:val="none"/>
                <w:lang w:val="en-US" w:eastAsia="zh-CN"/>
              </w:rPr>
              <w:t>、AI视觉体育运动项目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762" w:type="dxa"/>
            <w:vMerge w:val="restart"/>
            <w:tcBorders>
              <w:top w:val="single" w:color="000000" w:sz="4" w:space="0"/>
              <w:left w:val="single" w:color="000000"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阳光跑</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（6跑道）</w:t>
            </w:r>
          </w:p>
        </w:tc>
        <w:tc>
          <w:tcPr>
            <w:tcW w:w="73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阳光跑AI算法及服务</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1.成绩检测：跑步距离（里程）、时长、配速；</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2.分度值：里程为1m、时长为1s；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3.成绩误差：平均里程≤5%、平均时长≤5%；</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4.多人测试：支持1000人同时进行；</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5.响应时间：≤1s；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6.场景支撑：适用于学生晨跑、大课间跑操、课前热身、课后练习等场景；</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测试方式：学生在跑道上任意位置开始起跑，任意位置结束跑步，跑步过程中，智慧操场会自动通过无感人脸识别，捕捉学生跑步信息，计算每位学生每次跑步的总里程、时间和配速。过程中无需学生停顿、看摄像头和做其他与跑步无关的动作；</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8.作弊检测：抄近道检测、没有按照识别区顺序被依次识别，其相应里程不会计入总里程；</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9.里程限制：支持后台设置单日最长里程。</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2</w:t>
            </w:r>
          </w:p>
        </w:tc>
        <w:tc>
          <w:tcPr>
            <w:tcW w:w="762" w:type="dxa"/>
            <w:vMerge w:val="continue"/>
            <w:tcBorders>
              <w:left w:val="single" w:color="000000" w:sz="4" w:space="0"/>
              <w:bottom w:val="single" w:color="000000"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spacing w:line="320" w:lineRule="exact"/>
              <w:jc w:val="center"/>
              <w:rPr>
                <w:rFonts w:hint="eastAsia" w:ascii="宋体" w:hAnsi="宋体" w:eastAsia="宋体" w:cs="宋体"/>
                <w:i w:val="0"/>
                <w:iCs w:val="0"/>
                <w:color w:val="000000"/>
                <w:kern w:val="0"/>
                <w:sz w:val="24"/>
                <w:szCs w:val="24"/>
                <w:highlight w:val="none"/>
                <w:u w:val="none"/>
                <w:lang w:val="en-US" w:eastAsia="zh-CN" w:bidi="ar"/>
              </w:rPr>
            </w:pPr>
          </w:p>
        </w:tc>
        <w:tc>
          <w:tcPr>
            <w:tcW w:w="730"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算法模块配套设备</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1.含800万像素AI视频流数据采集设备4台；</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2.含监控电源、定制立杆及配套零配件等1套；</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3.配套硬件资源配置，包括服务器、算力卡等；</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4.含标准硬件3年质保费用及运费。</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四、配套硬件设施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智能教师终端</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1.尺寸：11.5英寸；</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2.运行内存：8GB ；</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3.存储容量：128GB；</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4.分辨率：2200x1440像素；</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5.摄像头：双摄像头，前置像素：800万像素，后置像素：1300万像素摄像头；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6.满足体育老师进行体育教学、一对一指导、动作分析、体育测试等教学测试场景的需求；</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7.支持通过快速测试、随堂测试、国家体测、自由练习功能模块开展测试，且平台能管理所有运动项目。</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2</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运动风云榜大屏</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1.屏幕尺寸：55寸</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2.屏幕配置：4K高清、纳米级触摸屏</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3.亮度：2000cd</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4.为安卓主控，自带人脸识别摄像头</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5.支持防雨、防尘、防过热、户外喷涂、防球击</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6.采用AR钢化玻璃</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3</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阳光跑实时数据大屏</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1.户外全彩LED大屏，可实时展示当前操场正在跑学生的头像和今日跑步里程，同时展示全校日榜和周榜。</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2.尺寸：3.2m*1.6m；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3.亮度：≥4200cd/㎡；</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4.亮度均匀性：＞0.95；</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5.屏幕水平视角：140±10度；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6.屏幕垂直视角：130±10度；</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7.最佳视距：≥4m，可在4m距离外清晰查看实时数据大屏成绩显示；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8.使用环境：户外；</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9.灰度等级：红、绿、蓝各14-16bits；</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10.显示颜色：43980亿种；</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11.换帧频率：≥60帧/秒；</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12.刷新频率：3840Hz；</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13.控制方式：计算机控制，逐点一一对应，视频同步，实时显示；</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14.亮度调节：256级手动/自动；</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15.输入信号：DVI/VGA/HDMI/DP、复合视频信号、S-VIDEO、YpbPr(HDTV)；</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16.工作温度范围：-20-40℃；</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17.工作湿度范围：10％-90％RH；</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18.防护性能：超温/过载/掉电/图像补偿/各种校正技术/过流/过压/防雷；</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19.支持定时操作，设定开启关闭时间。</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jc w:val="center"/>
        </w:trPr>
        <w:tc>
          <w:tcPr>
            <w:tcW w:w="158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320" w:lineRule="exact"/>
              <w:ind w:left="0" w:right="0"/>
              <w:jc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val="0"/>
                <w:color w:val="auto"/>
                <w:sz w:val="24"/>
                <w:szCs w:val="24"/>
                <w:highlight w:val="none"/>
                <w:lang w:val="en-US" w:eastAsia="zh-CN"/>
              </w:rPr>
              <w:t>五、智慧体育项目施工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8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1</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网络设备套装</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单校标配硬件设备，含无线AP、路由器、交换机、PDU等</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 w:type="dxa"/>
          <w:trHeight w:val="260" w:hRule="atLeast"/>
          <w:jc w:val="center"/>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20" w:lineRule="exact"/>
              <w:ind w:left="0" w:right="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2</w:t>
            </w:r>
          </w:p>
        </w:tc>
        <w:tc>
          <w:tcPr>
            <w:tcW w:w="14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项目施工等</w:t>
            </w:r>
          </w:p>
        </w:tc>
        <w:tc>
          <w:tcPr>
            <w:tcW w:w="121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包含技术人员现场指导服务、产品调试、线材、设备安装等费用</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snapToGrid/>
              <w:spacing w:line="320" w:lineRule="exact"/>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w:t>
            </w:r>
          </w:p>
        </w:tc>
      </w:tr>
    </w:tbl>
    <w:p>
      <w:pPr>
        <w:keepNext w:val="0"/>
        <w:keepLines w:val="0"/>
        <w:pageBreakBefore w:val="0"/>
        <w:kinsoku/>
        <w:wordWrap/>
        <w:overflowPunct/>
        <w:topLinePunct w:val="0"/>
        <w:bidi w:val="0"/>
        <w:spacing w:line="400" w:lineRule="atLeast"/>
        <w:ind w:left="180"/>
        <w:outlineLvl w:val="0"/>
        <w:rPr>
          <w:rFonts w:hint="eastAsia" w:ascii="Times New Roman" w:hAnsi="Times New Roman" w:eastAsia="宋体" w:cs="Times New Roman"/>
          <w:b/>
          <w:color w:val="auto"/>
          <w:sz w:val="24"/>
          <w:szCs w:val="24"/>
          <w:highlight w:val="none"/>
          <w:lang w:val="en-US" w:eastAsia="zh-CN"/>
        </w:rPr>
      </w:pPr>
      <w:r>
        <w:rPr>
          <w:rFonts w:hint="eastAsia" w:ascii="Times New Roman" w:hAnsi="Times New Roman" w:eastAsia="宋体" w:cs="Times New Roman"/>
          <w:b/>
          <w:color w:val="auto"/>
          <w:sz w:val="24"/>
          <w:szCs w:val="24"/>
          <w:highlight w:val="none"/>
          <w:lang w:val="en-US" w:eastAsia="zh-CN"/>
        </w:rPr>
        <w:t>三、商务要求</w:t>
      </w:r>
    </w:p>
    <w:p>
      <w:pPr>
        <w:keepNext w:val="0"/>
        <w:keepLines w:val="0"/>
        <w:pageBreakBefore w:val="0"/>
        <w:widowControl/>
        <w:numPr>
          <w:ilvl w:val="0"/>
          <w:numId w:val="0"/>
        </w:numPr>
        <w:kinsoku/>
        <w:wordWrap/>
        <w:overflowPunct/>
        <w:topLinePunct w:val="0"/>
        <w:autoSpaceDE/>
        <w:autoSpaceDN/>
        <w:bidi w:val="0"/>
        <w:adjustRightInd w:val="0"/>
        <w:snapToGrid w:val="0"/>
        <w:spacing w:line="400" w:lineRule="atLeast"/>
        <w:ind w:firstLine="482"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本项目投标报价</w:t>
      </w:r>
      <w:r>
        <w:rPr>
          <w:rFonts w:hint="eastAsia" w:ascii="宋体" w:hAnsi="宋体" w:eastAsia="宋体" w:cs="宋体"/>
          <w:b/>
          <w:color w:val="auto"/>
          <w:sz w:val="24"/>
          <w:szCs w:val="24"/>
          <w:highlight w:val="none"/>
          <w:lang w:eastAsia="zh-CN"/>
        </w:rPr>
        <w:t>为交钥匙项目，</w:t>
      </w:r>
      <w:r>
        <w:rPr>
          <w:rFonts w:hint="eastAsia" w:ascii="宋体" w:hAnsi="宋体" w:eastAsia="宋体" w:cs="宋体"/>
          <w:b/>
          <w:color w:val="auto"/>
          <w:sz w:val="24"/>
          <w:szCs w:val="24"/>
          <w:highlight w:val="none"/>
        </w:rPr>
        <w:t>实行固定总价</w:t>
      </w:r>
      <w:r>
        <w:rPr>
          <w:rFonts w:hint="eastAsia" w:ascii="宋体" w:hAnsi="宋体" w:eastAsia="宋体" w:cs="宋体"/>
          <w:b/>
          <w:color w:val="auto"/>
          <w:sz w:val="24"/>
          <w:szCs w:val="24"/>
          <w:highlight w:val="none"/>
          <w:lang w:eastAsia="zh-CN"/>
        </w:rPr>
        <w:t>报价</w:t>
      </w:r>
      <w:r>
        <w:rPr>
          <w:rFonts w:hint="eastAsia" w:ascii="宋体" w:hAnsi="宋体" w:eastAsia="宋体" w:cs="宋体"/>
          <w:color w:val="auto"/>
          <w:sz w:val="24"/>
          <w:szCs w:val="24"/>
          <w:highlight w:val="none"/>
        </w:rPr>
        <w:t>，</w:t>
      </w:r>
      <w:r>
        <w:rPr>
          <w:rFonts w:hint="eastAsia" w:ascii="宋体" w:hAnsi="宋体" w:eastAsia="宋体" w:cs="宋体"/>
          <w:b w:val="0"/>
          <w:bCs/>
          <w:color w:val="auto"/>
          <w:sz w:val="24"/>
          <w:szCs w:val="24"/>
          <w:highlight w:val="none"/>
        </w:rPr>
        <w:t>投标</w:t>
      </w:r>
      <w:r>
        <w:rPr>
          <w:rFonts w:hint="eastAsia" w:ascii="宋体" w:hAnsi="宋体" w:eastAsia="宋体" w:cs="宋体"/>
          <w:b w:val="0"/>
          <w:bCs/>
          <w:color w:val="auto"/>
          <w:sz w:val="24"/>
          <w:szCs w:val="24"/>
          <w:highlight w:val="none"/>
          <w:lang w:val="en-US" w:eastAsia="zh-CN"/>
        </w:rPr>
        <w:t>报价</w:t>
      </w:r>
      <w:r>
        <w:rPr>
          <w:rFonts w:hint="eastAsia" w:ascii="宋体" w:hAnsi="宋体" w:eastAsia="宋体" w:cs="宋体"/>
          <w:b w:val="0"/>
          <w:bCs/>
          <w:color w:val="auto"/>
          <w:sz w:val="24"/>
          <w:szCs w:val="24"/>
          <w:highlight w:val="none"/>
        </w:rPr>
        <w:t>应为承包完成本次投标需完成全部工作所发生的所有费用，并承担一切风险责任，</w:t>
      </w:r>
      <w:r>
        <w:rPr>
          <w:rFonts w:hint="eastAsia" w:ascii="宋体" w:hAnsi="宋体" w:cs="宋体"/>
          <w:b w:val="0"/>
          <w:bCs/>
          <w:color w:val="auto"/>
          <w:sz w:val="24"/>
          <w:szCs w:val="24"/>
          <w:highlight w:val="none"/>
          <w:lang w:eastAsia="zh-CN"/>
        </w:rPr>
        <w:t>包括了完成本项目全部产品价格、随机工具、随机易损件费、国内运杂费、国内运输保险费、安装、调试、服务及培训费、采购代理服务费、不可预见费及处理一切伤亡事故等完成本项目所需的一切本身和不可或缺的所有工作开支、政策性文件规定及合同包含的所有风险、责任等各项全部费用。</w:t>
      </w:r>
      <w:r>
        <w:rPr>
          <w:rFonts w:hint="eastAsia" w:ascii="宋体" w:hAnsi="宋体" w:eastAsia="宋体" w:cs="宋体"/>
          <w:color w:val="auto"/>
          <w:sz w:val="24"/>
          <w:szCs w:val="24"/>
          <w:highlight w:val="none"/>
        </w:rPr>
        <w:t>，即一直到整个项目调试验收合格交付招标人使用，招标人不再另行支付费用</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如中标供应商的投标文件中对功能响应存在错漏情况导致建设过程中，无法实现招标文件中所涉及的功能要求，中标供应商需无条件整改，确保功能要求全部实现并自行承担由此引起的相应费用。</w:t>
      </w:r>
    </w:p>
    <w:p>
      <w:pPr>
        <w:keepNext w:val="0"/>
        <w:keepLines w:val="0"/>
        <w:pageBreakBefore w:val="0"/>
        <w:widowControl/>
        <w:numPr>
          <w:ilvl w:val="0"/>
          <w:numId w:val="0"/>
        </w:numPr>
        <w:kinsoku/>
        <w:wordWrap/>
        <w:overflowPunct/>
        <w:topLinePunct w:val="0"/>
        <w:autoSpaceDE/>
        <w:autoSpaceDN/>
        <w:bidi w:val="0"/>
        <w:adjustRightInd w:val="0"/>
        <w:snapToGrid w:val="0"/>
        <w:spacing w:line="400" w:lineRule="atLeast"/>
        <w:ind w:leftChars="200"/>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b/>
          <w:color w:val="auto"/>
          <w:kern w:val="0"/>
          <w:sz w:val="24"/>
          <w:szCs w:val="24"/>
          <w:highlight w:val="none"/>
          <w:lang w:val="en-US" w:eastAsia="zh-CN" w:bidi="ar"/>
        </w:rPr>
        <w:t>2.</w:t>
      </w:r>
      <w:r>
        <w:rPr>
          <w:rFonts w:hint="eastAsia" w:ascii="宋体" w:hAnsi="宋体" w:eastAsia="宋体" w:cs="宋体"/>
          <w:b/>
          <w:color w:val="auto"/>
          <w:kern w:val="0"/>
          <w:sz w:val="24"/>
          <w:szCs w:val="24"/>
          <w:highlight w:val="none"/>
          <w:lang w:bidi="ar"/>
        </w:rPr>
        <w:t>履约担保</w:t>
      </w:r>
    </w:p>
    <w:p>
      <w:pPr>
        <w:keepNext w:val="0"/>
        <w:keepLines w:val="0"/>
        <w:pageBreakBefore w:val="0"/>
        <w:widowControl/>
        <w:kinsoku/>
        <w:wordWrap/>
        <w:overflowPunct/>
        <w:topLinePunct w:val="0"/>
        <w:autoSpaceDE/>
        <w:autoSpaceDN/>
        <w:bidi w:val="0"/>
        <w:adjustRightInd w:val="0"/>
        <w:snapToGrid w:val="0"/>
        <w:spacing w:line="400" w:lineRule="atLeast"/>
        <w:ind w:firstLine="482" w:firstLineChars="200"/>
        <w:textAlignment w:val="auto"/>
        <w:rPr>
          <w:rFonts w:hint="eastAsia" w:ascii="宋体" w:hAnsi="宋体" w:eastAsia="宋体" w:cs="宋体"/>
          <w:color w:val="auto"/>
          <w:sz w:val="24"/>
          <w:szCs w:val="24"/>
          <w:highlight w:val="none"/>
        </w:rPr>
      </w:pPr>
      <w:r>
        <w:rPr>
          <w:rFonts w:hint="eastAsia" w:ascii="宋体" w:hAnsi="宋体" w:cs="宋体"/>
          <w:b/>
          <w:color w:val="auto"/>
          <w:sz w:val="24"/>
          <w:szCs w:val="24"/>
          <w:highlight w:val="none"/>
          <w:lang w:eastAsia="zh-CN"/>
        </w:rPr>
        <w:t>本项目不需提供履约担保</w:t>
      </w:r>
      <w:r>
        <w:rPr>
          <w:rFonts w:hint="eastAsia" w:ascii="宋体" w:hAnsi="宋体" w:eastAsia="宋体" w:cs="宋体"/>
          <w:color w:val="auto"/>
          <w:sz w:val="24"/>
          <w:szCs w:val="24"/>
          <w:highlight w:val="none"/>
        </w:rPr>
        <w:t>。</w:t>
      </w:r>
    </w:p>
    <w:p>
      <w:pPr>
        <w:keepNext w:val="0"/>
        <w:keepLines w:val="0"/>
        <w:pageBreakBefore w:val="0"/>
        <w:widowControl/>
        <w:numPr>
          <w:ilvl w:val="0"/>
          <w:numId w:val="0"/>
        </w:numPr>
        <w:kinsoku/>
        <w:wordWrap/>
        <w:overflowPunct/>
        <w:topLinePunct w:val="0"/>
        <w:autoSpaceDE/>
        <w:autoSpaceDN/>
        <w:bidi w:val="0"/>
        <w:adjustRightInd w:val="0"/>
        <w:snapToGrid w:val="0"/>
        <w:spacing w:line="400" w:lineRule="atLeast"/>
        <w:ind w:firstLine="482" w:firstLineChars="200"/>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b/>
          <w:color w:val="auto"/>
          <w:kern w:val="0"/>
          <w:sz w:val="24"/>
          <w:szCs w:val="24"/>
          <w:highlight w:val="none"/>
          <w:lang w:val="en-US" w:eastAsia="zh-CN" w:bidi="ar"/>
        </w:rPr>
        <w:t>3.</w:t>
      </w:r>
      <w:r>
        <w:rPr>
          <w:rFonts w:hint="eastAsia" w:ascii="宋体" w:hAnsi="宋体" w:eastAsia="宋体" w:cs="宋体"/>
          <w:b/>
          <w:color w:val="auto"/>
          <w:kern w:val="0"/>
          <w:sz w:val="24"/>
          <w:szCs w:val="24"/>
          <w:highlight w:val="none"/>
          <w:lang w:bidi="ar"/>
        </w:rPr>
        <w:t>付款方式</w:t>
      </w:r>
    </w:p>
    <w:p>
      <w:pPr>
        <w:keepNext w:val="0"/>
        <w:keepLines w:val="0"/>
        <w:pageBreakBefore w:val="0"/>
        <w:widowControl/>
        <w:numPr>
          <w:ilvl w:val="0"/>
          <w:numId w:val="0"/>
        </w:numPr>
        <w:kinsoku/>
        <w:wordWrap/>
        <w:overflowPunct/>
        <w:topLinePunct w:val="0"/>
        <w:bidi w:val="0"/>
        <w:adjustRightInd w:val="0"/>
        <w:snapToGrid w:val="0"/>
        <w:spacing w:line="400" w:lineRule="atLeas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预付款：合同签订且具备实施条件后7</w:t>
      </w:r>
      <w:r>
        <w:rPr>
          <w:rFonts w:hint="eastAsia" w:ascii="宋体" w:hAnsi="宋体" w:eastAsia="宋体" w:cs="宋体"/>
          <w:b/>
          <w:bCs/>
          <w:color w:val="auto"/>
          <w:sz w:val="24"/>
          <w:szCs w:val="24"/>
          <w:highlight w:val="none"/>
          <w:lang w:eastAsia="zh-Hans"/>
        </w:rPr>
        <w:t>个工作日内</w:t>
      </w:r>
      <w:r>
        <w:rPr>
          <w:rFonts w:hint="eastAsia" w:ascii="宋体" w:hAnsi="宋体" w:eastAsia="宋体" w:cs="宋体"/>
          <w:b/>
          <w:bCs/>
          <w:color w:val="auto"/>
          <w:sz w:val="24"/>
          <w:szCs w:val="24"/>
          <w:highlight w:val="none"/>
        </w:rPr>
        <w:t>，招标人支付</w:t>
      </w:r>
      <w:r>
        <w:rPr>
          <w:rFonts w:hint="eastAsia" w:ascii="宋体" w:hAnsi="宋体" w:eastAsia="宋体" w:cs="宋体"/>
          <w:b/>
          <w:bCs/>
          <w:color w:val="auto"/>
          <w:sz w:val="24"/>
          <w:szCs w:val="24"/>
          <w:highlight w:val="none"/>
          <w:lang w:eastAsia="zh-Hans"/>
        </w:rPr>
        <w:t>合同总价</w:t>
      </w:r>
      <w:r>
        <w:rPr>
          <w:rFonts w:hint="eastAsia" w:ascii="宋体" w:hAnsi="宋体" w:eastAsia="宋体" w:cs="宋体"/>
          <w:b/>
          <w:bCs/>
          <w:color w:val="auto"/>
          <w:sz w:val="24"/>
          <w:szCs w:val="24"/>
          <w:highlight w:val="none"/>
        </w:rPr>
        <w:t>的</w:t>
      </w:r>
      <w:r>
        <w:rPr>
          <w:rFonts w:hint="eastAsia" w:ascii="宋体" w:hAnsi="宋体" w:cs="宋体"/>
          <w:b/>
          <w:bCs/>
          <w:color w:val="auto"/>
          <w:sz w:val="24"/>
          <w:szCs w:val="24"/>
          <w:highlight w:val="none"/>
          <w:lang w:val="en-US" w:eastAsia="zh-CN"/>
        </w:rPr>
        <w:t>40</w:t>
      </w:r>
      <w:r>
        <w:rPr>
          <w:rFonts w:hint="eastAsia" w:ascii="宋体" w:hAnsi="宋体" w:eastAsia="宋体" w:cs="宋体"/>
          <w:b/>
          <w:bCs/>
          <w:color w:val="auto"/>
          <w:sz w:val="24"/>
          <w:szCs w:val="24"/>
          <w:highlight w:val="none"/>
        </w:rPr>
        <w:t>%作为预付款</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预付款抵作进度款</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；（在签订合同时，供应商明确表示无需预付款或者主动要求降低预付款比例的，招标人可不适用前述规定。</w:t>
      </w:r>
      <w:r>
        <w:rPr>
          <w:rFonts w:hint="eastAsia" w:ascii="宋体" w:hAnsi="宋体" w:eastAsia="宋体" w:cs="宋体"/>
          <w:b/>
          <w:color w:val="auto"/>
          <w:sz w:val="24"/>
          <w:szCs w:val="24"/>
          <w:highlight w:val="none"/>
        </w:rPr>
        <w:t>根据浙财采监[2022]3号文件执行。</w:t>
      </w:r>
      <w:r>
        <w:rPr>
          <w:rFonts w:hint="eastAsia" w:ascii="宋体" w:hAnsi="宋体" w:eastAsia="宋体" w:cs="宋体"/>
          <w:b/>
          <w:bCs/>
          <w:color w:val="auto"/>
          <w:sz w:val="24"/>
          <w:szCs w:val="24"/>
          <w:highlight w:val="none"/>
        </w:rPr>
        <w:t>）</w:t>
      </w:r>
    </w:p>
    <w:p>
      <w:pPr>
        <w:keepNext w:val="0"/>
        <w:keepLines w:val="0"/>
        <w:pageBreakBefore w:val="0"/>
        <w:widowControl/>
        <w:kinsoku/>
        <w:wordWrap/>
        <w:overflowPunct/>
        <w:topLinePunct w:val="0"/>
        <w:autoSpaceDE w:val="0"/>
        <w:autoSpaceDN w:val="0"/>
        <w:bidi w:val="0"/>
        <w:adjustRightInd w:val="0"/>
        <w:snapToGrid w:val="0"/>
        <w:spacing w:line="400" w:lineRule="atLeast"/>
        <w:ind w:right="525" w:rightChars="250" w:firstLine="482" w:firstLineChars="200"/>
        <w:textAlignment w:val="bottom"/>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招标人要求中标供应商</w:t>
      </w:r>
      <w:r>
        <w:rPr>
          <w:rFonts w:hint="eastAsia" w:ascii="宋体" w:hAnsi="宋体" w:eastAsia="宋体" w:cs="宋体"/>
          <w:b/>
          <w:bCs/>
          <w:color w:val="auto"/>
          <w:sz w:val="24"/>
          <w:szCs w:val="24"/>
          <w:highlight w:val="none"/>
          <w:lang w:eastAsia="zh-CN"/>
        </w:rPr>
        <w:t>须</w:t>
      </w:r>
      <w:r>
        <w:rPr>
          <w:rFonts w:hint="eastAsia" w:ascii="宋体" w:hAnsi="宋体" w:eastAsia="宋体" w:cs="宋体"/>
          <w:b/>
          <w:bCs/>
          <w:color w:val="auto"/>
          <w:sz w:val="24"/>
          <w:szCs w:val="24"/>
          <w:highlight w:val="none"/>
        </w:rPr>
        <w:t>向招标人开具预付款担保：</w:t>
      </w:r>
    </w:p>
    <w:p>
      <w:pPr>
        <w:keepNext w:val="0"/>
        <w:keepLines w:val="0"/>
        <w:pageBreakBefore w:val="0"/>
        <w:widowControl/>
        <w:kinsoku/>
        <w:wordWrap/>
        <w:overflowPunct/>
        <w:topLinePunct w:val="0"/>
        <w:autoSpaceDE w:val="0"/>
        <w:autoSpaceDN w:val="0"/>
        <w:bidi w:val="0"/>
        <w:adjustRightInd w:val="0"/>
        <w:snapToGrid w:val="0"/>
        <w:spacing w:line="400" w:lineRule="atLeast"/>
        <w:ind w:right="525" w:rightChars="250" w:firstLine="482" w:firstLineChars="200"/>
        <w:textAlignment w:val="bottom"/>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①预付款担保采用银行、保险公司等金融机构出具的保函</w:t>
      </w:r>
      <w:r>
        <w:rPr>
          <w:rFonts w:hint="eastAsia" w:ascii="宋体" w:hAnsi="宋体" w:eastAsia="宋体" w:cs="宋体"/>
          <w:b/>
          <w:bCs/>
          <w:color w:val="auto"/>
          <w:sz w:val="24"/>
          <w:szCs w:val="24"/>
          <w:highlight w:val="none"/>
          <w:lang w:eastAsia="zh-CN"/>
        </w:rPr>
        <w:t>形式</w:t>
      </w:r>
      <w:r>
        <w:rPr>
          <w:rFonts w:hint="eastAsia" w:ascii="宋体" w:hAnsi="宋体" w:eastAsia="宋体" w:cs="宋体"/>
          <w:b/>
          <w:bCs/>
          <w:color w:val="auto"/>
          <w:sz w:val="24"/>
          <w:szCs w:val="24"/>
          <w:highlight w:val="none"/>
        </w:rPr>
        <w:t>；</w:t>
      </w:r>
    </w:p>
    <w:p>
      <w:pPr>
        <w:keepNext w:val="0"/>
        <w:keepLines w:val="0"/>
        <w:pageBreakBefore w:val="0"/>
        <w:widowControl/>
        <w:kinsoku/>
        <w:wordWrap/>
        <w:overflowPunct/>
        <w:topLinePunct w:val="0"/>
        <w:autoSpaceDE w:val="0"/>
        <w:autoSpaceDN w:val="0"/>
        <w:bidi w:val="0"/>
        <w:adjustRightInd w:val="0"/>
        <w:snapToGrid w:val="0"/>
        <w:spacing w:line="400" w:lineRule="atLeast"/>
        <w:ind w:right="25" w:rightChars="12" w:firstLine="482" w:firstLineChars="200"/>
        <w:textAlignment w:val="bottom"/>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②若采用保函形式的，保函为见索即付保函：即在</w:t>
      </w:r>
      <w:r>
        <w:rPr>
          <w:rFonts w:hint="eastAsia" w:ascii="宋体" w:hAnsi="宋体" w:eastAsia="宋体" w:cs="宋体"/>
          <w:b/>
          <w:bCs/>
          <w:color w:val="auto"/>
          <w:sz w:val="24"/>
          <w:szCs w:val="24"/>
          <w:highlight w:val="none"/>
          <w:lang w:eastAsia="zh-CN"/>
        </w:rPr>
        <w:t>中标供应商</w:t>
      </w:r>
      <w:r>
        <w:rPr>
          <w:rFonts w:hint="eastAsia" w:ascii="宋体" w:hAnsi="宋体" w:eastAsia="宋体" w:cs="宋体"/>
          <w:b/>
          <w:bCs/>
          <w:color w:val="auto"/>
          <w:sz w:val="24"/>
          <w:szCs w:val="24"/>
          <w:highlight w:val="none"/>
        </w:rPr>
        <w:t>没有实施合同或者未履行合同义务时</w:t>
      </w:r>
      <w:r>
        <w:rPr>
          <w:rFonts w:hint="eastAsia" w:ascii="宋体" w:hAnsi="宋体" w:eastAsia="宋体" w:cs="宋体"/>
          <w:b/>
          <w:bCs/>
          <w:color w:val="auto"/>
          <w:sz w:val="24"/>
          <w:szCs w:val="24"/>
          <w:highlight w:val="none"/>
          <w:lang w:eastAsia="zh-CN"/>
        </w:rPr>
        <w:t>或因涉及相关司法案件导致预付款被采取查封、冻结或扣划等处置时</w:t>
      </w:r>
      <w:r>
        <w:rPr>
          <w:rFonts w:hint="eastAsia" w:ascii="宋体" w:hAnsi="宋体" w:eastAsia="宋体" w:cs="宋体"/>
          <w:b/>
          <w:bCs/>
          <w:color w:val="auto"/>
          <w:sz w:val="24"/>
          <w:szCs w:val="24"/>
          <w:highlight w:val="none"/>
        </w:rPr>
        <w:t>，招标人不需要出具任何证明和理由，只要看到中标供应商违约，就可对保函进行收兑；</w:t>
      </w:r>
    </w:p>
    <w:p>
      <w:pPr>
        <w:keepNext w:val="0"/>
        <w:keepLines w:val="0"/>
        <w:pageBreakBefore w:val="0"/>
        <w:widowControl/>
        <w:kinsoku/>
        <w:wordWrap/>
        <w:overflowPunct/>
        <w:topLinePunct w:val="0"/>
        <w:autoSpaceDE w:val="0"/>
        <w:autoSpaceDN w:val="0"/>
        <w:bidi w:val="0"/>
        <w:adjustRightInd w:val="0"/>
        <w:snapToGrid w:val="0"/>
        <w:spacing w:line="400" w:lineRule="atLeast"/>
        <w:ind w:right="525" w:rightChars="250" w:firstLine="482" w:firstLineChars="200"/>
        <w:textAlignment w:val="bottom"/>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③在预付款完全扣回之前，中标供应商应保证预付款担保持续有效。</w:t>
      </w:r>
    </w:p>
    <w:p>
      <w:pPr>
        <w:keepNext w:val="0"/>
        <w:keepLines w:val="0"/>
        <w:pageBreakBefore w:val="0"/>
        <w:widowControl/>
        <w:numPr>
          <w:ilvl w:val="0"/>
          <w:numId w:val="0"/>
        </w:numPr>
        <w:kinsoku/>
        <w:wordWrap/>
        <w:overflowPunct/>
        <w:topLinePunct w:val="0"/>
        <w:bidi w:val="0"/>
        <w:adjustRightInd w:val="0"/>
        <w:snapToGrid w:val="0"/>
        <w:spacing w:line="400" w:lineRule="atLeas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待</w:t>
      </w:r>
      <w:r>
        <w:rPr>
          <w:rFonts w:hint="eastAsia" w:ascii="宋体" w:hAnsi="宋体" w:eastAsia="宋体" w:cs="宋体"/>
          <w:b/>
          <w:bCs/>
          <w:color w:val="auto"/>
          <w:sz w:val="24"/>
          <w:szCs w:val="24"/>
          <w:highlight w:val="none"/>
          <w:lang w:eastAsia="zh-CN"/>
        </w:rPr>
        <w:t>全部建设内容完成，</w:t>
      </w:r>
      <w:r>
        <w:rPr>
          <w:rFonts w:hint="eastAsia" w:ascii="宋体" w:hAnsi="宋体" w:eastAsia="宋体" w:cs="宋体"/>
          <w:b/>
          <w:bCs/>
          <w:color w:val="auto"/>
          <w:sz w:val="24"/>
          <w:szCs w:val="24"/>
          <w:highlight w:val="none"/>
        </w:rPr>
        <w:t>整体项目最终验收合格后</w:t>
      </w:r>
      <w:r>
        <w:rPr>
          <w:rFonts w:hint="eastAsia" w:ascii="宋体" w:hAnsi="宋体" w:eastAsia="宋体" w:cs="宋体"/>
          <w:b/>
          <w:bCs/>
          <w:color w:val="auto"/>
          <w:sz w:val="24"/>
          <w:szCs w:val="24"/>
          <w:highlight w:val="none"/>
          <w:lang w:eastAsia="zh-CN"/>
        </w:rPr>
        <w:t>支付至合同总价的</w:t>
      </w:r>
      <w:r>
        <w:rPr>
          <w:rFonts w:hint="eastAsia" w:ascii="宋体" w:hAnsi="宋体" w:eastAsia="宋体" w:cs="宋体"/>
          <w:b/>
          <w:bCs/>
          <w:color w:val="auto"/>
          <w:sz w:val="24"/>
          <w:szCs w:val="24"/>
          <w:highlight w:val="none"/>
          <w:lang w:val="en-US" w:eastAsia="zh-CN"/>
        </w:rPr>
        <w:t>100%</w:t>
      </w:r>
      <w:r>
        <w:rPr>
          <w:rFonts w:hint="eastAsia" w:ascii="宋体" w:hAnsi="宋体" w:eastAsia="宋体" w:cs="宋体"/>
          <w:b/>
          <w:bCs/>
          <w:color w:val="auto"/>
          <w:sz w:val="24"/>
          <w:szCs w:val="24"/>
          <w:highlight w:val="none"/>
        </w:rPr>
        <w:t>。</w:t>
      </w:r>
    </w:p>
    <w:p>
      <w:pPr>
        <w:keepNext w:val="0"/>
        <w:keepLines w:val="0"/>
        <w:pageBreakBefore w:val="0"/>
        <w:widowControl/>
        <w:kinsoku/>
        <w:wordWrap/>
        <w:overflowPunct/>
        <w:topLinePunct w:val="0"/>
        <w:autoSpaceDE/>
        <w:autoSpaceDN/>
        <w:bidi w:val="0"/>
        <w:adjustRightInd w:val="0"/>
        <w:snapToGrid w:val="0"/>
        <w:spacing w:line="400" w:lineRule="atLeas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注：对于满足合同支付约定条件的，招标人于收到中标供应商开具的正式税务发票后</w:t>
      </w:r>
      <w:r>
        <w:rPr>
          <w:rFonts w:hint="eastAsia" w:ascii="宋体" w:hAnsi="宋体" w:cs="宋体"/>
          <w:bCs/>
          <w:color w:val="auto"/>
          <w:sz w:val="24"/>
          <w:szCs w:val="24"/>
          <w:highlight w:val="none"/>
          <w:lang w:val="en-US" w:eastAsia="zh-CN"/>
        </w:rPr>
        <w:t>7</w:t>
      </w:r>
      <w:r>
        <w:rPr>
          <w:rFonts w:hint="eastAsia" w:ascii="宋体" w:hAnsi="宋体" w:eastAsia="宋体" w:cs="宋体"/>
          <w:bCs/>
          <w:color w:val="auto"/>
          <w:sz w:val="24"/>
          <w:szCs w:val="24"/>
          <w:highlight w:val="none"/>
        </w:rPr>
        <w:t>个工作日内予以支付相应合同价款。</w:t>
      </w:r>
      <w:r>
        <w:rPr>
          <w:rFonts w:hint="eastAsia" w:ascii="宋体" w:hAnsi="宋体" w:eastAsia="宋体" w:cs="宋体"/>
          <w:bCs/>
          <w:color w:val="auto"/>
          <w:sz w:val="24"/>
          <w:szCs w:val="24"/>
          <w:highlight w:val="none"/>
          <w:lang w:eastAsia="zh-CN"/>
        </w:rPr>
        <w:t>因违约</w:t>
      </w:r>
      <w:r>
        <w:rPr>
          <w:rFonts w:hint="eastAsia" w:ascii="宋体" w:hAnsi="宋体" w:eastAsia="宋体" w:cs="宋体"/>
          <w:bCs/>
          <w:color w:val="auto"/>
          <w:sz w:val="24"/>
          <w:szCs w:val="24"/>
          <w:highlight w:val="none"/>
        </w:rPr>
        <w:t>引起的经济扣罚，直接在</w:t>
      </w:r>
      <w:r>
        <w:rPr>
          <w:rFonts w:hint="eastAsia" w:ascii="宋体" w:hAnsi="宋体" w:eastAsia="宋体" w:cs="宋体"/>
          <w:bCs/>
          <w:color w:val="auto"/>
          <w:sz w:val="24"/>
          <w:szCs w:val="24"/>
          <w:highlight w:val="none"/>
          <w:lang w:eastAsia="zh-CN"/>
        </w:rPr>
        <w:t>合同价款</w:t>
      </w:r>
      <w:r>
        <w:rPr>
          <w:rFonts w:hint="eastAsia" w:ascii="宋体" w:hAnsi="宋体" w:eastAsia="宋体" w:cs="宋体"/>
          <w:bCs/>
          <w:color w:val="auto"/>
          <w:sz w:val="24"/>
          <w:szCs w:val="24"/>
          <w:highlight w:val="none"/>
        </w:rPr>
        <w:t>中</w:t>
      </w:r>
      <w:r>
        <w:rPr>
          <w:rFonts w:hint="eastAsia" w:ascii="宋体" w:hAnsi="宋体" w:eastAsia="宋体" w:cs="宋体"/>
          <w:bCs/>
          <w:color w:val="auto"/>
          <w:sz w:val="24"/>
          <w:szCs w:val="24"/>
          <w:highlight w:val="none"/>
          <w:lang w:eastAsia="zh-CN"/>
        </w:rPr>
        <w:t>予以</w:t>
      </w:r>
      <w:r>
        <w:rPr>
          <w:rFonts w:hint="eastAsia" w:ascii="宋体" w:hAnsi="宋体" w:eastAsia="宋体" w:cs="宋体"/>
          <w:bCs/>
          <w:color w:val="auto"/>
          <w:sz w:val="24"/>
          <w:szCs w:val="24"/>
          <w:highlight w:val="none"/>
        </w:rPr>
        <w:t>扣罚。</w:t>
      </w:r>
    </w:p>
    <w:p>
      <w:pPr>
        <w:keepNext w:val="0"/>
        <w:keepLines w:val="0"/>
        <w:pageBreakBefore w:val="0"/>
        <w:kinsoku/>
        <w:wordWrap/>
        <w:overflowPunct/>
        <w:topLinePunct w:val="0"/>
        <w:bidi w:val="0"/>
        <w:spacing w:line="400" w:lineRule="atLeast"/>
        <w:outlineLvl w:val="0"/>
        <w:rPr>
          <w:rFonts w:hint="eastAsia" w:ascii="Times New Roman" w:hAnsi="Times New Roman" w:eastAsia="宋体" w:cs="Times New Roman"/>
          <w:b/>
          <w:color w:val="auto"/>
          <w:sz w:val="24"/>
          <w:szCs w:val="24"/>
          <w:highlight w:val="none"/>
          <w:lang w:val="en-US" w:eastAsia="zh-CN"/>
        </w:rPr>
      </w:pPr>
      <w:r>
        <w:rPr>
          <w:rFonts w:hint="eastAsia" w:cs="Times New Roman"/>
          <w:b/>
          <w:color w:val="auto"/>
          <w:sz w:val="24"/>
          <w:szCs w:val="24"/>
          <w:highlight w:val="none"/>
          <w:lang w:val="en-US" w:eastAsia="zh-CN"/>
        </w:rPr>
        <w:t>四</w:t>
      </w:r>
      <w:r>
        <w:rPr>
          <w:rFonts w:hint="eastAsia" w:ascii="Times New Roman" w:hAnsi="Times New Roman" w:eastAsia="宋体" w:cs="Times New Roman"/>
          <w:b/>
          <w:color w:val="auto"/>
          <w:sz w:val="24"/>
          <w:szCs w:val="24"/>
          <w:highlight w:val="none"/>
          <w:lang w:val="en-US" w:eastAsia="zh-CN"/>
        </w:rPr>
        <w:t>、其他要求：</w:t>
      </w:r>
    </w:p>
    <w:p>
      <w:pPr>
        <w:keepNext w:val="0"/>
        <w:keepLines w:val="0"/>
        <w:pageBreakBefore w:val="0"/>
        <w:kinsoku/>
        <w:wordWrap/>
        <w:overflowPunct/>
        <w:topLinePunct w:val="0"/>
        <w:bidi w:val="0"/>
        <w:spacing w:line="400" w:lineRule="atLeast"/>
        <w:ind w:firstLine="480" w:firstLineChars="200"/>
        <w:rPr>
          <w:rFonts w:ascii="宋体" w:hAnsi="宋体"/>
          <w:color w:val="auto"/>
          <w:sz w:val="24"/>
          <w:szCs w:val="24"/>
          <w:highlight w:val="none"/>
        </w:rPr>
      </w:pPr>
      <w:r>
        <w:rPr>
          <w:rFonts w:hint="eastAsia" w:ascii="宋体" w:hAnsi="宋体"/>
          <w:color w:val="auto"/>
          <w:sz w:val="24"/>
          <w:szCs w:val="24"/>
          <w:highlight w:val="none"/>
        </w:rPr>
        <w:t>1.供货周期：</w:t>
      </w:r>
      <w:r>
        <w:rPr>
          <w:rFonts w:hint="eastAsia" w:ascii="宋体" w:hAnsi="宋体"/>
          <w:color w:val="auto"/>
          <w:sz w:val="24"/>
          <w:szCs w:val="24"/>
          <w:highlight w:val="none"/>
          <w:lang w:eastAsia="zh-CN"/>
        </w:rPr>
        <w:t>在合同签订后</w:t>
      </w:r>
      <w:r>
        <w:rPr>
          <w:rFonts w:hint="eastAsia" w:ascii="宋体" w:hAnsi="宋体"/>
          <w:color w:val="auto"/>
          <w:sz w:val="24"/>
          <w:szCs w:val="24"/>
          <w:highlight w:val="none"/>
          <w:lang w:val="en-US" w:eastAsia="zh-CN"/>
        </w:rPr>
        <w:t>45</w:t>
      </w:r>
      <w:r>
        <w:rPr>
          <w:rFonts w:hint="eastAsia" w:ascii="宋体" w:hAnsi="宋体"/>
          <w:color w:val="auto"/>
          <w:sz w:val="24"/>
          <w:szCs w:val="24"/>
          <w:highlight w:val="none"/>
          <w:lang w:eastAsia="zh-CN"/>
        </w:rPr>
        <w:t>日历天内全部供货并安装验收合格。</w:t>
      </w:r>
    </w:p>
    <w:p>
      <w:pPr>
        <w:keepNext w:val="0"/>
        <w:keepLines w:val="0"/>
        <w:pageBreakBefore w:val="0"/>
        <w:kinsoku/>
        <w:wordWrap/>
        <w:overflowPunct/>
        <w:topLinePunct w:val="0"/>
        <w:bidi w:val="0"/>
        <w:spacing w:line="400" w:lineRule="atLeas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2.免费质保期</w:t>
      </w:r>
    </w:p>
    <w:p>
      <w:pPr>
        <w:keepNext w:val="0"/>
        <w:keepLines w:val="0"/>
        <w:pageBreakBefore w:val="0"/>
        <w:kinsoku/>
        <w:wordWrap/>
        <w:overflowPunct/>
        <w:topLinePunct w:val="0"/>
        <w:bidi w:val="0"/>
        <w:spacing w:line="400" w:lineRule="atLeas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.1. ▲</w:t>
      </w:r>
      <w:r>
        <w:rPr>
          <w:rFonts w:hint="eastAsia" w:ascii="宋体" w:hAnsi="宋体"/>
          <w:color w:val="auto"/>
          <w:sz w:val="24"/>
          <w:szCs w:val="24"/>
          <w:highlight w:val="none"/>
          <w:lang w:val="en-US" w:eastAsia="zh-CN"/>
        </w:rPr>
        <w:t>本项目</w:t>
      </w:r>
      <w:r>
        <w:rPr>
          <w:rFonts w:hint="eastAsia" w:ascii="宋体" w:hAnsi="宋体"/>
          <w:color w:val="auto"/>
          <w:sz w:val="24"/>
          <w:szCs w:val="24"/>
          <w:highlight w:val="none"/>
          <w:lang w:eastAsia="zh-CN"/>
        </w:rPr>
        <w:t>免费</w:t>
      </w:r>
      <w:r>
        <w:rPr>
          <w:rFonts w:hint="eastAsia" w:ascii="宋体" w:hAnsi="宋体"/>
          <w:color w:val="auto"/>
          <w:sz w:val="24"/>
          <w:szCs w:val="24"/>
          <w:highlight w:val="none"/>
        </w:rPr>
        <w:t>质保期</w:t>
      </w:r>
      <w:r>
        <w:rPr>
          <w:rFonts w:hint="eastAsia" w:ascii="宋体" w:hAnsi="宋体"/>
          <w:color w:val="auto"/>
          <w:sz w:val="24"/>
          <w:szCs w:val="24"/>
          <w:highlight w:val="none"/>
          <w:lang w:val="en-US" w:eastAsia="zh-CN"/>
        </w:rPr>
        <w:t>为</w:t>
      </w:r>
      <w:r>
        <w:rPr>
          <w:rFonts w:hint="eastAsia" w:ascii="宋体" w:hAnsi="宋体"/>
          <w:color w:val="auto"/>
          <w:sz w:val="24"/>
          <w:szCs w:val="24"/>
          <w:highlight w:val="none"/>
        </w:rPr>
        <w:t>自交付安装并通过验收之日起3年；质保期内因产品本身缺陷（非人为因素）造成各种故障应由中标供应商免费技术服务和维修、更换。质保期后，如采购人要求，供货商应长期负责有偿优惠维修。</w:t>
      </w:r>
    </w:p>
    <w:p>
      <w:pPr>
        <w:keepNext w:val="0"/>
        <w:keepLines w:val="0"/>
        <w:pageBreakBefore w:val="0"/>
        <w:kinsoku/>
        <w:wordWrap/>
        <w:overflowPunct/>
        <w:topLinePunct w:val="0"/>
        <w:bidi w:val="0"/>
        <w:spacing w:line="400" w:lineRule="atLeas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.2.供应商在报价文件中说明保质期内提供的服务计划。</w:t>
      </w:r>
    </w:p>
    <w:p>
      <w:pPr>
        <w:keepNext w:val="0"/>
        <w:keepLines w:val="0"/>
        <w:pageBreakBefore w:val="0"/>
        <w:kinsoku/>
        <w:wordWrap/>
        <w:overflowPunct/>
        <w:topLinePunct w:val="0"/>
        <w:bidi w:val="0"/>
        <w:spacing w:line="400" w:lineRule="atLeas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.3.质量保修期内，要求供应商7×24小时电话响应技术咨询；除非采购文件另有规定，供应商须在接到采购人维修要求电话后，</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小时内派技术人员到现场维修。</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3</w:t>
      </w:r>
      <w:r>
        <w:rPr>
          <w:rFonts w:hint="eastAsia"/>
          <w:color w:val="auto"/>
          <w:sz w:val="24"/>
          <w:szCs w:val="24"/>
          <w:highlight w:val="none"/>
          <w:lang w:val="en-US" w:eastAsia="zh-CN"/>
        </w:rPr>
        <w:t>.</w:t>
      </w:r>
      <w:r>
        <w:rPr>
          <w:rFonts w:hint="eastAsia"/>
          <w:color w:val="auto"/>
          <w:sz w:val="24"/>
          <w:szCs w:val="24"/>
          <w:highlight w:val="none"/>
        </w:rPr>
        <w:t>送货及安装</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3.1.送货安装地点：按</w:t>
      </w:r>
      <w:r>
        <w:rPr>
          <w:rFonts w:hint="eastAsia"/>
          <w:color w:val="auto"/>
          <w:sz w:val="24"/>
          <w:szCs w:val="24"/>
          <w:highlight w:val="none"/>
          <w:lang w:eastAsia="zh-CN"/>
        </w:rPr>
        <w:t>采购人</w:t>
      </w:r>
      <w:r>
        <w:rPr>
          <w:rFonts w:hint="eastAsia"/>
          <w:color w:val="auto"/>
          <w:sz w:val="24"/>
          <w:szCs w:val="24"/>
          <w:highlight w:val="none"/>
        </w:rPr>
        <w:t>要求。</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3.2.质量标准：符合我国国家有关技术规范要求和技术标准。</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3.3.本项目包括供就位与安装。安装期间中标供应商须派技术人员提供安装及技术服务，送货、安装过程中发生的费用由中标供应商负责。</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3.4.供应商应在投标文件中提出其送货安装过程中使用单位需配合的内容。</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rPr>
        <w:t>4</w:t>
      </w:r>
      <w:r>
        <w:rPr>
          <w:rFonts w:hint="eastAsia"/>
          <w:color w:val="auto"/>
          <w:sz w:val="24"/>
          <w:szCs w:val="24"/>
          <w:highlight w:val="none"/>
          <w:lang w:val="en-US" w:eastAsia="zh-CN"/>
        </w:rPr>
        <w:t>.</w:t>
      </w:r>
      <w:r>
        <w:rPr>
          <w:rFonts w:hint="eastAsia"/>
          <w:color w:val="auto"/>
          <w:sz w:val="24"/>
          <w:szCs w:val="24"/>
          <w:highlight w:val="none"/>
        </w:rPr>
        <w:t>验收</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lang w:val="en-US" w:eastAsia="zh-CN"/>
        </w:rPr>
        <w:t>4.1</w:t>
      </w:r>
      <w:r>
        <w:rPr>
          <w:rFonts w:hint="eastAsia"/>
          <w:color w:val="auto"/>
          <w:sz w:val="24"/>
          <w:szCs w:val="24"/>
          <w:highlight w:val="none"/>
        </w:rPr>
        <w:t>中标供应商已按合同规定提供了符合</w:t>
      </w:r>
      <w:r>
        <w:rPr>
          <w:rFonts w:hint="eastAsia"/>
          <w:color w:val="auto"/>
          <w:sz w:val="24"/>
          <w:szCs w:val="24"/>
          <w:highlight w:val="none"/>
          <w:lang w:eastAsia="zh-CN"/>
        </w:rPr>
        <w:t>采购文件</w:t>
      </w:r>
      <w:r>
        <w:rPr>
          <w:rFonts w:hint="eastAsia"/>
          <w:color w:val="auto"/>
          <w:sz w:val="24"/>
          <w:szCs w:val="24"/>
          <w:highlight w:val="none"/>
        </w:rPr>
        <w:t>规定的要求的货物，并经采购人检验合格，所有的技术资料和清单已向采购人提交并被接受，验收视为合格， 若因中标供应商质量问题等导致验收不合格，中标供应商应及时予以处理，直至验收合格，期间发生的一切费用由中标供应商承担，采购人保留向中标供应商索赔的权利。</w:t>
      </w:r>
    </w:p>
    <w:p>
      <w:pPr>
        <w:pStyle w:val="2"/>
        <w:keepNext w:val="0"/>
        <w:keepLines w:val="0"/>
        <w:pageBreakBefore w:val="0"/>
        <w:kinsoku/>
        <w:wordWrap/>
        <w:overflowPunct/>
        <w:topLinePunct w:val="0"/>
        <w:bidi w:val="0"/>
        <w:spacing w:line="400" w:lineRule="atLeast"/>
        <w:rPr>
          <w:rFonts w:hint="eastAsia"/>
          <w:color w:val="auto"/>
          <w:sz w:val="24"/>
          <w:szCs w:val="24"/>
          <w:highlight w:val="none"/>
        </w:rPr>
      </w:pPr>
      <w:r>
        <w:rPr>
          <w:rFonts w:hint="eastAsia"/>
          <w:color w:val="auto"/>
          <w:sz w:val="24"/>
          <w:szCs w:val="24"/>
          <w:highlight w:val="none"/>
          <w:lang w:val="en-US" w:eastAsia="zh-CN"/>
        </w:rPr>
        <w:t>4.2</w:t>
      </w:r>
      <w:r>
        <w:rPr>
          <w:rFonts w:hint="eastAsia"/>
          <w:color w:val="auto"/>
          <w:sz w:val="24"/>
          <w:szCs w:val="24"/>
          <w:highlight w:val="none"/>
          <w:lang w:eastAsia="zh-CN"/>
        </w:rPr>
        <w:t>中标供应商</w:t>
      </w:r>
      <w:r>
        <w:rPr>
          <w:rFonts w:hint="eastAsia"/>
          <w:color w:val="auto"/>
          <w:sz w:val="24"/>
          <w:szCs w:val="24"/>
          <w:highlight w:val="none"/>
        </w:rPr>
        <w:t>须保证供货产品质量不低于投标</w:t>
      </w:r>
      <w:r>
        <w:rPr>
          <w:rFonts w:hint="eastAsia"/>
          <w:color w:val="auto"/>
          <w:sz w:val="24"/>
          <w:szCs w:val="24"/>
          <w:highlight w:val="none"/>
          <w:lang w:eastAsia="zh-CN"/>
        </w:rPr>
        <w:t>时</w:t>
      </w:r>
      <w:r>
        <w:rPr>
          <w:rFonts w:hint="eastAsia"/>
          <w:color w:val="auto"/>
          <w:sz w:val="24"/>
          <w:szCs w:val="24"/>
          <w:highlight w:val="none"/>
        </w:rPr>
        <w:t>所有成品彩色照片或视频要求，如低于所有成品彩色照片或视频要求或</w:t>
      </w:r>
      <w:r>
        <w:rPr>
          <w:rFonts w:hint="eastAsia"/>
          <w:color w:val="auto"/>
          <w:sz w:val="24"/>
          <w:szCs w:val="24"/>
          <w:highlight w:val="none"/>
          <w:lang w:eastAsia="zh-CN"/>
        </w:rPr>
        <w:t>采购文件</w:t>
      </w:r>
      <w:r>
        <w:rPr>
          <w:rFonts w:hint="eastAsia"/>
          <w:color w:val="auto"/>
          <w:sz w:val="24"/>
          <w:szCs w:val="24"/>
          <w:highlight w:val="none"/>
        </w:rPr>
        <w:t>质量要求，</w:t>
      </w:r>
      <w:r>
        <w:rPr>
          <w:rFonts w:hint="eastAsia"/>
          <w:color w:val="auto"/>
          <w:sz w:val="24"/>
          <w:szCs w:val="24"/>
          <w:highlight w:val="none"/>
          <w:lang w:eastAsia="zh-CN"/>
        </w:rPr>
        <w:t>采购人</w:t>
      </w:r>
      <w:r>
        <w:rPr>
          <w:rFonts w:hint="eastAsia"/>
          <w:color w:val="auto"/>
          <w:sz w:val="24"/>
          <w:szCs w:val="24"/>
          <w:highlight w:val="none"/>
        </w:rPr>
        <w:t>有权要求退货，调换合格的产品至</w:t>
      </w:r>
      <w:r>
        <w:rPr>
          <w:rFonts w:hint="eastAsia"/>
          <w:color w:val="auto"/>
          <w:sz w:val="24"/>
          <w:szCs w:val="24"/>
          <w:highlight w:val="none"/>
          <w:lang w:eastAsia="zh-CN"/>
        </w:rPr>
        <w:t>采购人</w:t>
      </w:r>
      <w:r>
        <w:rPr>
          <w:rFonts w:hint="eastAsia"/>
          <w:color w:val="auto"/>
          <w:sz w:val="24"/>
          <w:szCs w:val="24"/>
          <w:highlight w:val="none"/>
        </w:rPr>
        <w:t>满意为止，所产生的一切费用由</w:t>
      </w:r>
      <w:r>
        <w:rPr>
          <w:rFonts w:hint="eastAsia"/>
          <w:color w:val="auto"/>
          <w:sz w:val="24"/>
          <w:szCs w:val="24"/>
          <w:highlight w:val="none"/>
          <w:lang w:eastAsia="zh-CN"/>
        </w:rPr>
        <w:t>中标供应商</w:t>
      </w:r>
      <w:r>
        <w:rPr>
          <w:rFonts w:hint="eastAsia"/>
          <w:color w:val="auto"/>
          <w:sz w:val="24"/>
          <w:szCs w:val="24"/>
          <w:highlight w:val="none"/>
        </w:rPr>
        <w:t>自行承担。</w:t>
      </w:r>
    </w:p>
    <w:p>
      <w:pPr>
        <w:pStyle w:val="2"/>
        <w:keepNext w:val="0"/>
        <w:keepLines w:val="0"/>
        <w:pageBreakBefore w:val="0"/>
        <w:kinsoku/>
        <w:wordWrap/>
        <w:overflowPunct/>
        <w:topLinePunct w:val="0"/>
        <w:bidi w:val="0"/>
        <w:spacing w:line="400" w:lineRule="atLeast"/>
        <w:rPr>
          <w:rFonts w:hint="eastAsia"/>
          <w:color w:val="auto"/>
          <w:sz w:val="24"/>
          <w:szCs w:val="24"/>
          <w:highlight w:val="none"/>
          <w:lang w:val="en-US" w:eastAsia="zh-CN"/>
        </w:rPr>
      </w:pPr>
      <w:r>
        <w:rPr>
          <w:rFonts w:hint="eastAsia"/>
          <w:color w:val="auto"/>
          <w:sz w:val="24"/>
          <w:szCs w:val="24"/>
          <w:highlight w:val="none"/>
          <w:lang w:val="en-US" w:eastAsia="zh-CN"/>
        </w:rPr>
        <w:t>4.3本项目需符合消防、市监、行政执法等有关部门检查验收标准，检查验收期间发生的一切费用由中标供应商承担，采购人保留向中标供应商索赔的权利</w:t>
      </w:r>
      <w:r>
        <w:rPr>
          <w:rFonts w:hint="eastAsia"/>
          <w:color w:val="auto"/>
          <w:sz w:val="24"/>
          <w:szCs w:val="24"/>
          <w:highlight w:val="none"/>
        </w:rPr>
        <w:t>。</w:t>
      </w:r>
    </w:p>
    <w:p>
      <w:pPr>
        <w:pStyle w:val="2"/>
        <w:rPr>
          <w:rFonts w:hint="eastAsia"/>
          <w:color w:val="auto"/>
          <w:highlight w:val="none"/>
        </w:rPr>
      </w:pPr>
    </w:p>
    <w:p>
      <w:pPr>
        <w:spacing w:line="360" w:lineRule="auto"/>
        <w:jc w:val="center"/>
        <w:outlineLvl w:val="0"/>
        <w:rPr>
          <w:rFonts w:hint="eastAsia" w:ascii="宋体" w:hAnsi="宋体" w:cs="宋体"/>
          <w:b/>
          <w:color w:val="auto"/>
          <w:sz w:val="24"/>
          <w:highlight w:val="none"/>
        </w:rPr>
        <w:sectPr>
          <w:headerReference r:id="rId10" w:type="first"/>
          <w:footerReference r:id="rId12" w:type="first"/>
          <w:headerReference r:id="rId9" w:type="default"/>
          <w:footerReference r:id="rId11" w:type="default"/>
          <w:pgSz w:w="16838" w:h="11906" w:orient="landscape"/>
          <w:pgMar w:top="1134" w:right="1276" w:bottom="1134" w:left="1247"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158" w:name="_Toc184308053"/>
      <w:bookmarkEnd w:id="158"/>
      <w:bookmarkStart w:id="159" w:name="_Toc184308108"/>
      <w:bookmarkEnd w:id="159"/>
      <w:bookmarkStart w:id="160" w:name="_Toc184312074"/>
      <w:bookmarkEnd w:id="160"/>
      <w:bookmarkStart w:id="161" w:name="_Toc184308063"/>
      <w:bookmarkEnd w:id="161"/>
      <w:bookmarkStart w:id="162" w:name="_Toc184312129"/>
      <w:bookmarkEnd w:id="162"/>
      <w:bookmarkStart w:id="163" w:name="_Toc184313277"/>
      <w:bookmarkEnd w:id="163"/>
      <w:bookmarkStart w:id="164" w:name="_Toc184313242"/>
      <w:bookmarkEnd w:id="164"/>
      <w:bookmarkStart w:id="165" w:name="_Toc184310283"/>
      <w:bookmarkEnd w:id="165"/>
      <w:bookmarkStart w:id="166" w:name="_Toc184310292"/>
      <w:bookmarkEnd w:id="166"/>
      <w:bookmarkStart w:id="167" w:name="_Toc184310337"/>
      <w:bookmarkEnd w:id="167"/>
      <w:bookmarkStart w:id="168" w:name="_Toc184314443"/>
      <w:bookmarkEnd w:id="168"/>
      <w:bookmarkStart w:id="169" w:name="_Toc184310306"/>
      <w:bookmarkEnd w:id="169"/>
      <w:bookmarkStart w:id="170" w:name="_Toc184308071"/>
      <w:bookmarkEnd w:id="170"/>
      <w:bookmarkStart w:id="171" w:name="_Toc184313283"/>
      <w:bookmarkEnd w:id="171"/>
      <w:bookmarkStart w:id="172" w:name="_Toc184312083"/>
      <w:bookmarkEnd w:id="172"/>
      <w:bookmarkStart w:id="173" w:name="_Toc184314467"/>
      <w:bookmarkEnd w:id="173"/>
      <w:bookmarkStart w:id="174" w:name="_Toc184312119"/>
      <w:bookmarkEnd w:id="174"/>
      <w:bookmarkStart w:id="175" w:name="_Toc184314464"/>
      <w:bookmarkEnd w:id="175"/>
      <w:bookmarkStart w:id="176" w:name="_Toc184314446"/>
      <w:bookmarkEnd w:id="176"/>
      <w:bookmarkStart w:id="177" w:name="_Toc184310318"/>
      <w:bookmarkEnd w:id="177"/>
      <w:bookmarkStart w:id="178" w:name="_Toc184314461"/>
      <w:bookmarkEnd w:id="178"/>
      <w:bookmarkStart w:id="179" w:name="_Toc184314431"/>
      <w:bookmarkEnd w:id="179"/>
      <w:bookmarkStart w:id="180" w:name="_Toc184312080"/>
      <w:bookmarkEnd w:id="180"/>
      <w:bookmarkStart w:id="181" w:name="_Toc184313279"/>
      <w:bookmarkEnd w:id="181"/>
      <w:bookmarkStart w:id="182" w:name="_Toc184308046"/>
      <w:bookmarkEnd w:id="182"/>
      <w:bookmarkStart w:id="183" w:name="_Toc184314473"/>
      <w:bookmarkEnd w:id="183"/>
      <w:bookmarkStart w:id="184" w:name="_Toc184312093"/>
      <w:bookmarkEnd w:id="184"/>
      <w:bookmarkStart w:id="185" w:name="_Toc184313302"/>
      <w:bookmarkEnd w:id="185"/>
      <w:bookmarkStart w:id="186" w:name="_Toc184313246"/>
      <w:bookmarkEnd w:id="186"/>
      <w:bookmarkStart w:id="187" w:name="_Toc184314432"/>
      <w:bookmarkEnd w:id="187"/>
      <w:bookmarkStart w:id="188" w:name="_Toc184308072"/>
      <w:bookmarkEnd w:id="188"/>
      <w:bookmarkStart w:id="189" w:name="_Toc184310282"/>
      <w:bookmarkEnd w:id="189"/>
      <w:bookmarkStart w:id="190" w:name="_Toc184314458"/>
      <w:bookmarkEnd w:id="190"/>
      <w:bookmarkStart w:id="191" w:name="_Toc184308057"/>
      <w:bookmarkEnd w:id="191"/>
      <w:bookmarkStart w:id="192" w:name="_Toc184314417"/>
      <w:bookmarkEnd w:id="192"/>
      <w:bookmarkStart w:id="193" w:name="_Toc184310315"/>
      <w:bookmarkEnd w:id="193"/>
      <w:bookmarkStart w:id="194" w:name="_Toc184308039"/>
      <w:bookmarkEnd w:id="194"/>
      <w:bookmarkStart w:id="195" w:name="_Toc184314444"/>
      <w:bookmarkEnd w:id="195"/>
      <w:bookmarkStart w:id="196" w:name="_Toc184310286"/>
      <w:bookmarkEnd w:id="196"/>
      <w:bookmarkStart w:id="197" w:name="_Toc184314447"/>
      <w:bookmarkEnd w:id="197"/>
      <w:bookmarkStart w:id="198" w:name="_Toc184313262"/>
      <w:bookmarkEnd w:id="198"/>
      <w:bookmarkStart w:id="199" w:name="_Toc184312115"/>
      <w:bookmarkEnd w:id="199"/>
      <w:bookmarkStart w:id="200" w:name="_Toc184313243"/>
      <w:bookmarkEnd w:id="200"/>
      <w:bookmarkStart w:id="201" w:name="_Toc184310278"/>
      <w:bookmarkEnd w:id="201"/>
      <w:bookmarkStart w:id="202" w:name="_Toc184314448"/>
      <w:bookmarkEnd w:id="202"/>
      <w:bookmarkStart w:id="203" w:name="_Toc184310324"/>
      <w:bookmarkEnd w:id="203"/>
      <w:bookmarkStart w:id="204" w:name="_Toc184312114"/>
      <w:bookmarkEnd w:id="204"/>
      <w:bookmarkStart w:id="205" w:name="_Toc184310310"/>
      <w:bookmarkEnd w:id="205"/>
      <w:bookmarkStart w:id="206" w:name="_Toc184314481"/>
      <w:bookmarkEnd w:id="206"/>
      <w:bookmarkStart w:id="207" w:name="_Toc184314428"/>
      <w:bookmarkEnd w:id="207"/>
      <w:bookmarkStart w:id="208" w:name="_Toc184314455"/>
      <w:bookmarkEnd w:id="208"/>
      <w:bookmarkStart w:id="209" w:name="_Toc184314429"/>
      <w:bookmarkEnd w:id="209"/>
      <w:bookmarkStart w:id="210" w:name="_Toc184308089"/>
      <w:bookmarkEnd w:id="210"/>
      <w:bookmarkStart w:id="211" w:name="_Toc184313275"/>
      <w:bookmarkEnd w:id="211"/>
      <w:bookmarkStart w:id="212" w:name="_Toc184310331"/>
      <w:bookmarkEnd w:id="212"/>
      <w:bookmarkStart w:id="213" w:name="_Toc184308077"/>
      <w:bookmarkEnd w:id="213"/>
      <w:bookmarkStart w:id="214" w:name="_Toc184310298"/>
      <w:bookmarkEnd w:id="214"/>
      <w:bookmarkStart w:id="215" w:name="_Toc184314410"/>
      <w:bookmarkEnd w:id="215"/>
      <w:bookmarkStart w:id="216" w:name="_Toc184308048"/>
      <w:bookmarkEnd w:id="216"/>
      <w:bookmarkStart w:id="217" w:name="_Toc184312075"/>
      <w:bookmarkEnd w:id="217"/>
      <w:bookmarkStart w:id="218" w:name="_Toc184314436"/>
      <w:bookmarkEnd w:id="218"/>
      <w:bookmarkStart w:id="219" w:name="_Toc184312120"/>
      <w:bookmarkEnd w:id="219"/>
      <w:bookmarkStart w:id="220" w:name="_Toc184314413"/>
      <w:bookmarkEnd w:id="220"/>
      <w:bookmarkStart w:id="221" w:name="_Toc184312108"/>
      <w:bookmarkEnd w:id="221"/>
      <w:bookmarkStart w:id="222" w:name="_Toc184312137"/>
      <w:bookmarkEnd w:id="222"/>
      <w:bookmarkStart w:id="223" w:name="_Toc184313290"/>
      <w:bookmarkEnd w:id="223"/>
      <w:bookmarkStart w:id="224" w:name="_Toc184313301"/>
      <w:bookmarkEnd w:id="224"/>
      <w:bookmarkStart w:id="225" w:name="_Toc184308100"/>
      <w:bookmarkEnd w:id="225"/>
      <w:bookmarkStart w:id="226" w:name="_Toc184314478"/>
      <w:bookmarkEnd w:id="226"/>
      <w:bookmarkStart w:id="227" w:name="_Toc184314421"/>
      <w:bookmarkEnd w:id="227"/>
      <w:bookmarkStart w:id="228" w:name="_Toc184312118"/>
      <w:bookmarkEnd w:id="228"/>
      <w:bookmarkStart w:id="229" w:name="_Toc184312104"/>
      <w:bookmarkEnd w:id="229"/>
      <w:bookmarkStart w:id="230" w:name="_Toc184310314"/>
      <w:bookmarkEnd w:id="230"/>
      <w:bookmarkStart w:id="231" w:name="_Toc184310287"/>
      <w:bookmarkEnd w:id="231"/>
      <w:bookmarkStart w:id="232" w:name="_Toc184313274"/>
      <w:bookmarkEnd w:id="232"/>
      <w:bookmarkStart w:id="233" w:name="_Toc184312095"/>
      <w:bookmarkEnd w:id="233"/>
      <w:bookmarkStart w:id="234" w:name="_Toc184313295"/>
      <w:bookmarkEnd w:id="234"/>
      <w:bookmarkStart w:id="235" w:name="_Toc184310284"/>
      <w:bookmarkEnd w:id="235"/>
      <w:bookmarkStart w:id="236" w:name="_Toc184310332"/>
      <w:bookmarkEnd w:id="236"/>
      <w:bookmarkStart w:id="237" w:name="_Toc184314471"/>
      <w:bookmarkEnd w:id="237"/>
      <w:bookmarkStart w:id="238" w:name="_Toc184314457"/>
      <w:bookmarkEnd w:id="238"/>
      <w:bookmarkStart w:id="239" w:name="_Toc184308081"/>
      <w:bookmarkEnd w:id="239"/>
      <w:bookmarkStart w:id="240" w:name="_Toc184314418"/>
      <w:bookmarkEnd w:id="240"/>
      <w:bookmarkStart w:id="241" w:name="_Toc184308104"/>
      <w:bookmarkEnd w:id="241"/>
      <w:bookmarkStart w:id="242" w:name="_Toc184314460"/>
      <w:bookmarkEnd w:id="242"/>
      <w:bookmarkStart w:id="243" w:name="_Toc184312077"/>
      <w:bookmarkEnd w:id="243"/>
      <w:bookmarkStart w:id="244" w:name="_Toc184308080"/>
      <w:bookmarkEnd w:id="244"/>
      <w:bookmarkStart w:id="245" w:name="_Toc184312135"/>
      <w:bookmarkEnd w:id="245"/>
      <w:bookmarkStart w:id="246" w:name="_Toc184308085"/>
      <w:bookmarkEnd w:id="246"/>
      <w:bookmarkStart w:id="247" w:name="_Toc184313253"/>
      <w:bookmarkEnd w:id="247"/>
      <w:bookmarkStart w:id="248" w:name="_Toc184308050"/>
      <w:bookmarkEnd w:id="248"/>
      <w:bookmarkStart w:id="249" w:name="_Toc184308099"/>
      <w:bookmarkEnd w:id="249"/>
      <w:bookmarkStart w:id="250" w:name="_Toc184310339"/>
      <w:bookmarkEnd w:id="250"/>
      <w:bookmarkStart w:id="251" w:name="_Toc184312125"/>
      <w:bookmarkEnd w:id="251"/>
      <w:bookmarkStart w:id="252" w:name="_Toc184314477"/>
      <w:bookmarkEnd w:id="252"/>
      <w:bookmarkStart w:id="253" w:name="_Toc184310288"/>
      <w:bookmarkEnd w:id="253"/>
      <w:bookmarkStart w:id="254" w:name="_Toc184312116"/>
      <w:bookmarkEnd w:id="254"/>
      <w:bookmarkStart w:id="255" w:name="_Toc184312130"/>
      <w:bookmarkEnd w:id="255"/>
      <w:bookmarkStart w:id="256" w:name="_Toc184313249"/>
      <w:bookmarkEnd w:id="256"/>
      <w:bookmarkStart w:id="257" w:name="_Toc184310294"/>
      <w:bookmarkEnd w:id="257"/>
      <w:bookmarkStart w:id="258" w:name="_Toc184308037"/>
      <w:bookmarkEnd w:id="258"/>
      <w:bookmarkStart w:id="259" w:name="_Toc184313265"/>
      <w:bookmarkEnd w:id="259"/>
      <w:bookmarkStart w:id="260" w:name="_Toc184308084"/>
      <w:bookmarkEnd w:id="260"/>
      <w:bookmarkStart w:id="261" w:name="_Toc184312081"/>
      <w:bookmarkEnd w:id="261"/>
      <w:bookmarkStart w:id="262" w:name="_Toc184308091"/>
      <w:bookmarkEnd w:id="262"/>
      <w:bookmarkStart w:id="263" w:name="_Toc184313270"/>
      <w:bookmarkEnd w:id="263"/>
      <w:bookmarkStart w:id="264" w:name="_Toc184312134"/>
      <w:bookmarkEnd w:id="264"/>
      <w:bookmarkStart w:id="265" w:name="_Toc184313263"/>
      <w:bookmarkEnd w:id="265"/>
      <w:bookmarkStart w:id="266" w:name="_Toc184313244"/>
      <w:bookmarkEnd w:id="266"/>
      <w:bookmarkStart w:id="267" w:name="_Toc184308075"/>
      <w:bookmarkEnd w:id="267"/>
      <w:bookmarkStart w:id="268" w:name="_Toc184312131"/>
      <w:bookmarkEnd w:id="268"/>
      <w:bookmarkStart w:id="269" w:name="_Toc184310302"/>
      <w:bookmarkEnd w:id="269"/>
      <w:bookmarkStart w:id="270" w:name="_Toc184312123"/>
      <w:bookmarkEnd w:id="270"/>
      <w:bookmarkStart w:id="271" w:name="_Toc184312085"/>
      <w:bookmarkEnd w:id="271"/>
      <w:bookmarkStart w:id="272" w:name="_Toc184313292"/>
      <w:bookmarkEnd w:id="272"/>
      <w:bookmarkStart w:id="273" w:name="_Toc184314439"/>
      <w:bookmarkEnd w:id="273"/>
      <w:bookmarkStart w:id="274" w:name="_Toc184310307"/>
      <w:bookmarkEnd w:id="274"/>
      <w:bookmarkStart w:id="275" w:name="_Toc184314480"/>
      <w:bookmarkEnd w:id="275"/>
      <w:bookmarkStart w:id="276" w:name="_Toc184314441"/>
      <w:bookmarkEnd w:id="276"/>
      <w:bookmarkStart w:id="277" w:name="_Toc184312110"/>
      <w:bookmarkEnd w:id="277"/>
      <w:bookmarkStart w:id="278" w:name="_Toc184308051"/>
      <w:bookmarkEnd w:id="278"/>
      <w:bookmarkStart w:id="279" w:name="_Toc184308087"/>
      <w:bookmarkEnd w:id="279"/>
      <w:bookmarkStart w:id="280" w:name="_Toc184310303"/>
      <w:bookmarkEnd w:id="280"/>
      <w:bookmarkStart w:id="281" w:name="_Toc184308106"/>
      <w:bookmarkEnd w:id="281"/>
      <w:bookmarkStart w:id="282" w:name="_Toc184310279"/>
      <w:bookmarkEnd w:id="282"/>
      <w:bookmarkStart w:id="283" w:name="_Toc184310343"/>
      <w:bookmarkEnd w:id="283"/>
      <w:bookmarkStart w:id="284" w:name="_Toc184313252"/>
      <w:bookmarkEnd w:id="284"/>
      <w:bookmarkStart w:id="285" w:name="_Toc184312117"/>
      <w:bookmarkEnd w:id="285"/>
      <w:bookmarkStart w:id="286" w:name="_Toc184312102"/>
      <w:bookmarkEnd w:id="286"/>
      <w:bookmarkStart w:id="287" w:name="_Toc184308098"/>
      <w:bookmarkEnd w:id="287"/>
      <w:bookmarkStart w:id="288" w:name="_Toc184308076"/>
      <w:bookmarkEnd w:id="288"/>
      <w:bookmarkStart w:id="289" w:name="_Toc184308040"/>
      <w:bookmarkEnd w:id="289"/>
      <w:bookmarkStart w:id="290" w:name="_Toc184313281"/>
      <w:bookmarkEnd w:id="290"/>
      <w:bookmarkStart w:id="291" w:name="_Toc184313259"/>
      <w:bookmarkEnd w:id="291"/>
      <w:bookmarkStart w:id="292" w:name="_Toc184314445"/>
      <w:bookmarkEnd w:id="292"/>
      <w:bookmarkStart w:id="293" w:name="_Toc184312072"/>
      <w:bookmarkEnd w:id="293"/>
      <w:bookmarkStart w:id="294" w:name="_Toc184313247"/>
      <w:bookmarkEnd w:id="294"/>
      <w:bookmarkStart w:id="295" w:name="_Toc184310316"/>
      <w:bookmarkEnd w:id="295"/>
      <w:bookmarkStart w:id="296" w:name="_Toc184313267"/>
      <w:bookmarkEnd w:id="296"/>
      <w:bookmarkStart w:id="297" w:name="_Toc184308101"/>
      <w:bookmarkEnd w:id="297"/>
      <w:bookmarkStart w:id="298" w:name="_Toc184310312"/>
      <w:bookmarkEnd w:id="298"/>
      <w:bookmarkStart w:id="299" w:name="_Toc184308096"/>
      <w:bookmarkEnd w:id="299"/>
      <w:bookmarkStart w:id="300" w:name="_Toc184313286"/>
      <w:bookmarkEnd w:id="300"/>
      <w:bookmarkStart w:id="301" w:name="_Toc184312087"/>
      <w:bookmarkEnd w:id="301"/>
      <w:bookmarkStart w:id="302" w:name="_Toc184312098"/>
      <w:bookmarkEnd w:id="302"/>
      <w:bookmarkStart w:id="303" w:name="_Toc184313241"/>
      <w:bookmarkEnd w:id="303"/>
      <w:bookmarkStart w:id="304" w:name="_Toc184313294"/>
      <w:bookmarkEnd w:id="304"/>
      <w:bookmarkStart w:id="305" w:name="_Toc184314434"/>
      <w:bookmarkEnd w:id="305"/>
      <w:bookmarkStart w:id="306" w:name="_Toc184313261"/>
      <w:bookmarkEnd w:id="306"/>
      <w:bookmarkStart w:id="307" w:name="_Toc184310336"/>
      <w:bookmarkEnd w:id="307"/>
      <w:bookmarkStart w:id="308" w:name="_Toc184310334"/>
      <w:bookmarkEnd w:id="308"/>
      <w:bookmarkStart w:id="309" w:name="_Toc184312076"/>
      <w:bookmarkEnd w:id="309"/>
      <w:bookmarkStart w:id="310" w:name="_Toc184314425"/>
      <w:bookmarkEnd w:id="310"/>
      <w:bookmarkStart w:id="311" w:name="_Toc184312070"/>
      <w:bookmarkEnd w:id="311"/>
      <w:bookmarkStart w:id="312" w:name="_Toc184313306"/>
      <w:bookmarkEnd w:id="312"/>
      <w:bookmarkStart w:id="313" w:name="_Toc184310330"/>
      <w:bookmarkEnd w:id="313"/>
      <w:bookmarkStart w:id="314" w:name="_Toc184310340"/>
      <w:bookmarkEnd w:id="314"/>
      <w:bookmarkStart w:id="315" w:name="_Toc184308064"/>
      <w:bookmarkEnd w:id="315"/>
      <w:bookmarkStart w:id="316" w:name="_Toc184310276"/>
      <w:bookmarkEnd w:id="316"/>
      <w:bookmarkStart w:id="317" w:name="_Toc184313278"/>
      <w:bookmarkEnd w:id="317"/>
      <w:bookmarkStart w:id="318" w:name="_Toc184308102"/>
      <w:bookmarkEnd w:id="318"/>
      <w:bookmarkStart w:id="319" w:name="_Toc184314442"/>
      <w:bookmarkEnd w:id="319"/>
      <w:bookmarkStart w:id="320" w:name="_Toc184310297"/>
      <w:bookmarkEnd w:id="320"/>
      <w:bookmarkStart w:id="321" w:name="_Toc184313250"/>
      <w:bookmarkEnd w:id="321"/>
      <w:bookmarkStart w:id="322" w:name="_Toc184313288"/>
      <w:bookmarkEnd w:id="322"/>
      <w:bookmarkStart w:id="323" w:name="_Toc184308043"/>
      <w:bookmarkEnd w:id="323"/>
      <w:bookmarkStart w:id="324" w:name="_Toc184308036"/>
      <w:bookmarkEnd w:id="324"/>
      <w:bookmarkStart w:id="325" w:name="_Toc184313285"/>
      <w:bookmarkEnd w:id="325"/>
      <w:bookmarkStart w:id="326" w:name="_Toc184313304"/>
      <w:bookmarkEnd w:id="326"/>
      <w:bookmarkStart w:id="327" w:name="_Toc184310319"/>
      <w:bookmarkEnd w:id="327"/>
      <w:bookmarkStart w:id="328" w:name="_Toc184308097"/>
      <w:bookmarkEnd w:id="328"/>
      <w:bookmarkStart w:id="329" w:name="_Toc184312111"/>
      <w:bookmarkEnd w:id="329"/>
      <w:bookmarkStart w:id="330" w:name="_Toc184310309"/>
      <w:bookmarkEnd w:id="330"/>
      <w:bookmarkStart w:id="331" w:name="_Toc184313245"/>
      <w:bookmarkEnd w:id="331"/>
      <w:bookmarkStart w:id="332" w:name="_Toc184314420"/>
      <w:bookmarkEnd w:id="332"/>
      <w:bookmarkStart w:id="333" w:name="_Toc184313256"/>
      <w:bookmarkEnd w:id="333"/>
      <w:bookmarkStart w:id="334" w:name="_Toc184312096"/>
      <w:bookmarkEnd w:id="334"/>
      <w:bookmarkStart w:id="335" w:name="_Toc184312124"/>
      <w:bookmarkEnd w:id="335"/>
      <w:bookmarkStart w:id="336" w:name="_Toc184313280"/>
      <w:bookmarkEnd w:id="336"/>
      <w:bookmarkStart w:id="337" w:name="_Toc184314451"/>
      <w:bookmarkEnd w:id="337"/>
      <w:bookmarkStart w:id="338" w:name="_Toc184312069"/>
      <w:bookmarkEnd w:id="338"/>
      <w:bookmarkStart w:id="339" w:name="_Toc184314424"/>
      <w:bookmarkEnd w:id="339"/>
      <w:bookmarkStart w:id="340" w:name="_Toc184310273"/>
      <w:bookmarkEnd w:id="340"/>
      <w:bookmarkStart w:id="341" w:name="_Toc184313299"/>
      <w:bookmarkEnd w:id="341"/>
      <w:bookmarkStart w:id="342" w:name="_Toc184314450"/>
      <w:bookmarkEnd w:id="342"/>
      <w:bookmarkStart w:id="343" w:name="_Toc184310295"/>
      <w:bookmarkEnd w:id="343"/>
      <w:bookmarkStart w:id="344" w:name="_Toc184312133"/>
      <w:bookmarkEnd w:id="344"/>
      <w:bookmarkStart w:id="345" w:name="_Toc184314422"/>
      <w:bookmarkEnd w:id="345"/>
      <w:bookmarkStart w:id="346" w:name="_Toc184308055"/>
      <w:bookmarkEnd w:id="346"/>
      <w:bookmarkStart w:id="347" w:name="_Toc184313284"/>
      <w:bookmarkEnd w:id="347"/>
      <w:bookmarkStart w:id="348" w:name="_Toc184313307"/>
      <w:bookmarkEnd w:id="348"/>
      <w:bookmarkStart w:id="349" w:name="_Toc184312136"/>
      <w:bookmarkEnd w:id="349"/>
      <w:bookmarkStart w:id="350" w:name="_Toc184312071"/>
      <w:bookmarkEnd w:id="350"/>
      <w:bookmarkStart w:id="351" w:name="_Toc184314426"/>
      <w:bookmarkEnd w:id="351"/>
      <w:bookmarkStart w:id="352" w:name="_Toc184310313"/>
      <w:bookmarkEnd w:id="352"/>
      <w:bookmarkStart w:id="353" w:name="_Toc184312100"/>
      <w:bookmarkEnd w:id="353"/>
      <w:bookmarkStart w:id="354" w:name="_Toc184310290"/>
      <w:bookmarkEnd w:id="354"/>
      <w:bookmarkStart w:id="355" w:name="_Toc184314440"/>
      <w:bookmarkEnd w:id="355"/>
      <w:bookmarkStart w:id="356" w:name="_Toc184314427"/>
      <w:bookmarkEnd w:id="356"/>
      <w:bookmarkStart w:id="357" w:name="_Toc184314465"/>
      <w:bookmarkEnd w:id="357"/>
      <w:bookmarkStart w:id="358" w:name="_Toc184312089"/>
      <w:bookmarkEnd w:id="358"/>
      <w:bookmarkStart w:id="359" w:name="_Toc184313268"/>
      <w:bookmarkEnd w:id="359"/>
      <w:bookmarkStart w:id="360" w:name="_Toc184310320"/>
      <w:bookmarkEnd w:id="360"/>
      <w:bookmarkStart w:id="361" w:name="_Toc184313251"/>
      <w:bookmarkEnd w:id="361"/>
      <w:bookmarkStart w:id="362" w:name="_Toc184310317"/>
      <w:bookmarkEnd w:id="362"/>
      <w:bookmarkStart w:id="363" w:name="_Toc184310304"/>
      <w:bookmarkEnd w:id="363"/>
      <w:bookmarkStart w:id="364" w:name="_Toc184308054"/>
      <w:bookmarkEnd w:id="364"/>
      <w:bookmarkStart w:id="365" w:name="_Toc184314453"/>
      <w:bookmarkEnd w:id="365"/>
      <w:bookmarkStart w:id="366" w:name="_Toc184310333"/>
      <w:bookmarkEnd w:id="366"/>
      <w:bookmarkStart w:id="367" w:name="_Toc184313287"/>
      <w:bookmarkEnd w:id="367"/>
      <w:bookmarkStart w:id="368" w:name="_Toc184313258"/>
      <w:bookmarkEnd w:id="368"/>
      <w:bookmarkStart w:id="369" w:name="_Toc184312109"/>
      <w:bookmarkEnd w:id="369"/>
      <w:bookmarkStart w:id="370" w:name="_Toc184310299"/>
      <w:bookmarkEnd w:id="370"/>
      <w:bookmarkStart w:id="371" w:name="_Toc184310328"/>
      <w:bookmarkEnd w:id="371"/>
      <w:bookmarkStart w:id="372" w:name="_Toc184312126"/>
      <w:bookmarkEnd w:id="372"/>
      <w:bookmarkStart w:id="373" w:name="_Toc184308078"/>
      <w:bookmarkEnd w:id="373"/>
      <w:bookmarkStart w:id="374" w:name="_Toc184308092"/>
      <w:bookmarkEnd w:id="374"/>
      <w:bookmarkStart w:id="375" w:name="_Toc184308056"/>
      <w:bookmarkEnd w:id="375"/>
      <w:bookmarkStart w:id="376" w:name="_Toc184308066"/>
      <w:bookmarkEnd w:id="376"/>
      <w:bookmarkStart w:id="377" w:name="_Toc184308073"/>
      <w:bookmarkEnd w:id="377"/>
      <w:bookmarkStart w:id="378" w:name="_Toc184312113"/>
      <w:bookmarkEnd w:id="378"/>
      <w:bookmarkStart w:id="379" w:name="_Toc184314475"/>
      <w:bookmarkEnd w:id="379"/>
      <w:bookmarkStart w:id="380" w:name="_Toc184314463"/>
      <w:bookmarkEnd w:id="380"/>
      <w:bookmarkStart w:id="381" w:name="_Toc184313296"/>
      <w:bookmarkEnd w:id="381"/>
      <w:bookmarkStart w:id="382" w:name="_Toc184312106"/>
      <w:bookmarkEnd w:id="382"/>
      <w:bookmarkStart w:id="383" w:name="_Toc184313298"/>
      <w:bookmarkEnd w:id="383"/>
      <w:bookmarkStart w:id="384" w:name="_Toc184314470"/>
      <w:bookmarkEnd w:id="384"/>
      <w:bookmarkStart w:id="385" w:name="_Toc184314419"/>
      <w:bookmarkEnd w:id="385"/>
      <w:bookmarkStart w:id="386" w:name="_Toc184314459"/>
      <w:bookmarkEnd w:id="386"/>
      <w:bookmarkStart w:id="387" w:name="_Toc184310289"/>
      <w:bookmarkEnd w:id="387"/>
      <w:bookmarkStart w:id="388" w:name="_Toc184310325"/>
      <w:bookmarkEnd w:id="388"/>
      <w:bookmarkStart w:id="389" w:name="_Toc184308059"/>
      <w:bookmarkEnd w:id="389"/>
      <w:bookmarkStart w:id="390" w:name="_Toc184312092"/>
      <w:bookmarkEnd w:id="390"/>
      <w:bookmarkStart w:id="391" w:name="_Toc184314469"/>
      <w:bookmarkEnd w:id="391"/>
      <w:bookmarkStart w:id="392" w:name="_Toc184312078"/>
      <w:bookmarkEnd w:id="392"/>
      <w:bookmarkStart w:id="393" w:name="_Toc184313305"/>
      <w:bookmarkEnd w:id="393"/>
      <w:bookmarkStart w:id="394" w:name="_Toc184312122"/>
      <w:bookmarkEnd w:id="394"/>
      <w:bookmarkStart w:id="395" w:name="_Toc184314430"/>
      <w:bookmarkEnd w:id="395"/>
      <w:bookmarkStart w:id="396" w:name="_Toc184310327"/>
      <w:bookmarkEnd w:id="396"/>
      <w:bookmarkStart w:id="397" w:name="_Toc184312101"/>
      <w:bookmarkEnd w:id="397"/>
      <w:bookmarkStart w:id="398" w:name="_Toc184310293"/>
      <w:bookmarkEnd w:id="398"/>
      <w:bookmarkStart w:id="399" w:name="_Toc184308070"/>
      <w:bookmarkEnd w:id="399"/>
      <w:bookmarkStart w:id="400" w:name="_Toc184312073"/>
      <w:bookmarkEnd w:id="400"/>
      <w:bookmarkStart w:id="401" w:name="_Toc184312086"/>
      <w:bookmarkEnd w:id="401"/>
      <w:bookmarkStart w:id="402" w:name="_Toc184313309"/>
      <w:bookmarkEnd w:id="402"/>
      <w:bookmarkStart w:id="403" w:name="_Toc184313254"/>
      <w:bookmarkEnd w:id="403"/>
      <w:bookmarkStart w:id="404" w:name="_Toc184314416"/>
      <w:bookmarkEnd w:id="404"/>
      <w:bookmarkStart w:id="405" w:name="_Toc184308052"/>
      <w:bookmarkEnd w:id="405"/>
      <w:bookmarkStart w:id="406" w:name="_Toc184308041"/>
      <w:bookmarkEnd w:id="406"/>
      <w:bookmarkStart w:id="407" w:name="_Toc184310311"/>
      <w:bookmarkEnd w:id="407"/>
      <w:bookmarkStart w:id="408" w:name="_Toc184314433"/>
      <w:bookmarkEnd w:id="408"/>
      <w:bookmarkStart w:id="409" w:name="_Toc184310344"/>
      <w:bookmarkEnd w:id="409"/>
      <w:bookmarkStart w:id="410" w:name="_Toc184314423"/>
      <w:bookmarkEnd w:id="410"/>
      <w:bookmarkStart w:id="411" w:name="_Toc184313272"/>
      <w:bookmarkEnd w:id="411"/>
      <w:bookmarkStart w:id="412" w:name="_Toc184312128"/>
      <w:bookmarkEnd w:id="412"/>
      <w:bookmarkStart w:id="413" w:name="_Toc184308094"/>
      <w:bookmarkEnd w:id="413"/>
      <w:bookmarkStart w:id="414" w:name="_Toc184313291"/>
      <w:bookmarkEnd w:id="414"/>
      <w:bookmarkStart w:id="415" w:name="_Toc184313297"/>
      <w:bookmarkEnd w:id="415"/>
      <w:bookmarkStart w:id="416" w:name="_Toc184314462"/>
      <w:bookmarkEnd w:id="416"/>
      <w:bookmarkStart w:id="417" w:name="_Toc184310321"/>
      <w:bookmarkEnd w:id="417"/>
      <w:bookmarkStart w:id="418" w:name="_Toc184313282"/>
      <w:bookmarkEnd w:id="418"/>
      <w:bookmarkStart w:id="419" w:name="_Toc184313248"/>
      <w:bookmarkEnd w:id="419"/>
      <w:bookmarkStart w:id="420" w:name="_Toc184310335"/>
      <w:bookmarkEnd w:id="420"/>
      <w:bookmarkStart w:id="421" w:name="_Toc184314414"/>
      <w:bookmarkEnd w:id="421"/>
      <w:bookmarkStart w:id="422" w:name="_Toc184312091"/>
      <w:bookmarkEnd w:id="422"/>
      <w:bookmarkStart w:id="423" w:name="_Toc184313303"/>
      <w:bookmarkEnd w:id="423"/>
      <w:bookmarkStart w:id="424" w:name="_Toc184314468"/>
      <w:bookmarkEnd w:id="424"/>
      <w:bookmarkStart w:id="425" w:name="_Toc184314435"/>
      <w:bookmarkEnd w:id="425"/>
      <w:bookmarkStart w:id="426" w:name="_Toc184308044"/>
      <w:bookmarkEnd w:id="426"/>
      <w:bookmarkStart w:id="427" w:name="_Toc184310322"/>
      <w:bookmarkEnd w:id="427"/>
      <w:bookmarkStart w:id="428" w:name="_Toc184308068"/>
      <w:bookmarkEnd w:id="428"/>
      <w:bookmarkStart w:id="429" w:name="_Toc184313269"/>
      <w:bookmarkEnd w:id="429"/>
      <w:bookmarkStart w:id="430" w:name="_Toc184312068"/>
      <w:bookmarkEnd w:id="430"/>
      <w:bookmarkStart w:id="431" w:name="_Toc184314476"/>
      <w:bookmarkEnd w:id="431"/>
      <w:bookmarkStart w:id="432" w:name="_Toc184312105"/>
      <w:bookmarkEnd w:id="432"/>
      <w:bookmarkStart w:id="433" w:name="_Toc184313239"/>
      <w:bookmarkEnd w:id="433"/>
      <w:bookmarkStart w:id="434" w:name="_Toc184310323"/>
      <w:bookmarkEnd w:id="434"/>
      <w:bookmarkStart w:id="435" w:name="_Toc184312067"/>
      <w:bookmarkEnd w:id="435"/>
      <w:bookmarkStart w:id="436" w:name="_Toc184308061"/>
      <w:bookmarkEnd w:id="436"/>
      <w:bookmarkStart w:id="437" w:name="_Toc184310274"/>
      <w:bookmarkEnd w:id="437"/>
      <w:bookmarkStart w:id="438" w:name="_Toc184310285"/>
      <w:bookmarkEnd w:id="438"/>
      <w:bookmarkStart w:id="439" w:name="_Toc184310342"/>
      <w:bookmarkEnd w:id="439"/>
      <w:bookmarkStart w:id="440" w:name="_Toc184314456"/>
      <w:bookmarkEnd w:id="440"/>
      <w:bookmarkStart w:id="441" w:name="_Toc184312084"/>
      <w:bookmarkEnd w:id="441"/>
      <w:bookmarkStart w:id="442" w:name="_Toc184308083"/>
      <w:bookmarkEnd w:id="442"/>
      <w:bookmarkStart w:id="443" w:name="_Toc184313308"/>
      <w:bookmarkEnd w:id="443"/>
      <w:bookmarkStart w:id="444" w:name="_Toc184310326"/>
      <w:bookmarkEnd w:id="444"/>
      <w:bookmarkStart w:id="445" w:name="_Toc184314438"/>
      <w:bookmarkEnd w:id="445"/>
      <w:bookmarkStart w:id="446" w:name="_Toc184312139"/>
      <w:bookmarkEnd w:id="446"/>
      <w:bookmarkStart w:id="447" w:name="_Toc184308090"/>
      <w:bookmarkEnd w:id="447"/>
      <w:bookmarkStart w:id="448" w:name="_Toc184312132"/>
      <w:bookmarkEnd w:id="448"/>
      <w:bookmarkStart w:id="449" w:name="_Toc184308038"/>
      <w:bookmarkEnd w:id="449"/>
      <w:bookmarkStart w:id="450" w:name="_Toc184313300"/>
      <w:bookmarkEnd w:id="450"/>
      <w:bookmarkStart w:id="451" w:name="_Toc184313293"/>
      <w:bookmarkEnd w:id="451"/>
      <w:bookmarkStart w:id="452" w:name="_Toc184312082"/>
      <w:bookmarkEnd w:id="452"/>
      <w:bookmarkStart w:id="453" w:name="_Toc184313260"/>
      <w:bookmarkEnd w:id="453"/>
      <w:bookmarkStart w:id="454" w:name="_Toc184313238"/>
      <w:bookmarkEnd w:id="454"/>
      <w:bookmarkStart w:id="455" w:name="_Toc184308042"/>
      <w:bookmarkEnd w:id="455"/>
      <w:bookmarkStart w:id="456" w:name="_Toc184308062"/>
      <w:bookmarkEnd w:id="456"/>
      <w:bookmarkStart w:id="457" w:name="_Toc184308067"/>
      <w:bookmarkEnd w:id="457"/>
      <w:bookmarkStart w:id="458" w:name="_Toc184310272"/>
      <w:bookmarkEnd w:id="458"/>
      <w:bookmarkStart w:id="459" w:name="_Toc184314452"/>
      <w:bookmarkEnd w:id="459"/>
      <w:bookmarkStart w:id="460" w:name="_Toc184308107"/>
      <w:bookmarkEnd w:id="460"/>
      <w:bookmarkStart w:id="461" w:name="_Toc184308047"/>
      <w:bookmarkEnd w:id="461"/>
      <w:bookmarkStart w:id="462" w:name="_Toc184314474"/>
      <w:bookmarkEnd w:id="462"/>
      <w:bookmarkStart w:id="463" w:name="_Toc184310281"/>
      <w:bookmarkEnd w:id="463"/>
      <w:bookmarkStart w:id="464" w:name="_Toc184310280"/>
      <w:bookmarkEnd w:id="464"/>
      <w:bookmarkStart w:id="465" w:name="_Toc184310308"/>
      <w:bookmarkEnd w:id="465"/>
      <w:bookmarkStart w:id="466" w:name="_Toc184308093"/>
      <w:bookmarkEnd w:id="466"/>
      <w:bookmarkStart w:id="467" w:name="_Toc184313255"/>
      <w:bookmarkEnd w:id="467"/>
      <w:bookmarkStart w:id="468" w:name="_Toc184308088"/>
      <w:bookmarkEnd w:id="468"/>
      <w:bookmarkStart w:id="469" w:name="_Toc184308103"/>
      <w:bookmarkEnd w:id="469"/>
      <w:bookmarkStart w:id="470" w:name="_Toc184314454"/>
      <w:bookmarkEnd w:id="470"/>
      <w:bookmarkStart w:id="471" w:name="_Toc184308095"/>
      <w:bookmarkEnd w:id="471"/>
      <w:bookmarkStart w:id="472" w:name="_Toc184308058"/>
      <w:bookmarkEnd w:id="472"/>
      <w:bookmarkStart w:id="473" w:name="_Toc184313266"/>
      <w:bookmarkEnd w:id="473"/>
      <w:bookmarkStart w:id="474" w:name="_Toc184313240"/>
      <w:bookmarkEnd w:id="474"/>
      <w:bookmarkStart w:id="475" w:name="_Toc184312090"/>
      <w:bookmarkEnd w:id="475"/>
      <w:bookmarkStart w:id="476" w:name="_Toc184314415"/>
      <w:bookmarkEnd w:id="476"/>
      <w:bookmarkStart w:id="477" w:name="_Toc184314479"/>
      <w:bookmarkEnd w:id="477"/>
      <w:bookmarkStart w:id="478" w:name="_Toc184308105"/>
      <w:bookmarkEnd w:id="478"/>
      <w:bookmarkStart w:id="479" w:name="_Toc184314437"/>
      <w:bookmarkEnd w:id="479"/>
      <w:bookmarkStart w:id="480" w:name="_Toc184308065"/>
      <w:bookmarkEnd w:id="480"/>
      <w:bookmarkStart w:id="481" w:name="_Toc184313264"/>
      <w:bookmarkEnd w:id="481"/>
      <w:bookmarkStart w:id="482" w:name="_Toc184308074"/>
      <w:bookmarkEnd w:id="482"/>
      <w:bookmarkStart w:id="483" w:name="_Toc184313276"/>
      <w:bookmarkEnd w:id="483"/>
      <w:bookmarkStart w:id="484" w:name="_Toc184312099"/>
      <w:bookmarkEnd w:id="484"/>
      <w:bookmarkStart w:id="485" w:name="_Toc184310305"/>
      <w:bookmarkEnd w:id="485"/>
      <w:bookmarkStart w:id="486" w:name="_Toc184312088"/>
      <w:bookmarkEnd w:id="486"/>
      <w:bookmarkStart w:id="487" w:name="_Toc184313273"/>
      <w:bookmarkEnd w:id="487"/>
      <w:bookmarkStart w:id="488" w:name="_Toc184308069"/>
      <w:bookmarkEnd w:id="488"/>
      <w:bookmarkStart w:id="489" w:name="_Toc184310275"/>
      <w:bookmarkEnd w:id="489"/>
      <w:bookmarkStart w:id="490" w:name="_Toc184312094"/>
      <w:bookmarkEnd w:id="490"/>
      <w:bookmarkStart w:id="491" w:name="_Toc184310296"/>
      <w:bookmarkEnd w:id="491"/>
      <w:bookmarkStart w:id="492" w:name="_Toc184314472"/>
      <w:bookmarkEnd w:id="492"/>
      <w:bookmarkStart w:id="493" w:name="_Toc184310329"/>
      <w:bookmarkEnd w:id="493"/>
      <w:bookmarkStart w:id="494" w:name="_Toc184313271"/>
      <w:bookmarkEnd w:id="494"/>
      <w:bookmarkStart w:id="495" w:name="_Toc184312107"/>
      <w:bookmarkEnd w:id="495"/>
      <w:bookmarkStart w:id="496" w:name="_Toc184312112"/>
      <w:bookmarkEnd w:id="496"/>
      <w:bookmarkStart w:id="497" w:name="_Toc184314411"/>
      <w:bookmarkEnd w:id="497"/>
      <w:bookmarkStart w:id="498" w:name="_Toc184314449"/>
      <w:bookmarkEnd w:id="498"/>
      <w:bookmarkStart w:id="499" w:name="_Toc184312103"/>
      <w:bookmarkEnd w:id="499"/>
      <w:bookmarkStart w:id="500" w:name="_Toc184308060"/>
      <w:bookmarkEnd w:id="500"/>
      <w:bookmarkStart w:id="501" w:name="_Toc184308079"/>
      <w:bookmarkEnd w:id="501"/>
      <w:bookmarkStart w:id="502" w:name="_Toc184312121"/>
      <w:bookmarkEnd w:id="502"/>
      <w:bookmarkStart w:id="503" w:name="_Toc184314412"/>
      <w:bookmarkEnd w:id="503"/>
      <w:bookmarkStart w:id="504" w:name="_Toc184310341"/>
      <w:bookmarkEnd w:id="504"/>
      <w:bookmarkStart w:id="505" w:name="_Toc184310277"/>
      <w:bookmarkEnd w:id="505"/>
      <w:bookmarkStart w:id="506" w:name="_Toc184308045"/>
      <w:bookmarkEnd w:id="506"/>
      <w:bookmarkStart w:id="507" w:name="_Toc184313257"/>
      <w:bookmarkEnd w:id="507"/>
      <w:bookmarkStart w:id="508" w:name="_Toc184313310"/>
      <w:bookmarkEnd w:id="508"/>
      <w:bookmarkStart w:id="509" w:name="_Toc184314482"/>
      <w:bookmarkEnd w:id="509"/>
      <w:bookmarkStart w:id="510" w:name="_Toc184312138"/>
      <w:bookmarkEnd w:id="510"/>
      <w:bookmarkStart w:id="511" w:name="_Toc184308082"/>
      <w:bookmarkEnd w:id="511"/>
      <w:bookmarkStart w:id="512" w:name="_Toc184310291"/>
      <w:bookmarkEnd w:id="512"/>
      <w:bookmarkStart w:id="513" w:name="_Toc184308049"/>
      <w:bookmarkEnd w:id="513"/>
      <w:bookmarkStart w:id="514" w:name="_Toc184312079"/>
      <w:bookmarkEnd w:id="514"/>
      <w:bookmarkStart w:id="515" w:name="_Toc184308086"/>
      <w:bookmarkEnd w:id="515"/>
      <w:bookmarkStart w:id="516" w:name="_Toc184310301"/>
      <w:bookmarkEnd w:id="516"/>
      <w:bookmarkStart w:id="517" w:name="_Toc184313289"/>
      <w:bookmarkEnd w:id="517"/>
      <w:bookmarkStart w:id="518" w:name="_Toc184312097"/>
      <w:bookmarkEnd w:id="518"/>
      <w:bookmarkStart w:id="519" w:name="_Toc184312127"/>
      <w:bookmarkEnd w:id="519"/>
      <w:bookmarkStart w:id="520" w:name="_Toc184314466"/>
      <w:bookmarkEnd w:id="520"/>
      <w:bookmarkStart w:id="521" w:name="_Toc184310300"/>
      <w:bookmarkEnd w:id="521"/>
      <w:bookmarkStart w:id="522" w:name="_Toc184310338"/>
      <w:bookmarkEnd w:id="522"/>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pPr>
        <w:keepNext w:val="0"/>
        <w:keepLines w:val="0"/>
        <w:pageBreakBefore w:val="0"/>
        <w:widowControl w:val="0"/>
        <w:kinsoku/>
        <w:wordWrap/>
        <w:overflowPunct/>
        <w:topLinePunct w:val="0"/>
        <w:autoSpaceDE/>
        <w:autoSpaceDN/>
        <w:bidi w:val="0"/>
        <w:adjustRightInd/>
        <w:spacing w:line="360" w:lineRule="auto"/>
        <w:ind w:firstLine="433" w:firstLineChars="196"/>
        <w:textAlignment w:val="auto"/>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lang w:val="en-US" w:eastAsia="zh-CN"/>
        </w:rPr>
        <w:t>1、</w:t>
      </w:r>
      <w:r>
        <w:rPr>
          <w:rFonts w:hint="eastAsia" w:ascii="宋体" w:hAnsi="宋体" w:eastAsia="宋体" w:cs="宋体"/>
          <w:b/>
          <w:color w:val="auto"/>
          <w:kern w:val="0"/>
          <w:sz w:val="22"/>
          <w:szCs w:val="22"/>
          <w:highlight w:val="none"/>
        </w:rPr>
        <w:t>商务技术文件的评定（</w:t>
      </w:r>
      <w:r>
        <w:rPr>
          <w:rFonts w:hint="eastAsia" w:ascii="宋体" w:hAnsi="宋体" w:eastAsia="宋体" w:cs="宋体"/>
          <w:b/>
          <w:color w:val="auto"/>
          <w:kern w:val="0"/>
          <w:sz w:val="22"/>
          <w:szCs w:val="22"/>
          <w:highlight w:val="none"/>
          <w:lang w:val="en-US" w:eastAsia="zh-CN"/>
        </w:rPr>
        <w:t>70</w:t>
      </w:r>
      <w:r>
        <w:rPr>
          <w:rFonts w:hint="eastAsia" w:ascii="宋体" w:hAnsi="宋体" w:eastAsia="宋体" w:cs="宋体"/>
          <w:b/>
          <w:color w:val="auto"/>
          <w:kern w:val="0"/>
          <w:sz w:val="22"/>
          <w:szCs w:val="22"/>
          <w:highlight w:val="none"/>
        </w:rPr>
        <w:t>分）</w:t>
      </w:r>
    </w:p>
    <w:tbl>
      <w:tblPr>
        <w:tblStyle w:val="16"/>
        <w:tblW w:w="106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55"/>
        <w:gridCol w:w="8034"/>
        <w:gridCol w:w="800"/>
        <w:gridCol w:w="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both"/>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序号</w:t>
            </w:r>
          </w:p>
        </w:tc>
        <w:tc>
          <w:tcPr>
            <w:tcW w:w="8034"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50" w:right="0"/>
              <w:jc w:val="left"/>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评分内容</w:t>
            </w:r>
          </w:p>
        </w:tc>
        <w:tc>
          <w:tcPr>
            <w:tcW w:w="80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50" w:right="0"/>
              <w:jc w:val="center"/>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分数</w:t>
            </w:r>
          </w:p>
        </w:tc>
        <w:tc>
          <w:tcPr>
            <w:tcW w:w="974"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50" w:right="0"/>
              <w:jc w:val="center"/>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1</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adjustRightInd/>
              <w:textAlignment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投标人具有ISO14001环境管理体系认证证书，得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rPr>
              <w:t>分；</w:t>
            </w:r>
          </w:p>
          <w:p>
            <w:pPr>
              <w:widowControl/>
              <w:adjustRightInd/>
              <w:textAlignment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投标人具有ISO45001职业健康安全管理体系认证证书，得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rPr>
              <w:t>分；</w:t>
            </w:r>
          </w:p>
          <w:p>
            <w:pPr>
              <w:widowControl/>
              <w:adjustRightInd/>
              <w:textAlignment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投标人具有ISO9001质量管理体系认证证书，得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rPr>
              <w:t>分；</w:t>
            </w:r>
          </w:p>
          <w:p>
            <w:pPr>
              <w:widowControl/>
              <w:adjustRightInd/>
              <w:textAlignment w:val="center"/>
              <w:rPr>
                <w:rFonts w:hint="eastAsia" w:ascii="宋体" w:hAnsi="宋体" w:eastAsia="宋体" w:cs="宋体"/>
                <w:kern w:val="0"/>
                <w:sz w:val="24"/>
                <w:szCs w:val="24"/>
                <w:highlight w:val="none"/>
                <w:lang w:val="en-US"/>
              </w:rPr>
            </w:pPr>
            <w:r>
              <w:rPr>
                <w:rFonts w:hint="eastAsia" w:ascii="宋体" w:hAnsi="宋体" w:eastAsia="宋体" w:cs="宋体"/>
                <w:sz w:val="22"/>
                <w:szCs w:val="22"/>
                <w:highlight w:val="none"/>
              </w:rPr>
              <w:t>注：需提供相关证书扫描件</w:t>
            </w:r>
            <w:r>
              <w:rPr>
                <w:rFonts w:hint="eastAsia" w:ascii="宋体" w:hAnsi="宋体" w:eastAsia="宋体" w:cs="宋体"/>
                <w:sz w:val="22"/>
                <w:szCs w:val="22"/>
                <w:highlight w:val="none"/>
                <w:lang w:eastAsia="zh-CN"/>
              </w:rPr>
              <w:t>，且所有证书都在有效期内</w:t>
            </w:r>
            <w:r>
              <w:rPr>
                <w:rFonts w:hint="eastAsia" w:ascii="宋体" w:hAnsi="宋体" w:eastAsia="宋体" w:cs="宋体"/>
                <w:sz w:val="22"/>
                <w:szCs w:val="22"/>
                <w:highlight w:val="none"/>
              </w:rPr>
              <w:t>，否则不得分。</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rPr>
            </w:pPr>
            <w:r>
              <w:rPr>
                <w:rFonts w:hint="eastAsia" w:ascii="宋体" w:hAnsi="宋体" w:cs="宋体"/>
                <w:color w:val="000000"/>
                <w:kern w:val="0"/>
                <w:sz w:val="22"/>
                <w:szCs w:val="22"/>
                <w:highlight w:val="none"/>
                <w:lang w:val="en-US" w:eastAsia="zh-CN" w:bidi="ar"/>
              </w:rPr>
              <w:t>6</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2</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adjustRightInd/>
              <w:textAlignment w:val="center"/>
              <w:rPr>
                <w:rFonts w:hint="eastAsia" w:ascii="宋体" w:hAnsi="宋体" w:eastAsia="宋体" w:cs="宋体"/>
                <w:color w:val="000000"/>
                <w:kern w:val="0"/>
                <w:sz w:val="22"/>
                <w:szCs w:val="22"/>
                <w:highlight w:val="none"/>
                <w:lang w:bidi="ar"/>
              </w:rPr>
            </w:pPr>
            <w:r>
              <w:rPr>
                <w:rFonts w:hint="eastAsia" w:ascii="宋体" w:hAnsi="宋体" w:eastAsia="宋体" w:cs="宋体"/>
                <w:color w:val="000000"/>
                <w:kern w:val="0"/>
                <w:sz w:val="22"/>
                <w:szCs w:val="22"/>
                <w:highlight w:val="none"/>
                <w:lang w:bidi="ar"/>
              </w:rPr>
              <w:t>根据投标供应商自2021年1月1日以来（以合同签订时间为准）提供相关类似项目业绩的，每提供一个得1分，最高得3分。</w:t>
            </w:r>
          </w:p>
          <w:p>
            <w:pPr>
              <w:widowControl/>
              <w:adjustRightInd/>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eastAsia="zh-CN" w:bidi="ar"/>
              </w:rPr>
              <w:t>注：</w:t>
            </w:r>
            <w:r>
              <w:rPr>
                <w:rFonts w:hint="eastAsia" w:ascii="宋体" w:hAnsi="宋体" w:eastAsia="宋体" w:cs="宋体"/>
                <w:color w:val="000000"/>
                <w:kern w:val="0"/>
                <w:sz w:val="22"/>
                <w:szCs w:val="22"/>
                <w:highlight w:val="none"/>
                <w:lang w:bidi="ar"/>
              </w:rPr>
              <w:t>提供合同扫描件，未提供不得分</w:t>
            </w:r>
            <w:r>
              <w:rPr>
                <w:rFonts w:hint="eastAsia" w:ascii="宋体" w:hAnsi="宋体" w:eastAsia="宋体" w:cs="宋体"/>
                <w:color w:val="000000"/>
                <w:kern w:val="0"/>
                <w:sz w:val="22"/>
                <w:szCs w:val="22"/>
                <w:highlight w:val="none"/>
                <w:lang w:eastAsia="zh-CN" w:bidi="ar"/>
              </w:rPr>
              <w:t>。</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bidi="ar"/>
              </w:rPr>
              <w:t>3</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bidi="ar"/>
              </w:rPr>
              <w:t>3</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adjustRightInd/>
              <w:jc w:val="left"/>
              <w:textAlignment w:val="cente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eastAsia="zh-CN"/>
              </w:rPr>
              <w:t>每一</w:t>
            </w:r>
            <w:r>
              <w:rPr>
                <w:rFonts w:hint="eastAsia" w:ascii="宋体" w:hAnsi="宋体" w:eastAsia="宋体" w:cs="宋体"/>
                <w:kern w:val="0"/>
                <w:sz w:val="22"/>
                <w:szCs w:val="22"/>
                <w:highlight w:val="none"/>
              </w:rPr>
              <w:t>投标</w:t>
            </w:r>
            <w:r>
              <w:rPr>
                <w:rFonts w:hint="eastAsia" w:ascii="宋体" w:hAnsi="宋体" w:eastAsia="宋体" w:cs="宋体"/>
                <w:kern w:val="0"/>
                <w:sz w:val="22"/>
                <w:szCs w:val="22"/>
                <w:highlight w:val="none"/>
                <w:lang w:eastAsia="zh-CN"/>
              </w:rPr>
              <w:t>产品</w:t>
            </w:r>
            <w:r>
              <w:rPr>
                <w:rFonts w:hint="eastAsia" w:ascii="宋体" w:hAnsi="宋体" w:eastAsia="宋体" w:cs="宋体"/>
                <w:kern w:val="0"/>
                <w:sz w:val="22"/>
                <w:szCs w:val="22"/>
                <w:highlight w:val="none"/>
              </w:rPr>
              <w:t>已纳入《节能产品政府采购品目清单》且不属于政府强制采购节能产品的得</w:t>
            </w:r>
            <w:r>
              <w:rPr>
                <w:rFonts w:hint="eastAsia" w:ascii="宋体" w:hAnsi="宋体" w:eastAsia="宋体" w:cs="宋体"/>
                <w:kern w:val="0"/>
                <w:sz w:val="22"/>
                <w:szCs w:val="22"/>
                <w:highlight w:val="none"/>
                <w:lang w:val="en-US" w:eastAsia="zh-CN"/>
              </w:rPr>
              <w:t>0.5</w:t>
            </w:r>
            <w:r>
              <w:rPr>
                <w:rFonts w:hint="eastAsia" w:ascii="宋体" w:hAnsi="宋体" w:eastAsia="宋体" w:cs="宋体"/>
                <w:kern w:val="0"/>
                <w:sz w:val="22"/>
                <w:szCs w:val="22"/>
                <w:highlight w:val="none"/>
              </w:rPr>
              <w:t>分；</w:t>
            </w:r>
          </w:p>
          <w:p>
            <w:pPr>
              <w:widowControl/>
              <w:adjustRightInd/>
              <w:jc w:val="left"/>
              <w:textAlignment w:val="center"/>
              <w:rPr>
                <w:rFonts w:hint="eastAsia" w:ascii="宋体" w:hAnsi="宋体" w:eastAsia="宋体" w:cs="宋体"/>
                <w:kern w:val="0"/>
                <w:sz w:val="22"/>
                <w:szCs w:val="22"/>
                <w:highlight w:val="none"/>
                <w:lang w:eastAsia="zh-CN"/>
              </w:rPr>
            </w:pPr>
            <w:r>
              <w:rPr>
                <w:rFonts w:hint="eastAsia" w:ascii="宋体" w:hAnsi="宋体" w:eastAsia="宋体" w:cs="宋体"/>
                <w:kern w:val="0"/>
                <w:sz w:val="22"/>
                <w:szCs w:val="22"/>
                <w:highlight w:val="none"/>
              </w:rPr>
              <w:t>每一投标设备已纳入《环境标志产品政府采购品目清单》的得</w:t>
            </w:r>
            <w:r>
              <w:rPr>
                <w:rFonts w:hint="eastAsia" w:ascii="宋体" w:hAnsi="宋体" w:eastAsia="宋体" w:cs="宋体"/>
                <w:kern w:val="0"/>
                <w:sz w:val="22"/>
                <w:szCs w:val="22"/>
                <w:highlight w:val="none"/>
                <w:lang w:val="en-US" w:eastAsia="zh-CN"/>
              </w:rPr>
              <w:t>0.5</w:t>
            </w:r>
            <w:r>
              <w:rPr>
                <w:rFonts w:hint="eastAsia" w:ascii="宋体" w:hAnsi="宋体" w:eastAsia="宋体" w:cs="宋体"/>
                <w:kern w:val="0"/>
                <w:sz w:val="22"/>
                <w:szCs w:val="22"/>
                <w:highlight w:val="none"/>
              </w:rPr>
              <w:t>分</w:t>
            </w:r>
            <w:r>
              <w:rPr>
                <w:rFonts w:hint="eastAsia" w:ascii="宋体" w:hAnsi="宋体" w:eastAsia="宋体" w:cs="宋体"/>
                <w:kern w:val="0"/>
                <w:sz w:val="22"/>
                <w:szCs w:val="22"/>
                <w:highlight w:val="none"/>
                <w:lang w:eastAsia="zh-CN"/>
              </w:rPr>
              <w:t>。</w:t>
            </w:r>
          </w:p>
          <w:p>
            <w:pPr>
              <w:widowControl/>
              <w:adjustRightInd/>
              <w:jc w:val="left"/>
              <w:textAlignment w:val="center"/>
              <w:rPr>
                <w:rFonts w:hint="eastAsia" w:ascii="Calibri" w:hAnsi="Calibri" w:eastAsia="宋体" w:cs="Times New Roman"/>
                <w:highlight w:val="none"/>
                <w:lang w:eastAsia="zh-CN"/>
              </w:rPr>
            </w:pPr>
            <w:r>
              <w:rPr>
                <w:rFonts w:hint="eastAsia" w:ascii="宋体" w:hAnsi="宋体" w:eastAsia="宋体" w:cs="宋体"/>
                <w:kern w:val="0"/>
                <w:sz w:val="22"/>
                <w:szCs w:val="22"/>
                <w:highlight w:val="none"/>
                <w:lang w:eastAsia="zh-CN"/>
              </w:rPr>
              <w:t>上限</w:t>
            </w:r>
            <w:r>
              <w:rPr>
                <w:rFonts w:hint="eastAsia" w:ascii="宋体" w:hAnsi="宋体" w:eastAsia="宋体" w:cs="宋体"/>
                <w:kern w:val="0"/>
                <w:sz w:val="22"/>
                <w:szCs w:val="22"/>
                <w:highlight w:val="none"/>
                <w:lang w:val="en-US" w:eastAsia="zh-CN"/>
              </w:rPr>
              <w:t>2分</w:t>
            </w:r>
            <w:r>
              <w:rPr>
                <w:rFonts w:hint="eastAsia" w:ascii="宋体" w:hAnsi="宋体" w:eastAsia="宋体" w:cs="宋体"/>
                <w:kern w:val="0"/>
                <w:sz w:val="22"/>
                <w:szCs w:val="22"/>
                <w:highlight w:val="none"/>
                <w:lang w:eastAsia="zh-CN"/>
              </w:rPr>
              <w:t>。</w:t>
            </w:r>
          </w:p>
          <w:p>
            <w:pPr>
              <w:widowControl/>
              <w:adjustRightInd/>
              <w:jc w:val="left"/>
              <w:textAlignment w:val="center"/>
              <w:rPr>
                <w:rFonts w:hint="eastAsia" w:ascii="宋体" w:hAnsi="宋体" w:eastAsia="宋体" w:cs="宋体"/>
                <w:kern w:val="0"/>
                <w:sz w:val="24"/>
                <w:szCs w:val="24"/>
                <w:highlight w:val="none"/>
                <w:lang w:val="en-US"/>
              </w:rPr>
            </w:pPr>
            <w:r>
              <w:rPr>
                <w:rFonts w:hint="eastAsia" w:ascii="宋体" w:hAnsi="宋体" w:eastAsia="宋体" w:cs="宋体"/>
                <w:kern w:val="0"/>
                <w:sz w:val="22"/>
                <w:szCs w:val="22"/>
                <w:highlight w:val="none"/>
                <w:lang w:eastAsia="zh-CN"/>
              </w:rPr>
              <w:t>注：投标文件中必须提供具有国家确定的认证机构出具的、且处于有效期内的相关证书复印件，否则不予给分</w:t>
            </w:r>
            <w:r>
              <w:rPr>
                <w:rFonts w:hint="eastAsia" w:ascii="宋体" w:hAnsi="宋体" w:eastAsia="宋体" w:cs="宋体"/>
                <w:kern w:val="0"/>
                <w:sz w:val="22"/>
                <w:szCs w:val="22"/>
                <w:highlight w:val="none"/>
              </w:rPr>
              <w:t>。</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bidi="ar"/>
              </w:rPr>
              <w:t>2</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kern w:val="0"/>
                <w:sz w:val="22"/>
                <w:szCs w:val="22"/>
                <w:highlight w:val="none"/>
                <w:lang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855"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w:t>
            </w:r>
          </w:p>
        </w:tc>
        <w:tc>
          <w:tcPr>
            <w:tcW w:w="8034" w:type="dxa"/>
            <w:tcBorders>
              <w:top w:val="single" w:color="auto" w:sz="4" w:space="0"/>
              <w:left w:val="nil"/>
              <w:right w:val="single" w:color="auto" w:sz="4" w:space="0"/>
            </w:tcBorders>
            <w:shd w:val="clear" w:color="auto" w:fill="auto"/>
            <w:vAlign w:val="center"/>
          </w:tcPr>
          <w:p>
            <w:pPr>
              <w:widowControl/>
              <w:adjustRightInd/>
              <w:jc w:val="left"/>
              <w:textAlignment w:val="center"/>
              <w:rPr>
                <w:rFonts w:hint="eastAsia" w:ascii="宋体" w:hAnsi="宋体" w:eastAsia="宋体" w:cs="宋体"/>
                <w:color w:val="000000"/>
                <w:kern w:val="0"/>
                <w:sz w:val="22"/>
                <w:szCs w:val="22"/>
                <w:highlight w:val="none"/>
                <w:lang w:bidi="ar"/>
              </w:rPr>
            </w:pPr>
            <w:r>
              <w:rPr>
                <w:rFonts w:hint="eastAsia" w:ascii="宋体" w:hAnsi="宋体" w:eastAsia="宋体" w:cs="宋体"/>
                <w:color w:val="000000"/>
                <w:kern w:val="0"/>
                <w:sz w:val="22"/>
                <w:szCs w:val="22"/>
                <w:highlight w:val="none"/>
                <w:lang w:bidi="ar"/>
              </w:rPr>
              <w:t>根据投标产品的总体性能、技术指标与需求的吻合程度和偏差情况由专家评审。带★号技术参数不满足或负偏离每项扣2分，扣完为止。无标注项技术参数不满足招标文件要求为负偏离，每有1项负偏离扣1分，扣完为止</w:t>
            </w:r>
            <w:r>
              <w:rPr>
                <w:rFonts w:hint="eastAsia" w:ascii="宋体" w:hAnsi="宋体" w:cs="宋体"/>
                <w:color w:val="000000"/>
                <w:kern w:val="0"/>
                <w:sz w:val="22"/>
                <w:szCs w:val="22"/>
                <w:highlight w:val="none"/>
                <w:lang w:val="en-US" w:eastAsia="zh-CN" w:bidi="ar"/>
              </w:rPr>
              <w:t>。</w:t>
            </w:r>
            <w:r>
              <w:rPr>
                <w:rFonts w:hint="eastAsia" w:ascii="宋体" w:hAnsi="宋体" w:eastAsia="宋体" w:cs="宋体"/>
                <w:color w:val="000000"/>
                <w:kern w:val="0"/>
                <w:sz w:val="22"/>
                <w:szCs w:val="22"/>
                <w:highlight w:val="none"/>
                <w:lang w:bidi="ar"/>
              </w:rPr>
              <w:t>满分</w:t>
            </w:r>
            <w:r>
              <w:rPr>
                <w:rFonts w:hint="eastAsia" w:ascii="宋体" w:hAnsi="宋体" w:cs="宋体"/>
                <w:color w:val="000000"/>
                <w:kern w:val="0"/>
                <w:sz w:val="22"/>
                <w:szCs w:val="22"/>
                <w:highlight w:val="none"/>
                <w:lang w:val="en-US" w:eastAsia="zh-CN" w:bidi="ar"/>
              </w:rPr>
              <w:t>28</w:t>
            </w:r>
            <w:r>
              <w:rPr>
                <w:rFonts w:hint="eastAsia" w:ascii="宋体" w:hAnsi="宋体" w:eastAsia="宋体" w:cs="宋体"/>
                <w:color w:val="000000"/>
                <w:kern w:val="0"/>
                <w:sz w:val="22"/>
                <w:szCs w:val="22"/>
                <w:highlight w:val="none"/>
                <w:lang w:bidi="ar"/>
              </w:rPr>
              <w:t>分</w:t>
            </w:r>
            <w:r>
              <w:rPr>
                <w:rFonts w:hint="eastAsia" w:ascii="宋体" w:hAnsi="宋体" w:eastAsia="宋体" w:cs="宋体"/>
                <w:color w:val="000000"/>
                <w:kern w:val="0"/>
                <w:sz w:val="22"/>
                <w:szCs w:val="22"/>
                <w:highlight w:val="none"/>
                <w:lang w:val="en-US" w:eastAsia="zh-CN" w:bidi="ar"/>
              </w:rPr>
              <w:t>,未提供不得分</w:t>
            </w:r>
            <w:r>
              <w:rPr>
                <w:rFonts w:hint="eastAsia" w:ascii="宋体" w:hAnsi="宋体" w:eastAsia="宋体" w:cs="宋体"/>
                <w:color w:val="000000"/>
                <w:kern w:val="0"/>
                <w:sz w:val="22"/>
                <w:szCs w:val="22"/>
                <w:highlight w:val="none"/>
                <w:lang w:bidi="ar"/>
              </w:rPr>
              <w:t>。</w:t>
            </w:r>
          </w:p>
          <w:p>
            <w:pPr>
              <w:widowControl/>
              <w:adjustRightInd/>
              <w:jc w:val="left"/>
              <w:textAlignment w:val="center"/>
              <w:rPr>
                <w:rFonts w:hint="eastAsia" w:ascii="宋体" w:hAnsi="宋体" w:eastAsia="宋体" w:cs="宋体"/>
                <w:sz w:val="24"/>
                <w:szCs w:val="24"/>
                <w:highlight w:val="none"/>
                <w:lang w:val="en-US"/>
              </w:rPr>
            </w:pPr>
            <w:r>
              <w:rPr>
                <w:rFonts w:hint="eastAsia" w:ascii="宋体" w:hAnsi="宋体" w:eastAsia="宋体" w:cs="宋体"/>
                <w:color w:val="000000"/>
                <w:kern w:val="0"/>
                <w:sz w:val="22"/>
                <w:szCs w:val="22"/>
                <w:highlight w:val="none"/>
                <w:lang w:bidi="ar"/>
              </w:rPr>
              <w:t>注：根据技术参数要求提供证明或证书等资料证明或根据技术参数要求进行响应，否则视为不满足或不响应该项指标或要求。</w:t>
            </w:r>
          </w:p>
        </w:tc>
        <w:tc>
          <w:tcPr>
            <w:tcW w:w="800" w:type="dxa"/>
            <w:tcBorders>
              <w:top w:val="single" w:color="auto" w:sz="4" w:space="0"/>
              <w:left w:val="nil"/>
              <w:right w:val="single" w:color="auto" w:sz="4" w:space="0"/>
            </w:tcBorders>
            <w:shd w:val="clear" w:color="auto" w:fill="auto"/>
            <w:vAlign w:val="center"/>
          </w:tcPr>
          <w:p>
            <w:pPr>
              <w:widowControl/>
              <w:adjustRightInd/>
              <w:jc w:val="center"/>
              <w:textAlignment w:val="center"/>
              <w:rPr>
                <w:rFonts w:hint="default" w:ascii="宋体" w:hAnsi="宋体" w:eastAsia="宋体" w:cs="宋体"/>
                <w:kern w:val="0"/>
                <w:sz w:val="24"/>
                <w:szCs w:val="24"/>
                <w:highlight w:val="none"/>
                <w:lang w:val="en-US"/>
              </w:rPr>
            </w:pPr>
            <w:r>
              <w:rPr>
                <w:rFonts w:hint="eastAsia" w:ascii="宋体" w:hAnsi="宋体" w:cs="宋体"/>
                <w:color w:val="000000"/>
                <w:kern w:val="0"/>
                <w:sz w:val="22"/>
                <w:szCs w:val="22"/>
                <w:highlight w:val="none"/>
                <w:lang w:val="en-US" w:eastAsia="zh-CN" w:bidi="ar"/>
              </w:rPr>
              <w:t>28</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sz w:val="24"/>
                <w:szCs w:val="24"/>
                <w:highlight w:val="none"/>
                <w:lang w:val="en-US"/>
              </w:rPr>
            </w:pPr>
            <w:r>
              <w:rPr>
                <w:rFonts w:hint="eastAsia" w:ascii="宋体" w:hAnsi="宋体" w:eastAsia="宋体" w:cs="宋体"/>
                <w:color w:val="000000"/>
                <w:kern w:val="0"/>
                <w:sz w:val="22"/>
                <w:szCs w:val="22"/>
                <w:highlight w:val="none"/>
                <w:lang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9" w:hRule="atLeast"/>
          <w:jc w:val="center"/>
        </w:trPr>
        <w:tc>
          <w:tcPr>
            <w:tcW w:w="855" w:type="dxa"/>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5</w:t>
            </w:r>
          </w:p>
        </w:tc>
        <w:tc>
          <w:tcPr>
            <w:tcW w:w="8834" w:type="dxa"/>
            <w:gridSpan w:val="2"/>
            <w:tcBorders>
              <w:top w:val="single" w:color="auto" w:sz="4" w:space="0"/>
              <w:left w:val="nil"/>
              <w:right w:val="single" w:color="auto" w:sz="4" w:space="0"/>
            </w:tcBorders>
            <w:shd w:val="clear" w:color="auto" w:fill="auto"/>
            <w:vAlign w:val="center"/>
          </w:tcPr>
          <w:p>
            <w:pPr>
              <w:widowControl/>
              <w:adjustRightInd/>
              <w:jc w:val="left"/>
              <w:textAlignment w:val="center"/>
              <w:rPr>
                <w:rFonts w:hint="eastAsia" w:ascii="宋体" w:hAnsi="宋体" w:cs="宋体"/>
                <w:color w:val="000000"/>
                <w:kern w:val="0"/>
                <w:sz w:val="22"/>
                <w:szCs w:val="22"/>
                <w:highlight w:val="none"/>
                <w:lang w:val="en-US" w:eastAsia="zh-CN" w:bidi="ar"/>
              </w:rPr>
            </w:pPr>
            <w:r>
              <w:rPr>
                <w:rFonts w:hint="eastAsia" w:ascii="宋体" w:hAnsi="宋体" w:eastAsia="宋体" w:cs="宋体"/>
                <w:color w:val="000000"/>
                <w:kern w:val="2"/>
                <w:sz w:val="24"/>
                <w:szCs w:val="24"/>
                <w:highlight w:val="none"/>
                <w:lang w:val="en-US" w:eastAsia="zh-CN" w:bidi="ar"/>
              </w:rPr>
              <w:t>投标人根据采购文件要求，提供本项目深化设计方案，方案必须包含教室规划及布置深化设计、整体效果图、施工和安装要点及操作细则，并对方案进行评议：</w:t>
            </w:r>
          </w:p>
        </w:tc>
        <w:tc>
          <w:tcPr>
            <w:tcW w:w="974" w:type="dxa"/>
            <w:vMerge w:val="restart"/>
            <w:tcBorders>
              <w:top w:val="single" w:color="auto" w:sz="4" w:space="0"/>
              <w:left w:val="nil"/>
              <w:right w:val="single" w:color="auto" w:sz="4" w:space="0"/>
            </w:tcBorders>
            <w:shd w:val="clear" w:color="auto" w:fill="auto"/>
            <w:vAlign w:val="center"/>
          </w:tcPr>
          <w:p>
            <w:pPr>
              <w:widowControl/>
              <w:adjustRightInd/>
              <w:jc w:val="center"/>
              <w:textAlignment w:val="center"/>
              <w:rPr>
                <w:rFonts w:hint="eastAsia" w:ascii="宋体" w:hAnsi="宋体" w:eastAsia="宋体" w:cs="宋体"/>
                <w:b/>
                <w:bCs/>
                <w:color w:val="000000"/>
                <w:kern w:val="0"/>
                <w:sz w:val="22"/>
                <w:szCs w:val="22"/>
                <w:highlight w:val="none"/>
                <w:lang w:eastAsia="zh-CN" w:bidi="ar"/>
              </w:rPr>
            </w:pPr>
            <w:r>
              <w:rPr>
                <w:rFonts w:hint="eastAsia" w:ascii="宋体" w:hAnsi="宋体" w:eastAsia="宋体" w:cs="宋体"/>
                <w:color w:val="000000"/>
                <w:kern w:val="0"/>
                <w:sz w:val="22"/>
                <w:szCs w:val="22"/>
                <w:highlight w:val="none"/>
                <w:lang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left"/>
              <w:rPr>
                <w:rFonts w:hint="eastAsia" w:ascii="宋体" w:hAnsi="宋体" w:eastAsia="宋体" w:cs="宋体"/>
                <w:color w:val="000000"/>
                <w:kern w:val="0"/>
                <w:sz w:val="22"/>
                <w:szCs w:val="22"/>
                <w:highlight w:val="none"/>
                <w:lang w:bidi="ar"/>
              </w:rPr>
            </w:pP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方案整体设计新颖、特点鲜明的得</w:t>
            </w: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分，方案设计构思一般、无显著特点的得</w:t>
            </w: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分</w:t>
            </w:r>
            <w:r>
              <w:rPr>
                <w:rFonts w:hint="eastAsia" w:ascii="宋体" w:hAnsi="宋体" w:cs="宋体"/>
                <w:color w:val="000000"/>
                <w:kern w:val="2"/>
                <w:sz w:val="24"/>
                <w:szCs w:val="24"/>
                <w:highlight w:val="none"/>
                <w:lang w:val="en-US" w:eastAsia="zh-CN" w:bidi="ar"/>
              </w:rPr>
              <w:t>；</w:t>
            </w:r>
          </w:p>
        </w:tc>
        <w:tc>
          <w:tcPr>
            <w:tcW w:w="800" w:type="dxa"/>
            <w:tcBorders>
              <w:top w:val="single" w:color="auto" w:sz="4" w:space="0"/>
              <w:left w:val="nil"/>
              <w:right w:val="single" w:color="auto" w:sz="4" w:space="0"/>
            </w:tcBorders>
            <w:shd w:val="clear" w:color="auto" w:fill="auto"/>
            <w:vAlign w:val="center"/>
          </w:tcPr>
          <w:p>
            <w:pPr>
              <w:widowControl/>
              <w:adjustRightInd/>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974" w:type="dxa"/>
            <w:vMerge w:val="continue"/>
            <w:tcBorders>
              <w:left w:val="nil"/>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2"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left"/>
              <w:rPr>
                <w:rFonts w:hint="eastAsia" w:ascii="宋体" w:hAnsi="宋体" w:eastAsia="宋体" w:cs="宋体"/>
                <w:color w:val="000000"/>
                <w:kern w:val="0"/>
                <w:sz w:val="22"/>
                <w:szCs w:val="22"/>
                <w:highlight w:val="none"/>
                <w:lang w:bidi="ar"/>
              </w:rPr>
            </w:pP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区域划分合理、空间利用强的得</w:t>
            </w: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分，区域划分及空间利用一般的得</w:t>
            </w: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分</w:t>
            </w:r>
            <w:r>
              <w:rPr>
                <w:rFonts w:hint="eastAsia" w:ascii="宋体" w:hAnsi="宋体" w:cs="宋体"/>
                <w:color w:val="000000"/>
                <w:kern w:val="2"/>
                <w:sz w:val="24"/>
                <w:szCs w:val="24"/>
                <w:highlight w:val="none"/>
                <w:lang w:val="en-US" w:eastAsia="zh-CN" w:bidi="ar"/>
              </w:rPr>
              <w:t>；</w:t>
            </w:r>
          </w:p>
        </w:tc>
        <w:tc>
          <w:tcPr>
            <w:tcW w:w="800" w:type="dxa"/>
            <w:tcBorders>
              <w:left w:val="nil"/>
              <w:right w:val="single" w:color="auto" w:sz="4" w:space="0"/>
            </w:tcBorders>
            <w:shd w:val="clear" w:color="auto" w:fill="auto"/>
            <w:vAlign w:val="center"/>
          </w:tcPr>
          <w:p>
            <w:pPr>
              <w:widowControl/>
              <w:adjustRightInd/>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974" w:type="dxa"/>
            <w:vMerge w:val="continue"/>
            <w:tcBorders>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3"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left"/>
              <w:rPr>
                <w:rFonts w:hint="eastAsia" w:ascii="宋体" w:hAnsi="宋体" w:eastAsia="宋体" w:cs="宋体"/>
                <w:color w:val="000000"/>
                <w:kern w:val="0"/>
                <w:sz w:val="22"/>
                <w:szCs w:val="22"/>
                <w:highlight w:val="none"/>
                <w:lang w:bidi="ar"/>
              </w:rPr>
            </w:pPr>
            <w:r>
              <w:rPr>
                <w:rFonts w:hint="eastAsia" w:ascii="宋体" w:hAnsi="宋体" w:cs="宋体"/>
                <w:color w:val="000000"/>
                <w:kern w:val="2"/>
                <w:sz w:val="24"/>
                <w:szCs w:val="24"/>
                <w:highlight w:val="none"/>
                <w:lang w:val="en-US" w:eastAsia="zh-CN" w:bidi="ar"/>
              </w:rPr>
              <w:t>3、</w:t>
            </w:r>
            <w:r>
              <w:rPr>
                <w:rFonts w:hint="eastAsia" w:ascii="宋体" w:hAnsi="宋体" w:eastAsia="宋体" w:cs="宋体"/>
                <w:color w:val="000000"/>
                <w:kern w:val="2"/>
                <w:sz w:val="24"/>
                <w:szCs w:val="24"/>
                <w:highlight w:val="none"/>
                <w:lang w:val="en-US" w:eastAsia="zh-CN" w:bidi="ar"/>
              </w:rPr>
              <w:t>设计科学、有利于采购人后期使用及维护便捷的得</w:t>
            </w: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分，设计基本科学合理，采购人后期使用及维护一般的得</w:t>
            </w: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分</w:t>
            </w:r>
            <w:r>
              <w:rPr>
                <w:rFonts w:hint="eastAsia" w:ascii="宋体" w:hAnsi="宋体" w:cs="宋体"/>
                <w:color w:val="000000"/>
                <w:kern w:val="2"/>
                <w:sz w:val="24"/>
                <w:szCs w:val="24"/>
                <w:highlight w:val="none"/>
                <w:lang w:val="en-US" w:eastAsia="zh-CN" w:bidi="ar"/>
              </w:rPr>
              <w:t>；</w:t>
            </w:r>
          </w:p>
        </w:tc>
        <w:tc>
          <w:tcPr>
            <w:tcW w:w="800" w:type="dxa"/>
            <w:tcBorders>
              <w:left w:val="nil"/>
              <w:right w:val="single" w:color="auto" w:sz="4" w:space="0"/>
            </w:tcBorders>
            <w:shd w:val="clear" w:color="auto" w:fill="auto"/>
            <w:vAlign w:val="center"/>
          </w:tcPr>
          <w:p>
            <w:pPr>
              <w:widowControl/>
              <w:adjustRightInd/>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974" w:type="dxa"/>
            <w:vMerge w:val="continue"/>
            <w:tcBorders>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8"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left"/>
              <w:rPr>
                <w:rFonts w:hint="eastAsia" w:ascii="宋体" w:hAnsi="宋体" w:eastAsia="宋体" w:cs="宋体"/>
                <w:color w:val="000000"/>
                <w:kern w:val="0"/>
                <w:sz w:val="22"/>
                <w:szCs w:val="22"/>
                <w:highlight w:val="none"/>
                <w:lang w:bidi="ar"/>
              </w:rPr>
            </w:pPr>
            <w:r>
              <w:rPr>
                <w:rFonts w:hint="eastAsia" w:ascii="宋体" w:hAnsi="宋体" w:cs="宋体"/>
                <w:color w:val="000000"/>
                <w:kern w:val="2"/>
                <w:sz w:val="24"/>
                <w:szCs w:val="24"/>
                <w:highlight w:val="none"/>
                <w:lang w:val="en-US" w:eastAsia="zh-CN" w:bidi="ar"/>
              </w:rPr>
              <w:t>4、</w:t>
            </w:r>
            <w:r>
              <w:rPr>
                <w:rFonts w:hint="eastAsia" w:ascii="宋体" w:hAnsi="宋体" w:eastAsia="宋体" w:cs="宋体"/>
                <w:color w:val="000000"/>
                <w:kern w:val="2"/>
                <w:sz w:val="24"/>
                <w:szCs w:val="24"/>
                <w:highlight w:val="none"/>
                <w:lang w:val="en-US" w:eastAsia="zh-CN" w:bidi="ar"/>
              </w:rPr>
              <w:t>设计方案及图纸完整、专业、合理，施工和安装要点及操作细则详尽的得</w:t>
            </w: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分，设计方案及图纸基本完整，施工和安装要点及操作细则基本完善的得</w:t>
            </w: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分</w:t>
            </w:r>
            <w:r>
              <w:rPr>
                <w:rFonts w:hint="eastAsia" w:ascii="宋体" w:hAnsi="宋体" w:cs="宋体"/>
                <w:color w:val="000000"/>
                <w:kern w:val="2"/>
                <w:sz w:val="24"/>
                <w:szCs w:val="24"/>
                <w:highlight w:val="none"/>
                <w:lang w:val="en-US" w:eastAsia="zh-CN" w:bidi="ar"/>
              </w:rPr>
              <w:t>；</w:t>
            </w:r>
          </w:p>
        </w:tc>
        <w:tc>
          <w:tcPr>
            <w:tcW w:w="800" w:type="dxa"/>
            <w:tcBorders>
              <w:left w:val="nil"/>
              <w:right w:val="single" w:color="auto" w:sz="4" w:space="0"/>
            </w:tcBorders>
            <w:shd w:val="clear" w:color="auto" w:fill="auto"/>
            <w:vAlign w:val="center"/>
          </w:tcPr>
          <w:p>
            <w:pPr>
              <w:widowControl/>
              <w:adjustRightInd/>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974" w:type="dxa"/>
            <w:vMerge w:val="continue"/>
            <w:tcBorders>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left"/>
              <w:rPr>
                <w:rFonts w:hint="eastAsia" w:ascii="宋体" w:hAnsi="宋体" w:eastAsia="宋体" w:cs="宋体"/>
                <w:color w:val="000000"/>
                <w:kern w:val="0"/>
                <w:sz w:val="22"/>
                <w:szCs w:val="22"/>
                <w:highlight w:val="none"/>
                <w:lang w:bidi="ar"/>
              </w:rPr>
            </w:pPr>
            <w:r>
              <w:rPr>
                <w:rFonts w:hint="eastAsia" w:ascii="宋体" w:hAnsi="宋体" w:cs="宋体"/>
                <w:color w:val="000000"/>
                <w:kern w:val="2"/>
                <w:sz w:val="24"/>
                <w:szCs w:val="24"/>
                <w:highlight w:val="none"/>
                <w:lang w:val="en-US" w:eastAsia="zh-CN" w:bidi="ar"/>
              </w:rPr>
              <w:t>5、</w:t>
            </w:r>
            <w:r>
              <w:rPr>
                <w:rFonts w:hint="eastAsia" w:ascii="宋体" w:hAnsi="宋体" w:eastAsia="宋体" w:cs="宋体"/>
                <w:color w:val="000000"/>
                <w:kern w:val="2"/>
                <w:sz w:val="24"/>
                <w:szCs w:val="24"/>
                <w:highlight w:val="none"/>
                <w:lang w:val="en-US" w:eastAsia="zh-CN" w:bidi="ar"/>
              </w:rPr>
              <w:t>整体效果美观协调的得</w:t>
            </w:r>
            <w:r>
              <w:rPr>
                <w:rFonts w:hint="eastAsia" w:ascii="宋体" w:hAnsi="宋体" w:cs="宋体"/>
                <w:color w:val="000000"/>
                <w:kern w:val="2"/>
                <w:sz w:val="24"/>
                <w:szCs w:val="24"/>
                <w:highlight w:val="none"/>
                <w:lang w:val="en-US" w:eastAsia="zh-CN" w:bidi="ar"/>
              </w:rPr>
              <w:t>2</w:t>
            </w:r>
            <w:r>
              <w:rPr>
                <w:rFonts w:hint="eastAsia" w:ascii="宋体" w:hAnsi="宋体" w:eastAsia="宋体" w:cs="宋体"/>
                <w:color w:val="000000"/>
                <w:kern w:val="2"/>
                <w:sz w:val="24"/>
                <w:szCs w:val="24"/>
                <w:highlight w:val="none"/>
                <w:lang w:val="en-US" w:eastAsia="zh-CN" w:bidi="ar"/>
              </w:rPr>
              <w:t>分</w:t>
            </w:r>
            <w:r>
              <w:rPr>
                <w:rFonts w:hint="eastAsia" w:ascii="宋体" w:hAnsi="宋体" w:cs="宋体"/>
                <w:color w:val="000000"/>
                <w:kern w:val="2"/>
                <w:sz w:val="24"/>
                <w:szCs w:val="24"/>
                <w:highlight w:val="none"/>
                <w:lang w:val="en-US" w:eastAsia="zh-CN" w:bidi="ar"/>
              </w:rPr>
              <w:t>，</w:t>
            </w:r>
            <w:r>
              <w:rPr>
                <w:rFonts w:hint="eastAsia" w:ascii="宋体" w:hAnsi="宋体" w:eastAsia="宋体" w:cs="宋体"/>
                <w:color w:val="000000"/>
                <w:kern w:val="2"/>
                <w:sz w:val="24"/>
                <w:szCs w:val="24"/>
                <w:highlight w:val="none"/>
                <w:lang w:val="en-US" w:eastAsia="zh-CN" w:bidi="ar"/>
              </w:rPr>
              <w:t>整体效果普通的得</w:t>
            </w:r>
            <w:r>
              <w:rPr>
                <w:rFonts w:hint="eastAsia" w:ascii="宋体" w:hAnsi="宋体" w:cs="宋体"/>
                <w:color w:val="000000"/>
                <w:kern w:val="2"/>
                <w:sz w:val="24"/>
                <w:szCs w:val="24"/>
                <w:highlight w:val="none"/>
                <w:lang w:val="en-US" w:eastAsia="zh-CN" w:bidi="ar"/>
              </w:rPr>
              <w:t>1</w:t>
            </w:r>
            <w:r>
              <w:rPr>
                <w:rFonts w:hint="eastAsia" w:ascii="宋体" w:hAnsi="宋体" w:eastAsia="宋体" w:cs="宋体"/>
                <w:color w:val="000000"/>
                <w:kern w:val="2"/>
                <w:sz w:val="24"/>
                <w:szCs w:val="24"/>
                <w:highlight w:val="none"/>
                <w:lang w:val="en-US" w:eastAsia="zh-CN" w:bidi="ar"/>
              </w:rPr>
              <w:t>分。</w:t>
            </w:r>
          </w:p>
        </w:tc>
        <w:tc>
          <w:tcPr>
            <w:tcW w:w="800" w:type="dxa"/>
            <w:tcBorders>
              <w:left w:val="nil"/>
              <w:right w:val="single" w:color="auto" w:sz="4" w:space="0"/>
            </w:tcBorders>
            <w:shd w:val="clear" w:color="auto" w:fill="auto"/>
            <w:vAlign w:val="center"/>
          </w:tcPr>
          <w:p>
            <w:pPr>
              <w:widowControl/>
              <w:adjustRightInd/>
              <w:jc w:val="center"/>
              <w:textAlignment w:val="center"/>
              <w:rPr>
                <w:rFonts w:hint="default" w:ascii="宋体" w:hAnsi="宋体" w:cs="宋体"/>
                <w:color w:val="000000"/>
                <w:kern w:val="0"/>
                <w:sz w:val="22"/>
                <w:szCs w:val="22"/>
                <w:highlight w:val="none"/>
                <w:lang w:val="en-US" w:eastAsia="zh-CN" w:bidi="ar"/>
              </w:rPr>
            </w:pPr>
            <w:r>
              <w:rPr>
                <w:rFonts w:hint="eastAsia" w:ascii="宋体" w:hAnsi="宋体" w:cs="宋体"/>
                <w:color w:val="000000"/>
                <w:kern w:val="0"/>
                <w:sz w:val="22"/>
                <w:szCs w:val="22"/>
                <w:highlight w:val="none"/>
                <w:lang w:val="en-US" w:eastAsia="zh-CN" w:bidi="ar"/>
              </w:rPr>
              <w:t>2</w:t>
            </w:r>
          </w:p>
        </w:tc>
        <w:tc>
          <w:tcPr>
            <w:tcW w:w="974" w:type="dxa"/>
            <w:vMerge w:val="continue"/>
            <w:tcBorders>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8" w:hRule="atLeast"/>
          <w:jc w:val="center"/>
        </w:trPr>
        <w:tc>
          <w:tcPr>
            <w:tcW w:w="855" w:type="dxa"/>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p>
        </w:tc>
        <w:tc>
          <w:tcPr>
            <w:tcW w:w="8834" w:type="dxa"/>
            <w:gridSpan w:val="2"/>
            <w:tcBorders>
              <w:top w:val="single" w:color="auto" w:sz="4" w:space="0"/>
              <w:left w:val="nil"/>
              <w:right w:val="single" w:color="auto" w:sz="4" w:space="0"/>
            </w:tcBorders>
            <w:shd w:val="clear" w:color="auto" w:fill="auto"/>
            <w:vAlign w:val="center"/>
          </w:tcPr>
          <w:p>
            <w:pPr>
              <w:widowControl/>
              <w:adjustRightInd/>
              <w:jc w:val="center"/>
              <w:textAlignment w:val="center"/>
              <w:rPr>
                <w:rFonts w:hint="eastAsia" w:ascii="宋体" w:hAnsi="宋体" w:cs="宋体"/>
                <w:color w:val="000000"/>
                <w:kern w:val="0"/>
                <w:sz w:val="22"/>
                <w:szCs w:val="22"/>
                <w:highlight w:val="none"/>
                <w:lang w:val="en-US" w:eastAsia="zh-CN" w:bidi="ar"/>
              </w:rPr>
            </w:pPr>
            <w:r>
              <w:rPr>
                <w:rFonts w:hint="eastAsia" w:ascii="宋体" w:hAnsi="宋体" w:eastAsia="宋体" w:cs="宋体"/>
                <w:color w:val="000000"/>
                <w:kern w:val="2"/>
                <w:sz w:val="24"/>
                <w:szCs w:val="24"/>
                <w:highlight w:val="none"/>
                <w:lang w:val="en-US" w:eastAsia="zh-CN" w:bidi="ar"/>
              </w:rPr>
              <w:t>注：未提供深化设计方案或方案内容不全的不得分。</w:t>
            </w:r>
          </w:p>
        </w:tc>
        <w:tc>
          <w:tcPr>
            <w:tcW w:w="974" w:type="dxa"/>
            <w:vMerge w:val="continue"/>
            <w:tcBorders>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855"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w:t>
            </w:r>
          </w:p>
        </w:tc>
        <w:tc>
          <w:tcPr>
            <w:tcW w:w="8034"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both"/>
              <w:rPr>
                <w:rFonts w:hint="eastAsia" w:ascii="宋体" w:hAnsi="宋体" w:eastAsia="宋体" w:cs="宋体"/>
                <w:color w:val="000000"/>
                <w:kern w:val="0"/>
                <w:sz w:val="22"/>
                <w:szCs w:val="22"/>
                <w:highlight w:val="none"/>
                <w:lang w:val="en-US" w:eastAsia="zh-CN" w:bidi="ar"/>
              </w:rPr>
            </w:pPr>
            <w:r>
              <w:rPr>
                <w:rFonts w:hint="eastAsia" w:ascii="宋体" w:hAnsi="宋体" w:eastAsia="宋体" w:cs="宋体"/>
                <w:kern w:val="0"/>
                <w:sz w:val="24"/>
                <w:szCs w:val="24"/>
                <w:highlight w:val="none"/>
                <w:lang w:val="en-US" w:eastAsia="zh-CN" w:bidi="ar"/>
              </w:rPr>
              <w:t>对投标人针对本项目质量承诺全面的得</w:t>
            </w:r>
            <w:r>
              <w:rPr>
                <w:rFonts w:hint="eastAsia" w:ascii="宋体" w:hAnsi="宋体" w:cs="宋体"/>
                <w:kern w:val="0"/>
                <w:sz w:val="24"/>
                <w:szCs w:val="24"/>
                <w:highlight w:val="none"/>
                <w:lang w:val="en-US" w:eastAsia="zh-CN" w:bidi="ar"/>
              </w:rPr>
              <w:t>3</w:t>
            </w:r>
            <w:r>
              <w:rPr>
                <w:rFonts w:hint="eastAsia" w:ascii="宋体" w:hAnsi="宋体" w:eastAsia="宋体" w:cs="宋体"/>
                <w:kern w:val="0"/>
                <w:sz w:val="24"/>
                <w:szCs w:val="24"/>
                <w:highlight w:val="none"/>
                <w:lang w:val="en-US" w:eastAsia="zh-CN" w:bidi="ar"/>
              </w:rPr>
              <w:t>分，质量承诺基本满足采购人要求的得</w:t>
            </w:r>
            <w:r>
              <w:rPr>
                <w:rFonts w:hint="eastAsia" w:ascii="宋体" w:hAnsi="宋体" w:cs="宋体"/>
                <w:kern w:val="0"/>
                <w:sz w:val="24"/>
                <w:szCs w:val="24"/>
                <w:highlight w:val="none"/>
                <w:lang w:val="en-US" w:eastAsia="zh-CN" w:bidi="ar"/>
              </w:rPr>
              <w:t>3</w:t>
            </w:r>
            <w:r>
              <w:rPr>
                <w:rFonts w:hint="eastAsia" w:ascii="宋体" w:hAnsi="宋体" w:eastAsia="宋体" w:cs="宋体"/>
                <w:kern w:val="0"/>
                <w:sz w:val="24"/>
                <w:szCs w:val="24"/>
                <w:highlight w:val="none"/>
                <w:lang w:val="en-US" w:eastAsia="zh-CN" w:bidi="ar"/>
              </w:rPr>
              <w:t>分，质量承诺不全面的得1分，无该内容的得0分。</w:t>
            </w:r>
          </w:p>
        </w:tc>
        <w:tc>
          <w:tcPr>
            <w:tcW w:w="800" w:type="dxa"/>
            <w:tcBorders>
              <w:top w:val="single" w:color="auto" w:sz="4" w:space="0"/>
              <w:left w:val="nil"/>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center"/>
              <w:rPr>
                <w:rFonts w:hint="eastAsia" w:ascii="宋体" w:hAnsi="宋体" w:cs="宋体"/>
                <w:color w:val="000000"/>
                <w:kern w:val="0"/>
                <w:sz w:val="22"/>
                <w:szCs w:val="22"/>
                <w:highlight w:val="none"/>
                <w:lang w:val="en-US" w:eastAsia="zh-CN" w:bidi="ar"/>
              </w:rPr>
            </w:pPr>
            <w:r>
              <w:rPr>
                <w:rFonts w:hint="eastAsia" w:ascii="宋体" w:hAnsi="宋体" w:cs="宋体"/>
                <w:kern w:val="0"/>
                <w:sz w:val="24"/>
                <w:szCs w:val="24"/>
                <w:highlight w:val="none"/>
                <w:lang w:val="en-US" w:eastAsia="zh-CN" w:bidi="ar"/>
              </w:rPr>
              <w:t>3</w:t>
            </w:r>
          </w:p>
        </w:tc>
        <w:tc>
          <w:tcPr>
            <w:tcW w:w="974"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240" w:lineRule="auto"/>
              <w:ind w:left="0" w:leftChars="0" w:right="0" w:rightChars="0"/>
              <w:jc w:val="both"/>
              <w:rPr>
                <w:rFonts w:hint="eastAsia" w:ascii="宋体" w:hAnsi="宋体" w:eastAsia="宋体" w:cs="宋体"/>
                <w:color w:val="000000"/>
                <w:kern w:val="0"/>
                <w:sz w:val="22"/>
                <w:szCs w:val="22"/>
                <w:highlight w:val="none"/>
                <w:lang w:eastAsia="zh-CN" w:bidi="ar"/>
              </w:rPr>
            </w:pPr>
            <w:r>
              <w:rPr>
                <w:rFonts w:hint="eastAsia" w:ascii="宋体" w:hAnsi="宋体" w:eastAsia="宋体" w:cs="宋体"/>
                <w:color w:val="000000"/>
                <w:kern w:val="0"/>
                <w:sz w:val="22"/>
                <w:szCs w:val="22"/>
                <w:highlight w:val="none"/>
                <w:lang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w:t>
            </w:r>
          </w:p>
        </w:tc>
        <w:tc>
          <w:tcPr>
            <w:tcW w:w="8034" w:type="dxa"/>
            <w:tcBorders>
              <w:top w:val="single" w:color="auto" w:sz="4" w:space="0"/>
              <w:left w:val="nil"/>
              <w:bottom w:val="single" w:color="auto" w:sz="4" w:space="0"/>
              <w:right w:val="single" w:color="auto" w:sz="4" w:space="0"/>
            </w:tcBorders>
            <w:shd w:val="clear" w:color="auto" w:fill="auto"/>
            <w:vAlign w:val="center"/>
          </w:tcPr>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根据投标供应商提供的具体实施方案(包括但不限于施工组织计划、安全保证措施、质量保证措施、进度保证措施和环境保证措施等)进行打分：</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阐述全面、合理，可行性强的得</w:t>
            </w:r>
            <w:r>
              <w:rPr>
                <w:rFonts w:hint="eastAsia" w:ascii="宋体" w:hAnsi="宋体" w:cs="宋体"/>
                <w:color w:val="000000"/>
                <w:sz w:val="22"/>
                <w:szCs w:val="22"/>
                <w:highlight w:val="none"/>
                <w:lang w:val="en-US" w:eastAsia="zh-CN"/>
              </w:rPr>
              <w:t>4</w:t>
            </w:r>
            <w:r>
              <w:rPr>
                <w:rFonts w:hint="eastAsia" w:ascii="宋体" w:hAnsi="宋体" w:eastAsia="宋体" w:cs="宋体"/>
                <w:color w:val="000000"/>
                <w:sz w:val="22"/>
                <w:szCs w:val="22"/>
                <w:highlight w:val="none"/>
              </w:rPr>
              <w:t>分；</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阐述较为全面、合理，可行性一般的得</w:t>
            </w:r>
            <w:r>
              <w:rPr>
                <w:rFonts w:hint="eastAsia" w:ascii="宋体" w:hAnsi="宋体" w:cs="宋体"/>
                <w:color w:val="000000"/>
                <w:sz w:val="22"/>
                <w:szCs w:val="22"/>
                <w:highlight w:val="none"/>
                <w:lang w:val="en-US" w:eastAsia="zh-CN"/>
              </w:rPr>
              <w:t>3</w:t>
            </w:r>
            <w:r>
              <w:rPr>
                <w:rFonts w:hint="eastAsia" w:ascii="宋体" w:hAnsi="宋体" w:eastAsia="宋体" w:cs="宋体"/>
                <w:color w:val="000000"/>
                <w:sz w:val="22"/>
                <w:szCs w:val="22"/>
                <w:highlight w:val="none"/>
              </w:rPr>
              <w:t>分；</w:t>
            </w:r>
          </w:p>
          <w:p>
            <w:pPr>
              <w:adjustRightInd/>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阐述简单或者缺乏合理性的得</w:t>
            </w:r>
            <w:r>
              <w:rPr>
                <w:rFonts w:hint="eastAsia" w:ascii="宋体" w:hAnsi="宋体" w:cs="宋体"/>
                <w:color w:val="000000"/>
                <w:sz w:val="22"/>
                <w:szCs w:val="22"/>
                <w:highlight w:val="none"/>
                <w:lang w:val="en-US" w:eastAsia="zh-CN"/>
              </w:rPr>
              <w:t>2</w:t>
            </w:r>
            <w:r>
              <w:rPr>
                <w:rFonts w:hint="eastAsia" w:ascii="宋体" w:hAnsi="宋体" w:eastAsia="宋体" w:cs="宋体"/>
                <w:color w:val="000000"/>
                <w:sz w:val="22"/>
                <w:szCs w:val="22"/>
                <w:highlight w:val="none"/>
              </w:rPr>
              <w:t>分</w:t>
            </w:r>
            <w:r>
              <w:rPr>
                <w:rFonts w:hint="eastAsia" w:ascii="宋体" w:hAnsi="宋体" w:cs="宋体"/>
                <w:color w:val="000000"/>
                <w:sz w:val="22"/>
                <w:szCs w:val="22"/>
                <w:highlight w:val="none"/>
                <w:lang w:eastAsia="zh-CN"/>
              </w:rPr>
              <w:t>；</w:t>
            </w:r>
          </w:p>
          <w:p>
            <w:pPr>
              <w:adjustRightInd/>
              <w:rPr>
                <w:rFonts w:hint="eastAsia" w:ascii="宋体" w:hAnsi="宋体" w:eastAsia="宋体" w:cs="宋体"/>
                <w:color w:val="000000"/>
                <w:sz w:val="22"/>
                <w:szCs w:val="22"/>
                <w:highlight w:val="none"/>
                <w:lang w:eastAsia="zh-CN"/>
              </w:rPr>
            </w:pPr>
            <w:r>
              <w:rPr>
                <w:rFonts w:hint="eastAsia" w:ascii="宋体" w:hAnsi="宋体" w:cs="宋体"/>
                <w:color w:val="000000"/>
                <w:sz w:val="22"/>
                <w:szCs w:val="22"/>
                <w:highlight w:val="none"/>
                <w:lang w:eastAsia="zh-CN"/>
              </w:rPr>
              <w:t>阐述内容较差的得</w:t>
            </w:r>
            <w:r>
              <w:rPr>
                <w:rFonts w:hint="eastAsia" w:ascii="宋体" w:hAnsi="宋体" w:cs="宋体"/>
                <w:color w:val="000000"/>
                <w:sz w:val="22"/>
                <w:szCs w:val="22"/>
                <w:highlight w:val="none"/>
                <w:lang w:val="en-US" w:eastAsia="zh-CN"/>
              </w:rPr>
              <w:t>1分</w:t>
            </w:r>
            <w:r>
              <w:rPr>
                <w:rFonts w:hint="eastAsia" w:ascii="宋体" w:hAnsi="宋体" w:cs="宋体"/>
                <w:color w:val="000000"/>
                <w:sz w:val="22"/>
                <w:szCs w:val="22"/>
                <w:highlight w:val="none"/>
                <w:lang w:eastAsia="zh-CN"/>
              </w:rPr>
              <w:t>；</w:t>
            </w:r>
          </w:p>
          <w:p>
            <w:pPr>
              <w:widowControl/>
              <w:adjustRightInd/>
              <w:textAlignment w:val="center"/>
              <w:rPr>
                <w:rFonts w:hint="eastAsia" w:ascii="宋体" w:hAnsi="宋体" w:eastAsia="宋体" w:cs="宋体"/>
                <w:kern w:val="0"/>
                <w:sz w:val="24"/>
                <w:szCs w:val="24"/>
                <w:highlight w:val="none"/>
                <w:lang w:val="en-US"/>
              </w:rPr>
            </w:pPr>
            <w:r>
              <w:rPr>
                <w:rFonts w:hint="eastAsia" w:ascii="宋体" w:hAnsi="宋体" w:eastAsia="宋体" w:cs="宋体"/>
                <w:color w:val="000000"/>
                <w:sz w:val="22"/>
                <w:szCs w:val="22"/>
                <w:highlight w:val="none"/>
              </w:rPr>
              <w:t>未提供方案的得0分</w:t>
            </w:r>
            <w:r>
              <w:rPr>
                <w:rFonts w:hint="eastAsia" w:ascii="宋体" w:hAnsi="宋体" w:eastAsia="宋体" w:cs="宋体"/>
                <w:color w:val="000000"/>
                <w:sz w:val="22"/>
                <w:szCs w:val="22"/>
                <w:highlight w:val="none"/>
                <w:lang w:eastAsia="zh-CN"/>
              </w:rPr>
              <w:t>。</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rPr>
            </w:pPr>
            <w:r>
              <w:rPr>
                <w:rFonts w:hint="eastAsia" w:ascii="宋体" w:hAnsi="宋体" w:cs="宋体"/>
                <w:color w:val="000000"/>
                <w:kern w:val="0"/>
                <w:sz w:val="22"/>
                <w:szCs w:val="22"/>
                <w:highlight w:val="none"/>
                <w:lang w:val="en-US" w:eastAsia="zh-CN" w:bidi="ar"/>
              </w:rPr>
              <w:t>4</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bidi="ar"/>
              </w:rPr>
            </w:pPr>
            <w:r>
              <w:rPr>
                <w:rFonts w:hint="eastAsia" w:ascii="宋体" w:hAnsi="宋体" w:eastAsia="宋体" w:cs="宋体"/>
                <w:color w:val="000000"/>
                <w:kern w:val="0"/>
                <w:sz w:val="22"/>
                <w:szCs w:val="22"/>
                <w:highlight w:val="none"/>
                <w:lang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6"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leftChars="0" w:right="0" w:rightChars="0"/>
              <w:jc w:val="center"/>
              <w:rPr>
                <w:rFonts w:hint="eastAsia" w:ascii="宋体" w:hAnsi="宋体" w:eastAsia="宋体" w:cs="宋体"/>
                <w:kern w:val="0"/>
                <w:sz w:val="24"/>
                <w:szCs w:val="24"/>
                <w:highlight w:val="none"/>
                <w:lang w:val="en-US" w:eastAsia="zh-CN"/>
              </w:rPr>
            </w:pPr>
            <w:r>
              <w:rPr>
                <w:rFonts w:hint="eastAsia" w:ascii="宋体" w:hAnsi="宋体" w:cs="宋体"/>
                <w:kern w:val="0"/>
                <w:sz w:val="24"/>
                <w:szCs w:val="24"/>
                <w:highlight w:val="none"/>
                <w:lang w:val="en-US" w:eastAsia="zh-CN"/>
              </w:rPr>
              <w:t>8</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adjustRightInd/>
              <w:textAlignment w:val="center"/>
              <w:rPr>
                <w:rFonts w:ascii="宋体" w:hAnsi="宋体" w:eastAsia="宋体" w:cs="宋体"/>
                <w:color w:val="000000"/>
                <w:kern w:val="0"/>
                <w:sz w:val="22"/>
                <w:szCs w:val="22"/>
                <w:highlight w:val="none"/>
                <w:lang w:bidi="ar"/>
              </w:rPr>
            </w:pPr>
            <w:r>
              <w:rPr>
                <w:rFonts w:hint="eastAsia" w:ascii="宋体" w:hAnsi="宋体" w:eastAsia="宋体" w:cs="宋体"/>
                <w:color w:val="000000"/>
                <w:kern w:val="0"/>
                <w:sz w:val="22"/>
                <w:szCs w:val="22"/>
                <w:highlight w:val="none"/>
                <w:lang w:bidi="ar"/>
              </w:rPr>
              <w:t>根据投标供应商提供的售后服务承诺的范围和完善程度（包括售后服务标准、服务人员配备、故障响应修复时间方式及保障措施、供应商售后服务网点的配置情况）进行打分：</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阐述全面、合理，可行性强的得</w:t>
            </w:r>
            <w:r>
              <w:rPr>
                <w:rFonts w:hint="eastAsia" w:ascii="宋体" w:hAnsi="宋体" w:cs="宋体"/>
                <w:color w:val="000000"/>
                <w:sz w:val="22"/>
                <w:szCs w:val="22"/>
                <w:highlight w:val="none"/>
                <w:lang w:val="en-US" w:eastAsia="zh-CN"/>
              </w:rPr>
              <w:t>4</w:t>
            </w:r>
            <w:r>
              <w:rPr>
                <w:rFonts w:hint="eastAsia" w:ascii="宋体" w:hAnsi="宋体" w:eastAsia="宋体" w:cs="宋体"/>
                <w:color w:val="000000"/>
                <w:sz w:val="22"/>
                <w:szCs w:val="22"/>
                <w:highlight w:val="none"/>
              </w:rPr>
              <w:t>分；</w:t>
            </w:r>
          </w:p>
          <w:p>
            <w:pPr>
              <w:adjustRightInd/>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阐述较为全面、合理，可行性一般的得</w:t>
            </w:r>
            <w:r>
              <w:rPr>
                <w:rFonts w:hint="eastAsia" w:ascii="宋体" w:hAnsi="宋体" w:cs="宋体"/>
                <w:color w:val="000000"/>
                <w:sz w:val="22"/>
                <w:szCs w:val="22"/>
                <w:highlight w:val="none"/>
                <w:lang w:val="en-US" w:eastAsia="zh-CN"/>
              </w:rPr>
              <w:t>3</w:t>
            </w:r>
            <w:r>
              <w:rPr>
                <w:rFonts w:hint="eastAsia" w:ascii="宋体" w:hAnsi="宋体" w:eastAsia="宋体" w:cs="宋体"/>
                <w:color w:val="000000"/>
                <w:sz w:val="22"/>
                <w:szCs w:val="22"/>
                <w:highlight w:val="none"/>
              </w:rPr>
              <w:t>分</w:t>
            </w:r>
            <w:r>
              <w:rPr>
                <w:rFonts w:hint="eastAsia" w:ascii="宋体" w:hAnsi="宋体" w:cs="宋体"/>
                <w:color w:val="000000"/>
                <w:sz w:val="22"/>
                <w:szCs w:val="22"/>
                <w:highlight w:val="none"/>
                <w:lang w:eastAsia="zh-CN"/>
              </w:rPr>
              <w:t>；</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阐述简单或者缺乏合理性的得</w:t>
            </w:r>
            <w:r>
              <w:rPr>
                <w:rFonts w:hint="eastAsia" w:ascii="宋体" w:hAnsi="宋体" w:cs="宋体"/>
                <w:color w:val="000000"/>
                <w:sz w:val="22"/>
                <w:szCs w:val="22"/>
                <w:highlight w:val="none"/>
                <w:lang w:val="en-US" w:eastAsia="zh-CN"/>
              </w:rPr>
              <w:t>2</w:t>
            </w:r>
            <w:r>
              <w:rPr>
                <w:rFonts w:hint="eastAsia" w:ascii="宋体" w:hAnsi="宋体" w:eastAsia="宋体" w:cs="宋体"/>
                <w:color w:val="000000"/>
                <w:sz w:val="22"/>
                <w:szCs w:val="22"/>
                <w:highlight w:val="none"/>
              </w:rPr>
              <w:t>分；</w:t>
            </w:r>
          </w:p>
          <w:p>
            <w:pPr>
              <w:adjustRightInd/>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阐述内容较差的得</w:t>
            </w:r>
            <w:r>
              <w:rPr>
                <w:rFonts w:hint="eastAsia" w:ascii="宋体" w:hAnsi="宋体" w:cs="宋体"/>
                <w:color w:val="000000"/>
                <w:sz w:val="22"/>
                <w:szCs w:val="22"/>
                <w:highlight w:val="none"/>
                <w:lang w:val="en-US" w:eastAsia="zh-CN"/>
              </w:rPr>
              <w:t>1</w:t>
            </w:r>
            <w:r>
              <w:rPr>
                <w:rFonts w:hint="eastAsia" w:ascii="宋体" w:hAnsi="宋体" w:eastAsia="宋体" w:cs="宋体"/>
                <w:color w:val="000000"/>
                <w:sz w:val="22"/>
                <w:szCs w:val="22"/>
                <w:highlight w:val="none"/>
              </w:rPr>
              <w:t>分</w:t>
            </w:r>
            <w:r>
              <w:rPr>
                <w:rFonts w:hint="eastAsia" w:ascii="宋体" w:hAnsi="宋体" w:cs="宋体"/>
                <w:color w:val="000000"/>
                <w:sz w:val="22"/>
                <w:szCs w:val="22"/>
                <w:highlight w:val="none"/>
                <w:lang w:eastAsia="zh-CN"/>
              </w:rPr>
              <w:t>；</w:t>
            </w:r>
          </w:p>
          <w:p>
            <w:pPr>
              <w:widowControl/>
              <w:adjustRightInd/>
              <w:textAlignment w:val="center"/>
              <w:rPr>
                <w:rFonts w:hint="eastAsia" w:ascii="宋体" w:hAnsi="宋体" w:eastAsia="宋体" w:cs="宋体"/>
                <w:bCs/>
                <w:color w:val="000000"/>
                <w:kern w:val="2"/>
                <w:sz w:val="24"/>
                <w:szCs w:val="24"/>
                <w:highlight w:val="none"/>
                <w:lang w:val="en-US" w:eastAsia="zh-CN" w:bidi="ar"/>
              </w:rPr>
            </w:pPr>
            <w:r>
              <w:rPr>
                <w:rFonts w:hint="eastAsia" w:ascii="宋体" w:hAnsi="宋体" w:eastAsia="宋体" w:cs="宋体"/>
                <w:color w:val="000000"/>
                <w:sz w:val="22"/>
                <w:szCs w:val="22"/>
                <w:highlight w:val="none"/>
              </w:rPr>
              <w:t>未提供方案的得0分</w:t>
            </w:r>
            <w:r>
              <w:rPr>
                <w:rFonts w:hint="eastAsia" w:ascii="宋体" w:hAnsi="宋体" w:eastAsia="宋体" w:cs="宋体"/>
                <w:color w:val="000000"/>
                <w:sz w:val="22"/>
                <w:szCs w:val="22"/>
                <w:highlight w:val="none"/>
                <w:lang w:eastAsia="zh-CN"/>
              </w:rPr>
              <w:t>。</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rPr>
            </w:pPr>
            <w:r>
              <w:rPr>
                <w:rFonts w:hint="eastAsia" w:ascii="宋体" w:hAnsi="宋体" w:cs="宋体"/>
                <w:color w:val="000000"/>
                <w:kern w:val="0"/>
                <w:sz w:val="22"/>
                <w:szCs w:val="22"/>
                <w:highlight w:val="none"/>
                <w:lang w:val="en-US" w:eastAsia="zh-CN" w:bidi="ar"/>
              </w:rPr>
              <w:t>4</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bidi="ar"/>
              </w:rPr>
            </w:pPr>
            <w:r>
              <w:rPr>
                <w:rFonts w:hint="eastAsia" w:ascii="宋体" w:hAnsi="宋体" w:eastAsia="宋体" w:cs="宋体"/>
                <w:color w:val="000000"/>
                <w:kern w:val="0"/>
                <w:sz w:val="22"/>
                <w:szCs w:val="22"/>
                <w:highlight w:val="none"/>
                <w:lang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49"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default" w:ascii="宋体" w:hAnsi="宋体" w:eastAsia="宋体" w:cs="宋体"/>
                <w:kern w:val="0"/>
                <w:sz w:val="24"/>
                <w:szCs w:val="24"/>
                <w:highlight w:val="none"/>
                <w:lang w:val="en-US" w:eastAsia="zh-CN"/>
              </w:rPr>
            </w:pPr>
            <w:r>
              <w:rPr>
                <w:rFonts w:hint="eastAsia" w:ascii="宋体" w:hAnsi="宋体" w:cs="宋体"/>
                <w:kern w:val="0"/>
                <w:sz w:val="24"/>
                <w:szCs w:val="24"/>
                <w:highlight w:val="none"/>
                <w:lang w:val="en-US" w:eastAsia="zh-CN"/>
              </w:rPr>
              <w:t>9</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adjustRightInd/>
              <w:textAlignment w:val="center"/>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根据供应商提供的培训的内容、人员安排、培训时间、频率等培训计划情况，由专家进行综合打分</w:t>
            </w:r>
            <w:r>
              <w:rPr>
                <w:rFonts w:hint="eastAsia" w:ascii="宋体" w:hAnsi="宋体" w:eastAsia="宋体" w:cs="宋体"/>
                <w:color w:val="000000"/>
                <w:sz w:val="22"/>
                <w:szCs w:val="22"/>
                <w:highlight w:val="none"/>
                <w:lang w:eastAsia="zh-CN"/>
              </w:rPr>
              <w:t>：</w:t>
            </w:r>
          </w:p>
          <w:p>
            <w:pPr>
              <w:adjustRightInd/>
              <w:rPr>
                <w:highlight w:val="none"/>
              </w:rPr>
            </w:pPr>
            <w:r>
              <w:rPr>
                <w:rFonts w:hint="eastAsia" w:ascii="宋体" w:hAnsi="宋体" w:eastAsia="宋体" w:cs="宋体"/>
                <w:color w:val="000000"/>
                <w:sz w:val="22"/>
                <w:szCs w:val="22"/>
                <w:highlight w:val="none"/>
              </w:rPr>
              <w:t>阐述全面、合理，可行性强的得</w:t>
            </w:r>
            <w:r>
              <w:rPr>
                <w:rFonts w:hint="eastAsia" w:ascii="宋体" w:hAnsi="宋体" w:cs="宋体"/>
                <w:color w:val="000000"/>
                <w:sz w:val="22"/>
                <w:szCs w:val="22"/>
                <w:highlight w:val="none"/>
                <w:lang w:val="en-US" w:eastAsia="zh-CN"/>
              </w:rPr>
              <w:t>4</w:t>
            </w:r>
            <w:r>
              <w:rPr>
                <w:rFonts w:hint="eastAsia" w:ascii="宋体" w:hAnsi="宋体" w:eastAsia="宋体" w:cs="宋体"/>
                <w:color w:val="000000"/>
                <w:sz w:val="22"/>
                <w:szCs w:val="22"/>
                <w:highlight w:val="none"/>
              </w:rPr>
              <w:t>分</w:t>
            </w:r>
            <w:r>
              <w:rPr>
                <w:rFonts w:hint="eastAsia" w:ascii="宋体" w:hAnsi="宋体" w:cs="宋体"/>
                <w:color w:val="000000"/>
                <w:sz w:val="22"/>
                <w:szCs w:val="22"/>
                <w:highlight w:val="none"/>
                <w:lang w:eastAsia="zh-CN"/>
              </w:rPr>
              <w:t>；</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阐述较为全面、合理，可行性一般的得</w:t>
            </w:r>
            <w:r>
              <w:rPr>
                <w:rFonts w:hint="eastAsia" w:ascii="宋体" w:hAnsi="宋体" w:cs="宋体"/>
                <w:color w:val="000000"/>
                <w:sz w:val="22"/>
                <w:szCs w:val="22"/>
                <w:highlight w:val="none"/>
                <w:lang w:val="en-US" w:eastAsia="zh-CN"/>
              </w:rPr>
              <w:t>3</w:t>
            </w:r>
            <w:r>
              <w:rPr>
                <w:rFonts w:hint="eastAsia" w:ascii="宋体" w:hAnsi="宋体" w:eastAsia="宋体" w:cs="宋体"/>
                <w:color w:val="000000"/>
                <w:sz w:val="22"/>
                <w:szCs w:val="22"/>
                <w:highlight w:val="none"/>
              </w:rPr>
              <w:t>分；</w:t>
            </w:r>
          </w:p>
          <w:p>
            <w:pPr>
              <w:adjustRightInd/>
              <w:rPr>
                <w:rFonts w:hint="eastAsia" w:ascii="宋体" w:hAnsi="宋体" w:cs="宋体"/>
                <w:color w:val="000000"/>
                <w:sz w:val="22"/>
                <w:szCs w:val="22"/>
                <w:highlight w:val="none"/>
                <w:lang w:eastAsia="zh-CN"/>
              </w:rPr>
            </w:pPr>
            <w:r>
              <w:rPr>
                <w:rFonts w:hint="eastAsia" w:ascii="宋体" w:hAnsi="宋体" w:eastAsia="宋体" w:cs="宋体"/>
                <w:color w:val="000000"/>
                <w:sz w:val="22"/>
                <w:szCs w:val="22"/>
                <w:highlight w:val="none"/>
              </w:rPr>
              <w:t>阐述简单或者缺乏合理性的得</w:t>
            </w:r>
            <w:r>
              <w:rPr>
                <w:rFonts w:hint="eastAsia" w:ascii="宋体" w:hAnsi="宋体" w:cs="宋体"/>
                <w:color w:val="000000"/>
                <w:sz w:val="22"/>
                <w:szCs w:val="22"/>
                <w:highlight w:val="none"/>
                <w:lang w:val="en-US" w:eastAsia="zh-CN"/>
              </w:rPr>
              <w:t>2</w:t>
            </w:r>
            <w:r>
              <w:rPr>
                <w:rFonts w:hint="eastAsia" w:ascii="宋体" w:hAnsi="宋体" w:eastAsia="宋体" w:cs="宋体"/>
                <w:color w:val="000000"/>
                <w:sz w:val="22"/>
                <w:szCs w:val="22"/>
                <w:highlight w:val="none"/>
              </w:rPr>
              <w:t>分</w:t>
            </w:r>
            <w:r>
              <w:rPr>
                <w:rFonts w:hint="eastAsia" w:ascii="宋体" w:hAnsi="宋体" w:cs="宋体"/>
                <w:color w:val="000000"/>
                <w:sz w:val="22"/>
                <w:szCs w:val="22"/>
                <w:highlight w:val="none"/>
                <w:lang w:eastAsia="zh-CN"/>
              </w:rPr>
              <w:t>；</w:t>
            </w:r>
          </w:p>
          <w:p>
            <w:pPr>
              <w:adjustRightInd/>
              <w:rPr>
                <w:rFonts w:ascii="宋体" w:hAnsi="宋体" w:eastAsia="宋体" w:cs="宋体"/>
                <w:color w:val="000000"/>
                <w:sz w:val="22"/>
                <w:szCs w:val="22"/>
                <w:highlight w:val="none"/>
              </w:rPr>
            </w:pPr>
            <w:r>
              <w:rPr>
                <w:rFonts w:hint="eastAsia" w:ascii="宋体" w:hAnsi="宋体" w:eastAsia="宋体" w:cs="宋体"/>
                <w:color w:val="000000"/>
                <w:sz w:val="22"/>
                <w:szCs w:val="22"/>
                <w:highlight w:val="none"/>
              </w:rPr>
              <w:t>阐述内容较差的得1分。</w:t>
            </w:r>
          </w:p>
          <w:p>
            <w:pPr>
              <w:widowControl w:val="0"/>
              <w:autoSpaceDE w:val="0"/>
              <w:autoSpaceDN w:val="0"/>
              <w:spacing w:line="240" w:lineRule="auto"/>
              <w:ind w:firstLine="0" w:firstLineChars="0"/>
              <w:jc w:val="both"/>
              <w:rPr>
                <w:rFonts w:hint="eastAsia" w:ascii="宋体" w:hAnsi="宋体" w:eastAsia="宋体" w:cs="宋体"/>
                <w:bCs/>
                <w:color w:val="000000"/>
                <w:kern w:val="2"/>
                <w:sz w:val="24"/>
                <w:szCs w:val="24"/>
                <w:highlight w:val="none"/>
                <w:lang w:val="en-US" w:eastAsia="zh-CN" w:bidi="ar"/>
              </w:rPr>
            </w:pPr>
            <w:r>
              <w:rPr>
                <w:rFonts w:hint="eastAsia" w:ascii="宋体" w:hAnsi="宋体" w:eastAsia="宋体" w:cs="宋体"/>
                <w:snapToGrid/>
                <w:color w:val="000000"/>
                <w:kern w:val="2"/>
                <w:sz w:val="22"/>
                <w:szCs w:val="22"/>
                <w:highlight w:val="none"/>
                <w:lang w:val="zh-CN" w:eastAsia="zh-CN" w:bidi="ar-SA"/>
              </w:rPr>
              <w:t>未提供方案的得0分。</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rPr>
            </w:pPr>
            <w:r>
              <w:rPr>
                <w:rFonts w:hint="eastAsia" w:ascii="宋体" w:hAnsi="宋体" w:cs="宋体"/>
                <w:color w:val="000000"/>
                <w:kern w:val="0"/>
                <w:sz w:val="22"/>
                <w:szCs w:val="22"/>
                <w:highlight w:val="none"/>
                <w:lang w:val="en-US" w:eastAsia="zh-CN" w:bidi="ar"/>
              </w:rPr>
              <w:t>4</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kern w:val="0"/>
                <w:sz w:val="24"/>
                <w:szCs w:val="24"/>
                <w:highlight w:val="none"/>
                <w:lang w:val="en-US" w:eastAsia="zh-CN" w:bidi="ar"/>
              </w:rPr>
            </w:pPr>
            <w:r>
              <w:rPr>
                <w:rFonts w:hint="eastAsia" w:ascii="宋体" w:hAnsi="宋体" w:eastAsia="宋体" w:cs="宋体"/>
                <w:color w:val="000000"/>
                <w:kern w:val="0"/>
                <w:sz w:val="22"/>
                <w:szCs w:val="22"/>
                <w:highlight w:val="none"/>
                <w:lang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49" w:hRule="atLeast"/>
          <w:jc w:val="center"/>
        </w:trPr>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N/>
              <w:bidi w:val="0"/>
              <w:adjustRightInd w:val="0"/>
              <w:snapToGrid/>
              <w:spacing w:before="0" w:beforeAutospacing="0" w:after="0" w:afterAutospacing="0" w:line="400" w:lineRule="exact"/>
              <w:ind w:left="0" w:right="0"/>
              <w:jc w:val="center"/>
              <w:rPr>
                <w:rFonts w:hint="default" w:ascii="宋体" w:hAnsi="宋体" w:cs="宋体"/>
                <w:kern w:val="0"/>
                <w:sz w:val="24"/>
                <w:szCs w:val="24"/>
                <w:highlight w:val="none"/>
                <w:lang w:val="en-US" w:eastAsia="zh-CN"/>
              </w:rPr>
            </w:pPr>
            <w:r>
              <w:rPr>
                <w:rFonts w:hint="eastAsia" w:ascii="宋体" w:hAnsi="宋体" w:cs="宋体"/>
                <w:kern w:val="0"/>
                <w:sz w:val="24"/>
                <w:szCs w:val="24"/>
                <w:highlight w:val="none"/>
                <w:lang w:val="en-US" w:eastAsia="zh-CN"/>
              </w:rPr>
              <w:t>10</w:t>
            </w:r>
          </w:p>
        </w:tc>
        <w:tc>
          <w:tcPr>
            <w:tcW w:w="8034" w:type="dxa"/>
            <w:tcBorders>
              <w:top w:val="single" w:color="auto" w:sz="4" w:space="0"/>
              <w:left w:val="nil"/>
              <w:bottom w:val="single" w:color="auto" w:sz="4" w:space="0"/>
              <w:right w:val="single" w:color="auto" w:sz="4" w:space="0"/>
            </w:tcBorders>
            <w:shd w:val="clear" w:color="auto" w:fill="auto"/>
            <w:vAlign w:val="center"/>
          </w:tcPr>
          <w:p>
            <w:pPr>
              <w:widowControl w:val="0"/>
              <w:autoSpaceDE w:val="0"/>
              <w:autoSpaceDN w:val="0"/>
              <w:spacing w:line="240" w:lineRule="auto"/>
              <w:ind w:firstLine="0" w:firstLineChars="0"/>
              <w:jc w:val="both"/>
              <w:rPr>
                <w:rFonts w:hint="eastAsia" w:ascii="宋体" w:hAnsi="宋体" w:eastAsia="宋体" w:cs="宋体"/>
                <w:snapToGrid/>
                <w:color w:val="000000"/>
                <w:kern w:val="2"/>
                <w:sz w:val="22"/>
                <w:szCs w:val="22"/>
                <w:highlight w:val="none"/>
                <w:lang w:val="zh-CN" w:eastAsia="zh-CN" w:bidi="ar-SA"/>
              </w:rPr>
            </w:pPr>
            <w:r>
              <w:rPr>
                <w:rFonts w:hint="eastAsia" w:ascii="宋体" w:hAnsi="宋体" w:eastAsia="宋体" w:cs="宋体"/>
                <w:snapToGrid/>
                <w:color w:val="000000"/>
                <w:kern w:val="2"/>
                <w:sz w:val="22"/>
                <w:szCs w:val="22"/>
                <w:highlight w:val="none"/>
                <w:lang w:val="zh-CN" w:eastAsia="zh-CN" w:bidi="ar-SA"/>
              </w:rPr>
              <w:t>产品演示：各投标人需按照以下演示项目，拷贝到U盘邮寄或</w:t>
            </w:r>
            <w:r>
              <w:rPr>
                <w:rFonts w:hint="eastAsia" w:ascii="宋体" w:hAnsi="宋体" w:cs="宋体"/>
                <w:snapToGrid/>
                <w:color w:val="000000"/>
                <w:kern w:val="2"/>
                <w:sz w:val="22"/>
                <w:szCs w:val="22"/>
                <w:highlight w:val="none"/>
                <w:lang w:val="en-US" w:eastAsia="zh-CN" w:bidi="ar-SA"/>
              </w:rPr>
              <w:t>邮箱发送（zjdy8888@126.com）</w:t>
            </w:r>
            <w:r>
              <w:rPr>
                <w:rFonts w:hint="eastAsia" w:ascii="宋体" w:hAnsi="宋体" w:eastAsia="宋体" w:cs="宋体"/>
                <w:snapToGrid/>
                <w:color w:val="000000"/>
                <w:kern w:val="2"/>
                <w:sz w:val="22"/>
                <w:szCs w:val="22"/>
                <w:highlight w:val="none"/>
                <w:lang w:val="zh-CN" w:eastAsia="zh-CN" w:bidi="ar-SA"/>
              </w:rPr>
              <w:t xml:space="preserve">。演示时长不得超过15分钟，演示内容包括：  </w:t>
            </w:r>
          </w:p>
          <w:p>
            <w:pPr>
              <w:widowControl w:val="0"/>
              <w:autoSpaceDE w:val="0"/>
              <w:autoSpaceDN w:val="0"/>
              <w:spacing w:line="240" w:lineRule="auto"/>
              <w:ind w:firstLine="0" w:firstLineChars="0"/>
              <w:jc w:val="both"/>
              <w:rPr>
                <w:rFonts w:hint="eastAsia" w:ascii="宋体" w:hAnsi="宋体" w:eastAsia="宋体" w:cs="宋体"/>
                <w:snapToGrid/>
                <w:color w:val="000000"/>
                <w:kern w:val="2"/>
                <w:sz w:val="22"/>
                <w:szCs w:val="22"/>
                <w:highlight w:val="none"/>
                <w:lang w:val="zh-CN" w:eastAsia="zh-CN" w:bidi="ar-SA"/>
              </w:rPr>
            </w:pPr>
            <w:r>
              <w:rPr>
                <w:rFonts w:hint="eastAsia" w:ascii="宋体" w:hAnsi="宋体" w:eastAsia="宋体" w:cs="宋体"/>
                <w:snapToGrid/>
                <w:color w:val="000000"/>
                <w:kern w:val="2"/>
                <w:sz w:val="22"/>
                <w:szCs w:val="22"/>
                <w:highlight w:val="none"/>
                <w:lang w:val="zh-CN" w:eastAsia="zh-CN" w:bidi="ar-SA"/>
              </w:rPr>
              <w:t>1、学生在家对着手机摄像头或者平板摄像头进行跳绳、开合跳、高抬腿、深蹲、象限跳等运动，视频 AI可以自动识别动作并进行计数，运动完成后，系统会生成运动报告，方便学生和家长进行查看。</w:t>
            </w:r>
          </w:p>
          <w:p>
            <w:pPr>
              <w:widowControl w:val="0"/>
              <w:autoSpaceDE w:val="0"/>
              <w:autoSpaceDN w:val="0"/>
              <w:spacing w:line="240" w:lineRule="auto"/>
              <w:ind w:firstLine="0" w:firstLineChars="0"/>
              <w:jc w:val="both"/>
              <w:rPr>
                <w:rFonts w:hint="eastAsia" w:ascii="宋体" w:hAnsi="宋体" w:eastAsia="宋体" w:cs="宋体"/>
                <w:snapToGrid/>
                <w:color w:val="000000"/>
                <w:kern w:val="2"/>
                <w:sz w:val="22"/>
                <w:szCs w:val="22"/>
                <w:highlight w:val="none"/>
                <w:lang w:val="zh-CN" w:eastAsia="zh-CN" w:bidi="ar-SA"/>
              </w:rPr>
            </w:pPr>
            <w:r>
              <w:rPr>
                <w:rFonts w:hint="eastAsia" w:ascii="宋体" w:hAnsi="宋体" w:eastAsia="宋体" w:cs="宋体"/>
                <w:snapToGrid/>
                <w:color w:val="000000"/>
                <w:kern w:val="2"/>
                <w:sz w:val="22"/>
                <w:szCs w:val="22"/>
                <w:highlight w:val="none"/>
                <w:lang w:val="zh-CN" w:eastAsia="zh-CN" w:bidi="ar-SA"/>
              </w:rPr>
              <w:t>2、学生在家对着手机摄像头或者平板摄像头进行跳绳、开合跳、高抬腿、深蹲、象限跳等运动，视频 AI可以自动识别动作并进行计数，运动完成后，系统会生成运动报告，方便学生和家长进行查看。</w:t>
            </w:r>
          </w:p>
          <w:p>
            <w:pPr>
              <w:widowControl w:val="0"/>
              <w:autoSpaceDE w:val="0"/>
              <w:autoSpaceDN w:val="0"/>
              <w:spacing w:line="240" w:lineRule="auto"/>
              <w:ind w:firstLine="0" w:firstLineChars="0"/>
              <w:jc w:val="both"/>
              <w:rPr>
                <w:rFonts w:hint="eastAsia" w:ascii="宋体" w:hAnsi="宋体" w:eastAsia="宋体" w:cs="宋体"/>
                <w:snapToGrid/>
                <w:color w:val="000000"/>
                <w:kern w:val="2"/>
                <w:sz w:val="22"/>
                <w:szCs w:val="22"/>
                <w:highlight w:val="none"/>
                <w:lang w:val="zh-CN" w:eastAsia="zh-CN" w:bidi="ar-SA"/>
              </w:rPr>
            </w:pPr>
            <w:r>
              <w:rPr>
                <w:rFonts w:hint="eastAsia" w:ascii="宋体" w:hAnsi="宋体" w:eastAsia="宋体" w:cs="宋体"/>
                <w:snapToGrid/>
                <w:color w:val="000000"/>
                <w:kern w:val="2"/>
                <w:sz w:val="22"/>
                <w:szCs w:val="22"/>
                <w:highlight w:val="none"/>
                <w:lang w:val="zh-CN" w:eastAsia="zh-CN" w:bidi="ar-SA"/>
              </w:rPr>
              <w:t>以上每条演示项进行逐一演示，每提供一条得3分，满分6分，未提供产品演示或演示因自身原因没有成功的不计分。</w:t>
            </w:r>
          </w:p>
        </w:tc>
        <w:tc>
          <w:tcPr>
            <w:tcW w:w="80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cs="宋体"/>
                <w:color w:val="000000"/>
                <w:kern w:val="0"/>
                <w:sz w:val="22"/>
                <w:szCs w:val="22"/>
                <w:highlight w:val="none"/>
                <w:lang w:val="en-US" w:eastAsia="zh-CN" w:bidi="ar"/>
              </w:rPr>
            </w:pPr>
            <w:r>
              <w:rPr>
                <w:rFonts w:hint="eastAsia" w:ascii="宋体" w:hAnsi="宋体" w:cs="宋体"/>
                <w:color w:val="000000"/>
                <w:kern w:val="0"/>
                <w:sz w:val="22"/>
                <w:szCs w:val="22"/>
                <w:lang w:val="en-US" w:eastAsia="zh-CN" w:bidi="ar"/>
              </w:rPr>
              <w:t>6</w:t>
            </w:r>
          </w:p>
        </w:tc>
        <w:tc>
          <w:tcPr>
            <w:tcW w:w="974"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textAlignment w:val="center"/>
              <w:rPr>
                <w:rFonts w:hint="eastAsia" w:ascii="宋体" w:hAnsi="宋体" w:eastAsia="宋体" w:cs="宋体"/>
                <w:color w:val="000000"/>
                <w:kern w:val="0"/>
                <w:sz w:val="22"/>
                <w:szCs w:val="22"/>
                <w:highlight w:val="none"/>
                <w:lang w:eastAsia="zh-CN" w:bidi="ar"/>
              </w:rPr>
            </w:pPr>
            <w:r>
              <w:rPr>
                <w:rFonts w:hint="eastAsia" w:ascii="宋体" w:hAnsi="宋体" w:eastAsia="宋体" w:cs="宋体"/>
                <w:color w:val="000000"/>
                <w:kern w:val="0"/>
                <w:sz w:val="22"/>
                <w:szCs w:val="22"/>
                <w:lang w:eastAsia="zh-CN" w:bidi="ar"/>
              </w:rPr>
              <w:t>客观分</w:t>
            </w:r>
          </w:p>
        </w:tc>
      </w:tr>
    </w:tbl>
    <w:p>
      <w:pPr>
        <w:adjustRightInd/>
        <w:spacing w:line="360" w:lineRule="auto"/>
        <w:ind w:firstLine="431" w:firstLineChars="196"/>
        <w:rPr>
          <w:rFonts w:hint="eastAsia" w:ascii="宋体" w:hAnsi="宋体" w:eastAsia="宋体" w:cs="宋体"/>
          <w:color w:val="auto"/>
          <w:kern w:val="0"/>
          <w:sz w:val="22"/>
          <w:szCs w:val="22"/>
          <w:highlight w:val="none"/>
        </w:rPr>
      </w:pPr>
    </w:p>
    <w:p>
      <w:pPr>
        <w:adjustRightInd/>
        <w:spacing w:line="360" w:lineRule="auto"/>
        <w:ind w:firstLine="431" w:firstLineChars="196"/>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*备注：供应商编制响应文件（商务技术文件部分）时，建议按此目录（序号和内容）提供评审标准相应的商务技术资料。 </w:t>
      </w:r>
    </w:p>
    <w:p>
      <w:pPr>
        <w:pStyle w:val="28"/>
        <w:numPr>
          <w:ilvl w:val="0"/>
          <w:numId w:val="1"/>
        </w:numPr>
        <w:ind w:left="0" w:leftChars="0" w:firstLine="442" w:firstLineChars="200"/>
        <w:rPr>
          <w:rFonts w:hint="eastAsia" w:ascii="宋体" w:hAnsi="宋体" w:eastAsia="宋体" w:cs="宋体"/>
          <w:b/>
          <w:color w:val="auto"/>
          <w:spacing w:val="0"/>
          <w:kern w:val="0"/>
          <w:sz w:val="22"/>
          <w:szCs w:val="22"/>
          <w:highlight w:val="none"/>
          <w:lang w:val="en-US" w:eastAsia="zh-CN" w:bidi="ar-SA"/>
        </w:rPr>
      </w:pPr>
      <w:r>
        <w:rPr>
          <w:rFonts w:hint="eastAsia" w:ascii="宋体" w:hAnsi="宋体" w:eastAsia="宋体" w:cs="宋体"/>
          <w:b/>
          <w:color w:val="auto"/>
          <w:spacing w:val="0"/>
          <w:kern w:val="0"/>
          <w:sz w:val="22"/>
          <w:szCs w:val="22"/>
          <w:highlight w:val="none"/>
          <w:lang w:val="en-US" w:eastAsia="zh-CN" w:bidi="ar-SA"/>
        </w:rPr>
        <w:t>投标报价评分（30分）</w:t>
      </w:r>
    </w:p>
    <w:tbl>
      <w:tblPr>
        <w:tblStyle w:val="16"/>
        <w:tblW w:w="103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246"/>
        <w:gridCol w:w="6481"/>
        <w:gridCol w:w="1065"/>
        <w:gridCol w:w="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17" w:type="dxa"/>
            <w:vMerge w:val="restart"/>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w:t>
            </w:r>
          </w:p>
        </w:tc>
        <w:tc>
          <w:tcPr>
            <w:tcW w:w="1246" w:type="dxa"/>
            <w:vMerge w:val="restart"/>
            <w:noWrap w:val="0"/>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价格评审</w:t>
            </w:r>
          </w:p>
        </w:tc>
        <w:tc>
          <w:tcPr>
            <w:tcW w:w="6481"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评定项目</w:t>
            </w:r>
          </w:p>
        </w:tc>
        <w:tc>
          <w:tcPr>
            <w:tcW w:w="1065"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分值</w:t>
            </w:r>
          </w:p>
        </w:tc>
        <w:tc>
          <w:tcPr>
            <w:tcW w:w="823"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7" w:type="dxa"/>
            <w:vMerge w:val="continue"/>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p>
        </w:tc>
        <w:tc>
          <w:tcPr>
            <w:tcW w:w="1246" w:type="dxa"/>
            <w:vMerge w:val="continue"/>
            <w:noWrap w:val="0"/>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2"/>
                <w:szCs w:val="22"/>
                <w:highlight w:val="none"/>
              </w:rPr>
            </w:pPr>
          </w:p>
        </w:tc>
        <w:tc>
          <w:tcPr>
            <w:tcW w:w="6481" w:type="dxa"/>
            <w:noWrap w:val="0"/>
            <w:vAlign w:val="center"/>
          </w:tcPr>
          <w:p>
            <w:pPr>
              <w:keepNext w:val="0"/>
              <w:keepLines w:val="0"/>
              <w:suppressLineNumbers w:val="0"/>
              <w:tabs>
                <w:tab w:val="left" w:pos="0"/>
              </w:tabs>
              <w:spacing w:before="0" w:beforeAutospacing="0" w:after="0" w:afterAutospacing="0" w:line="400" w:lineRule="exact"/>
              <w:ind w:left="0" w:right="0"/>
              <w:rPr>
                <w:rFonts w:hint="eastAsia" w:ascii="宋体" w:hAnsi="宋体" w:eastAsia="宋体" w:cs="宋体"/>
                <w:bCs/>
                <w:color w:val="auto"/>
                <w:sz w:val="22"/>
                <w:szCs w:val="22"/>
                <w:highlight w:val="none"/>
                <w:lang w:val="zh-CN"/>
              </w:rPr>
            </w:pPr>
            <w:r>
              <w:rPr>
                <w:rFonts w:hint="eastAsia" w:ascii="宋体" w:hAnsi="宋体" w:eastAsia="宋体" w:cs="宋体"/>
                <w:bCs/>
                <w:color w:val="auto"/>
                <w:sz w:val="22"/>
                <w:szCs w:val="22"/>
                <w:highlight w:val="none"/>
                <w:lang w:val="zh-CN"/>
              </w:rPr>
              <w:t>有效投标报价的最低价作为评标基准价，其最低报价为满分；按［投标报价得分=（评标基准价/投标报价）*</w:t>
            </w:r>
            <w:r>
              <w:rPr>
                <w:rFonts w:hint="eastAsia" w:ascii="宋体" w:hAnsi="宋体" w:eastAsia="宋体" w:cs="宋体"/>
                <w:bCs/>
                <w:color w:val="auto"/>
                <w:sz w:val="22"/>
                <w:szCs w:val="22"/>
                <w:highlight w:val="none"/>
                <w:lang w:val="en-US" w:eastAsia="zh-CN"/>
              </w:rPr>
              <w:t>30</w:t>
            </w:r>
            <w:r>
              <w:rPr>
                <w:rFonts w:hint="eastAsia" w:ascii="宋体" w:hAnsi="宋体" w:eastAsia="宋体" w:cs="宋体"/>
                <w:bCs/>
                <w:color w:val="auto"/>
                <w:sz w:val="22"/>
                <w:szCs w:val="22"/>
                <w:highlight w:val="none"/>
                <w:lang w:val="zh-CN"/>
              </w:rPr>
              <w:t>］的计算公式计算。</w:t>
            </w:r>
          </w:p>
          <w:p>
            <w:pPr>
              <w:keepNext w:val="0"/>
              <w:keepLines w:val="0"/>
              <w:suppressLineNumbers w:val="0"/>
              <w:tabs>
                <w:tab w:val="left" w:pos="0"/>
              </w:tabs>
              <w:spacing w:before="0" w:beforeAutospacing="0" w:after="0" w:afterAutospacing="0" w:line="400" w:lineRule="exact"/>
              <w:ind w:left="0" w:right="0"/>
              <w:rPr>
                <w:rFonts w:hint="eastAsia" w:ascii="宋体" w:hAnsi="宋体" w:eastAsia="宋体" w:cs="宋体"/>
                <w:bCs/>
                <w:color w:val="auto"/>
                <w:sz w:val="22"/>
                <w:szCs w:val="22"/>
                <w:highlight w:val="none"/>
                <w:lang w:val="zh-CN"/>
              </w:rPr>
            </w:pPr>
            <w:r>
              <w:rPr>
                <w:rFonts w:hint="eastAsia" w:ascii="宋体" w:hAnsi="宋体" w:eastAsia="宋体" w:cs="宋体"/>
                <w:bCs/>
                <w:color w:val="auto"/>
                <w:sz w:val="22"/>
                <w:szCs w:val="22"/>
                <w:highlight w:val="none"/>
                <w:lang w:val="zh-CN"/>
              </w:rPr>
              <w:t>评标过程中，不得去掉报价中的最高报价和最低报价。</w:t>
            </w:r>
          </w:p>
          <w:p>
            <w:pPr>
              <w:keepNext w:val="0"/>
              <w:keepLines w:val="0"/>
              <w:suppressLineNumbers w:val="0"/>
              <w:spacing w:before="0" w:beforeAutospacing="0" w:after="0" w:afterAutospacing="0" w:line="400" w:lineRule="exact"/>
              <w:ind w:left="0" w:right="0"/>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eastAsia="zh-CN"/>
              </w:rPr>
              <w:t>落实政府采购政策说明：本项目面向中小企业采购，不进行价格扣除或价格分加分。</w:t>
            </w:r>
          </w:p>
        </w:tc>
        <w:tc>
          <w:tcPr>
            <w:tcW w:w="1065"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30分</w:t>
            </w:r>
          </w:p>
        </w:tc>
        <w:tc>
          <w:tcPr>
            <w:tcW w:w="823"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w:t>
            </w:r>
          </w:p>
        </w:tc>
      </w:tr>
    </w:tbl>
    <w:p>
      <w:pPr>
        <w:pageBreakBefore/>
        <w:kinsoku/>
        <w:wordWrap/>
        <w:overflowPunct/>
        <w:topLinePunct w:val="0"/>
        <w:autoSpaceDE/>
        <w:autoSpaceDN/>
        <w:bidi w:val="0"/>
        <w:snapToGrid w:val="0"/>
        <w:spacing w:line="400" w:lineRule="exact"/>
        <w:textAlignment w:val="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kinsoku/>
        <w:wordWrap/>
        <w:overflowPunct/>
        <w:topLinePunct w:val="0"/>
        <w:autoSpaceDE/>
        <w:autoSpaceDN/>
        <w:bidi w:val="0"/>
        <w:adjustRightInd/>
        <w:spacing w:line="40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kinsoku/>
        <w:wordWrap/>
        <w:overflowPunct/>
        <w:topLinePunct w:val="0"/>
        <w:autoSpaceDE/>
        <w:autoSpaceDN/>
        <w:bidi w:val="0"/>
        <w:adjustRightInd/>
        <w:spacing w:line="400" w:lineRule="exact"/>
        <w:textAlignment w:val="auto"/>
        <w:rPr>
          <w:rFonts w:ascii="宋体" w:hAnsi="宋体" w:cs="宋体"/>
          <w:color w:val="auto"/>
          <w:kern w:val="0"/>
          <w:sz w:val="24"/>
          <w:highlight w:val="none"/>
        </w:rPr>
      </w:pPr>
      <w:r>
        <w:rPr>
          <w:rFonts w:hint="eastAsia" w:ascii="宋体" w:hAnsi="宋体" w:cs="宋体"/>
          <w:b/>
          <w:color w:val="auto"/>
          <w:sz w:val="32"/>
          <w:highlight w:val="none"/>
        </w:rPr>
        <w:t>二、评标标准</w:t>
      </w:r>
    </w:p>
    <w:p>
      <w:pPr>
        <w:kinsoku/>
        <w:wordWrap/>
        <w:overflowPunct/>
        <w:topLinePunct w:val="0"/>
        <w:autoSpaceDE/>
        <w:autoSpaceDN/>
        <w:bidi w:val="0"/>
        <w:spacing w:line="400" w:lineRule="exact"/>
        <w:ind w:firstLine="472" w:firstLineChars="196"/>
        <w:textAlignment w:val="auto"/>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kinsoku/>
        <w:wordWrap/>
        <w:overflowPunct/>
        <w:topLinePunct w:val="0"/>
        <w:autoSpaceDE/>
        <w:autoSpaceDN/>
        <w:bidi w:val="0"/>
        <w:spacing w:line="400" w:lineRule="exact"/>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kinsoku/>
        <w:wordWrap/>
        <w:overflowPunct/>
        <w:topLinePunct w:val="0"/>
        <w:autoSpaceDE/>
        <w:autoSpaceDN/>
        <w:bidi w:val="0"/>
        <w:spacing w:line="40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kinsoku/>
        <w:wordWrap/>
        <w:overflowPunct/>
        <w:topLinePunct w:val="0"/>
        <w:autoSpaceDE/>
        <w:autoSpaceDN/>
        <w:bidi w:val="0"/>
        <w:spacing w:line="40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kinsoku/>
        <w:wordWrap/>
        <w:overflowPunct/>
        <w:topLinePunct w:val="0"/>
        <w:autoSpaceDE/>
        <w:autoSpaceDN/>
        <w:bidi w:val="0"/>
        <w:spacing w:line="40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kinsoku/>
        <w:wordWrap/>
        <w:overflowPunct/>
        <w:topLinePunct w:val="0"/>
        <w:autoSpaceDE/>
        <w:autoSpaceDN/>
        <w:bidi w:val="0"/>
        <w:spacing w:line="400" w:lineRule="exact"/>
        <w:ind w:firstLine="472" w:firstLineChars="196"/>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21"/>
        <w:kinsoku/>
        <w:wordWrap/>
        <w:overflowPunct/>
        <w:topLinePunct w:val="0"/>
        <w:autoSpaceDE/>
        <w:autoSpaceDN/>
        <w:bidi w:val="0"/>
        <w:spacing w:before="0" w:line="400" w:lineRule="exact"/>
        <w:ind w:firstLine="508" w:firstLineChars="212"/>
        <w:textAlignment w:val="auto"/>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kinsoku/>
        <w:wordWrap/>
        <w:overflowPunct/>
        <w:topLinePunct w:val="0"/>
        <w:autoSpaceDE/>
        <w:autoSpaceDN/>
        <w:bidi w:val="0"/>
        <w:snapToGrid w:val="0"/>
        <w:spacing w:line="40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kinsoku/>
        <w:wordWrap/>
        <w:overflowPunct/>
        <w:topLinePunct w:val="0"/>
        <w:autoSpaceDE/>
        <w:autoSpaceDN/>
        <w:bidi w:val="0"/>
        <w:snapToGrid w:val="0"/>
        <w:spacing w:line="40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21"/>
        <w:kinsoku/>
        <w:wordWrap/>
        <w:overflowPunct/>
        <w:topLinePunct w:val="0"/>
        <w:autoSpaceDE/>
        <w:autoSpaceDN/>
        <w:bidi w:val="0"/>
        <w:spacing w:before="0" w:line="40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kinsoku/>
        <w:wordWrap/>
        <w:overflowPunct/>
        <w:topLinePunct w:val="0"/>
        <w:autoSpaceDE/>
        <w:autoSpaceDN/>
        <w:bidi w:val="0"/>
        <w:spacing w:line="400" w:lineRule="exact"/>
        <w:ind w:firstLine="482" w:firstLineChars="200"/>
        <w:textAlignment w:val="auto"/>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kinsoku/>
        <w:wordWrap/>
        <w:overflowPunct/>
        <w:topLinePunct w:val="0"/>
        <w:autoSpaceDE/>
        <w:autoSpaceDN/>
        <w:bidi w:val="0"/>
        <w:spacing w:line="400" w:lineRule="exact"/>
        <w:ind w:firstLine="480" w:firstLineChars="200"/>
        <w:textAlignment w:val="auto"/>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kinsoku/>
        <w:wordWrap/>
        <w:overflowPunct/>
        <w:topLinePunct w:val="0"/>
        <w:autoSpaceDE/>
        <w:autoSpaceDN/>
        <w:bidi w:val="0"/>
        <w:spacing w:line="40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kinsoku/>
        <w:wordWrap/>
        <w:overflowPunct/>
        <w:topLinePunct w:val="0"/>
        <w:autoSpaceDE/>
        <w:autoSpaceDN/>
        <w:bidi w:val="0"/>
        <w:adjustRightInd/>
        <w:spacing w:line="400" w:lineRule="exact"/>
        <w:jc w:val="left"/>
        <w:textAlignment w:val="auto"/>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21"/>
        <w:kinsoku/>
        <w:wordWrap/>
        <w:overflowPunct/>
        <w:topLinePunct w:val="0"/>
        <w:autoSpaceDE/>
        <w:autoSpaceDN/>
        <w:bidi w:val="0"/>
        <w:spacing w:before="0" w:line="400" w:lineRule="exact"/>
        <w:ind w:firstLine="472" w:firstLineChars="196"/>
        <w:textAlignment w:val="auto"/>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9"/>
        <w:kinsoku/>
        <w:wordWrap/>
        <w:overflowPunct/>
        <w:topLinePunct w:val="0"/>
        <w:autoSpaceDE/>
        <w:autoSpaceDN/>
        <w:bidi w:val="0"/>
        <w:spacing w:line="400" w:lineRule="exact"/>
        <w:ind w:left="954" w:leftChars="226" w:hanging="479" w:firstLineChars="0"/>
        <w:textAlignment w:val="auto"/>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kinsoku/>
        <w:wordWrap/>
        <w:overflowPunct/>
        <w:topLinePunct w:val="0"/>
        <w:autoSpaceDE/>
        <w:autoSpaceDN/>
        <w:bidi w:val="0"/>
        <w:snapToGrid w:val="0"/>
        <w:spacing w:line="400" w:lineRule="exact"/>
        <w:ind w:firstLine="120" w:firstLineChars="5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pPr>
        <w:kinsoku/>
        <w:wordWrap/>
        <w:overflowPunct/>
        <w:topLinePunct w:val="0"/>
        <w:autoSpaceDE/>
        <w:autoSpaceDN/>
        <w:bidi w:val="0"/>
        <w:spacing w:line="400" w:lineRule="exact"/>
        <w:ind w:firstLine="240" w:firstLineChars="10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pPr>
        <w:pStyle w:val="5"/>
        <w:kinsoku/>
        <w:wordWrap/>
        <w:overflowPunct/>
        <w:topLinePunct w:val="0"/>
        <w:autoSpaceDE/>
        <w:autoSpaceDN/>
        <w:bidi w:val="0"/>
        <w:spacing w:line="400" w:lineRule="exact"/>
        <w:ind w:left="862" w:leftChars="205"/>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kinsoku/>
        <w:wordWrap/>
        <w:overflowPunct/>
        <w:topLinePunct w:val="0"/>
        <w:autoSpaceDE/>
        <w:autoSpaceDN/>
        <w:bidi w:val="0"/>
        <w:spacing w:line="40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pPr>
        <w:pStyle w:val="9"/>
        <w:kinsoku/>
        <w:wordWrap/>
        <w:overflowPunct/>
        <w:topLinePunct w:val="0"/>
        <w:autoSpaceDE/>
        <w:autoSpaceDN/>
        <w:bidi w:val="0"/>
        <w:snapToGrid w:val="0"/>
        <w:spacing w:line="400" w:lineRule="exact"/>
        <w:ind w:firstLine="472" w:firstLineChars="196"/>
        <w:textAlignment w:val="auto"/>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5.1符合专业条件的供应商或者对招标文件作实质响应的供应商不足3家的；</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5.2出现影响采购公正的违法、违规行为的；</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5.3投标人的报价均超过了采购预算，采购人不能支付的；</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5.4因重大变故，采购任务取消的。</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9"/>
        <w:kinsoku/>
        <w:wordWrap/>
        <w:overflowPunct/>
        <w:topLinePunct w:val="0"/>
        <w:autoSpaceDE/>
        <w:autoSpaceDN/>
        <w:bidi w:val="0"/>
        <w:snapToGrid w:val="0"/>
        <w:spacing w:line="400" w:lineRule="exact"/>
        <w:ind w:firstLine="590" w:firstLineChars="245"/>
        <w:textAlignment w:val="auto"/>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9"/>
        <w:kinsoku/>
        <w:wordWrap/>
        <w:overflowPunct/>
        <w:topLinePunct w:val="0"/>
        <w:autoSpaceDE/>
        <w:autoSpaceDN/>
        <w:bidi w:val="0"/>
        <w:snapToGrid w:val="0"/>
        <w:spacing w:line="400" w:lineRule="exact"/>
        <w:ind w:firstLine="482"/>
        <w:textAlignment w:val="auto"/>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7.1未确定中标供应商的，终止本次政府采购活动，重新开展政府采购活动。</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9"/>
        <w:kinsoku/>
        <w:wordWrap/>
        <w:overflowPunct/>
        <w:topLinePunct w:val="0"/>
        <w:autoSpaceDE/>
        <w:autoSpaceDN/>
        <w:bidi w:val="0"/>
        <w:snapToGrid w:val="0"/>
        <w:spacing w:line="400" w:lineRule="exact"/>
        <w:textAlignment w:val="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9"/>
        <w:snapToGrid w:val="0"/>
        <w:spacing w:line="360" w:lineRule="auto"/>
        <w:ind w:firstLine="0" w:firstLineChars="0"/>
        <w:rPr>
          <w:rFonts w:cs="宋体"/>
          <w:color w:val="auto"/>
          <w:highlight w:val="none"/>
        </w:rPr>
      </w:pPr>
    </w:p>
    <w:bookmarkEnd w:id="29"/>
    <w:p>
      <w:pPr>
        <w:spacing w:line="360" w:lineRule="auto"/>
        <w:ind w:left="720" w:leftChars="343" w:firstLine="1084" w:firstLineChars="300"/>
        <w:outlineLvl w:val="0"/>
        <w:rPr>
          <w:rFonts w:ascii="宋体" w:hAnsi="宋体" w:cs="宋体"/>
          <w:b/>
          <w:color w:val="auto"/>
          <w:sz w:val="36"/>
          <w:szCs w:val="36"/>
          <w:highlight w:val="none"/>
        </w:rPr>
      </w:pPr>
      <w:bookmarkStart w:id="523" w:name="第五部分"/>
      <w:bookmarkStart w:id="524" w:name="_Toc86217003"/>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spacing w:line="360" w:lineRule="auto"/>
        <w:ind w:left="720" w:leftChars="343" w:firstLine="1084" w:firstLineChars="300"/>
        <w:outlineLvl w:val="0"/>
        <w:rPr>
          <w:rFonts w:ascii="宋体" w:hAnsi="宋体" w:cs="宋体"/>
          <w:b/>
          <w:color w:val="auto"/>
          <w:sz w:val="36"/>
          <w:szCs w:val="36"/>
          <w:highlight w:val="none"/>
        </w:rPr>
      </w:pPr>
    </w:p>
    <w:p>
      <w:pPr>
        <w:pageBreakBefore/>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spacing w:line="360" w:lineRule="auto"/>
        <w:ind w:firstLine="417" w:firstLineChars="198"/>
        <w:rPr>
          <w:rFonts w:hint="default" w:ascii="Times New Roman" w:hAnsi="Times New Roman"/>
          <w:b/>
          <w:bCs/>
          <w:color w:val="auto"/>
          <w:szCs w:val="21"/>
          <w:highlight w:val="none"/>
        </w:rPr>
      </w:pPr>
      <w:r>
        <w:rPr>
          <w:rFonts w:hint="default" w:ascii="Times New Roman" w:hAnsi="Times New Roman"/>
          <w:b/>
          <w:bCs/>
          <w:color w:val="auto"/>
          <w:szCs w:val="21"/>
          <w:highlight w:val="none"/>
        </w:rPr>
        <w:t>特别提示：以下为合同范本，仅供参考，不宜照搬。合同条款的具体内容应严格按照招标文件、投标文件、评标结果及中标人的承诺来拟订。</w:t>
      </w:r>
    </w:p>
    <w:p>
      <w:pPr>
        <w:spacing w:line="360" w:lineRule="auto"/>
        <w:rPr>
          <w:rFonts w:hint="default" w:ascii="Times New Roman" w:hAnsi="Times New Roman"/>
          <w:b/>
          <w:color w:val="auto"/>
          <w:szCs w:val="21"/>
          <w:highlight w:val="none"/>
        </w:rPr>
      </w:pPr>
    </w:p>
    <w:p>
      <w:pPr>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说明：如甲、乙双方同意，合同格式也可以按照其他形式。但合同条款的基本内容应与《中标合同》要求的内容相一致。</w:t>
      </w:r>
    </w:p>
    <w:p>
      <w:pPr>
        <w:autoSpaceDE w:val="0"/>
        <w:autoSpaceDN w:val="0"/>
        <w:spacing w:line="440" w:lineRule="exact"/>
        <w:textAlignment w:val="bottom"/>
        <w:rPr>
          <w:rFonts w:hint="eastAsia" w:ascii="新宋体" w:hAnsi="新宋体" w:eastAsia="新宋体" w:cs="新宋体"/>
          <w:color w:val="auto"/>
          <w:sz w:val="28"/>
          <w:highlight w:val="none"/>
        </w:rPr>
      </w:pPr>
    </w:p>
    <w:p>
      <w:pPr>
        <w:autoSpaceDE w:val="0"/>
        <w:autoSpaceDN w:val="0"/>
        <w:spacing w:line="440" w:lineRule="exact"/>
        <w:jc w:val="center"/>
        <w:textAlignment w:val="bottom"/>
        <w:rPr>
          <w:rFonts w:hint="eastAsia" w:ascii="新宋体" w:hAnsi="新宋体" w:eastAsia="新宋体" w:cs="新宋体"/>
          <w:color w:val="auto"/>
          <w:sz w:val="44"/>
          <w:highlight w:val="none"/>
        </w:rPr>
      </w:pPr>
    </w:p>
    <w:p>
      <w:pPr>
        <w:autoSpaceDE w:val="0"/>
        <w:autoSpaceDN w:val="0"/>
        <w:spacing w:line="500" w:lineRule="atLeast"/>
        <w:jc w:val="center"/>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中标合同</w:t>
      </w:r>
    </w:p>
    <w:p>
      <w:pPr>
        <w:autoSpaceDE w:val="0"/>
        <w:autoSpaceDN w:val="0"/>
        <w:spacing w:line="500" w:lineRule="atLeast"/>
        <w:jc w:val="center"/>
        <w:textAlignment w:val="bottom"/>
        <w:rPr>
          <w:rFonts w:hint="eastAsia" w:ascii="新宋体" w:hAnsi="新宋体" w:eastAsia="新宋体" w:cs="新宋体"/>
          <w:color w:val="auto"/>
          <w:sz w:val="24"/>
          <w:highlight w:val="none"/>
        </w:rPr>
      </w:pPr>
    </w:p>
    <w:p>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项目名称：</w:t>
      </w:r>
      <w:r>
        <w:rPr>
          <w:rFonts w:hint="eastAsia" w:ascii="新宋体" w:hAnsi="新宋体" w:eastAsia="新宋体" w:cs="新宋体"/>
          <w:color w:val="auto"/>
          <w:sz w:val="24"/>
          <w:highlight w:val="none"/>
          <w:u w:val="single"/>
        </w:rPr>
        <w:t xml:space="preserve">                      </w:t>
      </w:r>
    </w:p>
    <w:p>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p>
    <w:p>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合同编号：</w:t>
      </w:r>
      <w:r>
        <w:rPr>
          <w:rFonts w:hint="eastAsia" w:ascii="新宋体" w:hAnsi="新宋体" w:eastAsia="新宋体" w:cs="新宋体"/>
          <w:color w:val="auto"/>
          <w:sz w:val="24"/>
          <w:highlight w:val="none"/>
          <w:u w:val="single"/>
        </w:rPr>
        <w:t xml:space="preserve">                      </w:t>
      </w:r>
    </w:p>
    <w:p>
      <w:pPr>
        <w:autoSpaceDE w:val="0"/>
        <w:autoSpaceDN w:val="0"/>
        <w:spacing w:line="580" w:lineRule="atLeast"/>
        <w:textAlignment w:val="bottom"/>
        <w:rPr>
          <w:rFonts w:hint="eastAsia" w:ascii="新宋体" w:hAnsi="新宋体" w:eastAsia="新宋体" w:cs="新宋体"/>
          <w:color w:val="auto"/>
          <w:sz w:val="24"/>
          <w:highlight w:val="none"/>
        </w:rPr>
      </w:pPr>
    </w:p>
    <w:p>
      <w:pPr>
        <w:autoSpaceDE w:val="0"/>
        <w:autoSpaceDN w:val="0"/>
        <w:spacing w:line="580" w:lineRule="atLeast"/>
        <w:textAlignment w:val="bottom"/>
        <w:rPr>
          <w:rFonts w:hint="eastAsia" w:ascii="新宋体" w:hAnsi="新宋体" w:eastAsia="新宋体" w:cs="新宋体"/>
          <w:color w:val="auto"/>
          <w:sz w:val="24"/>
          <w:highlight w:val="none"/>
        </w:rPr>
      </w:pPr>
    </w:p>
    <w:p>
      <w:pPr>
        <w:autoSpaceDE w:val="0"/>
        <w:autoSpaceDN w:val="0"/>
        <w:spacing w:line="580" w:lineRule="atLeast"/>
        <w:textAlignment w:val="bottom"/>
        <w:rPr>
          <w:rFonts w:hint="eastAsia" w:ascii="新宋体" w:hAnsi="新宋体" w:eastAsia="新宋体" w:cs="新宋体"/>
          <w:color w:val="auto"/>
          <w:sz w:val="24"/>
          <w:highlight w:val="none"/>
        </w:rPr>
      </w:pPr>
    </w:p>
    <w:p>
      <w:pPr>
        <w:autoSpaceDE w:val="0"/>
        <w:autoSpaceDN w:val="0"/>
        <w:spacing w:line="580" w:lineRule="atLeast"/>
        <w:textAlignment w:val="bottom"/>
        <w:rPr>
          <w:rFonts w:hint="eastAsia" w:ascii="新宋体" w:hAnsi="新宋体" w:eastAsia="新宋体" w:cs="新宋体"/>
          <w:color w:val="auto"/>
          <w:sz w:val="24"/>
          <w:highlight w:val="none"/>
        </w:rPr>
      </w:pPr>
    </w:p>
    <w:p>
      <w:pPr>
        <w:autoSpaceDE w:val="0"/>
        <w:autoSpaceDN w:val="0"/>
        <w:spacing w:line="580" w:lineRule="atLeast"/>
        <w:textAlignment w:val="bottom"/>
        <w:rPr>
          <w:rFonts w:hint="eastAsia" w:ascii="新宋体" w:hAnsi="新宋体" w:eastAsia="新宋体" w:cs="新宋体"/>
          <w:color w:val="auto"/>
          <w:sz w:val="24"/>
          <w:highlight w:val="none"/>
          <w:u w:val="singl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采购人</w:t>
      </w:r>
      <w:r>
        <w:rPr>
          <w:rFonts w:hint="eastAsia" w:ascii="新宋体" w:hAnsi="新宋体" w:eastAsia="新宋体" w:cs="新宋体"/>
          <w:color w:val="auto"/>
          <w:sz w:val="22"/>
          <w:szCs w:val="22"/>
          <w:highlight w:val="none"/>
        </w:rPr>
        <w:t>（以下简称甲方）</w:t>
      </w:r>
      <w:r>
        <w:rPr>
          <w:rFonts w:hint="eastAsia" w:ascii="新宋体" w:hAnsi="新宋体" w:eastAsia="新宋体" w:cs="新宋体"/>
          <w:color w:val="auto"/>
          <w:sz w:val="24"/>
          <w:highlight w:val="none"/>
        </w:rPr>
        <w:t>：</w:t>
      </w:r>
      <w:r>
        <w:rPr>
          <w:rFonts w:hint="eastAsia" w:ascii="新宋体" w:hAnsi="新宋体" w:eastAsia="新宋体" w:cs="新宋体"/>
          <w:color w:val="auto"/>
          <w:sz w:val="24"/>
          <w:highlight w:val="none"/>
          <w:u w:val="single"/>
        </w:rPr>
        <w:t xml:space="preserve">                      </w:t>
      </w:r>
    </w:p>
    <w:p>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中标人</w:t>
      </w:r>
      <w:r>
        <w:rPr>
          <w:rFonts w:hint="eastAsia" w:ascii="新宋体" w:hAnsi="新宋体" w:eastAsia="新宋体" w:cs="新宋体"/>
          <w:color w:val="auto"/>
          <w:sz w:val="22"/>
          <w:szCs w:val="22"/>
          <w:highlight w:val="none"/>
        </w:rPr>
        <w:t>（以下简称乙方）</w:t>
      </w:r>
      <w:r>
        <w:rPr>
          <w:rFonts w:hint="eastAsia" w:ascii="新宋体" w:hAnsi="新宋体" w:eastAsia="新宋体" w:cs="新宋体"/>
          <w:color w:val="auto"/>
          <w:sz w:val="24"/>
          <w:highlight w:val="none"/>
        </w:rPr>
        <w:t>：</w:t>
      </w:r>
      <w:r>
        <w:rPr>
          <w:rFonts w:hint="eastAsia" w:ascii="新宋体" w:hAnsi="新宋体" w:eastAsia="新宋体" w:cs="新宋体"/>
          <w:color w:val="auto"/>
          <w:sz w:val="24"/>
          <w:highlight w:val="none"/>
          <w:u w:val="single"/>
        </w:rPr>
        <w:t xml:space="preserve">                      </w:t>
      </w:r>
    </w:p>
    <w:p>
      <w:pPr>
        <w:autoSpaceDE w:val="0"/>
        <w:autoSpaceDN w:val="0"/>
        <w:spacing w:line="580" w:lineRule="atLeast"/>
        <w:textAlignment w:val="bottom"/>
        <w:rPr>
          <w:rFonts w:hint="eastAsia" w:ascii="新宋体" w:hAnsi="新宋体" w:eastAsia="新宋体" w:cs="新宋体"/>
          <w:color w:val="auto"/>
          <w:sz w:val="24"/>
          <w:highlight w:val="none"/>
          <w:u w:val="singl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签署日期：</w:t>
      </w:r>
      <w:r>
        <w:rPr>
          <w:rFonts w:hint="eastAsia" w:ascii="新宋体" w:hAnsi="新宋体" w:eastAsia="新宋体" w:cs="新宋体"/>
          <w:color w:val="auto"/>
          <w:sz w:val="24"/>
          <w:highlight w:val="none"/>
          <w:u w:val="single"/>
        </w:rPr>
        <w:t xml:space="preserve">                      </w:t>
      </w:r>
    </w:p>
    <w:p>
      <w:pPr>
        <w:spacing w:line="460" w:lineRule="exact"/>
        <w:rPr>
          <w:rFonts w:hint="eastAsia" w:ascii="新宋体" w:hAnsi="新宋体" w:eastAsia="新宋体" w:cs="新宋体"/>
          <w:b/>
          <w:bCs/>
          <w:color w:val="auto"/>
          <w:sz w:val="22"/>
          <w:szCs w:val="22"/>
          <w:highlight w:val="none"/>
        </w:rPr>
      </w:pPr>
    </w:p>
    <w:p>
      <w:pPr>
        <w:jc w:val="center"/>
        <w:rPr>
          <w:rFonts w:hint="eastAsia" w:ascii="新宋体" w:hAnsi="新宋体" w:eastAsia="新宋体" w:cs="新宋体"/>
          <w:color w:val="auto"/>
          <w:sz w:val="32"/>
          <w:szCs w:val="3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32"/>
          <w:szCs w:val="32"/>
          <w:highlight w:val="none"/>
        </w:rPr>
        <w:t>(1)合同主要条款</w:t>
      </w:r>
    </w:p>
    <w:p>
      <w:pPr>
        <w:jc w:val="center"/>
        <w:rPr>
          <w:rFonts w:hint="eastAsia" w:ascii="新宋体" w:hAnsi="新宋体" w:eastAsia="新宋体" w:cs="新宋体"/>
          <w:color w:val="auto"/>
          <w:sz w:val="32"/>
          <w:szCs w:val="32"/>
          <w:highlight w:val="none"/>
        </w:rPr>
      </w:pPr>
    </w:p>
    <w:p>
      <w:pPr>
        <w:pStyle w:val="10"/>
        <w:snapToGrid w:val="0"/>
        <w:spacing w:line="440" w:lineRule="atLeast"/>
        <w:jc w:val="left"/>
        <w:rPr>
          <w:rFonts w:hint="eastAsia" w:hAnsi="宋体" w:eastAsia="宋体" w:cs="宋体"/>
          <w:b w:val="0"/>
          <w:bCs/>
          <w:color w:val="auto"/>
          <w:sz w:val="22"/>
          <w:szCs w:val="22"/>
          <w:highlight w:val="none"/>
        </w:rPr>
      </w:pPr>
      <w:r>
        <w:rPr>
          <w:rFonts w:hint="eastAsia" w:hAnsi="宋体"/>
          <w:color w:val="auto"/>
          <w:sz w:val="24"/>
          <w:highlight w:val="none"/>
        </w:rPr>
        <w:t xml:space="preserve">                                   </w:t>
      </w:r>
      <w:r>
        <w:rPr>
          <w:rFonts w:hint="eastAsia" w:hAnsi="宋体" w:eastAsia="宋体" w:cs="宋体"/>
          <w:b w:val="0"/>
          <w:bCs/>
          <w:color w:val="auto"/>
          <w:sz w:val="22"/>
          <w:szCs w:val="22"/>
          <w:highlight w:val="none"/>
        </w:rPr>
        <w:t xml:space="preserve"> 编号  ：</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采购人：</w:t>
      </w:r>
      <w:r>
        <w:rPr>
          <w:rFonts w:hint="eastAsia" w:hAnsi="宋体" w:eastAsia="宋体" w:cs="宋体"/>
          <w:b w:val="0"/>
          <w:bCs/>
          <w:color w:val="auto"/>
          <w:sz w:val="22"/>
          <w:szCs w:val="22"/>
          <w:highlight w:val="none"/>
          <w:u w:val="single"/>
        </w:rPr>
        <w:t xml:space="preserve">               </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中标供应商：本次招标的中标供应商</w:t>
      </w:r>
    </w:p>
    <w:p>
      <w:pPr>
        <w:pStyle w:val="10"/>
        <w:snapToGrid w:val="0"/>
        <w:spacing w:line="440" w:lineRule="atLeast"/>
        <w:ind w:firstLine="57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双方经协商，就中标供应商向采购人提供本公司产品以及相关产品的伴随服务事宜达成以下条款：</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第一条：采购商品清单及合同价格</w:t>
      </w:r>
    </w:p>
    <w:p>
      <w:pPr>
        <w:snapToGrid w:val="0"/>
        <w:spacing w:line="440" w:lineRule="atLeast"/>
        <w:ind w:firstLine="54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中标供应商保证提供如下内容的合格产品：        金额单位：人民币元</w:t>
      </w:r>
    </w:p>
    <w:tbl>
      <w:tblPr>
        <w:tblStyle w:val="1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7"/>
        <w:gridCol w:w="2713"/>
        <w:gridCol w:w="1128"/>
        <w:gridCol w:w="1129"/>
        <w:gridCol w:w="1129"/>
        <w:gridCol w:w="1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267" w:type="dxa"/>
            <w:noWrap w:val="0"/>
            <w:vAlign w:val="center"/>
          </w:tcPr>
          <w:p>
            <w:pPr>
              <w:keepNext w:val="0"/>
              <w:keepLines w:val="0"/>
              <w:suppressLineNumbers w:val="0"/>
              <w:snapToGrid w:val="0"/>
              <w:spacing w:before="0" w:beforeAutospacing="0" w:after="0" w:afterAutospacing="0" w:line="440" w:lineRule="atLeast"/>
              <w:ind w:left="0" w:right="0" w:firstLine="24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采购产品名称</w:t>
            </w:r>
          </w:p>
        </w:tc>
        <w:tc>
          <w:tcPr>
            <w:tcW w:w="2713"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型号规格和主要配置</w:t>
            </w:r>
          </w:p>
        </w:tc>
        <w:tc>
          <w:tcPr>
            <w:tcW w:w="1128"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数量</w:t>
            </w: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中标价</w:t>
            </w: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完工期</w:t>
            </w: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2267"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2713"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8"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2267"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2713"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8"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trPr>
        <w:tc>
          <w:tcPr>
            <w:tcW w:w="2267"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2713"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8"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c>
          <w:tcPr>
            <w:tcW w:w="1129" w:type="dxa"/>
            <w:noWrap w:val="0"/>
            <w:vAlign w:val="center"/>
          </w:tcPr>
          <w:p>
            <w:pPr>
              <w:keepNext w:val="0"/>
              <w:keepLines w:val="0"/>
              <w:suppressLineNumbers w:val="0"/>
              <w:snapToGrid w:val="0"/>
              <w:spacing w:before="0" w:beforeAutospacing="0" w:after="0" w:afterAutospacing="0" w:line="440" w:lineRule="atLeast"/>
              <w:ind w:left="0" w:right="0"/>
              <w:jc w:val="center"/>
              <w:rPr>
                <w:rFonts w:hint="eastAsia" w:ascii="宋体" w:eastAsia="宋体" w:cs="宋体"/>
                <w:b w:val="0"/>
                <w:bCs/>
                <w:color w:val="auto"/>
                <w:sz w:val="22"/>
                <w:szCs w:val="22"/>
                <w:highlight w:val="none"/>
              </w:rPr>
            </w:pPr>
          </w:p>
        </w:tc>
      </w:tr>
    </w:tbl>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第二条：质量标准和要求</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1、中标供应商保证本合同中所供应的货物质量标准按照国家标准、行业标准或制造厂家企业标准确定，上述标准不一致的，以严格的标准为准。没有国家标准、行业标准和企业标准的，按照通常标准或者符合本合同目的的特定标准确定。</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2、 中标供应商所出售的货物还应符合国家和浙江省有关安全、环保、卫生之规定。</w:t>
      </w:r>
    </w:p>
    <w:p>
      <w:pPr>
        <w:snapToGrid w:val="0"/>
        <w:spacing w:line="44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第三条：权利瑕疵担保</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1、中标供应商保证对其出售的货物享有合法的权利。</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2、中标供应商保证在其出售的货物上不存在任何未曾向采购人透露的担保物权，如抵押权、质押权、留置权等。</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3、中标供应商保证其所出售的货物没有侵犯任何第三人的知识产权和商业秘密等权利。</w:t>
      </w:r>
    </w:p>
    <w:p>
      <w:pPr>
        <w:snapToGrid w:val="0"/>
        <w:spacing w:line="440" w:lineRule="atLeast"/>
        <w:ind w:firstLine="42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4、如采购人使用该货物构成上述侵权的，则由中标供应商承担全部责任。</w:t>
      </w:r>
    </w:p>
    <w:p>
      <w:pPr>
        <w:snapToGrid w:val="0"/>
        <w:spacing w:line="44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第四条：包装要求</w:t>
      </w:r>
    </w:p>
    <w:p>
      <w:pPr>
        <w:snapToGrid w:val="0"/>
        <w:spacing w:line="44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 xml:space="preserve">    1、中标供应商所出售的全部货物均应按标准保护措施进行包装，这类包装应适应于远距离运输、防潮、防震、防锈和防野蛮装卸等要求，以确保货物安全无损地运抵指定现场。</w:t>
      </w:r>
    </w:p>
    <w:p>
      <w:pPr>
        <w:pStyle w:val="10"/>
        <w:snapToGrid w:val="0"/>
        <w:spacing w:line="440" w:lineRule="atLeast"/>
        <w:ind w:firstLine="36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 xml:space="preserve"> 2、每一个包装箱内应附一份详细装箱单、质量证书和保修保养证书。</w:t>
      </w:r>
    </w:p>
    <w:p>
      <w:pPr>
        <w:snapToGrid w:val="0"/>
        <w:spacing w:line="40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第五条：完工期</w:t>
      </w:r>
    </w:p>
    <w:p>
      <w:pPr>
        <w:pStyle w:val="10"/>
        <w:snapToGrid w:val="0"/>
        <w:spacing w:line="400" w:lineRule="atLeast"/>
        <w:ind w:firstLine="440" w:firstLineChars="200"/>
        <w:rPr>
          <w:rFonts w:hint="eastAsia" w:hAnsi="宋体" w:eastAsia="宋体" w:cs="宋体"/>
          <w:b w:val="0"/>
          <w:bCs/>
          <w:color w:val="auto"/>
          <w:sz w:val="22"/>
          <w:szCs w:val="22"/>
          <w:highlight w:val="none"/>
          <w:u w:val="single"/>
        </w:rPr>
      </w:pPr>
      <w:r>
        <w:rPr>
          <w:rFonts w:hint="eastAsia" w:hAnsi="宋体" w:eastAsia="宋体" w:cs="宋体"/>
          <w:b w:val="0"/>
          <w:bCs/>
          <w:color w:val="auto"/>
          <w:sz w:val="22"/>
          <w:szCs w:val="22"/>
          <w:highlight w:val="none"/>
          <w:u w:val="single"/>
        </w:rPr>
        <w:t>按照招标文件规定。</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第六条：验收</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1、本项目验收程序参照温州市财政局关于印发《温州市政府采购履约验收办法》的通知执行。</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2、中标供应商送货至指定地点后，由采购人根据货物的技术规格要求和质量标准，对货物进行检查验收。</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3、货物的数量不足或表面瑕疵，采购人应在验收时当面提出；对质量问题有异议的应在安装调试后10个工作日内提出。</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4、在验收过程中发现数量不足或有质量、技术等问题，中标供应商应负责按照采购人的要求采取补足、更换或退货等处理措施，并承担由此发生的一切费用和损失。</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5、采购人在中标供应商按合同规定交货和安装、调试后，无正当理由而拖延接收、验收或拒绝接收、验收的，应承担由此而造成的中标供应商直接损失。</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第七条：售后服务</w:t>
      </w:r>
    </w:p>
    <w:p>
      <w:pPr>
        <w:pStyle w:val="10"/>
        <w:snapToGrid w:val="0"/>
        <w:spacing w:line="440" w:lineRule="atLeast"/>
        <w:ind w:firstLine="480"/>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中标供应商承诺售后服务按照投标承诺的服务计划实施，包括培训。</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第八条：履约保证金</w:t>
      </w:r>
    </w:p>
    <w:p>
      <w:pPr>
        <w:pStyle w:val="10"/>
        <w:snapToGrid w:val="0"/>
        <w:spacing w:line="440" w:lineRule="atLeast"/>
        <w:rPr>
          <w:rFonts w:hint="eastAsia" w:hAnsi="宋体" w:eastAsia="宋体" w:cs="宋体"/>
          <w:b w:val="0"/>
          <w:bCs/>
          <w:color w:val="auto"/>
          <w:sz w:val="22"/>
          <w:szCs w:val="22"/>
          <w:highlight w:val="none"/>
          <w:u w:val="none"/>
          <w:lang w:eastAsia="zh-CN"/>
        </w:rPr>
      </w:pPr>
      <w:r>
        <w:rPr>
          <w:rFonts w:hint="eastAsia" w:hAnsi="宋体" w:eastAsia="宋体" w:cs="宋体"/>
          <w:b w:val="0"/>
          <w:bCs/>
          <w:color w:val="auto"/>
          <w:sz w:val="22"/>
          <w:szCs w:val="22"/>
          <w:highlight w:val="none"/>
          <w:u w:val="none"/>
          <w:lang w:eastAsia="zh-CN"/>
        </w:rPr>
        <w:t>本项目无须提供履约保证金</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第九条：货款的支付</w:t>
      </w:r>
    </w:p>
    <w:p>
      <w:pPr>
        <w:keepNext w:val="0"/>
        <w:keepLines w:val="0"/>
        <w:pageBreakBefore w:val="0"/>
        <w:widowControl/>
        <w:numPr>
          <w:ilvl w:val="0"/>
          <w:numId w:val="0"/>
        </w:numPr>
        <w:kinsoku/>
        <w:wordWrap/>
        <w:overflowPunct/>
        <w:topLinePunct w:val="0"/>
        <w:bidi w:val="0"/>
        <w:adjustRightInd w:val="0"/>
        <w:snapToGrid w:val="0"/>
        <w:spacing w:after="0"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预付款：合同签订且具备实施条件后7</w:t>
      </w:r>
      <w:r>
        <w:rPr>
          <w:rFonts w:hint="eastAsia" w:ascii="宋体" w:hAnsi="宋体" w:eastAsia="宋体" w:cs="宋体"/>
          <w:b/>
          <w:bCs/>
          <w:color w:val="auto"/>
          <w:sz w:val="21"/>
          <w:szCs w:val="21"/>
          <w:highlight w:val="none"/>
          <w:lang w:eastAsia="zh-Hans"/>
        </w:rPr>
        <w:t>个工作日内</w:t>
      </w:r>
      <w:r>
        <w:rPr>
          <w:rFonts w:hint="eastAsia" w:ascii="宋体" w:hAnsi="宋体" w:eastAsia="宋体" w:cs="宋体"/>
          <w:b/>
          <w:bCs/>
          <w:color w:val="auto"/>
          <w:sz w:val="21"/>
          <w:szCs w:val="21"/>
          <w:highlight w:val="none"/>
        </w:rPr>
        <w:t>，甲方支付</w:t>
      </w:r>
      <w:r>
        <w:rPr>
          <w:rFonts w:hint="eastAsia" w:ascii="宋体" w:hAnsi="宋体" w:eastAsia="宋体" w:cs="宋体"/>
          <w:b/>
          <w:bCs/>
          <w:color w:val="auto"/>
          <w:sz w:val="21"/>
          <w:szCs w:val="21"/>
          <w:highlight w:val="none"/>
          <w:lang w:eastAsia="zh-Hans"/>
        </w:rPr>
        <w:t>合同总价</w:t>
      </w:r>
      <w:r>
        <w:rPr>
          <w:rFonts w:hint="eastAsia" w:ascii="宋体" w:hAnsi="宋体" w:eastAsia="宋体" w:cs="宋体"/>
          <w:b/>
          <w:bCs/>
          <w:color w:val="auto"/>
          <w:sz w:val="21"/>
          <w:szCs w:val="21"/>
          <w:highlight w:val="none"/>
        </w:rPr>
        <w:t>的</w:t>
      </w:r>
      <w:r>
        <w:rPr>
          <w:rFonts w:hint="eastAsia" w:ascii="宋体" w:hAnsi="宋体" w:cs="宋体"/>
          <w:b/>
          <w:bCs/>
          <w:color w:val="auto"/>
          <w:sz w:val="21"/>
          <w:szCs w:val="21"/>
          <w:highlight w:val="none"/>
          <w:lang w:val="en-US" w:eastAsia="zh-CN"/>
        </w:rPr>
        <w:t>40</w:t>
      </w:r>
      <w:r>
        <w:rPr>
          <w:rFonts w:hint="eastAsia" w:ascii="宋体" w:hAnsi="宋体" w:eastAsia="宋体" w:cs="宋体"/>
          <w:b/>
          <w:bCs/>
          <w:color w:val="auto"/>
          <w:sz w:val="21"/>
          <w:szCs w:val="21"/>
          <w:highlight w:val="none"/>
        </w:rPr>
        <w:t>%作为预付款</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预付款抵作进度款</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；（在签订合同时，乙方明确表示无需预付款或者主动要求降低预付款比例的，甲方可不适用前述规定。</w:t>
      </w:r>
      <w:r>
        <w:rPr>
          <w:rFonts w:hint="eastAsia" w:ascii="宋体" w:hAnsi="宋体" w:eastAsia="宋体" w:cs="宋体"/>
          <w:b/>
          <w:color w:val="auto"/>
          <w:sz w:val="21"/>
          <w:szCs w:val="21"/>
          <w:highlight w:val="none"/>
        </w:rPr>
        <w:t>根据浙财采监[2022]3号文件执行。</w:t>
      </w:r>
      <w:r>
        <w:rPr>
          <w:rFonts w:hint="eastAsia" w:ascii="宋体" w:hAnsi="宋体" w:eastAsia="宋体" w:cs="宋体"/>
          <w:b/>
          <w:bCs/>
          <w:color w:val="auto"/>
          <w:sz w:val="21"/>
          <w:szCs w:val="21"/>
          <w:highlight w:val="none"/>
        </w:rPr>
        <w:t>）</w:t>
      </w:r>
    </w:p>
    <w:p>
      <w:pPr>
        <w:keepNext w:val="0"/>
        <w:keepLines w:val="0"/>
        <w:pageBreakBefore w:val="0"/>
        <w:widowControl/>
        <w:kinsoku/>
        <w:wordWrap/>
        <w:overflowPunct/>
        <w:topLinePunct w:val="0"/>
        <w:autoSpaceDE w:val="0"/>
        <w:autoSpaceDN w:val="0"/>
        <w:bidi w:val="0"/>
        <w:adjustRightInd w:val="0"/>
        <w:snapToGrid w:val="0"/>
        <w:spacing w:after="0" w:line="360" w:lineRule="auto"/>
        <w:ind w:right="525" w:rightChars="250" w:firstLine="422" w:firstLineChars="200"/>
        <w:textAlignment w:val="bottom"/>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甲方要求乙方</w:t>
      </w:r>
      <w:r>
        <w:rPr>
          <w:rFonts w:hint="eastAsia" w:ascii="宋体" w:hAnsi="宋体" w:eastAsia="宋体" w:cs="宋体"/>
          <w:b/>
          <w:bCs/>
          <w:color w:val="auto"/>
          <w:sz w:val="21"/>
          <w:szCs w:val="21"/>
          <w:highlight w:val="none"/>
          <w:lang w:eastAsia="zh-CN"/>
        </w:rPr>
        <w:t>须</w:t>
      </w:r>
      <w:r>
        <w:rPr>
          <w:rFonts w:hint="eastAsia" w:ascii="宋体" w:hAnsi="宋体" w:eastAsia="宋体" w:cs="宋体"/>
          <w:b/>
          <w:bCs/>
          <w:color w:val="auto"/>
          <w:sz w:val="21"/>
          <w:szCs w:val="21"/>
          <w:highlight w:val="none"/>
        </w:rPr>
        <w:t>向甲方开具预付款担保：</w:t>
      </w:r>
    </w:p>
    <w:p>
      <w:pPr>
        <w:keepNext w:val="0"/>
        <w:keepLines w:val="0"/>
        <w:pageBreakBefore w:val="0"/>
        <w:widowControl/>
        <w:kinsoku/>
        <w:wordWrap/>
        <w:overflowPunct/>
        <w:topLinePunct w:val="0"/>
        <w:autoSpaceDE w:val="0"/>
        <w:autoSpaceDN w:val="0"/>
        <w:bidi w:val="0"/>
        <w:adjustRightInd w:val="0"/>
        <w:snapToGrid w:val="0"/>
        <w:spacing w:after="0" w:line="360" w:lineRule="auto"/>
        <w:ind w:right="525" w:rightChars="250" w:firstLine="422" w:firstLineChars="200"/>
        <w:textAlignment w:val="bottom"/>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①预付款担保采用银行、保险公司等金融机构出具的保函</w:t>
      </w:r>
      <w:r>
        <w:rPr>
          <w:rFonts w:hint="eastAsia" w:ascii="宋体" w:hAnsi="宋体" w:eastAsia="宋体" w:cs="宋体"/>
          <w:b/>
          <w:bCs/>
          <w:color w:val="auto"/>
          <w:sz w:val="21"/>
          <w:szCs w:val="21"/>
          <w:highlight w:val="none"/>
          <w:lang w:eastAsia="zh-CN"/>
        </w:rPr>
        <w:t>形式；</w:t>
      </w:r>
    </w:p>
    <w:p>
      <w:pPr>
        <w:keepNext w:val="0"/>
        <w:keepLines w:val="0"/>
        <w:pageBreakBefore w:val="0"/>
        <w:widowControl/>
        <w:kinsoku/>
        <w:wordWrap/>
        <w:overflowPunct/>
        <w:topLinePunct w:val="0"/>
        <w:autoSpaceDE w:val="0"/>
        <w:autoSpaceDN w:val="0"/>
        <w:bidi w:val="0"/>
        <w:adjustRightInd w:val="0"/>
        <w:snapToGrid w:val="0"/>
        <w:spacing w:after="0" w:line="360" w:lineRule="auto"/>
        <w:ind w:right="525" w:rightChars="250" w:firstLine="422" w:firstLineChars="200"/>
        <w:textAlignment w:val="bottom"/>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②若采用保函形式的，保函为见索即付保函：即在乙方没有实施合同或者未履行合同义务时</w:t>
      </w:r>
      <w:r>
        <w:rPr>
          <w:rFonts w:hint="eastAsia" w:ascii="宋体" w:hAnsi="宋体" w:eastAsia="宋体" w:cs="宋体"/>
          <w:b/>
          <w:bCs/>
          <w:color w:val="auto"/>
          <w:sz w:val="21"/>
          <w:szCs w:val="21"/>
          <w:highlight w:val="none"/>
          <w:lang w:eastAsia="zh-CN"/>
        </w:rPr>
        <w:t>或因涉及相关司法案件导致预付款被采取查封、冻结或扣划等处置时</w:t>
      </w:r>
      <w:r>
        <w:rPr>
          <w:rFonts w:hint="eastAsia" w:ascii="宋体" w:hAnsi="宋体" w:eastAsia="宋体" w:cs="宋体"/>
          <w:b/>
          <w:bCs/>
          <w:color w:val="auto"/>
          <w:sz w:val="21"/>
          <w:szCs w:val="21"/>
          <w:highlight w:val="none"/>
        </w:rPr>
        <w:t>，甲方不需要出具任何证明和理由，只要看到乙方违约，就可对保函进行收兑；</w:t>
      </w:r>
    </w:p>
    <w:p>
      <w:pPr>
        <w:keepNext w:val="0"/>
        <w:keepLines w:val="0"/>
        <w:pageBreakBefore w:val="0"/>
        <w:widowControl/>
        <w:kinsoku/>
        <w:wordWrap/>
        <w:overflowPunct/>
        <w:topLinePunct w:val="0"/>
        <w:autoSpaceDE w:val="0"/>
        <w:autoSpaceDN w:val="0"/>
        <w:bidi w:val="0"/>
        <w:adjustRightInd w:val="0"/>
        <w:snapToGrid w:val="0"/>
        <w:spacing w:after="0" w:line="360" w:lineRule="auto"/>
        <w:ind w:right="525" w:rightChars="250" w:firstLine="422" w:firstLineChars="200"/>
        <w:textAlignment w:val="bottom"/>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③在预付款完全扣回之前，乙方应保证预付款担保持续有效。</w:t>
      </w:r>
    </w:p>
    <w:p>
      <w:pPr>
        <w:keepNext w:val="0"/>
        <w:keepLines w:val="0"/>
        <w:pageBreakBefore w:val="0"/>
        <w:widowControl/>
        <w:numPr>
          <w:ilvl w:val="0"/>
          <w:numId w:val="0"/>
        </w:numPr>
        <w:kinsoku/>
        <w:wordWrap/>
        <w:overflowPunct/>
        <w:topLinePunct w:val="0"/>
        <w:bidi w:val="0"/>
        <w:adjustRightInd w:val="0"/>
        <w:snapToGrid w:val="0"/>
        <w:spacing w:after="0"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待</w:t>
      </w:r>
      <w:r>
        <w:rPr>
          <w:rFonts w:hint="eastAsia" w:ascii="宋体" w:hAnsi="宋体" w:eastAsia="宋体" w:cs="宋体"/>
          <w:b/>
          <w:bCs/>
          <w:color w:val="auto"/>
          <w:sz w:val="21"/>
          <w:szCs w:val="21"/>
          <w:highlight w:val="none"/>
          <w:lang w:eastAsia="zh-CN"/>
        </w:rPr>
        <w:t>全部建设内容完成，</w:t>
      </w:r>
      <w:r>
        <w:rPr>
          <w:rFonts w:hint="eastAsia" w:ascii="宋体" w:hAnsi="宋体" w:eastAsia="宋体" w:cs="宋体"/>
          <w:b/>
          <w:bCs/>
          <w:color w:val="auto"/>
          <w:sz w:val="21"/>
          <w:szCs w:val="21"/>
          <w:highlight w:val="none"/>
        </w:rPr>
        <w:t>整体项目最终验收合格后</w:t>
      </w:r>
      <w:r>
        <w:rPr>
          <w:rFonts w:hint="eastAsia" w:ascii="宋体" w:hAnsi="宋体" w:eastAsia="宋体" w:cs="宋体"/>
          <w:b/>
          <w:bCs/>
          <w:color w:val="auto"/>
          <w:sz w:val="21"/>
          <w:szCs w:val="21"/>
          <w:highlight w:val="none"/>
          <w:lang w:eastAsia="zh-CN"/>
        </w:rPr>
        <w:t>支付至合同总价的</w:t>
      </w:r>
      <w:r>
        <w:rPr>
          <w:rFonts w:hint="eastAsia" w:ascii="宋体" w:hAnsi="宋体" w:eastAsia="宋体" w:cs="宋体"/>
          <w:b/>
          <w:bCs/>
          <w:color w:val="auto"/>
          <w:sz w:val="21"/>
          <w:szCs w:val="21"/>
          <w:highlight w:val="none"/>
          <w:lang w:val="en-US" w:eastAsia="zh-CN"/>
        </w:rPr>
        <w:t>100%</w:t>
      </w:r>
      <w:r>
        <w:rPr>
          <w:rFonts w:hint="eastAsia" w:ascii="宋体" w:hAnsi="宋体" w:eastAsia="宋体" w:cs="宋体"/>
          <w:b/>
          <w:bCs/>
          <w:color w:val="auto"/>
          <w:sz w:val="21"/>
          <w:szCs w:val="21"/>
          <w:highlight w:val="none"/>
        </w:rPr>
        <w:t>。</w:t>
      </w:r>
    </w:p>
    <w:p>
      <w:pPr>
        <w:pStyle w:val="10"/>
        <w:snapToGrid w:val="0"/>
        <w:spacing w:line="440" w:lineRule="atLeast"/>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注：对于满足合同支付约定条件的，甲方于收到乙方开具的正式税务发票后</w:t>
      </w:r>
      <w:r>
        <w:rPr>
          <w:rFonts w:hint="eastAsia" w:ascii="宋体" w:hAnsi="宋体" w:cs="宋体"/>
          <w:bCs/>
          <w:color w:val="auto"/>
          <w:sz w:val="21"/>
          <w:szCs w:val="21"/>
          <w:highlight w:val="none"/>
          <w:lang w:val="en-US" w:eastAsia="zh-CN"/>
        </w:rPr>
        <w:t>7</w:t>
      </w:r>
      <w:r>
        <w:rPr>
          <w:rFonts w:hint="eastAsia" w:ascii="宋体" w:hAnsi="宋体" w:eastAsia="宋体" w:cs="宋体"/>
          <w:bCs/>
          <w:color w:val="auto"/>
          <w:sz w:val="21"/>
          <w:szCs w:val="21"/>
          <w:highlight w:val="none"/>
        </w:rPr>
        <w:t>个工作日内予以支付相应合同价款。</w:t>
      </w:r>
      <w:r>
        <w:rPr>
          <w:rFonts w:hint="eastAsia" w:ascii="宋体" w:hAnsi="宋体" w:eastAsia="宋体" w:cs="宋体"/>
          <w:bCs/>
          <w:color w:val="auto"/>
          <w:sz w:val="21"/>
          <w:szCs w:val="21"/>
          <w:highlight w:val="none"/>
          <w:lang w:eastAsia="zh-CN"/>
        </w:rPr>
        <w:t>因违约</w:t>
      </w:r>
      <w:r>
        <w:rPr>
          <w:rFonts w:hint="eastAsia" w:ascii="宋体" w:hAnsi="宋体" w:eastAsia="宋体" w:cs="宋体"/>
          <w:bCs/>
          <w:color w:val="auto"/>
          <w:sz w:val="21"/>
          <w:szCs w:val="21"/>
          <w:highlight w:val="none"/>
        </w:rPr>
        <w:t>引起的经济扣罚，直接在</w:t>
      </w:r>
      <w:r>
        <w:rPr>
          <w:rFonts w:hint="eastAsia" w:ascii="宋体" w:hAnsi="宋体" w:eastAsia="宋体" w:cs="宋体"/>
          <w:bCs/>
          <w:color w:val="auto"/>
          <w:sz w:val="21"/>
          <w:szCs w:val="21"/>
          <w:highlight w:val="none"/>
          <w:lang w:eastAsia="zh-CN"/>
        </w:rPr>
        <w:t>合同价款</w:t>
      </w:r>
      <w:r>
        <w:rPr>
          <w:rFonts w:hint="eastAsia" w:ascii="宋体" w:hAnsi="宋体" w:eastAsia="宋体" w:cs="宋体"/>
          <w:bCs/>
          <w:color w:val="auto"/>
          <w:sz w:val="21"/>
          <w:szCs w:val="21"/>
          <w:highlight w:val="none"/>
        </w:rPr>
        <w:t>中</w:t>
      </w:r>
      <w:r>
        <w:rPr>
          <w:rFonts w:hint="eastAsia" w:ascii="宋体" w:hAnsi="宋体" w:eastAsia="宋体" w:cs="宋体"/>
          <w:bCs/>
          <w:color w:val="auto"/>
          <w:sz w:val="21"/>
          <w:szCs w:val="21"/>
          <w:highlight w:val="none"/>
          <w:lang w:eastAsia="zh-CN"/>
        </w:rPr>
        <w:t>予以</w:t>
      </w:r>
      <w:r>
        <w:rPr>
          <w:rFonts w:hint="eastAsia" w:ascii="宋体" w:hAnsi="宋体" w:eastAsia="宋体" w:cs="宋体"/>
          <w:bCs/>
          <w:color w:val="auto"/>
          <w:sz w:val="21"/>
          <w:szCs w:val="21"/>
          <w:highlight w:val="none"/>
        </w:rPr>
        <w:t>扣罚</w:t>
      </w:r>
      <w:r>
        <w:rPr>
          <w:rFonts w:hint="eastAsia" w:ascii="宋体" w:hAnsi="宋体" w:eastAsia="宋体" w:cs="宋体"/>
          <w:bCs/>
          <w:color w:val="auto"/>
          <w:sz w:val="21"/>
          <w:szCs w:val="21"/>
          <w:highlight w:val="none"/>
          <w:lang w:eastAsia="zh-CN"/>
        </w:rPr>
        <w:t>。</w:t>
      </w:r>
    </w:p>
    <w:p>
      <w:pPr>
        <w:pStyle w:val="10"/>
        <w:snapToGrid w:val="0"/>
        <w:spacing w:line="440" w:lineRule="atLeast"/>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第十条：辅助服务</w:t>
      </w:r>
    </w:p>
    <w:p>
      <w:pPr>
        <w:snapToGrid w:val="0"/>
        <w:spacing w:line="440" w:lineRule="atLeast"/>
        <w:ind w:firstLine="440" w:firstLineChars="20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1、中标供应商应提交所提供货物的技术文件，包括相应的每一套设备的中文技术文件，例如：产品目录、图纸、操作手册、使用说明、维护手册和/或服务指南。这些文件应包装好随同货物一起发运。</w:t>
      </w:r>
    </w:p>
    <w:p>
      <w:pPr>
        <w:snapToGrid w:val="0"/>
        <w:spacing w:line="440" w:lineRule="atLeast"/>
        <w:ind w:firstLine="440" w:firstLineChars="20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2、中标供应商还应提供下列服务：</w:t>
      </w:r>
    </w:p>
    <w:p>
      <w:pPr>
        <w:spacing w:line="42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 xml:space="preserve">    （1）货物的现场指导安装、调试、启动监督及技术支持；</w:t>
      </w:r>
    </w:p>
    <w:p>
      <w:pPr>
        <w:spacing w:line="420" w:lineRule="atLeast"/>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 xml:space="preserve">    （2）在厂家和/或项目现场就货物的指导安装、启动、运营、维护对采购人操作人员进行培训。辅助服务的费用包含在合同价中，采购人不再另行支付。</w:t>
      </w:r>
    </w:p>
    <w:p>
      <w:pPr>
        <w:snapToGrid w:val="0"/>
        <w:spacing w:line="440" w:lineRule="atLeast"/>
        <w:ind w:left="-360" w:firstLine="360"/>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第十一条：质量保证</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1、中标供应商应保证所供货物是全新的、未使用过的，并完全符合合同规定的质量、规格和性能的要求。中标供应商应保证其货物在正确安装、正常使用和保养条件下，在其使用寿命期内应具有满意的性能。在货物最终交付验收后不少于</w:t>
      </w:r>
      <w:r>
        <w:rPr>
          <w:rFonts w:hint="eastAsia" w:ascii="宋体" w:cs="宋体"/>
          <w:bCs/>
          <w:color w:val="auto"/>
          <w:sz w:val="22"/>
          <w:szCs w:val="22"/>
          <w:highlight w:val="none"/>
          <w:u w:val="single"/>
        </w:rPr>
        <w:t xml:space="preserve">   年</w:t>
      </w:r>
      <w:r>
        <w:rPr>
          <w:rFonts w:hint="eastAsia" w:ascii="宋体" w:cs="宋体"/>
          <w:bCs/>
          <w:color w:val="auto"/>
          <w:sz w:val="22"/>
          <w:szCs w:val="22"/>
          <w:highlight w:val="none"/>
        </w:rPr>
        <w:t>的质量保证期内，中标供应商应对由于设计、工艺或材料的缺陷而产生的故障负责。</w:t>
      </w:r>
    </w:p>
    <w:p>
      <w:pPr>
        <w:snapToGrid w:val="0"/>
        <w:spacing w:line="440" w:lineRule="atLeast"/>
        <w:ind w:firstLine="495" w:firstLineChars="225"/>
        <w:rPr>
          <w:rFonts w:ascii="宋体" w:cs="宋体"/>
          <w:bCs/>
          <w:color w:val="auto"/>
          <w:sz w:val="22"/>
          <w:szCs w:val="22"/>
          <w:highlight w:val="none"/>
        </w:rPr>
      </w:pPr>
      <w:r>
        <w:rPr>
          <w:rFonts w:hint="eastAsia" w:ascii="宋体" w:cs="宋体"/>
          <w:bCs/>
          <w:color w:val="auto"/>
          <w:sz w:val="22"/>
          <w:szCs w:val="22"/>
          <w:highlight w:val="none"/>
        </w:rPr>
        <w:t>2、在质量保证期内，如果货物的质量或规格与合同不符，或证实货物是有缺陷的，包括潜在的缺陷或使用不符合要求的材料等，采购人可以根据本合同第十二条规定以书面形式向中标供应商提出补救措施或索赔。</w:t>
      </w:r>
    </w:p>
    <w:p>
      <w:pPr>
        <w:snapToGrid w:val="0"/>
        <w:spacing w:line="440" w:lineRule="atLeast"/>
        <w:ind w:firstLine="420"/>
        <w:rPr>
          <w:rFonts w:ascii="宋体" w:cs="宋体"/>
          <w:bCs/>
          <w:color w:val="auto"/>
          <w:sz w:val="22"/>
          <w:szCs w:val="22"/>
          <w:highlight w:val="none"/>
        </w:rPr>
      </w:pPr>
      <w:r>
        <w:rPr>
          <w:rFonts w:hint="eastAsia" w:ascii="宋体" w:cs="宋体"/>
          <w:bCs/>
          <w:color w:val="auto"/>
          <w:sz w:val="22"/>
          <w:szCs w:val="22"/>
          <w:highlight w:val="none"/>
        </w:rPr>
        <w:t>3、中标供应商在约定的时间内未能弥补缺陷，采购人可采取必要的补救措施，但其风险和费用将由中标供应商承担，采购人根据合同规定对中标供应商行使的其他权利不受影响。</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第十二条：补救措施和索赔</w:t>
      </w:r>
    </w:p>
    <w:p>
      <w:pPr>
        <w:snapToGrid w:val="0"/>
        <w:spacing w:line="440" w:lineRule="atLeast"/>
        <w:ind w:firstLine="420"/>
        <w:rPr>
          <w:rFonts w:ascii="宋体" w:cs="宋体"/>
          <w:bCs/>
          <w:color w:val="auto"/>
          <w:sz w:val="22"/>
          <w:szCs w:val="22"/>
          <w:highlight w:val="none"/>
        </w:rPr>
      </w:pPr>
      <w:r>
        <w:rPr>
          <w:rFonts w:hint="eastAsia" w:ascii="宋体" w:cs="宋体"/>
          <w:bCs/>
          <w:color w:val="auto"/>
          <w:sz w:val="22"/>
          <w:szCs w:val="22"/>
          <w:highlight w:val="none"/>
        </w:rPr>
        <w:t>1、采购人有权根据权威质量检测部门出具的检验报告向中标供应商提出索赔。</w:t>
      </w:r>
    </w:p>
    <w:p>
      <w:pPr>
        <w:snapToGrid w:val="0"/>
        <w:spacing w:line="440" w:lineRule="atLeast"/>
        <w:ind w:firstLine="420"/>
        <w:rPr>
          <w:rFonts w:ascii="宋体" w:cs="宋体"/>
          <w:bCs/>
          <w:color w:val="auto"/>
          <w:sz w:val="22"/>
          <w:szCs w:val="22"/>
          <w:highlight w:val="none"/>
        </w:rPr>
      </w:pPr>
      <w:r>
        <w:rPr>
          <w:rFonts w:hint="eastAsia" w:ascii="宋体" w:cs="宋体"/>
          <w:bCs/>
          <w:color w:val="auto"/>
          <w:sz w:val="22"/>
          <w:szCs w:val="22"/>
          <w:highlight w:val="none"/>
        </w:rPr>
        <w:t>2、在质量保证期内，如果中标供应商对缺陷产品负有责任而采购人提出索赔，中标供应商应按照采购人同意的下列一种或多种方式解决索赔事宜，并且采购人可以收取中标供应商合同总价20%的违约金：</w:t>
      </w:r>
    </w:p>
    <w:p>
      <w:pPr>
        <w:snapToGrid w:val="0"/>
        <w:spacing w:line="440" w:lineRule="atLeast"/>
        <w:ind w:firstLine="440" w:firstLineChars="200"/>
        <w:rPr>
          <w:rFonts w:ascii="宋体" w:cs="宋体"/>
          <w:bCs/>
          <w:color w:val="auto"/>
          <w:sz w:val="22"/>
          <w:szCs w:val="22"/>
          <w:highlight w:val="none"/>
        </w:rPr>
      </w:pPr>
      <w:r>
        <w:rPr>
          <w:rFonts w:hint="eastAsia" w:ascii="宋体" w:cs="宋体"/>
          <w:bCs/>
          <w:color w:val="auto"/>
          <w:sz w:val="22"/>
          <w:szCs w:val="22"/>
          <w:highlight w:val="none"/>
        </w:rPr>
        <w:t>（1） 中标供应商退货并将货款退还给采购人，由此发生的一切费用和损失由中标供应商承担。</w:t>
      </w:r>
    </w:p>
    <w:p>
      <w:pPr>
        <w:snapToGrid w:val="0"/>
        <w:spacing w:line="440" w:lineRule="atLeast"/>
        <w:ind w:firstLine="440" w:firstLineChars="200"/>
        <w:rPr>
          <w:rFonts w:ascii="宋体" w:cs="宋体"/>
          <w:bCs/>
          <w:color w:val="auto"/>
          <w:sz w:val="22"/>
          <w:szCs w:val="22"/>
          <w:highlight w:val="none"/>
        </w:rPr>
      </w:pPr>
      <w:r>
        <w:rPr>
          <w:rFonts w:hint="eastAsia" w:ascii="宋体" w:cs="宋体"/>
          <w:bCs/>
          <w:color w:val="auto"/>
          <w:sz w:val="22"/>
          <w:szCs w:val="22"/>
          <w:highlight w:val="none"/>
        </w:rPr>
        <w:t>（2） 根据货物的质量状况以及采购人所遭受的损失，经过</w:t>
      </w:r>
      <w:r>
        <w:rPr>
          <w:rFonts w:hint="eastAsia" w:ascii="宋体" w:cs="宋体"/>
          <w:bCs/>
          <w:color w:val="auto"/>
          <w:sz w:val="22"/>
          <w:szCs w:val="22"/>
          <w:highlight w:val="none"/>
          <w:lang w:val="en-US" w:eastAsia="zh-CN"/>
        </w:rPr>
        <w:t>双方</w:t>
      </w:r>
      <w:r>
        <w:rPr>
          <w:rFonts w:hint="eastAsia" w:ascii="宋体" w:cs="宋体"/>
          <w:bCs/>
          <w:color w:val="auto"/>
          <w:sz w:val="22"/>
          <w:szCs w:val="22"/>
          <w:highlight w:val="none"/>
        </w:rPr>
        <w:t>商定降低货物的价格。</w:t>
      </w:r>
    </w:p>
    <w:p>
      <w:pPr>
        <w:snapToGrid w:val="0"/>
        <w:spacing w:line="440" w:lineRule="atLeast"/>
        <w:ind w:firstLine="440" w:firstLineChars="200"/>
        <w:rPr>
          <w:rFonts w:ascii="宋体" w:cs="宋体"/>
          <w:bCs/>
          <w:color w:val="auto"/>
          <w:sz w:val="22"/>
          <w:szCs w:val="22"/>
          <w:highlight w:val="none"/>
        </w:rPr>
      </w:pPr>
      <w:r>
        <w:rPr>
          <w:rFonts w:hint="eastAsia" w:ascii="宋体" w:cs="宋体"/>
          <w:bCs/>
          <w:color w:val="auto"/>
          <w:sz w:val="22"/>
          <w:szCs w:val="22"/>
          <w:highlight w:val="none"/>
        </w:rPr>
        <w:t>（3） 中标供应商应在接到采购人通知后七天内负责采用符合合同规定的规格、质量和性能要求的新零件、部件和设备来更换有缺陷的部分或修补缺陷部分，其费用由中标供应商负担。同时，中标供应商应在约定的质量保证期基础上相应延长修补和/或更换件的质量保证期。</w:t>
      </w:r>
    </w:p>
    <w:p>
      <w:pPr>
        <w:snapToGrid w:val="0"/>
        <w:spacing w:line="440" w:lineRule="atLeast"/>
        <w:ind w:firstLine="440" w:firstLineChars="200"/>
        <w:rPr>
          <w:rFonts w:ascii="宋体" w:cs="宋体"/>
          <w:bCs/>
          <w:color w:val="auto"/>
          <w:sz w:val="22"/>
          <w:szCs w:val="22"/>
          <w:highlight w:val="none"/>
        </w:rPr>
      </w:pPr>
      <w:r>
        <w:rPr>
          <w:rFonts w:hint="eastAsia" w:ascii="宋体" w:cs="宋体"/>
          <w:bCs/>
          <w:color w:val="auto"/>
          <w:sz w:val="22"/>
          <w:szCs w:val="22"/>
          <w:highlight w:val="none"/>
        </w:rPr>
        <w:t>3、如果在采购人发出索赔通知后十天内中标供应商未作答复，上述索赔应视为已被中标供应商接受。如果中标供应商未能在采购人发出索赔通知后十天内或采购人同意延长的期限内，按照上述规定的任何一种方法采取补救措施，采购人有权从应付货款中扣除索赔金额，如不足以弥补采购人损失的，采购人有权进一步要求中标供应商赔偿。</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第十三条：履约延误</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1、中标供应商应按照《合同》规定的时间、地点交货和提供服务。</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2、在履行《合同》过程中，如果中标供应商可能遇到妨碍按时交货和提供服务的情况时，应及时将拖延的事实、可能拖延的期限和理由通知采购人。采购人在收到中标供应商通知后，应尽快对情况进行评价，并确定是否同意延长交货时间或延期提供服务。</w:t>
      </w:r>
    </w:p>
    <w:p>
      <w:pPr>
        <w:snapToGrid w:val="0"/>
        <w:spacing w:line="440" w:lineRule="atLeast"/>
        <w:ind w:firstLine="440" w:firstLineChars="200"/>
        <w:rPr>
          <w:rFonts w:ascii="宋体" w:cs="宋体"/>
          <w:bCs/>
          <w:color w:val="auto"/>
          <w:sz w:val="22"/>
          <w:szCs w:val="22"/>
          <w:highlight w:val="none"/>
        </w:rPr>
      </w:pPr>
      <w:r>
        <w:rPr>
          <w:rFonts w:hint="eastAsia" w:ascii="宋体" w:cs="宋体"/>
          <w:bCs/>
          <w:color w:val="auto"/>
          <w:sz w:val="22"/>
          <w:szCs w:val="22"/>
          <w:highlight w:val="none"/>
        </w:rPr>
        <w:t>3、如中标供应商无正当理由而拖延交货，经协商无效,采购人有权追究中标供应商的违约责任。延期交货违约责任按每延期一天罚款2000元处理，如果超出合同规定期限10天应不能供货，则采购人可以终止合同，并收取中标供应商合同总价20%的违约金。</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第十四条：不可抗力</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1、如果合同各方因不可抗力而导致合同实施延误或不能履行合同义务的话，不应该承担误期赔偿或不能履行合同义务的责任。</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2、本条所述的“不可抗力”系指那些</w:t>
      </w:r>
      <w:r>
        <w:rPr>
          <w:rFonts w:hint="eastAsia" w:ascii="宋体" w:cs="宋体"/>
          <w:bCs/>
          <w:color w:val="auto"/>
          <w:sz w:val="22"/>
          <w:szCs w:val="22"/>
          <w:highlight w:val="none"/>
          <w:lang w:val="en-US" w:eastAsia="zh-CN"/>
        </w:rPr>
        <w:t>双方</w:t>
      </w:r>
      <w:r>
        <w:rPr>
          <w:rFonts w:hint="eastAsia" w:ascii="宋体" w:cs="宋体"/>
          <w:bCs/>
          <w:color w:val="auto"/>
          <w:sz w:val="22"/>
          <w:szCs w:val="22"/>
          <w:highlight w:val="none"/>
        </w:rPr>
        <w:t>不可预见、不可避免、不可克服的事件，但不包括</w:t>
      </w:r>
      <w:r>
        <w:rPr>
          <w:rFonts w:hint="eastAsia" w:ascii="宋体" w:cs="宋体"/>
          <w:bCs/>
          <w:color w:val="auto"/>
          <w:sz w:val="22"/>
          <w:szCs w:val="22"/>
          <w:highlight w:val="none"/>
          <w:lang w:val="en-US" w:eastAsia="zh-CN"/>
        </w:rPr>
        <w:t>双方</w:t>
      </w:r>
      <w:r>
        <w:rPr>
          <w:rFonts w:hint="eastAsia" w:ascii="宋体" w:cs="宋体"/>
          <w:bCs/>
          <w:color w:val="auto"/>
          <w:sz w:val="22"/>
          <w:szCs w:val="22"/>
          <w:highlight w:val="none"/>
        </w:rPr>
        <w:t>的违约或疏忽。这些事件包括但不限于：战争、严重火灾、洪水、梅雨、台风、地震、国家政策的重大变化，以及</w:t>
      </w:r>
      <w:r>
        <w:rPr>
          <w:rFonts w:hint="eastAsia" w:ascii="宋体" w:cs="宋体"/>
          <w:bCs/>
          <w:color w:val="auto"/>
          <w:sz w:val="22"/>
          <w:szCs w:val="22"/>
          <w:highlight w:val="none"/>
          <w:lang w:val="en-US" w:eastAsia="zh-CN"/>
        </w:rPr>
        <w:t>双方</w:t>
      </w:r>
      <w:r>
        <w:rPr>
          <w:rFonts w:hint="eastAsia" w:ascii="宋体" w:cs="宋体"/>
          <w:bCs/>
          <w:color w:val="auto"/>
          <w:sz w:val="22"/>
          <w:szCs w:val="22"/>
          <w:highlight w:val="none"/>
        </w:rPr>
        <w:t>商定的其他事件。</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3、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w:t>
      </w:r>
    </w:p>
    <w:p>
      <w:pPr>
        <w:pStyle w:val="10"/>
        <w:snapToGrid w:val="0"/>
        <w:spacing w:line="440" w:lineRule="atLeast"/>
        <w:rPr>
          <w:rFonts w:hAnsi="宋体" w:cs="宋体"/>
          <w:bCs/>
          <w:color w:val="auto"/>
          <w:sz w:val="22"/>
          <w:szCs w:val="22"/>
          <w:highlight w:val="none"/>
        </w:rPr>
      </w:pPr>
      <w:r>
        <w:rPr>
          <w:rFonts w:hint="eastAsia" w:hAnsi="宋体" w:cs="宋体"/>
          <w:bCs/>
          <w:color w:val="auto"/>
          <w:sz w:val="22"/>
          <w:szCs w:val="22"/>
          <w:highlight w:val="none"/>
        </w:rPr>
        <w:t>第十五条：争议的解决</w:t>
      </w:r>
    </w:p>
    <w:p>
      <w:pPr>
        <w:pStyle w:val="10"/>
        <w:snapToGrid w:val="0"/>
        <w:spacing w:line="440" w:lineRule="atLeast"/>
        <w:ind w:firstLine="480"/>
        <w:rPr>
          <w:rFonts w:hAnsi="宋体" w:cs="宋体"/>
          <w:bCs/>
          <w:color w:val="auto"/>
          <w:sz w:val="22"/>
          <w:szCs w:val="22"/>
          <w:highlight w:val="none"/>
        </w:rPr>
      </w:pPr>
      <w:r>
        <w:rPr>
          <w:rFonts w:hint="eastAsia" w:hAnsi="宋体" w:cs="宋体"/>
          <w:bCs/>
          <w:color w:val="auto"/>
          <w:sz w:val="22"/>
          <w:szCs w:val="22"/>
          <w:highlight w:val="none"/>
        </w:rPr>
        <w:t>在发生所供商品的质量、售后服务等问题时，采购人有权直接向中标供应商索赔，签订必要的书面处理合同。协商不能解决的，任何一方有权在合同签约地选择仲裁或诉讼的途径解决。</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第十六条：违约处理</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1、在采购人对中标供应商违约而采取的任何补救措施不受影响的情况下，采购人可在下列情况下向中标供应商发出书面通知书，提出终止部分或全部合同。</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（1）中标供应商提供的产品质量、配置不符合国家规定和承诺的标准；</w:t>
      </w:r>
    </w:p>
    <w:p>
      <w:pPr>
        <w:snapToGrid w:val="0"/>
        <w:spacing w:line="440" w:lineRule="atLeast"/>
        <w:ind w:firstLine="330" w:firstLineChars="150"/>
        <w:rPr>
          <w:rFonts w:ascii="宋体" w:cs="宋体"/>
          <w:bCs/>
          <w:color w:val="auto"/>
          <w:sz w:val="22"/>
          <w:szCs w:val="22"/>
          <w:highlight w:val="none"/>
        </w:rPr>
      </w:pPr>
      <w:r>
        <w:rPr>
          <w:rFonts w:hint="eastAsia" w:ascii="宋体" w:cs="宋体"/>
          <w:bCs/>
          <w:color w:val="auto"/>
          <w:sz w:val="22"/>
          <w:szCs w:val="22"/>
          <w:highlight w:val="none"/>
        </w:rPr>
        <w:t>（2）中标供应商没有按承诺的时间供货、维修或提供其他服务；</w:t>
      </w:r>
    </w:p>
    <w:p>
      <w:pPr>
        <w:snapToGrid w:val="0"/>
        <w:spacing w:line="440" w:lineRule="atLeast"/>
        <w:ind w:firstLine="330" w:firstLineChars="150"/>
        <w:rPr>
          <w:rFonts w:ascii="宋体" w:cs="宋体"/>
          <w:bCs/>
          <w:color w:val="auto"/>
          <w:sz w:val="22"/>
          <w:szCs w:val="22"/>
          <w:highlight w:val="none"/>
        </w:rPr>
      </w:pPr>
      <w:r>
        <w:rPr>
          <w:rFonts w:hint="eastAsia" w:ascii="宋体" w:cs="宋体"/>
          <w:bCs/>
          <w:color w:val="auto"/>
          <w:sz w:val="22"/>
          <w:szCs w:val="22"/>
          <w:highlight w:val="none"/>
        </w:rPr>
        <w:t>（3）中标供应商没有按承诺的价格或优惠率签订合同并供货。</w:t>
      </w:r>
    </w:p>
    <w:p>
      <w:pPr>
        <w:snapToGrid w:val="0"/>
        <w:spacing w:line="440" w:lineRule="atLeast"/>
        <w:ind w:firstLine="440"/>
        <w:rPr>
          <w:rFonts w:ascii="宋体" w:cs="宋体"/>
          <w:bCs/>
          <w:color w:val="auto"/>
          <w:sz w:val="22"/>
          <w:szCs w:val="22"/>
          <w:highlight w:val="none"/>
        </w:rPr>
      </w:pPr>
      <w:r>
        <w:rPr>
          <w:rFonts w:hint="eastAsia" w:ascii="宋体" w:cs="宋体"/>
          <w:bCs/>
          <w:color w:val="auto"/>
          <w:sz w:val="22"/>
          <w:szCs w:val="22"/>
          <w:highlight w:val="none"/>
        </w:rPr>
        <w:t>2、如果采购人根据上述的规定，终止了全部或部分合同，采购人可以依其认为适当的条件和方法购买与未交货物类似的货物，中标供应商应对购买类似货物所超出的那部分费用负责。但是，中标供应商应继续执行合同中未终止的部分。</w:t>
      </w:r>
    </w:p>
    <w:p>
      <w:pPr>
        <w:snapToGrid w:val="0"/>
        <w:spacing w:line="440" w:lineRule="atLeast"/>
        <w:ind w:firstLine="440"/>
        <w:rPr>
          <w:rFonts w:ascii="宋体" w:cs="宋体"/>
          <w:bCs/>
          <w:color w:val="auto"/>
          <w:sz w:val="22"/>
          <w:szCs w:val="22"/>
          <w:highlight w:val="none"/>
        </w:rPr>
      </w:pPr>
      <w:r>
        <w:rPr>
          <w:rFonts w:hint="eastAsia" w:ascii="宋体" w:cs="宋体"/>
          <w:bCs/>
          <w:color w:val="auto"/>
          <w:sz w:val="22"/>
          <w:szCs w:val="22"/>
          <w:highlight w:val="none"/>
        </w:rPr>
        <w:t>3、中标供应商未能按照投标文件承诺通过验收，造成采购人换货、退货的，可以视为中标供应商提供虚投标假资料谋求中标，采购人可以上报财政管理部门，由财政部门予以处理。</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第十七条：合同转让和分包</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除采购人事先书面同意外，中标供应商不得转让和分包其应履行的合同义务。</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第十八条：合同生效</w:t>
      </w:r>
    </w:p>
    <w:p>
      <w:pPr>
        <w:pStyle w:val="10"/>
        <w:snapToGrid w:val="0"/>
        <w:spacing w:line="440" w:lineRule="atLeast"/>
        <w:ind w:firstLine="480"/>
        <w:rPr>
          <w:rFonts w:hAnsi="宋体" w:cs="宋体"/>
          <w:bCs/>
          <w:color w:val="auto"/>
          <w:sz w:val="22"/>
          <w:szCs w:val="22"/>
          <w:highlight w:val="none"/>
        </w:rPr>
      </w:pPr>
      <w:r>
        <w:rPr>
          <w:rFonts w:hint="eastAsia" w:hAnsi="宋体" w:cs="宋体"/>
          <w:bCs/>
          <w:color w:val="auto"/>
          <w:sz w:val="22"/>
          <w:szCs w:val="22"/>
          <w:highlight w:val="none"/>
        </w:rPr>
        <w:t>1、如上述文件与本合同有不符之处，以有利于采购人的为准。</w:t>
      </w:r>
    </w:p>
    <w:p>
      <w:pPr>
        <w:pStyle w:val="10"/>
        <w:snapToGrid w:val="0"/>
        <w:spacing w:line="440" w:lineRule="atLeast"/>
        <w:ind w:firstLine="480"/>
        <w:rPr>
          <w:rFonts w:hAnsi="宋体" w:cs="宋体"/>
          <w:bCs/>
          <w:color w:val="auto"/>
          <w:sz w:val="22"/>
          <w:szCs w:val="22"/>
          <w:highlight w:val="none"/>
          <w:u w:val="single"/>
        </w:rPr>
      </w:pPr>
      <w:r>
        <w:rPr>
          <w:rFonts w:hint="eastAsia" w:hAnsi="宋体" w:cs="宋体"/>
          <w:bCs/>
          <w:color w:val="auto"/>
          <w:sz w:val="22"/>
          <w:szCs w:val="22"/>
          <w:highlight w:val="none"/>
          <w:u w:val="single"/>
        </w:rPr>
        <w:t>2、本合同在</w:t>
      </w:r>
      <w:r>
        <w:rPr>
          <w:rFonts w:hint="eastAsia" w:hAnsi="宋体" w:cs="宋体"/>
          <w:bCs/>
          <w:color w:val="auto"/>
          <w:sz w:val="22"/>
          <w:szCs w:val="22"/>
          <w:highlight w:val="none"/>
          <w:u w:val="single"/>
          <w:lang w:val="en-US" w:eastAsia="zh-CN"/>
        </w:rPr>
        <w:t>双方</w:t>
      </w:r>
      <w:r>
        <w:rPr>
          <w:rFonts w:hint="eastAsia" w:hAnsi="宋体" w:cs="宋体"/>
          <w:bCs/>
          <w:color w:val="auto"/>
          <w:sz w:val="22"/>
          <w:szCs w:val="22"/>
          <w:highlight w:val="none"/>
          <w:u w:val="single"/>
        </w:rPr>
        <w:t>法定代表人或授权代表签署并加盖印章后生效。</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第十九条：合同修改</w:t>
      </w:r>
    </w:p>
    <w:p>
      <w:pPr>
        <w:snapToGrid w:val="0"/>
        <w:spacing w:line="440" w:lineRule="atLeast"/>
        <w:ind w:firstLine="480"/>
        <w:rPr>
          <w:rFonts w:ascii="宋体" w:cs="宋体"/>
          <w:bCs/>
          <w:color w:val="auto"/>
          <w:sz w:val="22"/>
          <w:szCs w:val="22"/>
          <w:highlight w:val="none"/>
        </w:rPr>
      </w:pPr>
      <w:r>
        <w:rPr>
          <w:rFonts w:hint="eastAsia" w:ascii="宋体" w:cs="宋体"/>
          <w:bCs/>
          <w:color w:val="auto"/>
          <w:sz w:val="22"/>
          <w:szCs w:val="22"/>
          <w:highlight w:val="none"/>
        </w:rPr>
        <w:t>除了</w:t>
      </w:r>
      <w:r>
        <w:rPr>
          <w:rFonts w:hint="eastAsia" w:ascii="宋体" w:cs="宋体"/>
          <w:bCs/>
          <w:color w:val="auto"/>
          <w:sz w:val="22"/>
          <w:szCs w:val="22"/>
          <w:highlight w:val="none"/>
          <w:lang w:val="en-US" w:eastAsia="zh-CN"/>
        </w:rPr>
        <w:t>双方</w:t>
      </w:r>
      <w:r>
        <w:rPr>
          <w:rFonts w:hint="eastAsia" w:ascii="宋体" w:cs="宋体"/>
          <w:bCs/>
          <w:color w:val="auto"/>
          <w:sz w:val="22"/>
          <w:szCs w:val="22"/>
          <w:highlight w:val="none"/>
        </w:rPr>
        <w:t>签署书面修改合同，并成为本合同不可分割的一部分之外，本合同条件不得有任何变化或修改。</w:t>
      </w:r>
    </w:p>
    <w:p>
      <w:pPr>
        <w:pStyle w:val="10"/>
        <w:snapToGrid w:val="0"/>
        <w:spacing w:line="440" w:lineRule="atLeast"/>
        <w:rPr>
          <w:rFonts w:hAnsi="宋体" w:cs="宋体"/>
          <w:bCs/>
          <w:color w:val="auto"/>
          <w:sz w:val="22"/>
          <w:szCs w:val="22"/>
          <w:highlight w:val="none"/>
        </w:rPr>
      </w:pPr>
      <w:r>
        <w:rPr>
          <w:rFonts w:hint="eastAsia" w:hAnsi="宋体" w:cs="宋体"/>
          <w:bCs/>
          <w:color w:val="auto"/>
          <w:sz w:val="22"/>
          <w:szCs w:val="22"/>
          <w:highlight w:val="none"/>
        </w:rPr>
        <w:t>第二十条 合同附件</w:t>
      </w:r>
    </w:p>
    <w:p>
      <w:pPr>
        <w:snapToGrid w:val="0"/>
        <w:spacing w:line="440" w:lineRule="atLeast"/>
        <w:rPr>
          <w:rFonts w:ascii="宋体" w:cs="宋体"/>
          <w:bCs/>
          <w:color w:val="auto"/>
          <w:sz w:val="22"/>
          <w:szCs w:val="22"/>
          <w:highlight w:val="none"/>
        </w:rPr>
      </w:pPr>
      <w:r>
        <w:rPr>
          <w:rFonts w:hint="eastAsia" w:ascii="宋体" w:cs="宋体"/>
          <w:bCs/>
          <w:color w:val="auto"/>
          <w:sz w:val="22"/>
          <w:szCs w:val="22"/>
          <w:highlight w:val="none"/>
        </w:rPr>
        <w:t xml:space="preserve">    下列文件与本合同具有同等法律效力：</w:t>
      </w:r>
    </w:p>
    <w:p>
      <w:pPr>
        <w:snapToGrid w:val="0"/>
        <w:spacing w:line="440" w:lineRule="atLeast"/>
        <w:ind w:firstLine="431" w:firstLineChars="196"/>
        <w:rPr>
          <w:rFonts w:ascii="宋体" w:cs="宋体"/>
          <w:bCs/>
          <w:color w:val="auto"/>
          <w:sz w:val="22"/>
          <w:szCs w:val="22"/>
          <w:highlight w:val="none"/>
        </w:rPr>
      </w:pPr>
      <w:r>
        <w:rPr>
          <w:rFonts w:hint="eastAsia" w:ascii="宋体" w:cs="宋体"/>
          <w:bCs/>
          <w:color w:val="auto"/>
          <w:sz w:val="22"/>
          <w:szCs w:val="22"/>
          <w:highlight w:val="none"/>
        </w:rPr>
        <w:t>1、采购人的招标文件与招标补充文件；</w:t>
      </w:r>
    </w:p>
    <w:p>
      <w:pPr>
        <w:snapToGrid w:val="0"/>
        <w:spacing w:line="440" w:lineRule="atLeast"/>
        <w:ind w:firstLine="431" w:firstLineChars="196"/>
        <w:rPr>
          <w:rFonts w:ascii="宋体" w:cs="宋体"/>
          <w:bCs/>
          <w:color w:val="auto"/>
          <w:sz w:val="22"/>
          <w:szCs w:val="22"/>
          <w:highlight w:val="none"/>
        </w:rPr>
      </w:pPr>
      <w:r>
        <w:rPr>
          <w:rFonts w:hint="eastAsia" w:ascii="宋体" w:cs="宋体"/>
          <w:bCs/>
          <w:color w:val="auto"/>
          <w:sz w:val="22"/>
          <w:szCs w:val="22"/>
          <w:highlight w:val="none"/>
        </w:rPr>
        <w:t>2、中标供应商投标文件；</w:t>
      </w:r>
    </w:p>
    <w:p>
      <w:pPr>
        <w:snapToGrid w:val="0"/>
        <w:spacing w:line="440" w:lineRule="atLeast"/>
        <w:ind w:firstLine="431" w:firstLineChars="196"/>
        <w:rPr>
          <w:rFonts w:ascii="宋体" w:cs="宋体"/>
          <w:bCs/>
          <w:color w:val="auto"/>
          <w:sz w:val="22"/>
          <w:szCs w:val="22"/>
          <w:highlight w:val="none"/>
        </w:rPr>
      </w:pPr>
      <w:r>
        <w:rPr>
          <w:rFonts w:hint="eastAsia" w:ascii="宋体" w:cs="宋体"/>
          <w:bCs/>
          <w:color w:val="auto"/>
          <w:sz w:val="22"/>
          <w:szCs w:val="22"/>
          <w:highlight w:val="none"/>
        </w:rPr>
        <w:t>3、询标纪要和承诺书；</w:t>
      </w:r>
    </w:p>
    <w:p>
      <w:pPr>
        <w:snapToGrid w:val="0"/>
        <w:spacing w:line="440" w:lineRule="atLeast"/>
        <w:ind w:firstLine="431" w:firstLineChars="196"/>
        <w:rPr>
          <w:rFonts w:ascii="宋体" w:cs="宋体"/>
          <w:bCs/>
          <w:color w:val="auto"/>
          <w:sz w:val="22"/>
          <w:szCs w:val="22"/>
          <w:highlight w:val="none"/>
        </w:rPr>
      </w:pPr>
      <w:r>
        <w:rPr>
          <w:rFonts w:hint="eastAsia" w:ascii="宋体" w:cs="宋体"/>
          <w:bCs/>
          <w:color w:val="auto"/>
          <w:sz w:val="22"/>
          <w:szCs w:val="22"/>
          <w:highlight w:val="none"/>
        </w:rPr>
        <w:t>4、中标通知书。</w:t>
      </w:r>
    </w:p>
    <w:p>
      <w:pPr>
        <w:snapToGrid w:val="0"/>
        <w:spacing w:line="440" w:lineRule="atLeast"/>
        <w:ind w:firstLine="431" w:firstLineChars="196"/>
        <w:rPr>
          <w:rFonts w:hint="eastAsia" w:ascii="宋体" w:eastAsia="宋体" w:cs="宋体"/>
          <w:b w:val="0"/>
          <w:bCs/>
          <w:color w:val="auto"/>
          <w:sz w:val="22"/>
          <w:szCs w:val="22"/>
          <w:highlight w:val="none"/>
        </w:rPr>
      </w:pPr>
    </w:p>
    <w:p>
      <w:pPr>
        <w:snapToGrid w:val="0"/>
        <w:spacing w:line="440" w:lineRule="atLeast"/>
        <w:ind w:firstLine="440" w:firstLineChars="200"/>
        <w:rPr>
          <w:rFonts w:hint="eastAsia" w:ascii="宋体" w:eastAsia="宋体" w:cs="宋体"/>
          <w:b w:val="0"/>
          <w:bCs/>
          <w:color w:val="auto"/>
          <w:sz w:val="22"/>
          <w:szCs w:val="22"/>
          <w:highlight w:val="none"/>
        </w:rPr>
      </w:pP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采购人(盖章)：                                 中标供应商（盖章）</w:t>
      </w: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法定代表人：                                   法定代表人：</w:t>
      </w: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开户银行：                                     开户银行：</w:t>
      </w: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开户名称：                                     开户名称：</w:t>
      </w: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账号：                                         账号：</w:t>
      </w:r>
    </w:p>
    <w:p>
      <w:pPr>
        <w:pStyle w:val="10"/>
        <w:spacing w:line="420" w:lineRule="atLeast"/>
        <w:ind w:firstLine="1199" w:firstLineChars="545"/>
        <w:rPr>
          <w:rFonts w:hint="eastAsia" w:hAnsi="宋体" w:eastAsia="宋体" w:cs="宋体"/>
          <w:b w:val="0"/>
          <w:bCs/>
          <w:color w:val="auto"/>
          <w:sz w:val="22"/>
          <w:szCs w:val="22"/>
          <w:highlight w:val="none"/>
        </w:rPr>
      </w:pPr>
      <w:r>
        <w:rPr>
          <w:rFonts w:hint="eastAsia" w:hAnsi="宋体" w:eastAsia="宋体" w:cs="宋体"/>
          <w:b w:val="0"/>
          <w:bCs/>
          <w:color w:val="auto"/>
          <w:sz w:val="22"/>
          <w:szCs w:val="22"/>
          <w:highlight w:val="none"/>
        </w:rPr>
        <w:t>签约日期：                                     签约地点：</w:t>
      </w:r>
    </w:p>
    <w:p>
      <w:pPr>
        <w:pStyle w:val="3"/>
        <w:ind w:left="0"/>
        <w:rPr>
          <w:rFonts w:hint="eastAsia" w:ascii="宋体" w:hAnsi="宋体" w:eastAsia="宋体" w:cs="宋体"/>
          <w:color w:val="auto"/>
          <w:highlight w:val="none"/>
        </w:rPr>
      </w:pPr>
    </w:p>
    <w:p>
      <w:pPr>
        <w:jc w:val="center"/>
        <w:rPr>
          <w:color w:val="auto"/>
          <w:highlight w:val="none"/>
        </w:rPr>
      </w:pPr>
      <w:r>
        <w:rPr>
          <w:rFonts w:hint="eastAsia" w:ascii="宋体" w:hAnsi="宋体" w:eastAsia="宋体" w:cs="宋体"/>
          <w:b/>
          <w:snapToGrid w:val="0"/>
          <w:color w:val="auto"/>
          <w:szCs w:val="21"/>
          <w:highlight w:val="none"/>
        </w:rPr>
        <w:t xml:space="preserve">（合同签订后供应商须将合同扫描发至 </w:t>
      </w:r>
      <w:r>
        <w:rPr>
          <w:rFonts w:hint="eastAsia" w:ascii="宋体" w:hAnsi="宋体" w:eastAsia="宋体" w:cs="宋体"/>
          <w:b/>
          <w:snapToGrid w:val="0"/>
          <w:color w:val="auto"/>
          <w:szCs w:val="21"/>
          <w:highlight w:val="none"/>
        </w:rPr>
        <w:fldChar w:fldCharType="begin"/>
      </w:r>
      <w:r>
        <w:rPr>
          <w:rFonts w:hint="eastAsia" w:ascii="宋体" w:hAnsi="宋体" w:eastAsia="宋体" w:cs="宋体"/>
          <w:b/>
          <w:snapToGrid w:val="0"/>
          <w:color w:val="auto"/>
          <w:szCs w:val="21"/>
          <w:highlight w:val="none"/>
        </w:rPr>
        <w:instrText xml:space="preserve"> HYPERLINK "mailto:250453502@qq.com" \h </w:instrText>
      </w:r>
      <w:r>
        <w:rPr>
          <w:rFonts w:hint="eastAsia" w:ascii="宋体" w:hAnsi="宋体" w:eastAsia="宋体" w:cs="宋体"/>
          <w:b/>
          <w:snapToGrid w:val="0"/>
          <w:color w:val="auto"/>
          <w:szCs w:val="21"/>
          <w:highlight w:val="none"/>
        </w:rPr>
        <w:fldChar w:fldCharType="separate"/>
      </w:r>
      <w:r>
        <w:rPr>
          <w:rFonts w:hint="eastAsia" w:ascii="宋体" w:hAnsi="宋体" w:cs="宋体"/>
          <w:b/>
          <w:snapToGrid w:val="0"/>
          <w:color w:val="auto"/>
          <w:szCs w:val="21"/>
          <w:highlight w:val="none"/>
          <w:lang w:eastAsia="zh-CN"/>
        </w:rPr>
        <w:t>zjdy8888@126.com</w:t>
      </w:r>
      <w:r>
        <w:rPr>
          <w:rFonts w:hint="eastAsia" w:ascii="宋体" w:hAnsi="宋体" w:eastAsia="宋体" w:cs="宋体"/>
          <w:b/>
          <w:snapToGrid w:val="0"/>
          <w:color w:val="auto"/>
          <w:szCs w:val="21"/>
          <w:highlight w:val="none"/>
        </w:rPr>
        <w:t xml:space="preserve"> </w:t>
      </w:r>
      <w:r>
        <w:rPr>
          <w:rFonts w:hint="eastAsia" w:ascii="宋体" w:hAnsi="宋体" w:eastAsia="宋体" w:cs="宋体"/>
          <w:b/>
          <w:snapToGrid w:val="0"/>
          <w:color w:val="auto"/>
          <w:szCs w:val="21"/>
          <w:highlight w:val="none"/>
        </w:rPr>
        <w:fldChar w:fldCharType="end"/>
      </w:r>
      <w:r>
        <w:rPr>
          <w:rFonts w:hint="eastAsia" w:ascii="宋体" w:hAnsi="宋体" w:eastAsia="宋体" w:cs="宋体"/>
          <w:b/>
          <w:snapToGrid w:val="0"/>
          <w:color w:val="auto"/>
          <w:szCs w:val="21"/>
          <w:highlight w:val="none"/>
        </w:rPr>
        <w:t>邮箱备案）</w:t>
      </w:r>
    </w:p>
    <w:p>
      <w:pPr>
        <w:pStyle w:val="9"/>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eastAsia="宋体" w:cs="宋体"/>
          <w:color w:val="auto"/>
          <w:sz w:val="21"/>
          <w:szCs w:val="21"/>
          <w:highlight w:val="none"/>
        </w:rPr>
      </w:pPr>
    </w:p>
    <w:p>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注：1、本合同作为示范文本，具体以中标供应商与招标人所签定正式合同为准。</w:t>
      </w:r>
    </w:p>
    <w:p>
      <w:pPr>
        <w:widowControl/>
        <w:snapToGrid w:val="0"/>
        <w:spacing w:line="340" w:lineRule="exact"/>
        <w:jc w:val="left"/>
        <w:rPr>
          <w:rFonts w:hint="eastAsia" w:ascii="宋体" w:hAnsi="宋体" w:eastAsia="宋体" w:cs="宋体"/>
          <w:b/>
          <w:color w:val="auto"/>
          <w:sz w:val="22"/>
          <w:szCs w:val="22"/>
          <w:highlight w:val="none"/>
        </w:rPr>
      </w:pPr>
      <w:r>
        <w:rPr>
          <w:rFonts w:hint="eastAsia" w:ascii="宋体" w:hAnsi="宋体" w:eastAsia="宋体" w:cs="宋体"/>
          <w:b/>
          <w:color w:val="auto"/>
          <w:sz w:val="21"/>
          <w:szCs w:val="21"/>
          <w:highlight w:val="none"/>
        </w:rPr>
        <w:t>2、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rPr>
          <w:color w:val="auto"/>
          <w:highlight w:val="none"/>
        </w:rPr>
      </w:pPr>
    </w:p>
    <w:p>
      <w:pPr>
        <w:pageBreakBefore/>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523"/>
      <w:r>
        <w:rPr>
          <w:rFonts w:hint="eastAsia" w:ascii="宋体" w:hAnsi="宋体" w:cs="宋体"/>
          <w:b/>
          <w:color w:val="auto"/>
          <w:sz w:val="36"/>
          <w:szCs w:val="20"/>
          <w:highlight w:val="none"/>
        </w:rPr>
        <w:t xml:space="preserve"> </w:t>
      </w:r>
      <w:bookmarkEnd w:id="524"/>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cs="宋体"/>
          <w:snapToGrid w:val="0"/>
          <w:color w:val="auto"/>
          <w:kern w:val="28"/>
          <w:sz w:val="24"/>
          <w:szCs w:val="20"/>
          <w:highlight w:val="none"/>
        </w:rPr>
        <w:t>（2</w:t>
      </w:r>
      <w:r>
        <w:rPr>
          <w:rFonts w:hint="eastAsia" w:ascii="宋体" w:hAnsi="宋体" w:eastAsia="宋体" w:cs="宋体"/>
          <w:color w:val="auto"/>
          <w:sz w:val="24"/>
          <w:highlight w:val="none"/>
        </w:rPr>
        <w:t>）联合协议………………………………………………………………（页码）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中小企业声明函………………………………………………（页码）</w:t>
      </w:r>
    </w:p>
    <w:p>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授权委托书或法定代表人（单位负责人、自然人本人）身份证明………………………………………………（页码）</w:t>
      </w:r>
    </w:p>
    <w:p>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营业执照(或事业法人登记证书或其它工商等登记证明材料)</w:t>
      </w:r>
      <w:r>
        <w:rPr>
          <w:rFonts w:hint="eastAsia" w:ascii="宋体" w:hAnsi="宋体" w:eastAsia="宋体" w:cs="宋体"/>
          <w:color w:val="auto"/>
          <w:sz w:val="24"/>
          <w:highlight w:val="none"/>
        </w:rPr>
        <w:t>………………………………………………（页码）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pStyle w:val="31"/>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ascii="宋体" w:hAnsi="宋体" w:cs="宋体"/>
          <w:b/>
          <w:color w:val="auto"/>
          <w:kern w:val="0"/>
          <w:sz w:val="32"/>
          <w:szCs w:val="32"/>
          <w:highlight w:val="none"/>
        </w:rPr>
        <w:br w:type="page"/>
      </w:r>
      <w:r>
        <w:rPr>
          <w:rFonts w:hint="eastAsia" w:ascii="宋体" w:hAnsi="宋体" w:eastAsia="宋体" w:cs="宋体"/>
          <w:color w:val="auto"/>
          <w:kern w:val="2"/>
          <w:sz w:val="32"/>
          <w:szCs w:val="32"/>
          <w:highlight w:val="none"/>
          <w:lang w:val="en-US" w:eastAsia="zh-CN"/>
        </w:rPr>
        <w:t>五</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525" w:name="_Hlk101259491"/>
      <w:r>
        <w:rPr>
          <w:rFonts w:hint="eastAsia" w:ascii="宋体" w:hAnsi="宋体" w:eastAsia="宋体" w:cs="宋体"/>
          <w:color w:val="auto"/>
          <w:sz w:val="32"/>
          <w:szCs w:val="32"/>
          <w:highlight w:val="none"/>
        </w:rPr>
        <w:t>（如有）</w:t>
      </w:r>
      <w:bookmarkEnd w:id="525"/>
    </w:p>
    <w:p>
      <w:pPr>
        <w:jc w:val="center"/>
        <w:rPr>
          <w:rFonts w:ascii="宋体" w:hAnsi="宋体" w:cs="宋体"/>
          <w:b/>
          <w:color w:val="auto"/>
          <w:kern w:val="0"/>
          <w:sz w:val="32"/>
          <w:szCs w:val="32"/>
          <w:highlight w:val="none"/>
          <w:lang w:val="zh-CN"/>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r>
        <w:rPr>
          <w:rFonts w:hint="eastAsia" w:ascii="宋体" w:hAnsi="宋体" w:cs="宋体"/>
          <w:b/>
          <w:color w:val="auto"/>
          <w:sz w:val="24"/>
          <w:highlight w:val="none"/>
        </w:rPr>
        <w:br w:type="textWrapping"/>
      </w:r>
      <w:r>
        <w:rPr>
          <w:rFonts w:hint="eastAsia" w:ascii="宋体" w:hAnsi="宋体" w:cs="宋体"/>
          <w:b/>
          <w:color w:val="auto"/>
          <w:sz w:val="24"/>
          <w:highlight w:val="none"/>
        </w:rPr>
        <w:br w:type="textWrapping"/>
      </w: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lang w:val="zh-CN"/>
        </w:rPr>
        <w:t>、授权委托书或法定代表人（单位负责人、自然人本人）身份证明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b/>
          <w:color w:val="auto"/>
          <w:kern w:val="0"/>
          <w:sz w:val="32"/>
          <w:szCs w:val="32"/>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bookmarkStart w:id="532" w:name="_GoBack"/>
      <w:bookmarkEnd w:id="532"/>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2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29"/>
              <w:keepNext w:val="0"/>
              <w:keepLines w:val="0"/>
              <w:suppressLineNumbers w:val="0"/>
              <w:adjustRightInd w:val="0"/>
              <w:spacing w:before="0" w:beforeAutospacing="0" w:after="0" w:afterAutospacing="0" w:line="360" w:lineRule="auto"/>
              <w:ind w:left="0" w:right="0"/>
              <w:rPr>
                <w:rFonts w:hint="default" w:hAnsi="宋体" w:cs="宋体"/>
                <w:bCs/>
                <w:color w:val="auto"/>
                <w:sz w:val="24"/>
                <w:highlight w:val="none"/>
              </w:rPr>
            </w:pPr>
            <w:r>
              <w:rPr>
                <w:rFonts w:hint="eastAsia" w:hAnsi="宋体" w:cs="宋体"/>
                <w:bCs/>
                <w:color w:val="auto"/>
                <w:sz w:val="24"/>
                <w:highlight w:val="none"/>
              </w:rPr>
              <w:t>正面：                                 反面：</w:t>
            </w:r>
          </w:p>
          <w:p>
            <w:pPr>
              <w:pStyle w:val="29"/>
              <w:keepNext w:val="0"/>
              <w:keepLines w:val="0"/>
              <w:suppressLineNumbers w:val="0"/>
              <w:adjustRightInd w:val="0"/>
              <w:spacing w:before="0" w:beforeAutospacing="0" w:after="0" w:afterAutospacing="0" w:line="360" w:lineRule="auto"/>
              <w:ind w:left="0" w:right="0"/>
              <w:rPr>
                <w:rFonts w:hint="default"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widowControl/>
        <w:spacing w:line="360" w:lineRule="auto"/>
        <w:ind w:firstLine="120" w:firstLineChars="50"/>
        <w:jc w:val="left"/>
        <w:rPr>
          <w:rFonts w:ascii="宋体" w:hAnsi="宋体" w:cs="宋体"/>
          <w:b/>
          <w:color w:val="auto"/>
          <w:sz w:val="24"/>
          <w:highlight w:val="none"/>
        </w:rPr>
      </w:pPr>
    </w:p>
    <w:p>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26" w:name="_Toc465665161"/>
      <w:r>
        <w:rPr>
          <w:rFonts w:hint="eastAsia" w:ascii="宋体" w:hAnsi="宋体" w:cs="宋体"/>
          <w:color w:val="auto"/>
          <w:highlight w:val="none"/>
        </w:rPr>
        <w:t>附件</w:t>
      </w:r>
      <w:bookmarkEnd w:id="526"/>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527" w:name="OLE_LINK13"/>
      <w:bookmarkStart w:id="528" w:name="OLE_LINK14"/>
      <w:r>
        <w:rPr>
          <w:rFonts w:hint="eastAsia" w:ascii="宋体" w:hAnsi="宋体" w:cs="宋体"/>
          <w:b/>
          <w:color w:val="auto"/>
          <w:spacing w:val="6"/>
          <w:sz w:val="32"/>
          <w:szCs w:val="32"/>
          <w:highlight w:val="none"/>
        </w:rPr>
        <w:t>残疾人福利性单位声明函</w:t>
      </w:r>
    </w:p>
    <w:bookmarkEnd w:id="527"/>
    <w:bookmarkEnd w:id="528"/>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eastAsia="zh-CN"/>
        </w:rPr>
        <w:t>温州市龙湾区桃花岛中学</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龙湾区桃花岛中学AI智慧体测系统采购</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widowControl/>
        <w:adjustRightInd/>
        <w:jc w:val="left"/>
        <w:rPr>
          <w:rFonts w:ascii="宋体" w:hAnsi="宋体" w:cs="宋体"/>
          <w:b/>
          <w:color w:val="auto"/>
          <w:kern w:val="0"/>
          <w:sz w:val="32"/>
          <w:szCs w:val="32"/>
          <w:highlight w:val="none"/>
        </w:rPr>
      </w:pPr>
    </w:p>
    <w:p>
      <w:pPr>
        <w:spacing w:line="360" w:lineRule="auto"/>
        <w:ind w:right="420" w:firstLine="3614" w:firstLineChars="1000"/>
        <w:rPr>
          <w:rFonts w:hint="eastAsia" w:ascii="宋体" w:hAnsi="宋体" w:cs="宋体"/>
          <w:b/>
          <w:color w:val="auto"/>
          <w:kern w:val="0"/>
          <w:sz w:val="36"/>
          <w:szCs w:val="36"/>
          <w:highlight w:val="none"/>
        </w:rPr>
        <w:sectPr>
          <w:pgSz w:w="11906" w:h="16838"/>
          <w:pgMar w:top="1276" w:right="1134" w:bottom="1247" w:left="1134"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pStyle w:val="5"/>
        <w:rPr>
          <w:color w:val="auto"/>
          <w:highlight w:val="none"/>
          <w:lang w:val="en-US"/>
        </w:rPr>
      </w:pPr>
    </w:p>
    <w:p>
      <w:pPr>
        <w:rPr>
          <w:color w:val="auto"/>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2</w:t>
      </w:r>
      <w:r>
        <w:rPr>
          <w:rFonts w:hint="eastAsia" w:ascii="宋体" w:hAnsi="宋体" w:eastAsia="宋体" w:cs="宋体"/>
          <w:color w:val="auto"/>
          <w:sz w:val="24"/>
          <w:highlight w:val="none"/>
        </w:rPr>
        <w:t>.1.3落实政府采购政策需满足的资格要求（如果有）；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pP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2.1.5中小企业声明函。</w:t>
      </w:r>
    </w:p>
    <w:p>
      <w:pP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2.1.6授权委托书或法定代表人（单位负责人、自然人本人）身份证明；</w:t>
      </w:r>
    </w:p>
    <w:p>
      <w:pPr>
        <w:snapToGrid w:val="0"/>
        <w:spacing w:line="360" w:lineRule="auto"/>
        <w:ind w:left="420" w:leftChars="200"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2.1.7营业执照(或事业法人登记证书或其它工商等登记证明材料)</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left="420" w:leftChars="200" w:firstLine="480" w:firstLineChars="200"/>
        <w:rPr>
          <w:rFonts w:hint="default" w:eastAsia="仿宋_GB2312"/>
          <w:color w:val="auto"/>
          <w:highlight w:val="none"/>
          <w:lang w:val="en-US" w:eastAsia="zh-CN"/>
        </w:rPr>
      </w:pPr>
      <w:r>
        <w:rPr>
          <w:rFonts w:hint="eastAsia" w:ascii="宋体" w:hAnsi="宋体" w:cs="宋体"/>
          <w:color w:val="auto"/>
          <w:sz w:val="24"/>
          <w:highlight w:val="none"/>
          <w:lang w:val="en-US" w:eastAsia="zh-CN"/>
        </w:rPr>
        <w:t>2.3.2 报价情况说明（如果有）；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lang w:val="zh-CN"/>
        </w:rPr>
        <w:sectPr>
          <w:pgSz w:w="11906" w:h="16838"/>
          <w:pgMar w:top="1276" w:right="1134" w:bottom="1247" w:left="1134"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cs="宋体"/>
          <w:b/>
          <w:color w:val="auto"/>
          <w:kern w:val="0"/>
          <w:sz w:val="32"/>
          <w:szCs w:val="32"/>
          <w:highlight w:val="none"/>
        </w:rPr>
        <w:t>、分包意向协议（如有）</w:t>
      </w:r>
    </w:p>
    <w:p>
      <w:pPr>
        <w:widowControl/>
        <w:spacing w:line="360" w:lineRule="auto"/>
        <w:ind w:firstLine="120" w:firstLineChars="50"/>
        <w:jc w:val="left"/>
        <w:rPr>
          <w:rFonts w:ascii="宋体" w:hAnsi="宋体" w:cs="宋体"/>
          <w:color w:val="auto"/>
          <w:sz w:val="24"/>
          <w:highlight w:val="none"/>
        </w:rPr>
      </w:pPr>
      <w:bookmarkStart w:id="529"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529"/>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p>
    <w:p>
      <w:pPr>
        <w:pStyle w:val="5"/>
        <w:rPr>
          <w:color w:val="auto"/>
          <w:highlight w:val="none"/>
          <w:lang w:val="en-US"/>
        </w:rPr>
      </w:pPr>
    </w:p>
    <w:p>
      <w:pPr>
        <w:rPr>
          <w:color w:val="auto"/>
          <w:highlight w:val="none"/>
        </w:rPr>
      </w:pPr>
    </w:p>
    <w:p>
      <w:pPr>
        <w:pStyle w:val="5"/>
        <w:rPr>
          <w:color w:val="auto"/>
          <w:highlight w:val="none"/>
          <w:lang w:val="en-US"/>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、符合性审查资料</w:t>
      </w:r>
    </w:p>
    <w:p>
      <w:pPr>
        <w:jc w:val="center"/>
        <w:rPr>
          <w:rFonts w:ascii="宋体" w:hAnsi="宋体" w:cs="宋体"/>
          <w:b/>
          <w:color w:val="auto"/>
          <w:kern w:val="0"/>
          <w:sz w:val="32"/>
          <w:szCs w:val="32"/>
          <w:highlight w:val="none"/>
        </w:rPr>
      </w:pPr>
    </w:p>
    <w:tbl>
      <w:tblPr>
        <w:tblStyle w:val="1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投标文件中的</w:t>
            </w:r>
          </w:p>
          <w:p>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keepNext w:val="0"/>
              <w:keepLines w:val="0"/>
              <w:suppressLineNumbers w:val="0"/>
              <w:spacing w:before="0" w:beforeAutospacing="0" w:after="0" w:afterAutospacing="0"/>
              <w:ind w:left="0" w:right="0"/>
              <w:rPr>
                <w:rFonts w:hint="default" w:ascii="宋体" w:hAnsi="宋体" w:cs="宋体"/>
                <w:color w:val="auto"/>
                <w:sz w:val="24"/>
                <w:highlight w:val="none"/>
              </w:rPr>
            </w:pPr>
          </w:p>
          <w:p>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见投标文件</w:t>
            </w:r>
          </w:p>
          <w:p>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color w:val="auto"/>
                <w:sz w:val="24"/>
                <w:highlight w:val="none"/>
              </w:rPr>
              <w:t>3</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color w:val="auto"/>
          <w:highlight w:val="none"/>
        </w:rPr>
      </w:pPr>
      <w:r>
        <w:rPr>
          <w:rFonts w:hint="eastAsia" w:ascii="宋体" w:hAnsi="宋体" w:cs="宋体"/>
          <w:b/>
          <w:color w:val="auto"/>
          <w:kern w:val="0"/>
          <w:sz w:val="32"/>
          <w:szCs w:val="32"/>
          <w:highlight w:val="none"/>
          <w:lang w:val="en-US" w:eastAsia="zh-CN"/>
        </w:rPr>
        <w:t>四</w:t>
      </w:r>
      <w:r>
        <w:rPr>
          <w:rFonts w:hint="eastAsia" w:ascii="宋体" w:hAnsi="宋体" w:cs="宋体"/>
          <w:b/>
          <w:color w:val="auto"/>
          <w:kern w:val="0"/>
          <w:sz w:val="32"/>
          <w:szCs w:val="32"/>
          <w:highlight w:val="none"/>
        </w:rPr>
        <w:t>、评标标准相应的商务技术资料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五</w:t>
      </w:r>
      <w:r>
        <w:rPr>
          <w:rFonts w:hint="eastAsia" w:ascii="宋体" w:hAnsi="宋体" w:cs="宋体"/>
          <w:b/>
          <w:color w:val="auto"/>
          <w:kern w:val="0"/>
          <w:sz w:val="32"/>
          <w:szCs w:val="32"/>
          <w:highlight w:val="none"/>
        </w:rPr>
        <w:t>、投标标的清单</w:t>
      </w:r>
    </w:p>
    <w:tbl>
      <w:tblPr>
        <w:tblStyle w:val="16"/>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rPr>
        <w:t>、商务技术偏离表</w:t>
      </w:r>
    </w:p>
    <w:tbl>
      <w:tblPr>
        <w:tblStyle w:val="1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pPr>
        <w:snapToGrid w:val="0"/>
        <w:spacing w:line="360" w:lineRule="auto"/>
        <w:rPr>
          <w:color w:val="auto"/>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pPr>
        <w:pStyle w:val="23"/>
        <w:rPr>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3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pStyle w:val="3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温州市龙湾区桃花岛中学</w:t>
      </w:r>
      <w:r>
        <w:rPr>
          <w:rFonts w:hint="eastAsia" w:ascii="宋体" w:hAnsi="宋体" w:cs="宋体"/>
          <w:color w:val="auto"/>
          <w:sz w:val="24"/>
          <w:highlight w:val="none"/>
        </w:rPr>
        <w:t>、</w:t>
      </w:r>
      <w:r>
        <w:rPr>
          <w:rFonts w:hint="eastAsia" w:ascii="宋体" w:hAnsi="宋体" w:cs="宋体"/>
          <w:color w:val="auto"/>
          <w:sz w:val="24"/>
          <w:highlight w:val="none"/>
          <w:lang w:eastAsia="zh-CN"/>
        </w:rPr>
        <w:t>浙江东益工程咨询有限公司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1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品牌（如有）</w:t>
            </w:r>
          </w:p>
        </w:tc>
        <w:tc>
          <w:tcPr>
            <w:tcW w:w="3118"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备注（如有）</w:t>
            </w:r>
          </w:p>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X</w:t>
            </w:r>
            <w:r>
              <w:rPr>
                <w:rFonts w:hint="default" w:ascii="宋体" w:hAnsi="宋体" w:cs="宋体"/>
                <w:color w:val="auto"/>
                <w:sz w:val="24"/>
                <w:highlight w:val="none"/>
              </w:rPr>
              <w:t>X</w:t>
            </w:r>
          </w:p>
        </w:tc>
        <w:tc>
          <w:tcPr>
            <w:tcW w:w="184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3118"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99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X</w:t>
            </w:r>
            <w:r>
              <w:rPr>
                <w:rFonts w:hint="default" w:ascii="宋体" w:hAnsi="宋体" w:cs="宋体"/>
                <w:color w:val="auto"/>
                <w:sz w:val="24"/>
                <w:highlight w:val="none"/>
              </w:rPr>
              <w:t>X</w:t>
            </w:r>
          </w:p>
        </w:tc>
        <w:tc>
          <w:tcPr>
            <w:tcW w:w="184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3118"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99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3118"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99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417"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3118"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99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417"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84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3118"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993"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rPr>
            </w:pPr>
          </w:p>
        </w:tc>
        <w:tc>
          <w:tcPr>
            <w:tcW w:w="155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1984"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c>
          <w:tcPr>
            <w:tcW w:w="3119"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highlight w:val="none"/>
        </w:rPr>
      </w:pPr>
    </w:p>
    <w:p>
      <w:pPr>
        <w:pStyle w:val="3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3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pStyle w:val="31"/>
        <w:keepNext w:val="0"/>
        <w:pageBreakBefore w:val="0"/>
        <w:numPr>
          <w:ilvl w:val="0"/>
          <w:numId w:val="3"/>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报价情况说明（如有）</w:t>
      </w:r>
    </w:p>
    <w:p>
      <w:pPr>
        <w:pStyle w:val="5"/>
        <w:keepNext w:val="0"/>
        <w:pageBreakBefore w:val="0"/>
        <w:numPr>
          <w:ilvl w:val="-1"/>
          <w:numId w:val="0"/>
        </w:numPr>
        <w:tabs>
          <w:tab w:val="clear" w:pos="432"/>
        </w:tabs>
        <w:snapToGrid w:val="0"/>
        <w:spacing w:before="120" w:after="120"/>
        <w:ind w:firstLine="0"/>
        <w:outlineLvl w:val="9"/>
        <w:rPr>
          <w:rFonts w:hint="default" w:ascii="宋体" w:hAnsi="宋体" w:eastAsia="宋体" w:cs="宋体"/>
          <w:color w:val="auto"/>
          <w:kern w:val="2"/>
          <w:sz w:val="32"/>
          <w:szCs w:val="32"/>
          <w:highlight w:val="none"/>
          <w:lang w:val="en-US" w:eastAsia="zh-CN"/>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pPr>
        <w:pStyle w:val="3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pPr>
        <w:pStyle w:val="3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hint="eastAsia" w:ascii="宋体" w:hAnsi="宋体" w:cs="宋体"/>
          <w:b/>
          <w:color w:val="auto"/>
          <w:spacing w:val="6"/>
          <w:sz w:val="32"/>
          <w:szCs w:val="32"/>
          <w:highlight w:val="none"/>
        </w:rPr>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温州市龙湾区桃花岛中学</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浙江东益工程咨询有限公司</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414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3360"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312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keepNext w:val="0"/>
        <w:keepLines w:val="0"/>
        <w:pageBreakBefore/>
        <w:widowControl w:val="0"/>
        <w:kinsoku/>
        <w:wordWrap/>
        <w:overflowPunct/>
        <w:topLinePunct w:val="0"/>
        <w:autoSpaceDE/>
        <w:autoSpaceDN/>
        <w:bidi w:val="0"/>
        <w:adjustRightInd w:val="0"/>
        <w:snapToGrid w:val="0"/>
        <w:spacing w:line="360" w:lineRule="auto"/>
        <w:jc w:val="center"/>
        <w:textAlignment w:val="auto"/>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bookmarkStart w:id="530"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30"/>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龙湾区桃花岛中学AI智慧体测系统采购</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ZJDY-2024061102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3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31"/>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温州市龙湾区桃花岛中学</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龙湾区桃花岛中学AI智慧体测系统采购</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jc w:val="left"/>
        <w:rPr>
          <w:rFonts w:ascii="宋体" w:hAnsi="宋体" w:cs="宋体"/>
          <w:color w:val="auto"/>
          <w:sz w:val="18"/>
          <w:szCs w:val="18"/>
          <w:highlight w:val="none"/>
        </w:rPr>
      </w:pPr>
      <w:r>
        <w:rPr>
          <w:rFonts w:hint="eastAsia" w:ascii="宋体" w:hAnsi="宋体" w:cs="宋体"/>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color w:val="auto"/>
          <w:sz w:val="32"/>
          <w:szCs w:val="32"/>
          <w:highlight w:val="none"/>
        </w:rPr>
      </w:pPr>
    </w:p>
    <w:p>
      <w:pPr>
        <w:keepNext w:val="0"/>
        <w:keepLines w:val="0"/>
        <w:pageBreakBefore/>
        <w:widowControl w:val="0"/>
        <w:kinsoku/>
        <w:wordWrap/>
        <w:overflowPunct/>
        <w:topLinePunct w:val="0"/>
        <w:autoSpaceDE w:val="0"/>
        <w:autoSpaceDN w:val="0"/>
        <w:bidi w:val="0"/>
        <w:adjustRightInd w:val="0"/>
        <w:snapToGrid/>
        <w:jc w:val="center"/>
        <w:textAlignment w:val="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8</w:t>
      </w:r>
      <w:r>
        <w:rPr>
          <w:rFonts w:hint="eastAsia" w:ascii="宋体" w:hAnsi="宋体" w:cs="宋体"/>
          <w:b/>
          <w:color w:val="auto"/>
          <w:spacing w:val="6"/>
          <w:sz w:val="32"/>
          <w:szCs w:val="32"/>
          <w:highlight w:val="none"/>
        </w:rPr>
        <w:t>：节能环保产品声明函</w:t>
      </w:r>
    </w:p>
    <w:p>
      <w:pPr>
        <w:pStyle w:val="15"/>
        <w:jc w:val="center"/>
        <w:rPr>
          <w:rFonts w:hint="eastAsia" w:ascii="宋体" w:hAnsi="宋体"/>
          <w:color w:val="auto"/>
          <w:highlight w:val="none"/>
        </w:rPr>
      </w:pPr>
    </w:p>
    <w:p>
      <w:pPr>
        <w:pStyle w:val="15"/>
        <w:jc w:val="center"/>
        <w:rPr>
          <w:rFonts w:hint="eastAsia" w:ascii="宋体" w:hAnsi="宋体"/>
          <w:color w:val="auto"/>
          <w:highlight w:val="none"/>
        </w:rPr>
      </w:pPr>
      <w:r>
        <w:rPr>
          <w:rFonts w:hint="eastAsia" w:ascii="宋体" w:hAnsi="宋体"/>
          <w:color w:val="auto"/>
          <w:highlight w:val="none"/>
        </w:rPr>
        <w:t>节能环保产品声明函</w:t>
      </w:r>
    </w:p>
    <w:p>
      <w:pPr>
        <w:autoSpaceDE w:val="0"/>
        <w:autoSpaceDN w:val="0"/>
        <w:adjustRightInd w:val="0"/>
        <w:spacing w:line="460" w:lineRule="atLeast"/>
        <w:jc w:val="center"/>
        <w:rPr>
          <w:rFonts w:hint="eastAsia" w:ascii="宋体" w:eastAsia="宋体"/>
          <w:b w:val="0"/>
          <w:color w:val="auto"/>
          <w:sz w:val="36"/>
          <w:highlight w:val="none"/>
          <w:lang w:val="zh-CN"/>
        </w:rPr>
      </w:pPr>
      <w:r>
        <w:rPr>
          <w:rFonts w:hint="eastAsia" w:ascii="宋体" w:eastAsia="宋体"/>
          <w:b w:val="0"/>
          <w:color w:val="auto"/>
          <w:sz w:val="22"/>
          <w:szCs w:val="22"/>
          <w:highlight w:val="none"/>
        </w:rPr>
        <w:t>(如有则提供)</w:t>
      </w:r>
    </w:p>
    <w:p>
      <w:pPr>
        <w:rPr>
          <w:rFonts w:hint="eastAsia" w:ascii="宋体" w:eastAsia="宋体"/>
          <w:color w:val="auto"/>
          <w:sz w:val="28"/>
          <w:szCs w:val="28"/>
          <w:highlight w:val="none"/>
        </w:rPr>
      </w:pPr>
    </w:p>
    <w:p>
      <w:pPr>
        <w:spacing w:line="460" w:lineRule="atLeast"/>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本公司郑重声明，根据《节能产品政府采购实施意见》（财库〔2004〕185号，不含该期清单）、《关于环境标志产品政府采购实施的意见》（财库〔2006〕90号，不含该期清单）、《关于调整优化节能产品、环境标志产品政府采购执行机制的通知》（财库〔2019〕9号）、《关于印发节能产品政府采购品目清单的通知》（财库〔2019〕19号）、《关于印发环境标志产品政府采购品目清单的通知》（财库〔2019〕18号）、《市场监管总局关于发布参与实施政府采购节能产品、环境标志产品认证机构名录的公告》（2019年第16号）的规定，本公司声明如下：</w:t>
      </w:r>
    </w:p>
    <w:p>
      <w:pPr>
        <w:spacing w:line="460" w:lineRule="atLeast"/>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1.本公司参加</w:t>
      </w:r>
      <w:r>
        <w:rPr>
          <w:rFonts w:hint="eastAsia" w:ascii="宋体" w:eastAsia="宋体"/>
          <w:b w:val="0"/>
          <w:color w:val="auto"/>
          <w:sz w:val="22"/>
          <w:szCs w:val="22"/>
          <w:highlight w:val="none"/>
          <w:u w:val="single"/>
        </w:rPr>
        <w:t>（招标项目名称，招标编号）</w:t>
      </w:r>
      <w:r>
        <w:rPr>
          <w:rFonts w:hint="eastAsia" w:ascii="宋体" w:eastAsia="宋体"/>
          <w:b w:val="0"/>
          <w:color w:val="auto"/>
          <w:sz w:val="22"/>
          <w:szCs w:val="22"/>
          <w:highlight w:val="none"/>
        </w:rPr>
        <w:t>的采购活动提供的</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产品已列入《节能产品政府采购品目清单》</w:t>
      </w: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rPr>
        <w:t>且具有国家确定的认证机构出具的、处于有效期之内的节能产品认证证书(中国政府采购网</w:t>
      </w:r>
      <w:r>
        <w:rPr>
          <w:rFonts w:hint="eastAsia" w:ascii="宋体" w:eastAsia="宋体"/>
          <w:b w:val="0"/>
          <w:color w:val="auto"/>
          <w:sz w:val="22"/>
          <w:szCs w:val="22"/>
          <w:highlight w:val="none"/>
        </w:rPr>
        <w:fldChar w:fldCharType="begin"/>
      </w:r>
      <w:r>
        <w:rPr>
          <w:rFonts w:hint="eastAsia" w:ascii="宋体" w:eastAsia="宋体"/>
          <w:b w:val="0"/>
          <w:color w:val="auto"/>
          <w:sz w:val="22"/>
          <w:szCs w:val="22"/>
          <w:highlight w:val="none"/>
        </w:rPr>
        <w:instrText xml:space="preserve"> HYPERLINK "http://www.ccgp.gov.cn" </w:instrText>
      </w:r>
      <w:r>
        <w:rPr>
          <w:rFonts w:hint="eastAsia" w:ascii="宋体" w:eastAsia="宋体"/>
          <w:b w:val="0"/>
          <w:color w:val="auto"/>
          <w:sz w:val="22"/>
          <w:szCs w:val="22"/>
          <w:highlight w:val="none"/>
        </w:rPr>
        <w:fldChar w:fldCharType="separate"/>
      </w:r>
      <w:r>
        <w:rPr>
          <w:rFonts w:hint="eastAsia" w:ascii="宋体" w:eastAsia="宋体"/>
          <w:b w:val="0"/>
          <w:color w:val="auto"/>
          <w:sz w:val="22"/>
          <w:szCs w:val="22"/>
          <w:highlight w:val="none"/>
        </w:rPr>
        <w:t>www.ccgp.gov.cn</w:t>
      </w:r>
      <w:r>
        <w:rPr>
          <w:rFonts w:hint="eastAsia" w:ascii="宋体" w:eastAsia="宋体"/>
          <w:b w:val="0"/>
          <w:color w:val="auto"/>
          <w:sz w:val="22"/>
          <w:szCs w:val="22"/>
          <w:highlight w:val="none"/>
        </w:rPr>
        <w:fldChar w:fldCharType="end"/>
      </w:r>
      <w:r>
        <w:rPr>
          <w:rFonts w:hint="eastAsia" w:ascii="宋体" w:eastAsia="宋体"/>
          <w:b w:val="0"/>
          <w:color w:val="auto"/>
          <w:sz w:val="22"/>
          <w:szCs w:val="22"/>
          <w:highlight w:val="none"/>
        </w:rPr>
        <w:t>须具备相关信息)。</w:t>
      </w:r>
    </w:p>
    <w:p>
      <w:pPr>
        <w:spacing w:line="460" w:lineRule="atLeast"/>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2.本公司参加</w:t>
      </w:r>
      <w:r>
        <w:rPr>
          <w:rFonts w:hint="eastAsia" w:ascii="宋体" w:eastAsia="宋体"/>
          <w:b w:val="0"/>
          <w:color w:val="auto"/>
          <w:sz w:val="22"/>
          <w:szCs w:val="22"/>
          <w:highlight w:val="none"/>
          <w:u w:val="single"/>
        </w:rPr>
        <w:t>（招标项目名称，招标编号）</w:t>
      </w:r>
      <w:r>
        <w:rPr>
          <w:rFonts w:hint="eastAsia" w:ascii="宋体" w:eastAsia="宋体"/>
          <w:b w:val="0"/>
          <w:color w:val="auto"/>
          <w:sz w:val="22"/>
          <w:szCs w:val="22"/>
          <w:highlight w:val="none"/>
        </w:rPr>
        <w:t>的采购活动提供的</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产品已列入《环境标志产品政府采购品目清单》</w:t>
      </w: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rPr>
        <w:t>且具有国家确定的认证机构出具的、处于有效期之内的环境标志产品认证证书(中国政府采购网</w:t>
      </w:r>
      <w:r>
        <w:rPr>
          <w:rFonts w:hint="eastAsia" w:ascii="宋体" w:eastAsia="宋体"/>
          <w:b w:val="0"/>
          <w:color w:val="auto"/>
          <w:sz w:val="22"/>
          <w:szCs w:val="22"/>
          <w:highlight w:val="none"/>
        </w:rPr>
        <w:fldChar w:fldCharType="begin"/>
      </w:r>
      <w:r>
        <w:rPr>
          <w:rFonts w:hint="eastAsia" w:ascii="宋体" w:eastAsia="宋体"/>
          <w:b w:val="0"/>
          <w:color w:val="auto"/>
          <w:sz w:val="22"/>
          <w:szCs w:val="22"/>
          <w:highlight w:val="none"/>
        </w:rPr>
        <w:instrText xml:space="preserve"> HYPERLINK "http://www.ccgp.gov.cn" </w:instrText>
      </w:r>
      <w:r>
        <w:rPr>
          <w:rFonts w:hint="eastAsia" w:ascii="宋体" w:eastAsia="宋体"/>
          <w:b w:val="0"/>
          <w:color w:val="auto"/>
          <w:sz w:val="22"/>
          <w:szCs w:val="22"/>
          <w:highlight w:val="none"/>
        </w:rPr>
        <w:fldChar w:fldCharType="separate"/>
      </w:r>
      <w:r>
        <w:rPr>
          <w:rFonts w:hint="eastAsia" w:ascii="宋体" w:eastAsia="宋体"/>
          <w:b w:val="0"/>
          <w:color w:val="auto"/>
          <w:sz w:val="22"/>
          <w:szCs w:val="22"/>
          <w:highlight w:val="none"/>
        </w:rPr>
        <w:t>www.ccgp.gov.cn</w:t>
      </w:r>
      <w:r>
        <w:rPr>
          <w:rFonts w:hint="eastAsia" w:ascii="宋体" w:eastAsia="宋体"/>
          <w:b w:val="0"/>
          <w:color w:val="auto"/>
          <w:sz w:val="22"/>
          <w:szCs w:val="22"/>
          <w:highlight w:val="none"/>
        </w:rPr>
        <w:fldChar w:fldCharType="end"/>
      </w:r>
      <w:r>
        <w:rPr>
          <w:rFonts w:hint="eastAsia" w:ascii="宋体" w:eastAsia="宋体"/>
          <w:b w:val="0"/>
          <w:color w:val="auto"/>
          <w:sz w:val="22"/>
          <w:szCs w:val="22"/>
          <w:highlight w:val="none"/>
        </w:rPr>
        <w:t>须具备相关信息)。</w:t>
      </w:r>
    </w:p>
    <w:p>
      <w:pPr>
        <w:spacing w:line="460" w:lineRule="atLeast"/>
        <w:ind w:firstLine="440" w:firstLineChars="200"/>
        <w:rPr>
          <w:rFonts w:hint="eastAsia" w:ascii="宋体" w:eastAsia="宋体"/>
          <w:b w:val="0"/>
          <w:color w:val="auto"/>
          <w:sz w:val="22"/>
          <w:szCs w:val="22"/>
          <w:highlight w:val="none"/>
        </w:rPr>
      </w:pPr>
      <w:r>
        <w:rPr>
          <w:rFonts w:hint="eastAsia" w:ascii="宋体" w:eastAsia="宋体"/>
          <w:b w:val="0"/>
          <w:color w:val="auto"/>
          <w:sz w:val="22"/>
          <w:szCs w:val="22"/>
          <w:highlight w:val="none"/>
        </w:rPr>
        <w:t>本公司对上述声明的真实性负责。如有虚假，将依法承担相应法律责任。</w:t>
      </w:r>
    </w:p>
    <w:p>
      <w:pPr>
        <w:spacing w:line="460" w:lineRule="atLeast"/>
        <w:rPr>
          <w:rFonts w:hint="eastAsia" w:ascii="宋体" w:eastAsia="宋体"/>
          <w:b w:val="0"/>
          <w:color w:val="auto"/>
          <w:sz w:val="22"/>
          <w:szCs w:val="22"/>
          <w:highlight w:val="none"/>
        </w:rPr>
      </w:pPr>
    </w:p>
    <w:p>
      <w:pPr>
        <w:pStyle w:val="28"/>
        <w:rPr>
          <w:rFonts w:hint="eastAsia"/>
          <w:color w:val="auto"/>
          <w:highlight w:val="none"/>
          <w:lang w:eastAsia="zh-CN"/>
        </w:rPr>
      </w:pPr>
      <w:r>
        <w:rPr>
          <w:rFonts w:hint="eastAsia"/>
          <w:color w:val="auto"/>
          <w:highlight w:val="none"/>
          <w:lang w:val="zh-CN" w:eastAsia="zh-CN"/>
        </w:rPr>
        <w:t>投标人名称(电子签名)：</w:t>
      </w:r>
    </w:p>
    <w:p>
      <w:pPr>
        <w:pStyle w:val="28"/>
        <w:rPr>
          <w:rFonts w:hint="eastAsia"/>
          <w:color w:val="auto"/>
          <w:highlight w:val="none"/>
          <w:lang w:eastAsia="zh-CN"/>
        </w:rPr>
      </w:pPr>
      <w:r>
        <w:rPr>
          <w:rFonts w:hint="eastAsia"/>
          <w:color w:val="auto"/>
          <w:highlight w:val="none"/>
          <w:lang w:eastAsia="zh-CN"/>
        </w:rPr>
        <w:t>日期：</w:t>
      </w:r>
    </w:p>
    <w:p>
      <w:pPr>
        <w:pStyle w:val="28"/>
        <w:rPr>
          <w:rFonts w:hint="eastAsia"/>
          <w:color w:val="auto"/>
          <w:highlight w:val="none"/>
          <w:lang w:eastAsia="zh-CN"/>
        </w:rPr>
      </w:pPr>
    </w:p>
    <w:p>
      <w:pPr>
        <w:pStyle w:val="3"/>
        <w:rPr>
          <w:rFonts w:hint="eastAsia"/>
          <w:color w:val="auto"/>
          <w:highlight w:val="none"/>
          <w:lang w:eastAsia="zh-CN"/>
        </w:rPr>
      </w:pPr>
    </w:p>
    <w:p>
      <w:pPr>
        <w:rPr>
          <w:color w:val="auto"/>
          <w:highlight w:val="none"/>
        </w:rPr>
      </w:pPr>
    </w:p>
    <w:p>
      <w:pPr>
        <w:spacing w:line="360" w:lineRule="auto"/>
        <w:rPr>
          <w:rFonts w:ascii="宋体" w:hAnsi="宋体" w:cs="宋体"/>
          <w:bCs/>
          <w:color w:val="auto"/>
          <w:sz w:val="24"/>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rPr>
          <w:rFonts w:ascii="宋体" w:hAnsi="宋体" w:cs="宋体"/>
          <w:bCs/>
          <w:color w:val="auto"/>
          <w:sz w:val="24"/>
          <w:highlight w:val="none"/>
        </w:rPr>
      </w:pPr>
    </w:p>
    <w:p>
      <w:pPr>
        <w:rPr>
          <w:highlight w:val="none"/>
        </w:rPr>
      </w:pPr>
    </w:p>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right" w:y="1"/>
      <w:rPr>
        <w:rStyle w:val="19"/>
      </w:rPr>
    </w:pPr>
    <w:r>
      <w:fldChar w:fldCharType="begin"/>
    </w:r>
    <w:r>
      <w:rPr>
        <w:rStyle w:val="19"/>
      </w:rPr>
      <w:instrText xml:space="preserve">PAGE  </w:instrText>
    </w:r>
    <w:r>
      <w:fldChar w:fldCharType="end"/>
    </w:r>
  </w:p>
  <w:p>
    <w:pPr>
      <w:pStyle w:val="1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right" w:y="1"/>
      <w:rPr>
        <w:rStyle w:val="19"/>
      </w:rPr>
    </w:pPr>
    <w:r>
      <w:fldChar w:fldCharType="begin"/>
    </w:r>
    <w:r>
      <w:rPr>
        <w:rStyle w:val="19"/>
      </w:rPr>
      <w:instrText xml:space="preserve">PAGE  </w:instrText>
    </w:r>
    <w:r>
      <w:fldChar w:fldCharType="end"/>
    </w:r>
  </w:p>
  <w:p>
    <w:pPr>
      <w:pStyle w:val="1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single" w:color="auto" w:sz="6" w:space="4"/>
      </w:pBdr>
      <w:jc w:val="right"/>
      <w:rPr>
        <w:rFonts w:hint="eastAsia" w:eastAsia="宋体"/>
        <w:lang w:eastAsia="zh-CN"/>
      </w:rPr>
    </w:pPr>
    <w:r>
      <w:t></w:t>
    </w:r>
    <w:r>
      <w:rPr>
        <w:rFonts w:hint="eastAsia"/>
      </w:rPr>
      <w:t xml:space="preserve">        </w:t>
    </w:r>
  </w:p>
  <w:p>
    <w:pPr>
      <w:pStyle w:val="15"/>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hint="eastAsia" w:ascii="仿宋_GB2312" w:eastAsia="宋体"/>
        <w:b/>
        <w:i/>
        <w:u w:val="single"/>
        <w:lang w:eastAsia="zh-CN"/>
      </w:rPr>
    </w:pPr>
    <w:r>
      <w:t></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eastAsia" w:eastAsia="宋体"/>
        <w:lang w:eastAsia="zh-CN"/>
      </w:rPr>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eastAsia" w:ascii="仿宋_GB2312" w:eastAsia="宋体"/>
        <w:b/>
        <w:i/>
        <w:u w:val="single"/>
        <w:lang w:eastAsia="zh-CN"/>
      </w:rPr>
    </w:pPr>
    <w:r>
      <w:t></w:t>
    </w:r>
    <w:r>
      <w:rPr>
        <w:rFonts w:hint="eastAsia"/>
      </w:rPr>
      <w:t xml:space="preserve">                                                </w:t>
    </w:r>
    <w:r>
      <w:t xml:space="preserve"> </w:t>
    </w:r>
    <w:r>
      <w:rPr>
        <w:rFonts w:hint="eastAsia"/>
        <w:lang w:eastAsia="zh-CN"/>
      </w:rPr>
      <w:t>温州市政府采购公开招标文件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hint="eastAsia" w:eastAsia="宋体"/>
        <w:lang w:eastAsia="zh-CN"/>
      </w:rPr>
    </w:pPr>
    <w:r>
      <w:t></w:t>
    </w:r>
    <w:r>
      <w:rPr>
        <w:rFonts w:hint="eastAsia"/>
      </w:rPr>
      <w:t xml:space="preserve">                                                                    </w:t>
    </w:r>
    <w:r>
      <w:rPr>
        <w:rFonts w:hint="eastAsia"/>
        <w:lang w:eastAsia="zh-CN"/>
      </w:rPr>
      <w:t>温州市政府采购公开招标文件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hint="eastAsia" w:ascii="仿宋_GB2312" w:eastAsia="宋体"/>
        <w:b/>
        <w:i/>
        <w:u w:val="single"/>
        <w:lang w:eastAsia="zh-CN"/>
      </w:rPr>
    </w:pPr>
    <w:r>
      <w:rPr>
        <w:rFonts w:hint="eastAsia"/>
      </w:rPr>
      <w:t xml:space="preserve">                                  </w:t>
    </w:r>
    <w:r>
      <w:rPr>
        <w:rFonts w:hint="eastAsia"/>
        <w:lang w:eastAsia="zh-CN"/>
      </w:rPr>
      <w:t>温州市政府采购公开招标文件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hint="eastAsia" w:eastAsia="宋体"/>
        <w:lang w:eastAsia="zh-CN"/>
      </w:rPr>
    </w:pPr>
    <w:r>
      <w:rPr>
        <w:rFonts w:hint="eastAsia"/>
      </w:rPr>
      <w:t xml:space="preserve">                                                                                                        </w:t>
    </w:r>
    <w:r>
      <w:rPr>
        <w:rFonts w:hint="eastAsia"/>
        <w:lang w:eastAsia="zh-CN"/>
      </w:rPr>
      <w:t>温州市政府采购公开招标文件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hint="eastAsia" w:ascii="仿宋_GB2312" w:eastAsia="宋体"/>
        <w:b/>
        <w:i/>
        <w:iCs/>
        <w:u w:val="single"/>
        <w:lang w:eastAsia="zh-CN"/>
      </w:rPr>
    </w:pPr>
    <w:r>
      <w:t></w:t>
    </w:r>
    <w:r>
      <w:rPr>
        <w:rFonts w:hint="eastAsia"/>
        <w:lang w:eastAsia="zh-CN"/>
      </w:rPr>
      <w:t>温州市政府采购公开招标文件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eastAsia" w:eastAsia="宋体"/>
        <w:lang w:eastAsia="zh-CN"/>
      </w:rPr>
    </w:pPr>
    <w:r>
      <w:t></w:t>
    </w:r>
    <w:r>
      <w:rPr>
        <w:rFonts w:hint="eastAsia"/>
      </w:rPr>
      <w:t xml:space="preserve">                                             </w:t>
    </w:r>
    <w:r>
      <w:rPr>
        <w:rFonts w:hint="eastAsia"/>
        <w:lang w:eastAsia="zh-CN"/>
      </w:rPr>
      <w:t>温州市政府采购公开招标文件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13A496"/>
    <w:multiLevelType w:val="singleLevel"/>
    <w:tmpl w:val="CF13A496"/>
    <w:lvl w:ilvl="0" w:tentative="0">
      <w:start w:val="1"/>
      <w:numFmt w:val="decimal"/>
      <w:suff w:val="nothing"/>
      <w:lvlText w:val="（%1）"/>
      <w:lvlJc w:val="left"/>
    </w:lvl>
  </w:abstractNum>
  <w:abstractNum w:abstractNumId="1">
    <w:nsid w:val="11A17D0E"/>
    <w:multiLevelType w:val="singleLevel"/>
    <w:tmpl w:val="11A17D0E"/>
    <w:lvl w:ilvl="0" w:tentative="0">
      <w:start w:val="2"/>
      <w:numFmt w:val="decimal"/>
      <w:suff w:val="nothing"/>
      <w:lvlText w:val="%1、"/>
      <w:lvlJc w:val="left"/>
    </w:lvl>
  </w:abstractNum>
  <w:abstractNum w:abstractNumId="2">
    <w:nsid w:val="35D71722"/>
    <w:multiLevelType w:val="singleLevel"/>
    <w:tmpl w:val="35D71722"/>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hMjI4N2UzZjI0NWEyMGU4MjNjMmFiZWVkZWZhMWUifQ=="/>
  </w:docVars>
  <w:rsids>
    <w:rsidRoot w:val="3B4F32FD"/>
    <w:rsid w:val="13E71942"/>
    <w:rsid w:val="16900E36"/>
    <w:rsid w:val="16E75421"/>
    <w:rsid w:val="1BC021BE"/>
    <w:rsid w:val="1FC71B45"/>
    <w:rsid w:val="2B0E3C70"/>
    <w:rsid w:val="33A707E6"/>
    <w:rsid w:val="3B4F32FD"/>
    <w:rsid w:val="40ED4F53"/>
    <w:rsid w:val="42CB3072"/>
    <w:rsid w:val="46BE4E97"/>
    <w:rsid w:val="50681F00"/>
    <w:rsid w:val="55E774B9"/>
    <w:rsid w:val="6D8C29C6"/>
    <w:rsid w:val="79132AA2"/>
    <w:rsid w:val="79EA1A55"/>
    <w:rsid w:val="7AC52D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character" w:default="1" w:styleId="18">
    <w:name w:val="Default Paragraph Font"/>
    <w:semiHidden/>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420"/>
    </w:pPr>
    <w:rPr>
      <w:rFonts w:hAnsi="Calibri" w:cs="Times New Roman"/>
      <w:snapToGrid/>
      <w:szCs w:val="20"/>
    </w:rPr>
  </w:style>
  <w:style w:type="paragraph" w:styleId="3">
    <w:name w:val="Body Text"/>
    <w:basedOn w:val="1"/>
    <w:next w:val="2"/>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qFormat/>
    <w:uiPriority w:val="0"/>
    <w:pPr>
      <w:jc w:val="left"/>
    </w:pPr>
  </w:style>
  <w:style w:type="paragraph" w:styleId="9">
    <w:name w:val="Body Text Indent"/>
    <w:basedOn w:val="1"/>
    <w:next w:val="1"/>
    <w:qFormat/>
    <w:uiPriority w:val="0"/>
    <w:pPr>
      <w:spacing w:line="480" w:lineRule="exact"/>
      <w:ind w:firstLine="480" w:firstLineChars="200"/>
    </w:pPr>
    <w:rPr>
      <w:rFonts w:ascii="宋体" w:hAnsi="宋体"/>
      <w:sz w:val="24"/>
    </w:rPr>
  </w:style>
  <w:style w:type="paragraph" w:styleId="10">
    <w:name w:val="Plain Text"/>
    <w:basedOn w:val="1"/>
    <w:next w:val="11"/>
    <w:qFormat/>
    <w:uiPriority w:val="0"/>
    <w:rPr>
      <w:rFonts w:ascii="宋体" w:hAnsi="Courier New" w:cs="Arial"/>
      <w:snapToGrid w:val="0"/>
      <w:szCs w:val="21"/>
    </w:rPr>
  </w:style>
  <w:style w:type="paragraph" w:styleId="11">
    <w:name w:val="toc 2"/>
    <w:basedOn w:val="1"/>
    <w:next w:val="1"/>
    <w:qFormat/>
    <w:uiPriority w:val="0"/>
    <w:pPr>
      <w:ind w:left="420" w:leftChars="200"/>
    </w:pPr>
  </w:style>
  <w:style w:type="paragraph" w:styleId="12">
    <w:name w:val="footer"/>
    <w:basedOn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oc 6"/>
    <w:basedOn w:val="1"/>
    <w:next w:val="1"/>
    <w:qFormat/>
    <w:uiPriority w:val="0"/>
    <w:pPr>
      <w:ind w:left="2100" w:leftChars="1000"/>
    </w:pPr>
  </w:style>
  <w:style w:type="paragraph" w:styleId="15">
    <w:name w:val="Title"/>
    <w:basedOn w:val="1"/>
    <w:next w:val="1"/>
    <w:qFormat/>
    <w:uiPriority w:val="10"/>
    <w:pPr>
      <w:widowControl/>
      <w:overflowPunct w:val="0"/>
      <w:autoSpaceDE w:val="0"/>
      <w:autoSpaceDN w:val="0"/>
      <w:jc w:val="center"/>
      <w:textAlignment w:val="baseline"/>
    </w:pPr>
    <w:rPr>
      <w:b/>
      <w:kern w:val="0"/>
      <w:sz w:val="24"/>
      <w:szCs w:val="20"/>
      <w:lang w:val="en-GB"/>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qFormat/>
    <w:uiPriority w:val="0"/>
    <w:rPr>
      <w:rFonts w:ascii="Arial" w:hAnsi="Arial" w:eastAsia="黑体" w:cs="Arial"/>
      <w:snapToGrid w:val="0"/>
      <w:kern w:val="0"/>
      <w:szCs w:val="21"/>
    </w:rPr>
  </w:style>
  <w:style w:type="character" w:styleId="20">
    <w:name w:val="Hyperlink"/>
    <w:qFormat/>
    <w:uiPriority w:val="99"/>
    <w:rPr>
      <w:rFonts w:ascii="Arial" w:hAnsi="Arial" w:eastAsia="黑体" w:cs="Arial"/>
      <w:snapToGrid w:val="0"/>
      <w:color w:val="000000"/>
      <w:kern w:val="0"/>
      <w:sz w:val="18"/>
      <w:szCs w:val="18"/>
      <w:u w:val="none"/>
    </w:rPr>
  </w:style>
  <w:style w:type="paragraph" w:customStyle="1" w:styleId="21">
    <w:name w:val="正文2"/>
    <w:basedOn w:val="1"/>
    <w:autoRedefine/>
    <w:qFormat/>
    <w:uiPriority w:val="0"/>
    <w:pPr>
      <w:spacing w:before="156" w:line="360" w:lineRule="auto"/>
      <w:ind w:firstLine="510" w:firstLineChars="200"/>
    </w:pPr>
    <w:rPr>
      <w:sz w:val="24"/>
      <w:szCs w:val="20"/>
    </w:rPr>
  </w:style>
  <w:style w:type="paragraph" w:customStyle="1" w:styleId="22">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
    <w:name w:val="正文空2字"/>
    <w:basedOn w:val="24"/>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24">
    <w:name w:val="左对齐正文"/>
    <w:autoRedefine/>
    <w:qFormat/>
    <w:uiPriority w:val="99"/>
    <w:rPr>
      <w:rFonts w:ascii="Calibri" w:hAnsi="Calibri" w:eastAsia="仿宋_GB2312" w:cs="Calibri"/>
      <w:kern w:val="2"/>
      <w:sz w:val="32"/>
      <w:szCs w:val="32"/>
      <w:lang w:val="en-US" w:eastAsia="zh-CN" w:bidi="ar-SA"/>
    </w:rPr>
  </w:style>
  <w:style w:type="paragraph" w:customStyle="1" w:styleId="2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6">
    <w:name w:val="列出段落1"/>
    <w:basedOn w:val="1"/>
    <w:autoRedefine/>
    <w:qFormat/>
    <w:uiPriority w:val="0"/>
    <w:pPr>
      <w:adjustRightInd/>
      <w:spacing w:line="360" w:lineRule="auto"/>
      <w:ind w:firstLine="420" w:firstLineChars="200"/>
    </w:pPr>
    <w:rPr>
      <w:rFonts w:ascii="Calibri" w:hAnsi="Calibri"/>
      <w:sz w:val="24"/>
      <w:szCs w:val="22"/>
    </w:rPr>
  </w:style>
  <w:style w:type="paragraph" w:styleId="27">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28">
    <w:name w:val="表格文字"/>
    <w:basedOn w:val="10"/>
    <w:next w:val="3"/>
    <w:autoRedefine/>
    <w:qFormat/>
    <w:uiPriority w:val="0"/>
    <w:pPr>
      <w:adjustRightInd/>
      <w:ind w:firstLine="200" w:firstLineChars="200"/>
    </w:pPr>
    <w:rPr>
      <w:rFonts w:ascii="Arial" w:hAnsi="Arial"/>
      <w:spacing w:val="-5"/>
      <w:kern w:val="0"/>
      <w:sz w:val="24"/>
      <w:szCs w:val="20"/>
    </w:rPr>
  </w:style>
  <w:style w:type="paragraph" w:customStyle="1" w:styleId="29">
    <w:name w:val="纯文本_0_0"/>
    <w:basedOn w:val="30"/>
    <w:autoRedefine/>
    <w:qFormat/>
    <w:uiPriority w:val="0"/>
    <w:rPr>
      <w:rFonts w:ascii="宋体" w:hAnsi="Courier New"/>
      <w:szCs w:val="21"/>
    </w:rPr>
  </w:style>
  <w:style w:type="paragraph" w:customStyle="1" w:styleId="3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38787</Words>
  <Characters>41612</Characters>
  <Lines>0</Lines>
  <Paragraphs>0</Paragraphs>
  <TotalTime>6</TotalTime>
  <ScaleCrop>false</ScaleCrop>
  <LinksUpToDate>false</LinksUpToDate>
  <CharactersWithSpaces>46355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2024-06-11T10:34:00Z</dcterms:created>
  <dc:creator>张豪</dc:creator>
  <cp:lastModifiedBy>张豪</cp:lastModifiedBy>
  <dcterms:modified xsi:type="dcterms:W3CDTF">2024-07-05T13:00:41Z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192E2AB08EA14452B3D20D32B8E56601_11</vt:lpwstr>
  </property>
</Properties>
</file>