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52"/>
          <w:szCs w:val="52"/>
          <w:highlight w:val="none"/>
          <w:lang w:eastAsia="zh-CN"/>
        </w:rPr>
      </w:pPr>
      <w:bookmarkStart w:id="84" w:name="_GoBack"/>
      <w:bookmarkEnd w:id="84"/>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52"/>
          <w:szCs w:val="52"/>
          <w:highlight w:val="none"/>
        </w:rPr>
      </w:pPr>
      <w:r>
        <w:rPr>
          <w:rFonts w:hint="eastAsia" w:ascii="宋体"/>
          <w:b/>
          <w:color w:val="auto"/>
          <w:kern w:val="0"/>
          <w:sz w:val="52"/>
          <w:szCs w:val="52"/>
          <w:highlight w:val="none"/>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公开招标采购</w:t>
      </w:r>
      <w:r>
        <w:rPr>
          <w:rFonts w:hint="eastAsia" w:ascii="宋体"/>
          <w:b/>
          <w:color w:val="auto"/>
          <w:kern w:val="0"/>
          <w:sz w:val="52"/>
          <w:szCs w:val="52"/>
          <w:highlight w:val="none"/>
        </w:rPr>
        <w:t>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default" w:ascii="宋体" w:eastAsia="宋体"/>
          <w:b/>
          <w:color w:val="auto"/>
          <w:kern w:val="0"/>
          <w:sz w:val="32"/>
          <w:highlight w:val="none"/>
          <w:lang w:eastAsia="zh-CN"/>
        </w:rPr>
      </w:pPr>
      <w:r>
        <w:rPr>
          <w:rFonts w:hint="default" w:ascii="宋体"/>
          <w:b/>
          <w:color w:val="auto"/>
          <w:kern w:val="0"/>
          <w:sz w:val="32"/>
          <w:highlight w:val="none"/>
          <w:lang w:eastAsia="zh-CN"/>
        </w:rPr>
        <w:t>台财采确临[2024]4845号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采购项目：</w:t>
      </w:r>
      <w:r>
        <w:rPr>
          <w:rFonts w:hint="eastAsia" w:ascii="宋体"/>
          <w:color w:val="auto"/>
          <w:kern w:val="0"/>
          <w:sz w:val="28"/>
          <w:highlight w:val="none"/>
          <w:lang w:eastAsia="zh-CN"/>
        </w:rPr>
        <w:t>台州市国土空间基础信息平台升级改造项目</w:t>
      </w: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台州市自然资源和规划信息中心（</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pPr>
        <w:autoSpaceDE w:val="0"/>
        <w:autoSpaceDN w:val="0"/>
        <w:adjustRightInd w:val="0"/>
        <w:spacing w:line="360" w:lineRule="auto"/>
        <w:jc w:val="center"/>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w:t>
      </w:r>
      <w:r>
        <w:rPr>
          <w:rFonts w:hint="eastAsia" w:ascii="宋体"/>
          <w:color w:val="auto"/>
          <w:kern w:val="0"/>
          <w:sz w:val="28"/>
          <w:highlight w:val="none"/>
          <w:lang w:eastAsia="zh-CN"/>
        </w:rPr>
        <w:t>（</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eastAsia="宋体"/>
          <w:color w:val="auto"/>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pStyle w:val="37"/>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pPr>
            <w:spacing w:line="480" w:lineRule="auto"/>
            <w:jc w:val="center"/>
            <w:rPr>
              <w:rFonts w:ascii="宋体" w:hAnsi="宋体"/>
              <w:color w:val="auto"/>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 xml:space="preserve">第一章 </w:t>
          </w:r>
          <w:r>
            <w:rPr>
              <w:rFonts w:hint="eastAsia" w:eastAsiaTheme="minorEastAsia" w:cstheme="minorBidi"/>
              <w:color w:val="auto"/>
              <w:sz w:val="28"/>
              <w:szCs w:val="28"/>
              <w:highlight w:val="none"/>
              <w:lang w:val="en-US" w:eastAsia="zh-CN"/>
            </w:rPr>
            <w:t>公开招标公告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 xml:space="preserve">第二章 </w:t>
          </w:r>
          <w:r>
            <w:rPr>
              <w:rFonts w:hint="eastAsia" w:eastAsiaTheme="minorEastAsia" w:cstheme="minorBidi"/>
              <w:color w:val="auto"/>
              <w:sz w:val="28"/>
              <w:szCs w:val="28"/>
              <w:highlight w:val="none"/>
              <w:lang w:eastAsia="zh-CN"/>
            </w:rPr>
            <w:t>供应商</w:t>
          </w:r>
          <w:r>
            <w:rPr>
              <w:rFonts w:hint="eastAsia" w:eastAsiaTheme="minorEastAsia" w:cstheme="minorBidi"/>
              <w:color w:val="auto"/>
              <w:sz w:val="28"/>
              <w:szCs w:val="28"/>
              <w:highlight w:val="none"/>
            </w:rPr>
            <w:t>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6</w:t>
          </w:r>
          <w:r>
            <w:rPr>
              <w:rFonts w:hint="eastAsia" w:eastAsiaTheme="minorEastAsia" w:cstheme="minorBidi"/>
              <w:color w:val="auto"/>
              <w:sz w:val="28"/>
              <w:szCs w:val="28"/>
              <w:highlight w:val="none"/>
            </w:rPr>
            <w:fldChar w:fldCharType="end"/>
          </w:r>
        </w:p>
        <w:p>
          <w:pPr>
            <w:pStyle w:val="21"/>
            <w:tabs>
              <w:tab w:val="right" w:leader="dot" w:pos="8620"/>
            </w:tabs>
            <w:ind w:right="638" w:rightChars="304"/>
            <w:rPr>
              <w:rFonts w:hint="eastAsia" w:eastAsiaTheme="minorEastAsia"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pPr>
            <w:pStyle w:val="21"/>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w:t>
          </w:r>
          <w:bookmarkEnd w:id="2"/>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p>
        <w:p>
          <w:pPr>
            <w:pStyle w:val="21"/>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3</w:t>
          </w:r>
        </w:p>
        <w:p>
          <w:pPr>
            <w:pStyle w:val="21"/>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keepNext w:val="0"/>
        <w:keepLines w:val="0"/>
        <w:pageBreakBefore w:val="0"/>
        <w:numPr>
          <w:ilvl w:val="0"/>
          <w:numId w:val="4"/>
        </w:numPr>
        <w:tabs>
          <w:tab w:val="left" w:pos="180"/>
          <w:tab w:val="left" w:pos="360"/>
          <w:tab w:val="left" w:pos="540"/>
          <w:tab w:val="left" w:pos="8280"/>
        </w:tabs>
        <w:kinsoku/>
        <w:wordWrap/>
        <w:overflowPunct/>
        <w:topLinePunct w:val="0"/>
        <w:autoSpaceDE w:val="0"/>
        <w:autoSpaceDN w:val="0"/>
        <w:bidi w:val="0"/>
        <w:adjustRightInd w:val="0"/>
        <w:spacing w:line="300" w:lineRule="auto"/>
        <w:ind w:right="23"/>
        <w:jc w:val="center"/>
        <w:textAlignment w:val="auto"/>
        <w:rPr>
          <w:rFonts w:ascii="宋体" w:hAnsi="宋体" w:cs="宋体"/>
          <w:b/>
          <w:color w:val="auto"/>
          <w:sz w:val="36"/>
          <w:szCs w:val="36"/>
          <w:highlight w:val="none"/>
        </w:rPr>
      </w:pPr>
      <w:bookmarkStart w:id="3" w:name="_Toc4350_WPSOffice_Level1"/>
      <w:r>
        <w:rPr>
          <w:sz w:val="24"/>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423545</wp:posOffset>
                </wp:positionV>
                <wp:extent cx="1828800" cy="1429385"/>
                <wp:effectExtent l="4445" t="4445" r="14605" b="1397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429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4"/>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w:t>
                            </w:r>
                          </w:p>
                          <w:p>
                            <w:pPr>
                              <w:pStyle w:val="24"/>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0"/>
                                <w:sz w:val="24"/>
                                <w:highlight w:val="none"/>
                                <w:lang w:eastAsia="zh-CN"/>
                              </w:rPr>
                              <w:t>台州市国土空间基础信息平台升级改造项目</w:t>
                            </w:r>
                            <w:r>
                              <w:rPr>
                                <w:rFonts w:hint="eastAsia" w:ascii="宋体" w:hAnsi="宋体" w:eastAsia="宋体" w:cs="宋体"/>
                                <w:color w:val="auto"/>
                                <w:kern w:val="2"/>
                                <w:sz w:val="24"/>
                                <w:szCs w:val="24"/>
                                <w:highlight w:val="none"/>
                                <w:lang w:val="en-US" w:eastAsia="zh-CN" w:bidi="ar-SA"/>
                              </w:rPr>
                              <w:t>招标项目的潜在</w:t>
                            </w:r>
                            <w:r>
                              <w:rPr>
                                <w:rFonts w:hint="eastAsia"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应在浙江政府采购云平台（http://www.zcygov.cn）获取（下载）招标文件，并于</w:t>
                            </w:r>
                            <w:r>
                              <w:rPr>
                                <w:rFonts w:hint="eastAsia" w:cs="宋体"/>
                                <w:color w:val="auto"/>
                                <w:kern w:val="2"/>
                                <w:sz w:val="24"/>
                                <w:szCs w:val="24"/>
                                <w:highlight w:val="none"/>
                                <w:lang w:val="en-US" w:eastAsia="zh-CN" w:bidi="ar-SA"/>
                              </w:rPr>
                              <w:t>2024年09月16日</w:t>
                            </w:r>
                            <w:r>
                              <w:rPr>
                                <w:rFonts w:hint="eastAsia" w:ascii="宋体" w:hAnsi="宋体" w:eastAsia="宋体" w:cs="宋体"/>
                                <w:color w:val="auto"/>
                                <w:kern w:val="2"/>
                                <w:sz w:val="24"/>
                                <w:szCs w:val="24"/>
                                <w:highlight w:val="none"/>
                                <w:lang w:val="en-US" w:eastAsia="zh-CN" w:bidi="ar-SA"/>
                              </w:rPr>
                              <w:t xml:space="preserve"> 09:00（北京时间）前递交（上传）投标文件。</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33.35pt;height:112.55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v5e4rYAAAA&#10;CAEAAA8AAAAAAAAAAQAgAAAAIgAAAGRycy9kb3ducmV2LnhtbFBLAQIUABQAAAAIAIdO4kBcD0gK&#10;VgIAALYEAAAOAAAAAAAAAAEAIAAAACcBAABkcnMvZTJvRG9jLnhtbFBLBQYAAAAABgAGAFkBAADv&#10;BQAAAAA=&#10;">
                <v:fill on="t" focussize="0,0"/>
                <v:stroke weight="0.5pt" color="#000000 [3204]" joinstyle="round"/>
                <v:imagedata o:title=""/>
                <o:lock v:ext="edit" aspectratio="f"/>
                <v:textbox>
                  <w:txbxContent>
                    <w:p>
                      <w:pPr>
                        <w:pStyle w:val="24"/>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w:t>
                      </w:r>
                    </w:p>
                    <w:p>
                      <w:pPr>
                        <w:pStyle w:val="24"/>
                        <w:keepNext w:val="0"/>
                        <w:keepLines w:val="0"/>
                        <w:widowControl/>
                        <w:suppressLineNumbers w:val="0"/>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0"/>
                          <w:sz w:val="24"/>
                          <w:highlight w:val="none"/>
                          <w:lang w:eastAsia="zh-CN"/>
                        </w:rPr>
                        <w:t>台州市国土空间基础信息平台升级改造项目</w:t>
                      </w:r>
                      <w:r>
                        <w:rPr>
                          <w:rFonts w:hint="eastAsia" w:ascii="宋体" w:hAnsi="宋体" w:eastAsia="宋体" w:cs="宋体"/>
                          <w:color w:val="auto"/>
                          <w:kern w:val="2"/>
                          <w:sz w:val="24"/>
                          <w:szCs w:val="24"/>
                          <w:highlight w:val="none"/>
                          <w:lang w:val="en-US" w:eastAsia="zh-CN" w:bidi="ar-SA"/>
                        </w:rPr>
                        <w:t>招标项目的潜在</w:t>
                      </w:r>
                      <w:r>
                        <w:rPr>
                          <w:rFonts w:hint="eastAsia"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应在浙江政府采购云平台（http://www.zcygov.cn）获取（下载）招标文件，并于</w:t>
                      </w:r>
                      <w:r>
                        <w:rPr>
                          <w:rFonts w:hint="eastAsia" w:cs="宋体"/>
                          <w:color w:val="auto"/>
                          <w:kern w:val="2"/>
                          <w:sz w:val="24"/>
                          <w:szCs w:val="24"/>
                          <w:highlight w:val="none"/>
                          <w:lang w:val="en-US" w:eastAsia="zh-CN" w:bidi="ar-SA"/>
                        </w:rPr>
                        <w:t>2024年09月16日</w:t>
                      </w:r>
                      <w:r>
                        <w:rPr>
                          <w:rFonts w:hint="eastAsia" w:ascii="宋体" w:hAnsi="宋体" w:eastAsia="宋体" w:cs="宋体"/>
                          <w:color w:val="auto"/>
                          <w:kern w:val="2"/>
                          <w:sz w:val="24"/>
                          <w:szCs w:val="24"/>
                          <w:highlight w:val="none"/>
                          <w:lang w:val="en-US" w:eastAsia="zh-CN" w:bidi="ar-SA"/>
                        </w:rPr>
                        <w:t xml:space="preserve"> 09:00（北京时间）前递交（上传）投标文件。</w:t>
                      </w:r>
                    </w:p>
                  </w:txbxContent>
                </v:textbox>
                <w10:wrap type="square"/>
              </v:shape>
            </w:pict>
          </mc:Fallback>
        </mc:AlternateContent>
      </w:r>
      <w:r>
        <w:rPr>
          <w:rFonts w:hint="eastAsia" w:ascii="宋体" w:hAnsi="宋体" w:cs="宋体"/>
          <w:b/>
          <w:color w:val="auto"/>
          <w:kern w:val="0"/>
          <w:sz w:val="36"/>
          <w:szCs w:val="36"/>
          <w:highlight w:val="none"/>
          <w:lang w:val="en-US" w:eastAsia="zh-CN"/>
        </w:rPr>
        <w:t>公开招标公告</w:t>
      </w:r>
      <w:bookmarkEnd w:id="3"/>
    </w:p>
    <w:p>
      <w:pPr>
        <w:pStyle w:val="24"/>
        <w:keepNext w:val="0"/>
        <w:keepLines w:val="0"/>
        <w:widowControl/>
        <w:suppressLineNumbers w:val="0"/>
        <w:spacing w:line="360" w:lineRule="auto"/>
        <w:rPr>
          <w:rFonts w:hint="eastAsia" w:eastAsia="宋体" w:cs="宋体"/>
          <w:b/>
          <w:bCs/>
          <w:color w:val="auto"/>
          <w:sz w:val="24"/>
          <w:szCs w:val="24"/>
          <w:highlight w:val="none"/>
          <w:lang w:eastAsia="zh-CN"/>
        </w:rPr>
      </w:pPr>
      <w:bookmarkStart w:id="4" w:name="_Toc35393621"/>
      <w:bookmarkStart w:id="5" w:name="_Toc28359002"/>
      <w:bookmarkStart w:id="6" w:name="_Toc35393790"/>
      <w:bookmarkStart w:id="7" w:name="_Toc28359079"/>
      <w:bookmarkStart w:id="8" w:name="_Hlk24379207"/>
      <w:r>
        <w:rPr>
          <w:rFonts w:hint="eastAsia" w:cs="宋体"/>
          <w:b/>
          <w:bCs/>
          <w:color w:val="auto"/>
          <w:sz w:val="24"/>
          <w:szCs w:val="24"/>
          <w:highlight w:val="none"/>
        </w:rPr>
        <w:t>一、项目基本情况</w:t>
      </w:r>
      <w:bookmarkEnd w:id="4"/>
      <w:bookmarkEnd w:id="5"/>
      <w:bookmarkEnd w:id="6"/>
      <w:bookmarkEnd w:id="7"/>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台财采确临[2024]4845号</w:t>
      </w:r>
    </w:p>
    <w:bookmarkEnd w:id="8"/>
    <w:p>
      <w:pPr>
        <w:keepNext w:val="0"/>
        <w:keepLines w:val="0"/>
        <w:pageBreakBefore w:val="0"/>
        <w:kinsoku/>
        <w:wordWrap/>
        <w:overflowPunct/>
        <w:topLinePunct w:val="0"/>
        <w:bidi w:val="0"/>
        <w:spacing w:line="360" w:lineRule="auto"/>
        <w:ind w:firstLine="480" w:firstLineChars="200"/>
        <w:textAlignment w:val="auto"/>
        <w:rPr>
          <w:color w:val="auto"/>
          <w:highlight w:val="none"/>
        </w:rPr>
      </w:pPr>
      <w:r>
        <w:rPr>
          <w:rFonts w:hint="eastAsia" w:ascii="宋体" w:hAnsi="宋体" w:cs="宋体"/>
          <w:color w:val="auto"/>
          <w:sz w:val="24"/>
          <w:highlight w:val="none"/>
        </w:rPr>
        <w:t>项目名称：</w:t>
      </w:r>
      <w:r>
        <w:rPr>
          <w:rFonts w:hint="eastAsia" w:ascii="宋体" w:hAnsi="宋体" w:cs="宋体"/>
          <w:color w:val="auto"/>
          <w:kern w:val="0"/>
          <w:sz w:val="24"/>
          <w:highlight w:val="none"/>
          <w:lang w:eastAsia="zh-CN"/>
        </w:rPr>
        <w:t>台州市国土空间基础信息平台升级改造项目</w:t>
      </w:r>
    </w:p>
    <w:tbl>
      <w:tblPr>
        <w:tblStyle w:val="28"/>
        <w:tblpPr w:leftFromText="181" w:rightFromText="181" w:bottomFromText="170" w:vertAnchor="text" w:tblpXSpec="center" w:tblpY="1"/>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85"/>
        <w:gridCol w:w="599"/>
        <w:gridCol w:w="915"/>
        <w:gridCol w:w="1185"/>
        <w:gridCol w:w="132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62"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标项号</w:t>
            </w:r>
          </w:p>
        </w:tc>
        <w:tc>
          <w:tcPr>
            <w:tcW w:w="1885"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ind w:firstLine="105" w:firstLineChars="50"/>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标项名称</w:t>
            </w:r>
          </w:p>
        </w:tc>
        <w:tc>
          <w:tcPr>
            <w:tcW w:w="599"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915"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单位</w:t>
            </w:r>
          </w:p>
        </w:tc>
        <w:tc>
          <w:tcPr>
            <w:tcW w:w="1185"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val="en-US" w:eastAsia="zh-CN"/>
              </w:rPr>
              <w:t>金额</w:t>
            </w:r>
          </w:p>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1320" w:type="dxa"/>
            <w:vAlign w:val="center"/>
          </w:tcPr>
          <w:p>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最高限价</w:t>
            </w:r>
          </w:p>
          <w:p>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279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6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188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台州市国土空间基础信息平台升级改造项目</w:t>
            </w:r>
          </w:p>
        </w:tc>
        <w:tc>
          <w:tcPr>
            <w:tcW w:w="599"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仿宋" w:hAnsi="仿宋" w:eastAsia="仿宋" w:cs="仿宋"/>
                <w:color w:val="auto"/>
                <w:szCs w:val="21"/>
                <w:highlight w:val="none"/>
                <w:lang w:val="en-US" w:eastAsia="zh-CN"/>
              </w:rPr>
              <w:t>1</w:t>
            </w:r>
          </w:p>
        </w:tc>
        <w:tc>
          <w:tcPr>
            <w:tcW w:w="91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项</w:t>
            </w:r>
          </w:p>
        </w:tc>
        <w:tc>
          <w:tcPr>
            <w:tcW w:w="1185"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sz w:val="24"/>
                <w:lang w:val="en-US" w:eastAsia="zh-CN"/>
              </w:rPr>
              <w:t>120</w:t>
            </w:r>
          </w:p>
        </w:tc>
        <w:tc>
          <w:tcPr>
            <w:tcW w:w="1320"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120</w:t>
            </w:r>
          </w:p>
        </w:tc>
        <w:tc>
          <w:tcPr>
            <w:tcW w:w="2790" w:type="dxa"/>
            <w:vAlign w:val="center"/>
          </w:tcPr>
          <w:p>
            <w:pPr>
              <w:keepNext w:val="0"/>
              <w:keepLines w:val="0"/>
              <w:pageBreakBefore w:val="0"/>
              <w:kinsoku/>
              <w:wordWrap/>
              <w:overflowPunct/>
              <w:topLinePunct w:val="0"/>
              <w:bidi w:val="0"/>
              <w:spacing w:line="360"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项目计划建设期为12个月</w:t>
            </w:r>
          </w:p>
        </w:tc>
      </w:tr>
    </w:tbl>
    <w:p>
      <w:pPr>
        <w:pStyle w:val="3"/>
        <w:keepNext w:val="0"/>
        <w:keepLines w:val="0"/>
        <w:pageBreakBefore w:val="0"/>
        <w:tabs>
          <w:tab w:val="left" w:pos="9660"/>
          <w:tab w:val="clear" w:pos="8280"/>
        </w:tabs>
        <w:kinsoku/>
        <w:wordWrap/>
        <w:overflowPunct/>
        <w:topLinePunct w:val="0"/>
        <w:bidi w:val="0"/>
        <w:spacing w:line="360" w:lineRule="auto"/>
        <w:ind w:right="23"/>
        <w:jc w:val="left"/>
        <w:textAlignment w:val="auto"/>
        <w:rPr>
          <w:rFonts w:hint="eastAsia" w:eastAsia="宋体" w:cs="宋体"/>
          <w:bCs/>
          <w:color w:val="auto"/>
          <w:sz w:val="24"/>
          <w:szCs w:val="24"/>
          <w:highlight w:val="none"/>
          <w:lang w:eastAsia="zh-CN"/>
        </w:rPr>
      </w:pPr>
      <w:bookmarkStart w:id="9" w:name="_Toc35393622"/>
      <w:bookmarkStart w:id="10" w:name="_Toc28359080"/>
      <w:bookmarkStart w:id="11" w:name="_Toc35393791"/>
      <w:bookmarkStart w:id="12" w:name="_Toc28359003"/>
      <w:r>
        <w:rPr>
          <w:rFonts w:hint="eastAsia" w:cs="宋体"/>
          <w:bCs/>
          <w:color w:val="auto"/>
          <w:sz w:val="24"/>
          <w:szCs w:val="24"/>
          <w:highlight w:val="none"/>
        </w:rPr>
        <w:t>二、</w:t>
      </w:r>
      <w:r>
        <w:rPr>
          <w:rFonts w:hint="eastAsia" w:cs="宋体"/>
          <w:bCs/>
          <w:color w:val="auto"/>
          <w:sz w:val="24"/>
          <w:szCs w:val="24"/>
          <w:highlight w:val="none"/>
          <w:lang w:val="en-US" w:eastAsia="zh-CN"/>
        </w:rPr>
        <w:t>申请人</w:t>
      </w:r>
      <w:r>
        <w:rPr>
          <w:rFonts w:hint="eastAsia" w:cs="宋体"/>
          <w:bCs/>
          <w:color w:val="auto"/>
          <w:sz w:val="24"/>
          <w:szCs w:val="24"/>
          <w:highlight w:val="none"/>
        </w:rPr>
        <w:t>的资格要求</w:t>
      </w:r>
      <w:bookmarkEnd w:id="9"/>
      <w:bookmarkEnd w:id="10"/>
      <w:bookmarkEnd w:id="11"/>
      <w:bookmarkEnd w:id="12"/>
      <w:r>
        <w:rPr>
          <w:rFonts w:hint="eastAsia" w:cs="宋体"/>
          <w:bCs/>
          <w:color w:val="auto"/>
          <w:sz w:val="24"/>
          <w:szCs w:val="24"/>
          <w:highlight w:val="none"/>
          <w:lang w:eastAsia="zh-CN"/>
        </w:rPr>
        <w:t>：</w:t>
      </w:r>
    </w:p>
    <w:p>
      <w:pPr>
        <w:spacing w:line="312" w:lineRule="auto"/>
        <w:ind w:left="12" w:firstLine="480" w:firstLineChars="200"/>
        <w:jc w:val="left"/>
        <w:rPr>
          <w:rFonts w:ascii="宋体" w:hAnsi="宋体" w:cs="宋体"/>
          <w:color w:val="auto"/>
          <w:sz w:val="24"/>
          <w:highlight w:val="none"/>
        </w:rPr>
      </w:pPr>
      <w:bookmarkStart w:id="13" w:name="_Toc28359004"/>
      <w:bookmarkStart w:id="14" w:name="_Toc28359081"/>
      <w:bookmarkStart w:id="15" w:name="_Toc35393792"/>
      <w:bookmarkStart w:id="16" w:name="_Toc35393623"/>
      <w:r>
        <w:rPr>
          <w:rFonts w:hint="eastAsia" w:ascii="宋体" w:hAnsi="宋体" w:cs="宋体"/>
          <w:color w:val="auto"/>
          <w:sz w:val="24"/>
          <w:highlight w:val="none"/>
        </w:rPr>
        <w:t>（一）满足《中华人民共和国政府采购法》第二十二条规定。</w:t>
      </w:r>
    </w:p>
    <w:p>
      <w:pPr>
        <w:spacing w:line="312" w:lineRule="auto"/>
        <w:ind w:left="12"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（二）本项目的特定资格要求：</w:t>
      </w:r>
      <w:r>
        <w:rPr>
          <w:rFonts w:hint="eastAsia" w:ascii="宋体" w:hAnsi="宋体"/>
          <w:color w:val="auto"/>
          <w:sz w:val="24"/>
          <w:highlight w:val="none"/>
          <w:lang w:val="en-US" w:eastAsia="zh-CN"/>
        </w:rPr>
        <w:t>/</w:t>
      </w:r>
    </w:p>
    <w:p>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（三）本次不接受联合体投标。</w:t>
      </w:r>
    </w:p>
    <w:p>
      <w:pPr>
        <w:pStyle w:val="27"/>
        <w:ind w:left="0" w:leftChars="0" w:firstLine="480" w:firstLineChars="200"/>
        <w:rPr>
          <w:color w:val="auto"/>
          <w:highlight w:val="none"/>
        </w:rPr>
      </w:pPr>
      <w:r>
        <w:rPr>
          <w:rFonts w:hint="eastAsia" w:ascii="宋体" w:hAnsi="宋体" w:cs="宋体"/>
          <w:color w:val="auto"/>
          <w:sz w:val="24"/>
          <w:highlight w:val="none"/>
        </w:rPr>
        <w:t>（四）本项目专门面向中小企业采购。</w:t>
      </w:r>
    </w:p>
    <w:p>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keepNext w:val="0"/>
        <w:keepLines w:val="0"/>
        <w:pageBreakBefore w:val="0"/>
        <w:tabs>
          <w:tab w:val="left" w:pos="9660"/>
          <w:tab w:val="clear" w:pos="8280"/>
        </w:tabs>
        <w:kinsoku/>
        <w:wordWrap/>
        <w:overflowPunct/>
        <w:topLinePunct w:val="0"/>
        <w:bidi w:val="0"/>
        <w:spacing w:line="360" w:lineRule="auto"/>
        <w:ind w:right="23"/>
        <w:jc w:val="left"/>
        <w:textAlignment w:val="auto"/>
        <w:rPr>
          <w:rFonts w:cs="宋体"/>
          <w:bCs/>
          <w:color w:val="auto"/>
          <w:sz w:val="24"/>
          <w:szCs w:val="24"/>
          <w:highlight w:val="none"/>
        </w:rPr>
      </w:pPr>
      <w:r>
        <w:rPr>
          <w:rFonts w:hint="eastAsia" w:cs="宋体"/>
          <w:bCs/>
          <w:color w:val="auto"/>
          <w:sz w:val="24"/>
          <w:szCs w:val="24"/>
          <w:highlight w:val="none"/>
        </w:rPr>
        <w:t>三、获取招标文件</w:t>
      </w:r>
      <w:bookmarkEnd w:id="13"/>
      <w:bookmarkEnd w:id="14"/>
      <w:bookmarkEnd w:id="15"/>
      <w:bookmarkEnd w:id="16"/>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公告发布之日起</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开标截止时间</w:t>
      </w:r>
      <w:r>
        <w:rPr>
          <w:rFonts w:hint="eastAsia" w:ascii="宋体" w:hAnsi="宋体" w:cs="宋体"/>
          <w:color w:val="auto"/>
          <w:sz w:val="24"/>
          <w:highlight w:val="none"/>
        </w:rPr>
        <w:t>，每天上午00:00至12:00，下午12:00至23:59（北京时间，线上获取法定节假日均可）</w:t>
      </w:r>
    </w:p>
    <w:p>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地点（网址）：政采云平台（http://zfcg.czt.zj.gov.cn）</w:t>
      </w:r>
    </w:p>
    <w:p>
      <w:pPr>
        <w:pStyle w:val="3"/>
        <w:keepNext w:val="0"/>
        <w:keepLines w:val="0"/>
        <w:pageBreakBefore w:val="0"/>
        <w:kinsoku/>
        <w:wordWrap/>
        <w:overflowPunct/>
        <w:topLinePunct w:val="0"/>
        <w:bidi w:val="0"/>
        <w:spacing w:line="360" w:lineRule="auto"/>
        <w:ind w:right="0" w:firstLine="480" w:firstLineChars="200"/>
        <w:textAlignment w:val="auto"/>
        <w:rPr>
          <w:rFonts w:hint="eastAsia" w:cs="宋体"/>
          <w:b w:val="0"/>
          <w:bCs w:val="0"/>
          <w:color w:val="auto"/>
          <w:sz w:val="24"/>
          <w:szCs w:val="24"/>
          <w:highlight w:val="none"/>
        </w:rPr>
      </w:pPr>
      <w:bookmarkStart w:id="17" w:name="_Toc35393793"/>
      <w:bookmarkStart w:id="18" w:name="_Toc35393624"/>
      <w:bookmarkStart w:id="19" w:name="_Toc28359005"/>
      <w:bookmarkStart w:id="20" w:name="_Toc28359082"/>
      <w:r>
        <w:rPr>
          <w:rFonts w:hint="eastAsia" w:cs="宋体"/>
          <w:b w:val="0"/>
          <w:bCs w:val="0"/>
          <w:color w:val="auto"/>
          <w:sz w:val="24"/>
          <w:szCs w:val="24"/>
          <w:highlight w:val="none"/>
        </w:rPr>
        <w:t>方式：潜在供应商登陆政采云平台，在线申请获取（进入“项目采购”应用，在获取菜单中选择项目，申请获取，本项目不收取工本费；仅需浏览的供应商可点击“游客，浏览”直接下载浏览）</w:t>
      </w:r>
    </w:p>
    <w:p>
      <w:pPr>
        <w:pStyle w:val="3"/>
        <w:keepNext w:val="0"/>
        <w:keepLines w:val="0"/>
        <w:pageBreakBefore w:val="0"/>
        <w:kinsoku/>
        <w:wordWrap/>
        <w:overflowPunct/>
        <w:topLinePunct w:val="0"/>
        <w:bidi w:val="0"/>
        <w:spacing w:line="360" w:lineRule="auto"/>
        <w:ind w:right="0" w:firstLine="480" w:firstLineChars="200"/>
        <w:textAlignment w:val="auto"/>
        <w:rPr>
          <w:rFonts w:hint="eastAsia" w:cs="宋体"/>
          <w:b w:val="0"/>
          <w:bCs w:val="0"/>
          <w:color w:val="auto"/>
          <w:sz w:val="24"/>
          <w:szCs w:val="24"/>
          <w:highlight w:val="none"/>
        </w:rPr>
      </w:pPr>
      <w:r>
        <w:rPr>
          <w:rFonts w:hint="eastAsia" w:cs="宋体"/>
          <w:b w:val="0"/>
          <w:bCs w:val="0"/>
          <w:color w:val="auto"/>
          <w:sz w:val="24"/>
          <w:szCs w:val="24"/>
          <w:highlight w:val="none"/>
        </w:rPr>
        <w:t>售价（元）：0</w:t>
      </w:r>
    </w:p>
    <w:p>
      <w:pPr>
        <w:pStyle w:val="3"/>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提交投标文件截止时间、开标时间和地点</w:t>
      </w:r>
    </w:p>
    <w:p>
      <w:pPr>
        <w:spacing w:line="312"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bookmarkStart w:id="21" w:name="_Toc35393625"/>
      <w:bookmarkStart w:id="22" w:name="_Toc28359007"/>
      <w:bookmarkStart w:id="23" w:name="_Toc28359084"/>
      <w:bookmarkStart w:id="24" w:name="_Toc35393794"/>
      <w:r>
        <w:rPr>
          <w:rFonts w:hint="eastAsia" w:ascii="宋体" w:hAnsi="宋体" w:eastAsia="宋体" w:cs="宋体"/>
          <w:b w:val="0"/>
          <w:bCs w:val="0"/>
          <w:color w:val="auto"/>
          <w:kern w:val="2"/>
          <w:sz w:val="24"/>
          <w:szCs w:val="24"/>
          <w:highlight w:val="none"/>
          <w:lang w:val="en-US" w:eastAsia="zh-CN" w:bidi="ar-SA"/>
        </w:rPr>
        <w:t>（一）截止时间（开标时间）：202</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08</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09</w:t>
      </w:r>
      <w:r>
        <w:rPr>
          <w:rFonts w:hint="eastAsia" w:ascii="宋体" w:hAnsi="宋体" w:eastAsia="宋体" w:cs="宋体"/>
          <w:b w:val="0"/>
          <w:bCs w:val="0"/>
          <w:color w:val="auto"/>
          <w:kern w:val="2"/>
          <w:sz w:val="24"/>
          <w:szCs w:val="24"/>
          <w:highlight w:val="none"/>
          <w:lang w:val="en-US" w:eastAsia="zh-CN" w:bidi="ar-SA"/>
        </w:rPr>
        <w:t>点00分（北京时间）</w:t>
      </w:r>
    </w:p>
    <w:p>
      <w:pPr>
        <w:spacing w:line="312"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（二）投标网址：浙江政府采购云平台（http://www.zcygov.cn）</w:t>
      </w:r>
    </w:p>
    <w:bookmarkEnd w:id="21"/>
    <w:bookmarkEnd w:id="22"/>
    <w:bookmarkEnd w:id="23"/>
    <w:bookmarkEnd w:id="24"/>
    <w:p>
      <w:pPr>
        <w:pStyle w:val="27"/>
        <w:keepNext w:val="0"/>
        <w:keepLines w:val="0"/>
        <w:pageBreakBefore w:val="0"/>
        <w:kinsoku/>
        <w:wordWrap/>
        <w:overflowPunct/>
        <w:topLinePunct w:val="0"/>
        <w:bidi w:val="0"/>
        <w:spacing w:after="0" w:line="360" w:lineRule="auto"/>
        <w:ind w:left="0" w:leftChars="0" w:firstLine="0" w:firstLineChars="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7"/>
        <w:spacing w:after="0" w:line="312" w:lineRule="auto"/>
        <w:ind w:left="0" w:leftChars="0" w:firstLine="480" w:firstLineChars="200"/>
        <w:rPr>
          <w:rFonts w:ascii="宋体" w:hAnsi="宋体" w:cs="宋体"/>
          <w:color w:val="auto"/>
          <w:kern w:val="0"/>
          <w:sz w:val="24"/>
          <w:highlight w:val="none"/>
        </w:rPr>
      </w:pPr>
      <w:bookmarkStart w:id="25" w:name="_Toc35393795"/>
      <w:bookmarkStart w:id="26" w:name="_Toc35393626"/>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）、台州市公共资源交易网（https://tzztb.zjtz.gov.cn）</w:t>
      </w:r>
    </w:p>
    <w:p>
      <w:pPr>
        <w:pStyle w:val="27"/>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3"/>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r>
        <w:rPr>
          <w:rFonts w:hint="eastAsia" w:cs="宋体"/>
          <w:bCs/>
          <w:color w:val="auto"/>
          <w:sz w:val="24"/>
          <w:szCs w:val="24"/>
          <w:highlight w:val="none"/>
        </w:rPr>
        <w:t>六、</w:t>
      </w:r>
      <w:bookmarkEnd w:id="25"/>
      <w:bookmarkEnd w:id="26"/>
      <w:r>
        <w:rPr>
          <w:rFonts w:hint="eastAsia" w:cs="宋体"/>
          <w:bCs/>
          <w:color w:val="auto"/>
          <w:sz w:val="24"/>
          <w:szCs w:val="24"/>
          <w:highlight w:val="none"/>
        </w:rPr>
        <w:t>其他补充事宜</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pStyle w:val="3"/>
        <w:keepNext w:val="0"/>
        <w:keepLines w:val="0"/>
        <w:pageBreakBefore w:val="0"/>
        <w:kinsoku/>
        <w:wordWrap/>
        <w:overflowPunct/>
        <w:topLinePunct w:val="0"/>
        <w:bidi w:val="0"/>
        <w:spacing w:line="360" w:lineRule="auto"/>
        <w:ind w:right="0"/>
        <w:textAlignment w:val="auto"/>
        <w:rPr>
          <w:rFonts w:cs="宋体"/>
          <w:bCs/>
          <w:color w:val="auto"/>
          <w:sz w:val="24"/>
          <w:szCs w:val="24"/>
          <w:highlight w:val="none"/>
        </w:rPr>
      </w:pPr>
      <w:bookmarkStart w:id="27" w:name="_Toc35393796"/>
      <w:bookmarkStart w:id="28" w:name="_Toc35393627"/>
      <w:bookmarkStart w:id="29" w:name="_Toc28359008"/>
      <w:bookmarkStart w:id="30" w:name="_Toc28359085"/>
      <w:r>
        <w:rPr>
          <w:rFonts w:hint="eastAsia" w:cs="宋体"/>
          <w:bCs/>
          <w:color w:val="auto"/>
          <w:sz w:val="24"/>
          <w:szCs w:val="24"/>
          <w:highlight w:val="none"/>
        </w:rPr>
        <w:t>七、</w:t>
      </w:r>
      <w:bookmarkEnd w:id="27"/>
      <w:bookmarkEnd w:id="28"/>
      <w:bookmarkEnd w:id="29"/>
      <w:bookmarkEnd w:id="30"/>
      <w:r>
        <w:rPr>
          <w:rFonts w:hint="eastAsia" w:cs="宋体"/>
          <w:bCs/>
          <w:color w:val="auto"/>
          <w:sz w:val="24"/>
          <w:szCs w:val="24"/>
          <w:highlight w:val="none"/>
        </w:rPr>
        <w:t>对本次采购提出询问、质疑、投诉，请按以下方式联系</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bookmarkStart w:id="31" w:name="_Toc28359087"/>
      <w:bookmarkStart w:id="32" w:name="_Toc28359010"/>
      <w:r>
        <w:rPr>
          <w:rFonts w:hint="eastAsia" w:asciiTheme="minorEastAsia" w:hAnsiTheme="minorEastAsia" w:eastAsiaTheme="minorEastAsia" w:cstheme="minorEastAsia"/>
          <w:b/>
          <w:bCs/>
          <w:color w:val="auto"/>
          <w:sz w:val="24"/>
          <w:highlight w:val="none"/>
        </w:rPr>
        <w:t>（一）采购人</w:t>
      </w:r>
      <w:r>
        <w:rPr>
          <w:rFonts w:hint="eastAsia" w:asciiTheme="minorEastAsia" w:hAnsiTheme="minorEastAsia" w:eastAsiaTheme="minorEastAsia" w:cstheme="minorEastAsia"/>
          <w:b/>
          <w:bCs/>
          <w:color w:val="auto"/>
          <w:sz w:val="24"/>
          <w:highlight w:val="none"/>
          <w:lang w:val="en-US" w:eastAsia="zh-CN"/>
        </w:rPr>
        <w:t>信息</w:t>
      </w:r>
      <w:r>
        <w:rPr>
          <w:rFonts w:hint="eastAsia" w:asciiTheme="minorEastAsia" w:hAnsiTheme="minorEastAsia" w:eastAsiaTheme="minorEastAsia" w:cstheme="minorEastAsia"/>
          <w:b/>
          <w:bCs/>
          <w:color w:val="auto"/>
          <w:sz w:val="24"/>
          <w:highlight w:val="none"/>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lang w:eastAsia="zh-CN"/>
        </w:rPr>
        <w:t>台州市自然资源和规划信息中心</w:t>
      </w:r>
    </w:p>
    <w:p>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浙江省台州市市府大道46</w:t>
      </w:r>
      <w:r>
        <w:rPr>
          <w:rFonts w:hint="eastAsia" w:asciiTheme="minorEastAsia" w:hAnsiTheme="minorEastAsia" w:eastAsiaTheme="minorEastAsia" w:cstheme="minorEastAsia"/>
          <w:color w:val="auto"/>
          <w:sz w:val="24"/>
          <w:highlight w:val="none"/>
          <w:u w:val="single"/>
          <w:lang w:val="en-US" w:eastAsia="zh-CN"/>
        </w:rPr>
        <w:t>8</w:t>
      </w:r>
      <w:r>
        <w:rPr>
          <w:rFonts w:hint="eastAsia" w:asciiTheme="minorEastAsia" w:hAnsiTheme="minorEastAsia" w:eastAsiaTheme="minorEastAsia" w:cstheme="minorEastAsia"/>
          <w:color w:val="auto"/>
          <w:sz w:val="24"/>
          <w:highlight w:val="none"/>
          <w:u w:val="single"/>
        </w:rPr>
        <w:t>号</w:t>
      </w:r>
    </w:p>
    <w:p>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bookmarkStart w:id="33" w:name="_Toc28359009"/>
      <w:bookmarkStart w:id="34" w:name="_Toc28359086"/>
      <w:r>
        <w:rPr>
          <w:rFonts w:hint="eastAsia" w:asciiTheme="minorEastAsia" w:hAnsiTheme="minorEastAsia" w:eastAsiaTheme="minorEastAsia" w:cstheme="minorEastAsia"/>
          <w:color w:val="auto"/>
          <w:sz w:val="24"/>
          <w:highlight w:val="none"/>
          <w:u w:val="single"/>
          <w:lang w:eastAsia="zh-CN"/>
        </w:rPr>
        <w:t>范女士</w:t>
      </w:r>
    </w:p>
    <w:p>
      <w:pPr>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方式（询问）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eastAsia="zh-CN"/>
        </w:rPr>
        <w:t>0576-88511300</w:t>
      </w:r>
    </w:p>
    <w:bookmarkEnd w:id="33"/>
    <w:bookmarkEnd w:id="34"/>
    <w:p>
      <w:pPr>
        <w:spacing w:line="360" w:lineRule="auto"/>
        <w:ind w:firstLine="480" w:firstLineChars="200"/>
        <w:rPr>
          <w:rFonts w:hint="default"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质疑联系人：</w:t>
      </w:r>
      <w:r>
        <w:rPr>
          <w:rFonts w:hint="default" w:asciiTheme="minorEastAsia" w:hAnsiTheme="minorEastAsia" w:eastAsiaTheme="minorEastAsia" w:cstheme="minorEastAsia"/>
          <w:b w:val="0"/>
          <w:bCs w:val="0"/>
          <w:color w:val="auto"/>
          <w:sz w:val="24"/>
          <w:highlight w:val="none"/>
          <w:u w:val="single"/>
          <w:lang w:eastAsia="zh-CN"/>
        </w:rPr>
        <w:t>王先生</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质疑联系方式：</w:t>
      </w:r>
      <w:r>
        <w:rPr>
          <w:rFonts w:hint="default" w:asciiTheme="minorEastAsia" w:hAnsiTheme="minorEastAsia" w:eastAsiaTheme="minorEastAsia" w:cstheme="minorEastAsia"/>
          <w:b w:val="0"/>
          <w:bCs w:val="0"/>
          <w:color w:val="auto"/>
          <w:sz w:val="24"/>
          <w:highlight w:val="none"/>
          <w:u w:val="single"/>
          <w:lang w:eastAsia="zh-CN"/>
        </w:rPr>
        <w:t>0576-88511362</w:t>
      </w:r>
      <w:r>
        <w:rPr>
          <w:rFonts w:hint="eastAsia" w:asciiTheme="minorEastAsia" w:hAnsiTheme="minorEastAsia" w:eastAsiaTheme="minorEastAsia" w:cstheme="minorEastAsia"/>
          <w:b w:val="0"/>
          <w:bCs w:val="0"/>
          <w:color w:val="auto"/>
          <w:sz w:val="24"/>
          <w:highlight w:val="none"/>
          <w:u w:val="single"/>
          <w:lang w:val="en-US" w:eastAsia="zh-CN"/>
        </w:rPr>
        <w:t xml:space="preserve"> </w:t>
      </w:r>
    </w:p>
    <w:p>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bCs/>
          <w:color w:val="auto"/>
          <w:sz w:val="24"/>
          <w:highlight w:val="none"/>
        </w:rPr>
        <w:t>（二）采购组织机构</w:t>
      </w:r>
      <w:r>
        <w:rPr>
          <w:rFonts w:hint="eastAsia" w:asciiTheme="minorEastAsia" w:hAnsiTheme="minorEastAsia" w:eastAsiaTheme="minorEastAsia" w:cstheme="minorEastAsia"/>
          <w:b/>
          <w:bCs/>
          <w:color w:val="auto"/>
          <w:sz w:val="24"/>
          <w:highlight w:val="none"/>
          <w:lang w:val="en-US" w:eastAsia="zh-CN"/>
        </w:rPr>
        <w:t>信息</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台州市建设咨询有限公司</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浙江省台州市椒江区市府大道507号1幢11楼</w:t>
      </w:r>
    </w:p>
    <w:p>
      <w:pPr>
        <w:spacing w:line="360" w:lineRule="auto"/>
        <w:ind w:firstLine="480" w:firstLineChars="200"/>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葛俊</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章家炀</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询问）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0576-88517782</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u w:val="single"/>
        </w:rPr>
        <w:t>0576-88517782</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质疑</w:t>
      </w: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方式</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0576-88517786</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（四）同级政府采购监管机构</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台州市财政局政府采监处</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台州市椒江区纬一路66号</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陈工、李工</w:t>
      </w:r>
    </w:p>
    <w:p>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监督投诉电话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0576-88206705、88206731</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（五）政采云平台</w:t>
      </w:r>
    </w:p>
    <w:p>
      <w:pPr>
        <w:spacing w:line="312" w:lineRule="auto"/>
        <w:ind w:firstLine="480" w:firstLineChars="200"/>
        <w:rPr>
          <w:rFonts w:hint="default"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9576</w:t>
      </w:r>
      <w:r>
        <w:rPr>
          <w:rFonts w:hint="eastAsia" w:ascii="宋体" w:hAnsi="宋体" w:cs="宋体"/>
          <w:color w:val="auto"/>
          <w:sz w:val="24"/>
          <w:highlight w:val="none"/>
          <w:u w:val="single"/>
          <w:lang w:val="en-US" w:eastAsia="zh-CN"/>
        </w:rPr>
        <w:t>3</w:t>
      </w: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pPr>
    </w:p>
    <w:p>
      <w:pPr>
        <w:pStyle w:val="36"/>
        <w:ind w:left="0" w:leftChars="0" w:firstLine="0" w:firstLineChars="0"/>
        <w:rPr>
          <w:rFonts w:hint="eastAsia" w:eastAsia="宋体"/>
          <w:color w:val="auto"/>
          <w:highlight w:val="none"/>
          <w:lang w:val="en-US" w:eastAsia="zh-CN"/>
        </w:rPr>
        <w:sectPr>
          <w:footerReference r:id="rId3" w:type="default"/>
          <w:pgSz w:w="11906" w:h="16838"/>
          <w:pgMar w:top="1701" w:right="1448" w:bottom="1531" w:left="1418" w:header="851" w:footer="851" w:gutter="0"/>
          <w:cols w:space="720" w:num="1"/>
          <w:docGrid w:linePitch="312" w:charSpace="0"/>
        </w:sectPr>
      </w:pPr>
    </w:p>
    <w:bookmarkEnd w:id="31"/>
    <w:bookmarkEnd w:id="32"/>
    <w:p>
      <w:pPr>
        <w:numPr>
          <w:ilvl w:val="0"/>
          <w:numId w:val="5"/>
        </w:numPr>
        <w:spacing w:line="360" w:lineRule="auto"/>
        <w:jc w:val="center"/>
        <w:rPr>
          <w:rFonts w:asciiTheme="minorEastAsia" w:hAnsiTheme="minorEastAsia" w:eastAsiaTheme="minorEastAsia"/>
          <w:b/>
          <w:color w:val="auto"/>
          <w:sz w:val="36"/>
          <w:szCs w:val="36"/>
          <w:highlight w:val="none"/>
        </w:rPr>
      </w:pPr>
      <w:bookmarkStart w:id="35" w:name="_Toc25017_WPSOffice_Level1"/>
      <w:r>
        <w:rPr>
          <w:rFonts w:hint="eastAsia" w:asciiTheme="minorEastAsia" w:hAnsiTheme="minorEastAsia" w:eastAsiaTheme="minorEastAsia"/>
          <w:b/>
          <w:color w:val="auto"/>
          <w:sz w:val="36"/>
          <w:szCs w:val="36"/>
          <w:highlight w:val="none"/>
          <w:lang w:eastAsia="zh-CN"/>
        </w:rPr>
        <w:t>供应商</w:t>
      </w:r>
      <w:r>
        <w:rPr>
          <w:rFonts w:hint="eastAsia" w:asciiTheme="minorEastAsia" w:hAnsiTheme="minorEastAsia" w:eastAsiaTheme="minorEastAsia"/>
          <w:b/>
          <w:color w:val="auto"/>
          <w:sz w:val="36"/>
          <w:szCs w:val="36"/>
          <w:highlight w:val="none"/>
        </w:rPr>
        <w:t>须知</w:t>
      </w:r>
      <w:bookmarkEnd w:id="35"/>
    </w:p>
    <w:p>
      <w:pPr>
        <w:pStyle w:val="16"/>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前附表</w:t>
      </w:r>
    </w:p>
    <w:tbl>
      <w:tblPr>
        <w:tblStyle w:val="28"/>
        <w:tblW w:w="9214" w:type="dxa"/>
        <w:tblInd w:w="108" w:type="dxa"/>
        <w:tblLayout w:type="fixed"/>
        <w:tblCellMar>
          <w:top w:w="0" w:type="dxa"/>
          <w:left w:w="108" w:type="dxa"/>
          <w:bottom w:w="0" w:type="dxa"/>
          <w:right w:w="108" w:type="dxa"/>
        </w:tblCellMar>
      </w:tblPr>
      <w:tblGrid>
        <w:gridCol w:w="1148"/>
        <w:gridCol w:w="1850"/>
        <w:gridCol w:w="6216"/>
      </w:tblGrid>
      <w:tr>
        <w:tblPrEx>
          <w:tblCellMar>
            <w:top w:w="0" w:type="dxa"/>
            <w:left w:w="108" w:type="dxa"/>
            <w:bottom w:w="0" w:type="dxa"/>
            <w:right w:w="108" w:type="dxa"/>
          </w:tblCellMar>
        </w:tblPrEx>
        <w:trPr>
          <w:trHeight w:val="300" w:hRule="atLeast"/>
        </w:trPr>
        <w:tc>
          <w:tcPr>
            <w:tcW w:w="114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b/>
                <w:bCs/>
                <w:color w:val="auto"/>
                <w:kern w:val="0"/>
                <w:sz w:val="24"/>
                <w:highlight w:val="none"/>
              </w:rPr>
            </w:pPr>
            <w:bookmarkStart w:id="36" w:name="RANGE!B2"/>
            <w:r>
              <w:rPr>
                <w:rFonts w:hint="eastAsia" w:cs="宋体" w:asciiTheme="minorEastAsia" w:hAnsiTheme="minorEastAsia" w:eastAsiaTheme="minorEastAsia"/>
                <w:b/>
                <w:bCs/>
                <w:color w:val="auto"/>
                <w:kern w:val="0"/>
                <w:sz w:val="24"/>
                <w:highlight w:val="none"/>
              </w:rPr>
              <w:t>序 号</w:t>
            </w:r>
            <w:bookmarkEnd w:id="36"/>
          </w:p>
        </w:tc>
        <w:tc>
          <w:tcPr>
            <w:tcW w:w="1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事 项</w:t>
            </w:r>
          </w:p>
        </w:tc>
        <w:tc>
          <w:tcPr>
            <w:tcW w:w="6216"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本项目的特别规定</w:t>
            </w:r>
          </w:p>
        </w:tc>
      </w:tr>
      <w:tr>
        <w:tblPrEx>
          <w:tblCellMar>
            <w:top w:w="0" w:type="dxa"/>
            <w:left w:w="108" w:type="dxa"/>
            <w:bottom w:w="0" w:type="dxa"/>
            <w:right w:w="108" w:type="dxa"/>
          </w:tblCellMar>
        </w:tblPrEx>
        <w:trPr>
          <w:trHeight w:val="663" w:hRule="atLeast"/>
        </w:trPr>
        <w:tc>
          <w:tcPr>
            <w:tcW w:w="114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85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是否允许联合体</w:t>
            </w:r>
          </w:p>
        </w:tc>
        <w:tc>
          <w:tcPr>
            <w:tcW w:w="6216" w:type="dxa"/>
            <w:tcBorders>
              <w:top w:val="nil"/>
              <w:left w:val="nil"/>
              <w:bottom w:val="single" w:color="auto" w:sz="8" w:space="0"/>
              <w:right w:val="single" w:color="auto" w:sz="8" w:space="0"/>
            </w:tcBorders>
            <w:shd w:val="clear" w:color="auto" w:fill="auto"/>
            <w:vAlign w:val="center"/>
          </w:tcPr>
          <w:p>
            <w:pPr>
              <w:spacing w:line="300" w:lineRule="auto"/>
              <w:rPr>
                <w:rFonts w:cs="宋体" w:asciiTheme="minorEastAsia" w:hAnsiTheme="minorEastAsia" w:eastAsiaTheme="minorEastAsia"/>
                <w:color w:val="auto"/>
                <w:kern w:val="0"/>
                <w:szCs w:val="21"/>
                <w:highlight w:val="none"/>
              </w:rPr>
            </w:pPr>
            <w:r>
              <w:rPr>
                <w:rFonts w:hint="eastAsia" w:ascii="宋体" w:hAnsi="宋体" w:cs="宋体"/>
                <w:color w:val="auto"/>
                <w:highlight w:val="none"/>
              </w:rPr>
              <w:t>□是/☑ 否</w:t>
            </w:r>
          </w:p>
        </w:tc>
      </w:tr>
      <w:tr>
        <w:tblPrEx>
          <w:tblCellMar>
            <w:top w:w="0" w:type="dxa"/>
            <w:left w:w="108" w:type="dxa"/>
            <w:bottom w:w="0" w:type="dxa"/>
            <w:right w:w="108" w:type="dxa"/>
          </w:tblCellMar>
        </w:tblPrEx>
        <w:trPr>
          <w:trHeight w:val="648" w:hRule="atLeast"/>
        </w:trPr>
        <w:tc>
          <w:tcPr>
            <w:tcW w:w="114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185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是否允许分包</w:t>
            </w:r>
          </w:p>
        </w:tc>
        <w:tc>
          <w:tcPr>
            <w:tcW w:w="6216" w:type="dxa"/>
            <w:tcBorders>
              <w:top w:val="nil"/>
              <w:left w:val="nil"/>
              <w:bottom w:val="single" w:color="auto" w:sz="8" w:space="0"/>
              <w:right w:val="single" w:color="auto" w:sz="8" w:space="0"/>
            </w:tcBorders>
            <w:shd w:val="clear" w:color="auto" w:fill="auto"/>
            <w:vAlign w:val="center"/>
          </w:tcPr>
          <w:p>
            <w:pPr>
              <w:spacing w:line="300" w:lineRule="auto"/>
              <w:rPr>
                <w:rFonts w:hint="eastAsia" w:cs="宋体" w:asciiTheme="minorEastAsia" w:hAnsiTheme="minorEastAsia" w:eastAsiaTheme="minorEastAsia"/>
                <w:color w:val="auto"/>
                <w:kern w:val="0"/>
                <w:szCs w:val="21"/>
                <w:highlight w:val="none"/>
                <w:lang w:eastAsia="zh-CN"/>
              </w:rPr>
            </w:pPr>
            <w:r>
              <w:rPr>
                <w:rFonts w:hint="eastAsia" w:ascii="宋体" w:hAnsi="宋体" w:cs="宋体"/>
                <w:color w:val="auto"/>
                <w:highlight w:val="none"/>
              </w:rPr>
              <w:t>□ 是（但主体部分不得分包，详见招标需求内容）/☑否</w:t>
            </w:r>
          </w:p>
        </w:tc>
      </w:tr>
      <w:tr>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185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答疑会或现场踏勘</w:t>
            </w:r>
          </w:p>
        </w:tc>
        <w:tc>
          <w:tcPr>
            <w:tcW w:w="6216" w:type="dxa"/>
            <w:tcBorders>
              <w:top w:val="nil"/>
              <w:left w:val="nil"/>
              <w:bottom w:val="single" w:color="auto" w:sz="8"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无</w:t>
            </w:r>
          </w:p>
        </w:tc>
      </w:tr>
      <w:tr>
        <w:tblPrEx>
          <w:tblCellMar>
            <w:top w:w="0" w:type="dxa"/>
            <w:left w:w="108" w:type="dxa"/>
            <w:bottom w:w="0" w:type="dxa"/>
            <w:right w:w="108" w:type="dxa"/>
          </w:tblCellMar>
        </w:tblPrEx>
        <w:trPr>
          <w:trHeight w:val="288" w:hRule="atLeast"/>
        </w:trPr>
        <w:tc>
          <w:tcPr>
            <w:tcW w:w="1148"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85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投标文件的制作和投标</w:t>
            </w: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请</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在投标前仔细阅读《政府采购项目电子交易操作指南》。</w:t>
            </w:r>
          </w:p>
        </w:tc>
      </w:tr>
      <w:tr>
        <w:tblPrEx>
          <w:tblCellMar>
            <w:top w:w="0" w:type="dxa"/>
            <w:left w:w="108" w:type="dxa"/>
            <w:bottom w:w="0" w:type="dxa"/>
            <w:right w:w="108" w:type="dxa"/>
          </w:tblCellMar>
        </w:tblPrEx>
        <w:trPr>
          <w:trHeight w:val="828" w:hRule="atLeast"/>
        </w:trPr>
        <w:tc>
          <w:tcPr>
            <w:tcW w:w="1148"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u w:val="single"/>
              </w:rPr>
            </w:pP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s="宋体" w:asciiTheme="minorEastAsia" w:hAnsiTheme="minorEastAsia" w:eastAsiaTheme="minorEastAsia"/>
                <w:color w:val="auto"/>
                <w:kern w:val="0"/>
                <w:szCs w:val="21"/>
                <w:highlight w:val="none"/>
                <w:u w:val="single"/>
              </w:rPr>
              <w:t>1.投标文件的制作：</w:t>
            </w:r>
            <w:r>
              <w:rPr>
                <w:rFonts w:hint="eastAsia" w:cs="宋体" w:asciiTheme="minorEastAsia" w:hAnsiTheme="minorEastAsia" w:eastAsiaTheme="minorEastAsia"/>
                <w:color w:val="auto"/>
                <w:kern w:val="0"/>
                <w:szCs w:val="21"/>
                <w:highlight w:val="none"/>
                <w:u w:val="single"/>
                <w:lang w:eastAsia="zh-CN"/>
              </w:rPr>
              <w:t>供应商</w:t>
            </w:r>
            <w:r>
              <w:rPr>
                <w:rFonts w:hint="eastAsia" w:cs="宋体" w:asciiTheme="minorEastAsia" w:hAnsiTheme="minorEastAsia" w:eastAsiaTheme="minorEastAsia"/>
                <w:color w:val="auto"/>
                <w:kern w:val="0"/>
                <w:szCs w:val="21"/>
                <w:highlight w:val="none"/>
                <w:u w:val="single"/>
              </w:rPr>
              <w:t>按照本项目招标文件和政采云平台的要求，通过“政采云电子交易客户端”编制、加密并递交投标文件（下载网址：https://zfcg.czt.zj.gov.cn/download/index.html）。</w:t>
            </w:r>
            <w:r>
              <w:rPr>
                <w:rFonts w:hint="eastAsia" w:cs="宋体" w:asciiTheme="minorEastAsia" w:hAnsiTheme="minorEastAsia" w:eastAsiaTheme="minorEastAsia"/>
                <w:color w:val="auto"/>
                <w:kern w:val="0"/>
                <w:szCs w:val="21"/>
                <w:highlight w:val="none"/>
                <w:u w:val="single"/>
              </w:rPr>
              <w:fldChar w:fldCharType="end"/>
            </w:r>
          </w:p>
        </w:tc>
      </w:tr>
      <w:tr>
        <w:tblPrEx>
          <w:tblCellMar>
            <w:top w:w="0" w:type="dxa"/>
            <w:left w:w="108" w:type="dxa"/>
            <w:bottom w:w="0" w:type="dxa"/>
            <w:right w:w="108" w:type="dxa"/>
          </w:tblCellMar>
        </w:tblPrEx>
        <w:trPr>
          <w:trHeight w:val="1152" w:hRule="atLeast"/>
        </w:trPr>
        <w:tc>
          <w:tcPr>
            <w:tcW w:w="1148"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应当在投标截止时间前（开标当天北京时间</w:t>
            </w:r>
            <w:r>
              <w:rPr>
                <w:rFonts w:hint="eastAsia" w:cs="宋体" w:asciiTheme="minorEastAsia" w:hAnsiTheme="minorEastAsia" w:eastAsiaTheme="minorEastAsia"/>
                <w:color w:val="auto"/>
                <w:kern w:val="0"/>
                <w:szCs w:val="21"/>
                <w:highlight w:val="none"/>
                <w:u w:val="single"/>
              </w:rPr>
              <w:t>09:</w:t>
            </w:r>
            <w:r>
              <w:rPr>
                <w:rFonts w:hint="eastAsia" w:cs="宋体" w:asciiTheme="minorEastAsia" w:hAnsiTheme="minorEastAsia" w:eastAsiaTheme="minorEastAsia"/>
                <w:color w:val="auto"/>
                <w:kern w:val="0"/>
                <w:szCs w:val="21"/>
                <w:highlight w:val="none"/>
                <w:u w:val="single"/>
                <w:lang w:val="en-US" w:eastAsia="zh-CN"/>
              </w:rPr>
              <w:t>00</w:t>
            </w:r>
            <w:r>
              <w:rPr>
                <w:rFonts w:hint="eastAsia" w:cs="宋体" w:asciiTheme="minorEastAsia" w:hAnsiTheme="minorEastAsia" w:eastAsiaTheme="minorEastAsia"/>
                <w:color w:val="auto"/>
                <w:kern w:val="0"/>
                <w:szCs w:val="21"/>
                <w:highlight w:val="none"/>
              </w:rPr>
              <w:t>）完成投标文件的传输递交，逾期上传的投标文件恕不接受。补充或者修改投标文件的，应当先行撤回原文件，补充、修改后重新传输递交。投标截止时间前未完成上传的，视为撤回投标文件。</w:t>
            </w:r>
          </w:p>
        </w:tc>
      </w:tr>
      <w:tr>
        <w:tblPrEx>
          <w:tblCellMar>
            <w:top w:w="0" w:type="dxa"/>
            <w:left w:w="108" w:type="dxa"/>
            <w:bottom w:w="0" w:type="dxa"/>
            <w:right w:w="108" w:type="dxa"/>
          </w:tblCellMar>
        </w:tblPrEx>
        <w:trPr>
          <w:trHeight w:val="300" w:hRule="atLeast"/>
        </w:trPr>
        <w:tc>
          <w:tcPr>
            <w:tcW w:w="1148" w:type="dxa"/>
            <w:vMerge w:val="continue"/>
            <w:tcBorders>
              <w:top w:val="nil"/>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3.投标文件解密：</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应在</w:t>
            </w:r>
            <w:r>
              <w:rPr>
                <w:rFonts w:hint="eastAsia" w:cs="宋体" w:asciiTheme="minorEastAsia" w:hAnsiTheme="minorEastAsia" w:eastAsiaTheme="minorEastAsia"/>
                <w:color w:val="auto"/>
                <w:kern w:val="0"/>
                <w:szCs w:val="21"/>
                <w:highlight w:val="none"/>
                <w:lang w:val="en-US" w:eastAsia="zh-CN"/>
              </w:rPr>
              <w:t>开启解密后30分钟内</w:t>
            </w:r>
            <w:r>
              <w:rPr>
                <w:rFonts w:hint="eastAsia" w:cs="宋体" w:asciiTheme="minorEastAsia" w:hAnsiTheme="minorEastAsia" w:eastAsiaTheme="minorEastAsia"/>
                <w:color w:val="auto"/>
                <w:kern w:val="0"/>
                <w:szCs w:val="21"/>
                <w:highlight w:val="none"/>
              </w:rPr>
              <w:t>完成解密。</w:t>
            </w:r>
          </w:p>
        </w:tc>
      </w:tr>
      <w:tr>
        <w:tblPrEx>
          <w:tblCellMar>
            <w:top w:w="0" w:type="dxa"/>
            <w:left w:w="108" w:type="dxa"/>
            <w:bottom w:w="0" w:type="dxa"/>
            <w:right w:w="108" w:type="dxa"/>
          </w:tblCellMar>
        </w:tblPrEx>
        <w:trPr>
          <w:trHeight w:val="576" w:hRule="atLeast"/>
        </w:trPr>
        <w:tc>
          <w:tcPr>
            <w:tcW w:w="1148" w:type="dxa"/>
            <w:vMerge w:val="restart"/>
            <w:tcBorders>
              <w:top w:val="single" w:color="auto" w:sz="4" w:space="0"/>
              <w:left w:val="single" w:color="auto" w:sz="4" w:space="0"/>
              <w:bottom w:val="single" w:color="000000"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p>
        </w:tc>
        <w:tc>
          <w:tcPr>
            <w:tcW w:w="1850"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备份投标文件的递交</w:t>
            </w:r>
          </w:p>
        </w:tc>
        <w:tc>
          <w:tcPr>
            <w:tcW w:w="6216" w:type="dxa"/>
            <w:tcBorders>
              <w:top w:val="single" w:color="auto" w:sz="4" w:space="0"/>
              <w:left w:val="nil"/>
              <w:bottom w:val="nil"/>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备份投标文件是通过政采云电子交易客户端制作投标文件产生的备份文件，请</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自行妥善保管。</w:t>
            </w:r>
          </w:p>
        </w:tc>
      </w:tr>
      <w:tr>
        <w:tblPrEx>
          <w:tblCellMar>
            <w:top w:w="0" w:type="dxa"/>
            <w:left w:w="108" w:type="dxa"/>
            <w:bottom w:w="0" w:type="dxa"/>
            <w:right w:w="108" w:type="dxa"/>
          </w:tblCellMar>
        </w:tblPrEx>
        <w:trPr>
          <w:trHeight w:val="576" w:hRule="atLeast"/>
        </w:trPr>
        <w:tc>
          <w:tcPr>
            <w:tcW w:w="1148" w:type="dxa"/>
            <w:vMerge w:val="continue"/>
            <w:tcBorders>
              <w:top w:val="nil"/>
              <w:left w:val="single" w:color="auto" w:sz="4"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1.使用前提：在解密截止时间前，</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自行在线解密操作失败，又未能及时联系技术人员帮助解密，或者</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寻求技术人员帮助仍无法完成解密。</w:t>
            </w:r>
          </w:p>
        </w:tc>
      </w:tr>
      <w:tr>
        <w:tblPrEx>
          <w:tblCellMar>
            <w:top w:w="0" w:type="dxa"/>
            <w:left w:w="108" w:type="dxa"/>
            <w:bottom w:w="0" w:type="dxa"/>
            <w:right w:w="108" w:type="dxa"/>
          </w:tblCellMar>
        </w:tblPrEx>
        <w:trPr>
          <w:trHeight w:val="288" w:hRule="atLeast"/>
        </w:trPr>
        <w:tc>
          <w:tcPr>
            <w:tcW w:w="1148" w:type="dxa"/>
            <w:vMerge w:val="continue"/>
            <w:tcBorders>
              <w:top w:val="nil"/>
              <w:left w:val="single" w:color="auto" w:sz="4"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2.递交截止时间：开标当天</w:t>
            </w:r>
            <w:r>
              <w:rPr>
                <w:rFonts w:hint="eastAsia" w:cs="宋体" w:asciiTheme="minorEastAsia" w:hAnsiTheme="minorEastAsia" w:eastAsiaTheme="minorEastAsia"/>
                <w:color w:val="auto"/>
                <w:kern w:val="0"/>
                <w:szCs w:val="21"/>
                <w:highlight w:val="none"/>
                <w:u w:val="single"/>
              </w:rPr>
              <w:t>09:</w:t>
            </w:r>
            <w:r>
              <w:rPr>
                <w:rFonts w:hint="eastAsia" w:cs="宋体" w:asciiTheme="minorEastAsia" w:hAnsiTheme="minorEastAsia" w:eastAsiaTheme="minorEastAsia"/>
                <w:color w:val="auto"/>
                <w:kern w:val="0"/>
                <w:szCs w:val="21"/>
                <w:highlight w:val="none"/>
                <w:u w:val="single"/>
                <w:lang w:val="en-US" w:eastAsia="zh-CN"/>
              </w:rPr>
              <w:t>00</w:t>
            </w:r>
            <w:r>
              <w:rPr>
                <w:rFonts w:hint="eastAsia" w:cs="宋体" w:asciiTheme="minorEastAsia" w:hAnsiTheme="minorEastAsia" w:eastAsiaTheme="minorEastAsia"/>
                <w:color w:val="auto"/>
                <w:kern w:val="0"/>
                <w:szCs w:val="21"/>
                <w:highlight w:val="none"/>
              </w:rPr>
              <w:t>（北京时间）。</w:t>
            </w:r>
          </w:p>
        </w:tc>
      </w:tr>
      <w:tr>
        <w:tblPrEx>
          <w:tblCellMar>
            <w:top w:w="0" w:type="dxa"/>
            <w:left w:w="108" w:type="dxa"/>
            <w:bottom w:w="0" w:type="dxa"/>
            <w:right w:w="108" w:type="dxa"/>
          </w:tblCellMar>
        </w:tblPrEx>
        <w:trPr>
          <w:trHeight w:val="288" w:hRule="atLeast"/>
        </w:trPr>
        <w:tc>
          <w:tcPr>
            <w:tcW w:w="1148" w:type="dxa"/>
            <w:vMerge w:val="continue"/>
            <w:tcBorders>
              <w:top w:val="nil"/>
              <w:left w:val="single" w:color="auto" w:sz="4"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3.投递邮箱：</w:t>
            </w:r>
            <w:r>
              <w:rPr>
                <w:rFonts w:hint="eastAsia" w:cs="宋体" w:asciiTheme="minorEastAsia" w:hAnsiTheme="minorEastAsia" w:eastAsiaTheme="minorEastAsia"/>
                <w:color w:val="auto"/>
                <w:kern w:val="0"/>
                <w:szCs w:val="21"/>
                <w:highlight w:val="none"/>
                <w:lang w:val="en-US" w:eastAsia="zh-CN"/>
              </w:rPr>
              <w:t>592518046</w:t>
            </w:r>
            <w:r>
              <w:rPr>
                <w:rFonts w:hint="eastAsia" w:cs="宋体" w:asciiTheme="minorEastAsia" w:hAnsiTheme="minorEastAsia" w:eastAsiaTheme="minorEastAsia"/>
                <w:color w:val="auto"/>
                <w:kern w:val="0"/>
                <w:szCs w:val="21"/>
                <w:highlight w:val="none"/>
              </w:rPr>
              <w:t>@qq.com。</w:t>
            </w:r>
          </w:p>
        </w:tc>
      </w:tr>
      <w:tr>
        <w:tblPrEx>
          <w:tblCellMar>
            <w:top w:w="0" w:type="dxa"/>
            <w:left w:w="108" w:type="dxa"/>
            <w:bottom w:w="0" w:type="dxa"/>
            <w:right w:w="108" w:type="dxa"/>
          </w:tblCellMar>
        </w:tblPrEx>
        <w:trPr>
          <w:trHeight w:val="576" w:hRule="atLeast"/>
        </w:trPr>
        <w:tc>
          <w:tcPr>
            <w:tcW w:w="1148" w:type="dxa"/>
            <w:vMerge w:val="continue"/>
            <w:tcBorders>
              <w:top w:val="nil"/>
              <w:left w:val="single" w:color="auto" w:sz="4"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4.未按上述要求递交备份投标文件或所提供的备份投标文件不符合要求的视同放弃投标，仅提交备份投标文件的，投标无效。</w:t>
            </w:r>
          </w:p>
        </w:tc>
      </w:tr>
      <w:tr>
        <w:tblPrEx>
          <w:tblCellMar>
            <w:top w:w="0" w:type="dxa"/>
            <w:left w:w="108" w:type="dxa"/>
            <w:bottom w:w="0" w:type="dxa"/>
            <w:right w:w="108" w:type="dxa"/>
          </w:tblCellMar>
        </w:tblPrEx>
        <w:trPr>
          <w:trHeight w:val="588" w:hRule="atLeast"/>
        </w:trPr>
        <w:tc>
          <w:tcPr>
            <w:tcW w:w="1148" w:type="dxa"/>
            <w:vMerge w:val="continue"/>
            <w:tcBorders>
              <w:top w:val="nil"/>
              <w:left w:val="single" w:color="auto" w:sz="4"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未按时完成解密的，并符合备份投标文件使用前提的，</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应提供备份投标文件，否则视为放弃投标。</w:t>
            </w:r>
          </w:p>
        </w:tc>
      </w:tr>
      <w:tr>
        <w:tblPrEx>
          <w:tblCellMar>
            <w:top w:w="0" w:type="dxa"/>
            <w:left w:w="108" w:type="dxa"/>
            <w:bottom w:w="0" w:type="dxa"/>
            <w:right w:w="108" w:type="dxa"/>
          </w:tblCellMar>
        </w:tblPrEx>
        <w:trPr>
          <w:trHeight w:val="368" w:hRule="atLeast"/>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投标与开标</w:t>
            </w:r>
          </w:p>
        </w:tc>
        <w:tc>
          <w:tcPr>
            <w:tcW w:w="6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1.本项目实行电子投标，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自行承担投标一切费用。</w:t>
            </w:r>
          </w:p>
        </w:tc>
      </w:tr>
      <w:tr>
        <w:tblPrEx>
          <w:tblCellMar>
            <w:top w:w="0" w:type="dxa"/>
            <w:left w:w="108" w:type="dxa"/>
            <w:bottom w:w="0" w:type="dxa"/>
            <w:right w:w="108" w:type="dxa"/>
          </w:tblCellMar>
        </w:tblPrEx>
        <w:trPr>
          <w:trHeight w:val="1164"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注意事项</w:t>
            </w:r>
          </w:p>
        </w:tc>
        <w:tc>
          <w:tcPr>
            <w:tcW w:w="6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2.标前准备：</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在开标前确保成为浙江省政府采购网正式注册用户，并完成CA数字证书办理（办理流程详见本招标公告附件：政采云CA签章申领操作流程）。因未注册入库、未办理CA数字证书等原因造成无法投标或投标失败等后果由</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自行承担。</w:t>
            </w:r>
          </w:p>
        </w:tc>
      </w:tr>
      <w:tr>
        <w:tblPrEx>
          <w:tblCellMar>
            <w:top w:w="0" w:type="dxa"/>
            <w:left w:w="108" w:type="dxa"/>
            <w:bottom w:w="0" w:type="dxa"/>
            <w:right w:w="108" w:type="dxa"/>
          </w:tblCellMar>
        </w:tblPrEx>
        <w:trPr>
          <w:trHeight w:val="276" w:hRule="atLeast"/>
        </w:trPr>
        <w:tc>
          <w:tcPr>
            <w:tcW w:w="11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p>
        </w:tc>
        <w:tc>
          <w:tcPr>
            <w:tcW w:w="1850" w:type="dxa"/>
            <w:vMerge w:val="restart"/>
            <w:tcBorders>
              <w:top w:val="single" w:color="auto" w:sz="4" w:space="0"/>
              <w:left w:val="single" w:color="auto" w:sz="4" w:space="0"/>
              <w:bottom w:val="single" w:color="000000"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信用信息查询渠道</w:t>
            </w:r>
          </w:p>
        </w:tc>
        <w:tc>
          <w:tcPr>
            <w:tcW w:w="6216" w:type="dxa"/>
            <w:tcBorders>
              <w:top w:val="single" w:color="auto" w:sz="4" w:space="0"/>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u w:val="single"/>
              </w:rPr>
            </w:pP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asciiTheme="minorEastAsia" w:hAnsiTheme="minorEastAsia" w:eastAsiaTheme="minorEastAsia"/>
                <w:color w:val="auto"/>
                <w:kern w:val="0"/>
                <w:szCs w:val="21"/>
                <w:highlight w:val="none"/>
                <w:u w:val="single"/>
              </w:rPr>
              <w:t>信用中国（网址：http://www.creditchina.gov.cn）</w:t>
            </w:r>
            <w:r>
              <w:rPr>
                <w:rFonts w:hint="eastAsia" w:cs="宋体" w:asciiTheme="minorEastAsia" w:hAnsiTheme="minorEastAsia" w:eastAsiaTheme="minorEastAsia"/>
                <w:color w:val="auto"/>
                <w:kern w:val="0"/>
                <w:szCs w:val="21"/>
                <w:highlight w:val="none"/>
                <w:u w:val="single"/>
              </w:rPr>
              <w:fldChar w:fldCharType="end"/>
            </w:r>
          </w:p>
        </w:tc>
      </w:tr>
      <w:tr>
        <w:tblPrEx>
          <w:tblCellMar>
            <w:top w:w="0" w:type="dxa"/>
            <w:left w:w="108" w:type="dxa"/>
            <w:bottom w:w="0" w:type="dxa"/>
            <w:right w:w="108" w:type="dxa"/>
          </w:tblCellMar>
        </w:tblPrEx>
        <w:trPr>
          <w:trHeight w:val="300" w:hRule="atLeast"/>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vMerge w:val="continue"/>
            <w:tcBorders>
              <w:top w:val="nil"/>
              <w:left w:val="single" w:color="auto" w:sz="4" w:space="0"/>
              <w:bottom w:val="single" w:color="000000" w:sz="8"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8"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中国政府采购网（网址：http://www.ccgp.gov.cn）</w:t>
            </w:r>
          </w:p>
        </w:tc>
      </w:tr>
      <w:tr>
        <w:tblPrEx>
          <w:tblCellMar>
            <w:top w:w="0" w:type="dxa"/>
            <w:left w:w="108" w:type="dxa"/>
            <w:bottom w:w="0" w:type="dxa"/>
            <w:right w:w="108" w:type="dxa"/>
          </w:tblCellMar>
        </w:tblPrEx>
        <w:trPr>
          <w:trHeight w:val="288" w:hRule="atLeast"/>
        </w:trPr>
        <w:tc>
          <w:tcPr>
            <w:tcW w:w="1148" w:type="dxa"/>
            <w:vMerge w:val="restar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8</w:t>
            </w:r>
          </w:p>
        </w:tc>
        <w:tc>
          <w:tcPr>
            <w:tcW w:w="1850" w:type="dxa"/>
            <w:tcBorders>
              <w:top w:val="nil"/>
              <w:left w:val="nil"/>
              <w:bottom w:val="nil"/>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中小企业</w:t>
            </w: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1.项目属性：</w:t>
            </w:r>
            <w:r>
              <w:rPr>
                <w:rFonts w:hint="eastAsia" w:cs="宋体" w:asciiTheme="minorEastAsia" w:hAnsiTheme="minorEastAsia" w:eastAsiaTheme="minorEastAsia"/>
                <w:color w:val="auto"/>
                <w:kern w:val="0"/>
                <w:szCs w:val="21"/>
                <w:highlight w:val="none"/>
                <w:u w:val="single"/>
              </w:rPr>
              <w:t xml:space="preserve"> 服务类 </w:t>
            </w: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trHeight w:val="576"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优惠措施</w:t>
            </w: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2.中小企业划分标准所属行业（具体根据《中小企业划型标准规定》执行）：</w:t>
            </w:r>
          </w:p>
        </w:tc>
      </w:tr>
      <w:tr>
        <w:tblPrEx>
          <w:tblCellMar>
            <w:top w:w="0" w:type="dxa"/>
            <w:left w:w="108" w:type="dxa"/>
            <w:bottom w:w="0" w:type="dxa"/>
            <w:right w:w="108" w:type="dxa"/>
          </w:tblCellMar>
        </w:tblPrEx>
        <w:trPr>
          <w:trHeight w:val="288"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采购标的：</w:t>
            </w:r>
            <w:r>
              <w:rPr>
                <w:rFonts w:hint="eastAsia" w:cs="宋体" w:asciiTheme="minorEastAsia" w:hAnsiTheme="minorEastAsia" w:eastAsiaTheme="minorEastAsia"/>
                <w:color w:val="auto"/>
                <w:kern w:val="0"/>
                <w:szCs w:val="21"/>
                <w:highlight w:val="none"/>
                <w:u w:val="single"/>
                <w:lang w:eastAsia="zh-CN"/>
              </w:rPr>
              <w:t>台州市国土空间基础信息平台升级改造项目</w:t>
            </w:r>
            <w:r>
              <w:rPr>
                <w:rFonts w:hint="eastAsia" w:cs="宋体" w:asciiTheme="minorEastAsia" w:hAnsiTheme="minorEastAsia" w:eastAsiaTheme="minorEastAsia"/>
                <w:color w:val="auto"/>
                <w:kern w:val="0"/>
                <w:szCs w:val="21"/>
                <w:highlight w:val="none"/>
              </w:rPr>
              <w:t>，所属行业：</w:t>
            </w:r>
            <w:r>
              <w:rPr>
                <w:rFonts w:hint="eastAsia" w:cs="宋体" w:asciiTheme="minorEastAsia" w:hAnsiTheme="minorEastAsia" w:eastAsiaTheme="minorEastAsia"/>
                <w:color w:val="auto"/>
                <w:kern w:val="0"/>
                <w:szCs w:val="21"/>
                <w:highlight w:val="none"/>
                <w:u w:val="single"/>
                <w:lang w:val="en-US" w:eastAsia="zh-CN"/>
              </w:rPr>
              <w:t>其他未列明行业</w:t>
            </w:r>
            <w:r>
              <w:rPr>
                <w:rFonts w:hint="eastAsia" w:cs="宋体" w:asciiTheme="minorEastAsia" w:hAnsiTheme="minorEastAsia" w:eastAsiaTheme="minorEastAsia"/>
                <w:color w:val="auto"/>
                <w:kern w:val="0"/>
                <w:szCs w:val="21"/>
                <w:highlight w:val="none"/>
              </w:rPr>
              <w:t>。</w:t>
            </w:r>
          </w:p>
        </w:tc>
      </w:tr>
      <w:tr>
        <w:tblPrEx>
          <w:tblCellMar>
            <w:top w:w="0" w:type="dxa"/>
            <w:left w:w="108" w:type="dxa"/>
            <w:bottom w:w="0" w:type="dxa"/>
            <w:right w:w="108" w:type="dxa"/>
          </w:tblCellMar>
        </w:tblPrEx>
        <w:trPr>
          <w:trHeight w:val="864"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nil"/>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nil"/>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3.属于享受政府采购支持政策的残疾人福利性单位，应符合财库〔2017〕141号文件规定，视同小型、微型企业，在投标文件中提供《残疾人福利性单位声明函》。</w:t>
            </w:r>
          </w:p>
        </w:tc>
      </w:tr>
      <w:tr>
        <w:tblPrEx>
          <w:tblCellMar>
            <w:top w:w="0" w:type="dxa"/>
            <w:left w:w="108" w:type="dxa"/>
            <w:bottom w:w="0" w:type="dxa"/>
            <w:right w:w="108" w:type="dxa"/>
          </w:tblCellMar>
        </w:tblPrEx>
        <w:trPr>
          <w:trHeight w:val="1152" w:hRule="atLeast"/>
        </w:trPr>
        <w:tc>
          <w:tcPr>
            <w:tcW w:w="114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1850"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p>
        </w:tc>
        <w:tc>
          <w:tcPr>
            <w:tcW w:w="6216" w:type="dxa"/>
            <w:tcBorders>
              <w:top w:val="nil"/>
              <w:left w:val="nil"/>
              <w:bottom w:val="single" w:color="auto" w:sz="4"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w:t>
            </w:r>
          </w:p>
        </w:tc>
      </w:tr>
      <w:tr>
        <w:tblPrEx>
          <w:tblCellMar>
            <w:top w:w="0" w:type="dxa"/>
            <w:left w:w="108" w:type="dxa"/>
            <w:bottom w:w="0" w:type="dxa"/>
            <w:right w:w="108" w:type="dxa"/>
          </w:tblCellMar>
        </w:tblPrEx>
        <w:trPr>
          <w:trHeight w:val="300" w:hRule="atLeast"/>
        </w:trPr>
        <w:tc>
          <w:tcPr>
            <w:tcW w:w="1148"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9</w:t>
            </w:r>
          </w:p>
        </w:tc>
        <w:tc>
          <w:tcPr>
            <w:tcW w:w="1850" w:type="dxa"/>
            <w:tcBorders>
              <w:top w:val="single" w:color="auto" w:sz="4" w:space="0"/>
              <w:left w:val="nil"/>
              <w:bottom w:val="single" w:color="auto" w:sz="4"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质疑渠道</w:t>
            </w:r>
          </w:p>
        </w:tc>
        <w:tc>
          <w:tcPr>
            <w:tcW w:w="62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政采云平台网上质疑系统。</w:t>
            </w:r>
          </w:p>
        </w:tc>
      </w:tr>
      <w:tr>
        <w:tblPrEx>
          <w:tblCellMar>
            <w:top w:w="0" w:type="dxa"/>
            <w:left w:w="108" w:type="dxa"/>
            <w:bottom w:w="0" w:type="dxa"/>
            <w:right w:w="108" w:type="dxa"/>
          </w:tblCellMar>
        </w:tblPrEx>
        <w:trPr>
          <w:trHeight w:val="588" w:hRule="atLeast"/>
        </w:trPr>
        <w:tc>
          <w:tcPr>
            <w:tcW w:w="11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0</w:t>
            </w:r>
          </w:p>
        </w:tc>
        <w:tc>
          <w:tcPr>
            <w:tcW w:w="1850" w:type="dxa"/>
            <w:tcBorders>
              <w:top w:val="single" w:color="auto" w:sz="4" w:space="0"/>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实质性条款</w:t>
            </w:r>
          </w:p>
        </w:tc>
        <w:tc>
          <w:tcPr>
            <w:tcW w:w="6216" w:type="dxa"/>
            <w:tcBorders>
              <w:top w:val="single" w:color="auto" w:sz="4" w:space="0"/>
              <w:left w:val="nil"/>
              <w:bottom w:val="single" w:color="auto" w:sz="8"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带“▲”的条款是实质性条款，投标文件须作出实质性响应，否则作无效投标处理。</w:t>
            </w:r>
          </w:p>
        </w:tc>
      </w:tr>
      <w:tr>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1</w:t>
            </w:r>
          </w:p>
        </w:tc>
        <w:tc>
          <w:tcPr>
            <w:tcW w:w="185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主要性能参数</w:t>
            </w:r>
          </w:p>
        </w:tc>
        <w:tc>
          <w:tcPr>
            <w:tcW w:w="6216" w:type="dxa"/>
            <w:tcBorders>
              <w:top w:val="nil"/>
              <w:left w:val="nil"/>
              <w:bottom w:val="single" w:color="auto" w:sz="8"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带“★”的条款是主要性能参数。</w:t>
            </w:r>
          </w:p>
        </w:tc>
      </w:tr>
      <w:tr>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2</w:t>
            </w:r>
          </w:p>
        </w:tc>
        <w:tc>
          <w:tcPr>
            <w:tcW w:w="185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书面形式</w:t>
            </w:r>
          </w:p>
        </w:tc>
        <w:tc>
          <w:tcPr>
            <w:tcW w:w="6216" w:type="dxa"/>
            <w:tcBorders>
              <w:top w:val="nil"/>
              <w:left w:val="nil"/>
              <w:bottom w:val="single" w:color="auto" w:sz="8"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包括电子邮件、信函、传真。</w:t>
            </w:r>
          </w:p>
        </w:tc>
      </w:tr>
      <w:tr>
        <w:tblPrEx>
          <w:tblCellMar>
            <w:top w:w="0" w:type="dxa"/>
            <w:left w:w="108" w:type="dxa"/>
            <w:bottom w:w="0" w:type="dxa"/>
            <w:right w:w="108" w:type="dxa"/>
          </w:tblCellMar>
        </w:tblPrEx>
        <w:trPr>
          <w:trHeight w:val="300" w:hRule="atLeast"/>
        </w:trPr>
        <w:tc>
          <w:tcPr>
            <w:tcW w:w="1148"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lang w:val="en-US" w:eastAsia="zh-CN"/>
              </w:rPr>
              <w:t>3</w:t>
            </w:r>
          </w:p>
        </w:tc>
        <w:tc>
          <w:tcPr>
            <w:tcW w:w="1850"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解释权</w:t>
            </w:r>
          </w:p>
        </w:tc>
        <w:tc>
          <w:tcPr>
            <w:tcW w:w="6216" w:type="dxa"/>
            <w:tcBorders>
              <w:top w:val="nil"/>
              <w:left w:val="nil"/>
              <w:bottom w:val="single" w:color="auto" w:sz="4" w:space="0"/>
              <w:right w:val="single" w:color="auto" w:sz="8" w:space="0"/>
            </w:tcBorders>
            <w:shd w:val="clear" w:color="auto" w:fill="auto"/>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本招标文件解释权属于采购人和采购组织机构。</w:t>
            </w:r>
          </w:p>
        </w:tc>
      </w:tr>
      <w:tr>
        <w:tblPrEx>
          <w:tblCellMar>
            <w:top w:w="0" w:type="dxa"/>
            <w:left w:w="108" w:type="dxa"/>
            <w:bottom w:w="0" w:type="dxa"/>
            <w:right w:w="108" w:type="dxa"/>
          </w:tblCellMar>
        </w:tblPrEx>
        <w:trPr>
          <w:trHeight w:val="300" w:hRule="atLeast"/>
        </w:trPr>
        <w:tc>
          <w:tcPr>
            <w:tcW w:w="1148"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850" w:type="dxa"/>
            <w:tcBorders>
              <w:top w:val="single" w:color="auto" w:sz="4" w:space="0"/>
              <w:left w:val="nil"/>
              <w:bottom w:val="single" w:color="auto" w:sz="4" w:space="0"/>
              <w:right w:val="single" w:color="auto" w:sz="8"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投标报价及费用</w:t>
            </w:r>
          </w:p>
        </w:tc>
        <w:tc>
          <w:tcPr>
            <w:tcW w:w="62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本项目投标应以人民币报价；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不论投标结果如何，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均应自行承担所有与投标有关的全部费用；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本项目招标代理服务费</w:t>
            </w:r>
            <w:r>
              <w:rPr>
                <w:rFonts w:hint="eastAsia" w:ascii="宋体" w:hAnsi="宋体" w:cs="宋体"/>
                <w:color w:val="auto"/>
                <w:szCs w:val="21"/>
                <w:highlight w:val="none"/>
                <w:u w:val="single"/>
                <w:lang w:val="en-US" w:eastAsia="zh-CN"/>
              </w:rPr>
              <w:t>8300</w:t>
            </w:r>
            <w:r>
              <w:rPr>
                <w:rFonts w:hint="eastAsia" w:ascii="宋体" w:hAnsi="宋体" w:cs="宋体"/>
                <w:color w:val="auto"/>
                <w:szCs w:val="21"/>
                <w:highlight w:val="none"/>
              </w:rPr>
              <w:t>元由中标单位支付，请各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报价时综合考虑。</w:t>
            </w:r>
          </w:p>
        </w:tc>
      </w:tr>
    </w:tbl>
    <w:p>
      <w:pPr>
        <w:pStyle w:val="16"/>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其他：政采贷服务、合同履约保函服务、预付款保函服务</w:t>
      </w:r>
    </w:p>
    <w:p>
      <w:pPr>
        <w:pStyle w:val="16"/>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根据监管部门通知，中标人可根据项目情况及自身需求向以下银行申请政采贷服务:</w:t>
      </w:r>
    </w:p>
    <w:tbl>
      <w:tblPr>
        <w:tblStyle w:val="2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2"/>
        <w:gridCol w:w="1415"/>
        <w:gridCol w:w="160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贷款年利率</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中国工商银行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pPr>
              <w:pStyle w:val="16"/>
              <w:snapToGrid w:val="0"/>
              <w:spacing w:line="360" w:lineRule="auto"/>
              <w:jc w:val="center"/>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val="en-US" w:eastAsia="zh-CN"/>
              </w:rPr>
              <w:t>卢嘉诚</w:t>
            </w:r>
          </w:p>
        </w:tc>
        <w:tc>
          <w:tcPr>
            <w:tcW w:w="2877" w:type="dxa"/>
            <w:vAlign w:val="center"/>
          </w:tcPr>
          <w:p>
            <w:pPr>
              <w:pStyle w:val="16"/>
              <w:snapToGrid w:val="0"/>
              <w:spacing w:line="360" w:lineRule="auto"/>
              <w:jc w:val="center"/>
              <w:rPr>
                <w:rFonts w:hint="default" w:asciiTheme="minorEastAsia" w:hAnsiTheme="minorEastAsia" w:eastAsiaTheme="minorEastAsia"/>
                <w:bCs/>
                <w:color w:val="auto"/>
                <w:szCs w:val="21"/>
                <w:highlight w:val="none"/>
                <w:lang w:val="en-US" w:eastAsia="zh-CN"/>
              </w:rPr>
            </w:pPr>
            <w:r>
              <w:rPr>
                <w:rFonts w:hint="eastAsia" w:asciiTheme="minorEastAsia" w:hAnsiTheme="minorEastAsia" w:eastAsiaTheme="minorEastAsia"/>
                <w:bCs/>
                <w:color w:val="auto"/>
                <w:szCs w:val="21"/>
                <w:highlight w:val="none"/>
                <w:lang w:val="en-US" w:eastAsia="zh-CN"/>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中国农业银行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龚盛</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中国建设银行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梅晶晶</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88525339  13736585303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任茜</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王渊</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浦发银行椒江分行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孙瑞华</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交通银行台州分行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周翔宇</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招商银行台州分行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4.32%起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王海玲</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浙商银行台州分行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5.01%起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章涉漪</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81880185  13606681262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中信银行台州分行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4.15%起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陈金园</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华夏银行台州分行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邱明达</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81871518  13736252233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泰隆银行开发区支行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梁宛莉</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民泰银行椒江支行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5.8%起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陈慧珠</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绍兴银行台州分行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5.1%起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郭庭斌</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温州银行台州分行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王晓波</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平安银行台州分行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6.53%起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李俊丽</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宁波银行台州分行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戴莉丽</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金华银行台州分行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金雪婷</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81886670  15968661569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台州银行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洪婷</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邮储银行台州分行</w:t>
            </w:r>
          </w:p>
        </w:tc>
        <w:tc>
          <w:tcPr>
            <w:tcW w:w="141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3.85%起</w:t>
            </w:r>
          </w:p>
        </w:tc>
        <w:tc>
          <w:tcPr>
            <w:tcW w:w="1602"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董庆</w:t>
            </w:r>
          </w:p>
        </w:tc>
        <w:tc>
          <w:tcPr>
            <w:tcW w:w="2877"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81888982  18957683735</w:t>
            </w:r>
          </w:p>
        </w:tc>
      </w:tr>
    </w:tbl>
    <w:p>
      <w:pPr>
        <w:pStyle w:val="16"/>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合同履约保函联系方式</w:t>
      </w:r>
    </w:p>
    <w:tbl>
      <w:tblPr>
        <w:tblStyle w:val="28"/>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1631"/>
        <w:gridCol w:w="145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永诚财产保险股份有限公司台州分公司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年费率1%，最低保费1000元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尹刚强</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华泰财产保险有限公司台州中心支公司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年费率0.5%，最低保费1000元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王灵芳</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中国大地财产保险股份有限公司台州中心支公司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年费率1.5%，最低保费1000元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徐小明</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中华联合财产保险股份有限公司台州中心支公司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年费率2%，最低保费500元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王仙高</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中国人民财产保险股份有限公司台州中心支公司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王仙春</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永安财产保险股份有限公司台州中心支公司</w:t>
            </w:r>
          </w:p>
        </w:tc>
        <w:tc>
          <w:tcPr>
            <w:tcW w:w="1631"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0"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王春宇</w:t>
            </w:r>
          </w:p>
        </w:tc>
        <w:tc>
          <w:tcPr>
            <w:tcW w:w="1455" w:type="dxa"/>
            <w:vAlign w:val="center"/>
          </w:tcPr>
          <w:p>
            <w:pPr>
              <w:pStyle w:val="16"/>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13676675331</w:t>
            </w:r>
          </w:p>
        </w:tc>
      </w:tr>
    </w:tbl>
    <w:p>
      <w:pPr>
        <w:pStyle w:val="16"/>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预付款保函联系方式</w:t>
      </w:r>
    </w:p>
    <w:tbl>
      <w:tblPr>
        <w:tblStyle w:val="28"/>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2"/>
        <w:gridCol w:w="1650"/>
        <w:gridCol w:w="143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42" w:type="dxa"/>
            <w:vAlign w:val="center"/>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50" w:type="dxa"/>
            <w:vAlign w:val="center"/>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33" w:type="dxa"/>
            <w:vAlign w:val="center"/>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67" w:type="dxa"/>
            <w:vAlign w:val="center"/>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742"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50"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年费率3%，最低保费500元</w:t>
            </w:r>
          </w:p>
        </w:tc>
        <w:tc>
          <w:tcPr>
            <w:tcW w:w="1433"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67"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742"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50"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33"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67"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742"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天安财产保险股份有限公司台州中心支公司</w:t>
            </w:r>
          </w:p>
        </w:tc>
        <w:tc>
          <w:tcPr>
            <w:tcW w:w="1650"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年费率1%-2%，最低保费500元</w:t>
            </w:r>
          </w:p>
        </w:tc>
        <w:tc>
          <w:tcPr>
            <w:tcW w:w="1433"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罗赛</w:t>
            </w:r>
          </w:p>
        </w:tc>
        <w:tc>
          <w:tcPr>
            <w:tcW w:w="1467" w:type="dxa"/>
          </w:tcPr>
          <w:p>
            <w:pPr>
              <w:pStyle w:val="16"/>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13736605643</w:t>
            </w:r>
          </w:p>
        </w:tc>
      </w:tr>
    </w:tbl>
    <w:p>
      <w:pPr>
        <w:pStyle w:val="16"/>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7"/>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lang w:eastAsia="zh-CN"/>
        </w:rPr>
        <w:t>供应商</w:t>
      </w:r>
      <w:r>
        <w:rPr>
          <w:rFonts w:hint="eastAsia"/>
          <w:color w:val="auto"/>
          <w:sz w:val="24"/>
          <w:highlight w:val="none"/>
        </w:rPr>
        <w:t>承担。</w:t>
      </w:r>
    </w:p>
    <w:p>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14"/>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r>
        <w:rPr>
          <w:rFonts w:hint="eastAsia" w:ascii="宋体" w:hAnsi="宋体"/>
          <w:color w:val="auto"/>
          <w:sz w:val="24"/>
          <w:highlight w:val="none"/>
        </w:rPr>
        <w:t>；</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w:t>
      </w:r>
      <w:r>
        <w:rPr>
          <w:rFonts w:hint="eastAsia"/>
          <w:color w:val="auto"/>
          <w:sz w:val="24"/>
          <w:highlight w:val="none"/>
          <w:lang w:eastAsia="zh-CN"/>
        </w:rPr>
        <w:t>供应商</w:t>
      </w:r>
      <w:r>
        <w:rPr>
          <w:rFonts w:hint="eastAsia"/>
          <w:color w:val="auto"/>
          <w:sz w:val="24"/>
          <w:highlight w:val="none"/>
        </w:rPr>
        <w:t>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组成的联合体，应当按照资质等级较低的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lang w:eastAsia="zh-CN"/>
        </w:rPr>
        <w:t>供应商</w:t>
      </w:r>
      <w:r>
        <w:rPr>
          <w:color w:val="auto"/>
          <w:sz w:val="24"/>
          <w:highlight w:val="none"/>
        </w:rPr>
        <w:t>编制投标文件的依据。</w:t>
      </w:r>
    </w:p>
    <w:p>
      <w:pPr>
        <w:pStyle w:val="16"/>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6"/>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投标所使用的采购项目实施人员必须为本法人员工。</w:t>
      </w:r>
    </w:p>
    <w:p>
      <w:pPr>
        <w:pStyle w:val="38"/>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在规定的时间内未对招标文件提出疑问、质疑或要求澄清的，将视其为无异议。</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w:t>
      </w:r>
      <w:r>
        <w:rPr>
          <w:rFonts w:hint="eastAsia" w:asciiTheme="minorEastAsia" w:hAnsiTheme="minorEastAsia" w:eastAsiaTheme="minorEastAsia" w:cstheme="minorBidi"/>
          <w:color w:val="auto"/>
          <w:sz w:val="24"/>
          <w:highlight w:val="none"/>
          <w:lang w:eastAsia="zh-CN"/>
        </w:rPr>
        <w:t>供应商</w:t>
      </w:r>
      <w:r>
        <w:rPr>
          <w:rFonts w:hint="eastAsia" w:asciiTheme="minorEastAsia" w:hAnsiTheme="minorEastAsia" w:eastAsiaTheme="minorEastAsia" w:cstheme="minorBidi"/>
          <w:color w:val="auto"/>
          <w:sz w:val="24"/>
          <w:highlight w:val="none"/>
        </w:rPr>
        <w:t>；不足15日的，采购组织机构应当顺延提交投标文件的截止时间。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12"/>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highlight w:val="none"/>
        </w:rPr>
      </w:pPr>
      <w:r>
        <w:rPr>
          <w:rFonts w:hint="eastAsia" w:ascii="宋体" w:hAnsi="宋体" w:eastAsia="宋体" w:cs="Times New Roman"/>
          <w:bCs/>
          <w:color w:val="auto"/>
          <w:kern w:val="2"/>
          <w:sz w:val="24"/>
          <w:szCs w:val="20"/>
          <w:highlight w:val="none"/>
          <w:lang w:val="en-US" w:eastAsia="zh-CN" w:bidi="ar-SA"/>
        </w:rPr>
        <w:t>（</w:t>
      </w:r>
      <w:r>
        <w:rPr>
          <w:rFonts w:hint="eastAsia" w:ascii="宋体" w:hAnsi="宋体" w:cs="Times New Roman"/>
          <w:bCs/>
          <w:color w:val="auto"/>
          <w:kern w:val="2"/>
          <w:sz w:val="24"/>
          <w:szCs w:val="20"/>
          <w:highlight w:val="none"/>
          <w:lang w:val="en-US" w:eastAsia="zh-CN" w:bidi="ar-SA"/>
        </w:rPr>
        <w:t>7</w:t>
      </w:r>
      <w:r>
        <w:rPr>
          <w:rFonts w:hint="eastAsia" w:ascii="宋体" w:hAnsi="宋体" w:eastAsia="宋体" w:cs="Times New Roman"/>
          <w:bCs/>
          <w:color w:val="auto"/>
          <w:kern w:val="2"/>
          <w:sz w:val="24"/>
          <w:szCs w:val="20"/>
          <w:highlight w:val="none"/>
          <w:lang w:val="en-US" w:eastAsia="zh-CN" w:bidi="ar-SA"/>
        </w:rPr>
        <w:t>）中小企业、</w:t>
      </w:r>
      <w:r>
        <w:rPr>
          <w:rFonts w:hint="eastAsia" w:ascii="宋体" w:hAnsi="宋体" w:eastAsia="宋体" w:cs="Times New Roman"/>
          <w:bCs/>
          <w:color w:val="auto"/>
          <w:kern w:val="2"/>
          <w:sz w:val="24"/>
          <w:szCs w:val="20"/>
          <w:highlight w:val="none"/>
          <w:lang w:val="en-GB" w:eastAsia="zh-CN" w:bidi="ar-SA"/>
        </w:rPr>
        <w:t>残疾人福利性单位、监狱企业</w:t>
      </w:r>
      <w:r>
        <w:rPr>
          <w:rFonts w:hint="eastAsia" w:ascii="宋体" w:hAnsi="宋体" w:eastAsia="宋体" w:cs="Times New Roman"/>
          <w:bCs/>
          <w:color w:val="auto"/>
          <w:kern w:val="2"/>
          <w:sz w:val="24"/>
          <w:szCs w:val="20"/>
          <w:highlight w:val="none"/>
          <w:lang w:val="en-US" w:eastAsia="zh-CN" w:bidi="ar-SA"/>
        </w:rPr>
        <w:t>等声明函（附件</w:t>
      </w:r>
      <w:r>
        <w:rPr>
          <w:rFonts w:hint="eastAsia" w:ascii="宋体" w:hAnsi="宋体" w:cs="Times New Roman"/>
          <w:bCs/>
          <w:color w:val="auto"/>
          <w:kern w:val="2"/>
          <w:sz w:val="24"/>
          <w:szCs w:val="20"/>
          <w:highlight w:val="none"/>
          <w:lang w:val="en-US" w:eastAsia="zh-CN" w:bidi="ar-SA"/>
        </w:rPr>
        <w:t>6</w:t>
      </w:r>
      <w:r>
        <w:rPr>
          <w:rFonts w:hint="eastAsia" w:ascii="宋体" w:hAnsi="宋体" w:eastAsia="宋体" w:cs="Times New Roman"/>
          <w:bCs/>
          <w:color w:val="auto"/>
          <w:kern w:val="2"/>
          <w:sz w:val="24"/>
          <w:szCs w:val="20"/>
          <w:highlight w:val="none"/>
          <w:lang w:val="en-US" w:eastAsia="zh-CN" w:bidi="ar-SA"/>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情况介绍（附件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eastAsia="宋体" w:cs="Times New Roman"/>
          <w:bCs/>
          <w:color w:val="auto"/>
          <w:sz w:val="24"/>
          <w:highlight w:val="none"/>
          <w:lang w:val="en-US" w:eastAsia="zh-CN"/>
        </w:rPr>
        <w:t>10</w:t>
      </w:r>
      <w:r>
        <w:rPr>
          <w:rFonts w:hint="eastAsia" w:ascii="Calibri" w:hAnsi="Calibri" w:cs="Calibri"/>
          <w:color w:val="auto"/>
          <w:sz w:val="24"/>
          <w:highlight w:val="none"/>
        </w:rPr>
        <w:t>）；</w:t>
      </w:r>
    </w:p>
    <w:p>
      <w:pPr>
        <w:pStyle w:val="12"/>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pPr>
        <w:pStyle w:val="12"/>
        <w:widowControl/>
        <w:numPr>
          <w:ilvl w:val="255"/>
          <w:numId w:val="0"/>
        </w:num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（7）同类业绩证明（如有，需提供合同复印件；附件1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autoSpaceDE w:val="0"/>
        <w:autoSpaceDN w:val="0"/>
        <w:adjustRightInd w:val="0"/>
        <w:spacing w:line="360" w:lineRule="auto"/>
        <w:ind w:left="426" w:firstLine="64" w:firstLineChars="27"/>
        <w:rPr>
          <w:rFonts w:hint="eastAsia"/>
          <w:color w:val="auto"/>
          <w:sz w:val="24"/>
          <w:szCs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color w:val="auto"/>
          <w:sz w:val="24"/>
          <w:szCs w:val="24"/>
          <w:highlight w:val="none"/>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pPr>
        <w:snapToGrid w:val="0"/>
        <w:spacing w:line="360" w:lineRule="auto"/>
        <w:ind w:firstLine="480" w:firstLineChars="200"/>
        <w:rPr>
          <w:rFonts w:hint="eastAsia" w:ascii="宋体" w:hAnsi="宋体" w:eastAsia="宋体" w:cs="Times New Roman"/>
          <w:bCs/>
          <w:color w:val="auto"/>
          <w:kern w:val="2"/>
          <w:sz w:val="24"/>
          <w:szCs w:val="20"/>
          <w:highlight w:val="none"/>
          <w:lang w:val="en-US" w:eastAsia="zh-CN" w:bidi="ar-SA"/>
        </w:rPr>
      </w:pPr>
      <w:r>
        <w:rPr>
          <w:rFonts w:hint="eastAsia" w:ascii="Calibri" w:hAnsi="Calibri" w:cs="Calibri"/>
          <w:color w:val="auto"/>
          <w:sz w:val="24"/>
          <w:highlight w:val="none"/>
        </w:rPr>
        <w:t>（</w:t>
      </w:r>
      <w:r>
        <w:rPr>
          <w:rFonts w:hint="eastAsia" w:ascii="宋体" w:hAnsi="宋体" w:eastAsia="宋体" w:cs="Times New Roman"/>
          <w:bCs/>
          <w:color w:val="auto"/>
          <w:kern w:val="2"/>
          <w:sz w:val="24"/>
          <w:szCs w:val="20"/>
          <w:highlight w:val="none"/>
          <w:lang w:val="en-US" w:eastAsia="zh-CN" w:bidi="ar-SA"/>
        </w:rPr>
        <w:t>1）开标一览表（附件</w:t>
      </w:r>
      <w:r>
        <w:rPr>
          <w:rFonts w:hint="eastAsia" w:ascii="宋体" w:hAnsi="宋体" w:cs="Times New Roman"/>
          <w:bCs/>
          <w:color w:val="auto"/>
          <w:kern w:val="2"/>
          <w:sz w:val="24"/>
          <w:szCs w:val="20"/>
          <w:highlight w:val="none"/>
          <w:lang w:val="en-US" w:eastAsia="zh-CN" w:bidi="ar-SA"/>
        </w:rPr>
        <w:t>13</w:t>
      </w:r>
      <w:r>
        <w:rPr>
          <w:rFonts w:hint="eastAsia" w:ascii="宋体" w:hAnsi="宋体" w:eastAsia="宋体" w:cs="Times New Roman"/>
          <w:bCs/>
          <w:color w:val="auto"/>
          <w:kern w:val="2"/>
          <w:sz w:val="24"/>
          <w:szCs w:val="20"/>
          <w:highlight w:val="none"/>
          <w:lang w:val="en-US" w:eastAsia="zh-CN" w:bidi="ar-SA"/>
        </w:rPr>
        <w:t>）；</w:t>
      </w:r>
    </w:p>
    <w:p>
      <w:pPr>
        <w:spacing w:line="360" w:lineRule="auto"/>
        <w:ind w:firstLine="480" w:firstLineChars="200"/>
        <w:rPr>
          <w:rFonts w:hint="eastAsia" w:ascii="Calibri" w:hAnsi="Calibri" w:cs="Calibri"/>
          <w:color w:val="auto"/>
          <w:sz w:val="24"/>
          <w:highlight w:val="none"/>
        </w:rPr>
      </w:pPr>
      <w:r>
        <w:rPr>
          <w:rFonts w:hint="eastAsia" w:ascii="宋体" w:hAnsi="宋体" w:eastAsia="宋体" w:cs="Times New Roman"/>
          <w:bCs/>
          <w:color w:val="auto"/>
          <w:kern w:val="2"/>
          <w:sz w:val="24"/>
          <w:szCs w:val="20"/>
          <w:highlight w:val="none"/>
          <w:lang w:val="en-US" w:eastAsia="zh-CN" w:bidi="ar-SA"/>
        </w:rPr>
        <w:t>（</w:t>
      </w:r>
      <w:r>
        <w:rPr>
          <w:rFonts w:hint="eastAsia" w:ascii="宋体" w:hAnsi="宋体" w:cs="Times New Roman"/>
          <w:bCs/>
          <w:color w:val="auto"/>
          <w:kern w:val="2"/>
          <w:sz w:val="24"/>
          <w:szCs w:val="20"/>
          <w:highlight w:val="none"/>
          <w:lang w:val="en-US" w:eastAsia="zh-CN" w:bidi="ar-SA"/>
        </w:rPr>
        <w:t>2</w:t>
      </w:r>
      <w:r>
        <w:rPr>
          <w:rFonts w:hint="eastAsia" w:ascii="Calibri" w:hAnsi="Calibri" w:cs="Calibri"/>
          <w:color w:val="auto"/>
          <w:sz w:val="24"/>
          <w:highlight w:val="none"/>
        </w:rPr>
        <w:t>）针对报价</w:t>
      </w:r>
      <w:r>
        <w:rPr>
          <w:rFonts w:hint="eastAsia" w:ascii="Calibri" w:hAnsi="Calibri" w:cs="Calibri"/>
          <w:color w:val="auto"/>
          <w:sz w:val="24"/>
          <w:highlight w:val="none"/>
          <w:lang w:eastAsia="zh-CN"/>
        </w:rPr>
        <w:t>供应商</w:t>
      </w:r>
      <w:r>
        <w:rPr>
          <w:rFonts w:hint="eastAsia" w:ascii="Calibri" w:hAnsi="Calibri" w:cs="Calibri"/>
          <w:color w:val="auto"/>
          <w:sz w:val="24"/>
          <w:highlight w:val="none"/>
        </w:rPr>
        <w:t>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应按照招标需求内容、责任范围以及合同条款进行报价。并按“开标一览表”和“报价明细表”规定的格式报出总价和分项价格。投标总价中不得包含招标文件要求以外的内容，否则，在评标时不予核减。</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其应包括（但不限于）项目实施人员费用、软件开发、安装、调试、测试、技术交底、技术培训、售后服务、验收、培训、采购代理服务费、保修及其他配套服务等一切税金和费用</w:t>
      </w:r>
      <w:r>
        <w:rPr>
          <w:rFonts w:hint="eastAsia" w:asciiTheme="minorEastAsia" w:hAnsiTheme="minorEastAsia" w:eastAsiaTheme="minorEastAsia"/>
          <w:bCs/>
          <w:color w:val="auto"/>
          <w:kern w:val="0"/>
          <w:sz w:val="24"/>
          <w:highlight w:val="none"/>
          <w:lang w:eastAsia="zh-CN"/>
        </w:rPr>
        <w:t>合同包含的所有风险责任和不可预见费等所需的全部费用。</w:t>
      </w:r>
      <w:r>
        <w:rPr>
          <w:rFonts w:hint="eastAsia" w:asciiTheme="minorEastAsia" w:hAnsiTheme="minorEastAsia" w:eastAsiaTheme="minorEastAsia"/>
          <w:bCs/>
          <w:color w:val="auto"/>
          <w:kern w:val="0"/>
          <w:sz w:val="24"/>
          <w:highlight w:val="none"/>
          <w:lang w:val="en-US" w:eastAsia="zh-CN"/>
        </w:rPr>
        <w:t>供应商</w:t>
      </w:r>
      <w:r>
        <w:rPr>
          <w:rFonts w:hint="eastAsia" w:asciiTheme="minorEastAsia" w:hAnsiTheme="minorEastAsia" w:eastAsiaTheme="minorEastAsia"/>
          <w:bCs/>
          <w:color w:val="auto"/>
          <w:kern w:val="0"/>
          <w:sz w:val="24"/>
          <w:highlight w:val="none"/>
          <w:lang w:eastAsia="zh-CN"/>
        </w:rPr>
        <w:t>方在投标报价中应充分考虑所有可能发生的费用，否则甲方将视投标报价中已包括所有费用</w:t>
      </w:r>
      <w:r>
        <w:rPr>
          <w:rFonts w:hint="eastAsia" w:asciiTheme="minorEastAsia" w:hAnsiTheme="minorEastAsia" w:eastAsiaTheme="minorEastAsia"/>
          <w:bCs/>
          <w:color w:val="auto"/>
          <w:kern w:val="0"/>
          <w:sz w:val="24"/>
          <w:highlight w:val="none"/>
        </w:rPr>
        <w:t>。</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12"/>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1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1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w:t>
      </w:r>
      <w:r>
        <w:rPr>
          <w:rFonts w:hint="eastAsia" w:asciiTheme="minorEastAsia" w:hAnsiTheme="minorEastAsia" w:eastAsiaTheme="minorEastAsia"/>
          <w:bCs/>
          <w:color w:val="auto"/>
          <w:kern w:val="0"/>
          <w:sz w:val="24"/>
          <w:highlight w:val="none"/>
          <w:lang w:eastAsia="zh-CN"/>
        </w:rPr>
        <w:t>供应商</w:t>
      </w:r>
      <w:r>
        <w:rPr>
          <w:rFonts w:hint="eastAsia" w:asciiTheme="minorEastAsia" w:hAnsiTheme="minorEastAsia" w:eastAsiaTheme="minorEastAsia"/>
          <w:bCs/>
          <w:color w:val="auto"/>
          <w:kern w:val="0"/>
          <w:sz w:val="24"/>
          <w:highlight w:val="none"/>
        </w:rPr>
        <w:t>是联合体的，联合体牵头单位应盖章，并签署联合体牵头单位法定代表人或经其正式授权的代表的全名）。授权代表须出具书面授权证明，其《法定代表人授权书》应附在投标文件中。</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1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pPr>
        <w:pStyle w:val="1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登录政采云平台，用“项目采购-开标评标”功能对投标文件进行在线解密，在线解密时间为开标时间起半个小时内；</w:t>
      </w:r>
    </w:p>
    <w:p>
      <w:pPr>
        <w:pStyle w:val="12"/>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w:t>
      </w:r>
      <w:r>
        <w:rPr>
          <w:rFonts w:hint="eastAsia"/>
          <w:color w:val="auto"/>
          <w:sz w:val="24"/>
          <w:szCs w:val="22"/>
          <w:highlight w:val="none"/>
          <w:lang w:eastAsia="zh-CN"/>
        </w:rPr>
        <w:t>供应商</w:t>
      </w:r>
      <w:r>
        <w:rPr>
          <w:rFonts w:hint="eastAsia"/>
          <w:color w:val="auto"/>
          <w:sz w:val="24"/>
          <w:szCs w:val="22"/>
          <w:highlight w:val="none"/>
        </w:rPr>
        <w:t>名称、投标价格和招标文件规定的需要宣布的其他内容（以开标一览表要求为准）；</w:t>
      </w:r>
    </w:p>
    <w:p>
      <w:pPr>
        <w:pStyle w:val="1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pPr>
        <w:pStyle w:val="12"/>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pPr>
        <w:pStyle w:val="12"/>
        <w:spacing w:line="360" w:lineRule="auto"/>
        <w:ind w:firstLine="480" w:firstLineChars="200"/>
        <w:rPr>
          <w:color w:val="auto"/>
          <w:sz w:val="24"/>
          <w:szCs w:val="22"/>
          <w:highlight w:val="none"/>
        </w:rPr>
      </w:pPr>
      <w:r>
        <w:rPr>
          <w:rFonts w:hint="eastAsia"/>
          <w:color w:val="auto"/>
          <w:sz w:val="24"/>
          <w:szCs w:val="22"/>
          <w:highlight w:val="none"/>
          <w:lang w:eastAsia="zh-CN"/>
        </w:rPr>
        <w:t>供应商</w:t>
      </w:r>
      <w:r>
        <w:rPr>
          <w:rFonts w:hint="eastAsia"/>
          <w:color w:val="auto"/>
          <w:sz w:val="24"/>
          <w:szCs w:val="22"/>
          <w:highlight w:val="none"/>
        </w:rPr>
        <w:t>代表对开标过程和开标记录有疑义，以及认为采购人、采购组织机构相关工作人员有需要回避的情形的，应当场提出询问或者回避申请，开标会议结束后不再接受相关询问、质疑或者回避申请。</w:t>
      </w:r>
    </w:p>
    <w:p>
      <w:pPr>
        <w:pStyle w:val="12"/>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lang w:eastAsia="zh-CN"/>
        </w:rPr>
        <w:t>供应商</w:t>
      </w:r>
      <w:r>
        <w:rPr>
          <w:rFonts w:hint="eastAsia"/>
          <w:color w:val="auto"/>
          <w:sz w:val="24"/>
          <w:szCs w:val="22"/>
          <w:highlight w:val="none"/>
        </w:rPr>
        <w:t>不足三家，不得开标。</w:t>
      </w:r>
    </w:p>
    <w:p>
      <w:pPr>
        <w:pStyle w:val="16"/>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4"/>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24"/>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pPr>
        <w:pStyle w:val="13"/>
        <w:numPr>
          <w:ilvl w:val="0"/>
          <w:numId w:val="6"/>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pPr>
        <w:pStyle w:val="13"/>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24"/>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5"/>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w:t>
      </w:r>
      <w:r>
        <w:rPr>
          <w:rFonts w:hint="eastAsia" w:ascii="宋体" w:hAnsi="宋体"/>
          <w:color w:val="auto"/>
          <w:sz w:val="24"/>
          <w:highlight w:val="none"/>
          <w:lang w:eastAsia="zh-CN"/>
        </w:rPr>
        <w:t>供应商</w:t>
      </w:r>
      <w:r>
        <w:rPr>
          <w:rFonts w:hint="eastAsia" w:ascii="宋体" w:hAnsi="宋体"/>
          <w:color w:val="auto"/>
          <w:sz w:val="24"/>
          <w:highlight w:val="none"/>
        </w:rPr>
        <w:t>认为招标文件、采购过程和中标结果使自己的权益受到损害的，通过政采云平台的质疑系统一次性向采购人或采购组织机构提出质疑：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认为招标文件的内容损害其权益的，应当自获取之日起（获取截止日之后收到招标文件的，以获取截止日为准）7个工作日内提出质疑；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对采购过程提出质疑的，应当在各采购程序环节结束之日起7个工作日内提出质疑；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对中标结果提出质疑的，应当在中标结果公告期限届满之日起7个工作日内提出质疑。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w:t>
      </w:r>
      <w:r>
        <w:rPr>
          <w:rFonts w:hint="eastAsia" w:ascii="宋体" w:hAnsi="宋体"/>
          <w:color w:val="auto"/>
          <w:sz w:val="24"/>
          <w:highlight w:val="none"/>
          <w:lang w:eastAsia="zh-CN"/>
        </w:rPr>
        <w:t>供应商</w:t>
      </w:r>
      <w:r>
        <w:rPr>
          <w:rFonts w:hint="eastAsia" w:ascii="宋体" w:hAnsi="宋体"/>
          <w:color w:val="auto"/>
          <w:sz w:val="24"/>
          <w:highlight w:val="none"/>
        </w:rPr>
        <w:t>的书面质疑后7个工作日内作出答复，并以书面形式或政采云平台回复质疑</w:t>
      </w:r>
      <w:r>
        <w:rPr>
          <w:rFonts w:hint="eastAsia" w:ascii="宋体" w:hAnsi="宋体"/>
          <w:color w:val="auto"/>
          <w:sz w:val="24"/>
          <w:highlight w:val="none"/>
          <w:lang w:eastAsia="zh-CN"/>
        </w:rPr>
        <w:t>供应商</w:t>
      </w:r>
      <w:r>
        <w:rPr>
          <w:rFonts w:hint="eastAsia" w:ascii="宋体" w:hAnsi="宋体"/>
          <w:color w:val="auto"/>
          <w:sz w:val="24"/>
          <w:highlight w:val="none"/>
        </w:rPr>
        <w:t>和其他有关</w:t>
      </w:r>
      <w:r>
        <w:rPr>
          <w:rFonts w:hint="eastAsia" w:ascii="宋体" w:hAnsi="宋体"/>
          <w:color w:val="auto"/>
          <w:sz w:val="24"/>
          <w:highlight w:val="none"/>
          <w:lang w:eastAsia="zh-CN"/>
        </w:rPr>
        <w:t>供应商</w:t>
      </w:r>
      <w:r>
        <w:rPr>
          <w:rFonts w:hint="eastAsia" w:ascii="宋体" w:hAnsi="宋体"/>
          <w:color w:val="auto"/>
          <w:sz w:val="24"/>
          <w:highlight w:val="none"/>
        </w:rPr>
        <w:t>，但答复内容不涉及商业秘密。</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对采购人或采购组织机构的质疑答复不满意或在规定时间内未得到答复的，可以在答复期满后15个工作日内，向同级政府采购监督管理机构投诉。</w:t>
      </w:r>
    </w:p>
    <w:p>
      <w:pPr>
        <w:pStyle w:val="13"/>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pPr>
        <w:numPr>
          <w:ilvl w:val="0"/>
          <w:numId w:val="5"/>
        </w:numPr>
        <w:spacing w:line="360" w:lineRule="auto"/>
        <w:jc w:val="center"/>
        <w:rPr>
          <w:rFonts w:asciiTheme="minorEastAsia" w:hAnsiTheme="minorEastAsia" w:eastAsiaTheme="minorEastAsia"/>
          <w:b/>
          <w:color w:val="auto"/>
          <w:sz w:val="36"/>
          <w:szCs w:val="36"/>
          <w:highlight w:val="none"/>
        </w:rPr>
      </w:pPr>
      <w:bookmarkStart w:id="37" w:name="_Toc13072_WPSOffice_Level1"/>
      <w:r>
        <w:rPr>
          <w:rFonts w:hint="eastAsia" w:asciiTheme="minorEastAsia" w:hAnsiTheme="minorEastAsia" w:eastAsiaTheme="minorEastAsia"/>
          <w:b/>
          <w:color w:val="auto"/>
          <w:sz w:val="36"/>
          <w:szCs w:val="36"/>
          <w:highlight w:val="none"/>
        </w:rPr>
        <w:t>招标需求</w:t>
      </w:r>
      <w:bookmarkEnd w:id="37"/>
    </w:p>
    <w:p>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个标项，具体内容如下表：</w:t>
      </w:r>
    </w:p>
    <w:tbl>
      <w:tblPr>
        <w:tblStyle w:val="28"/>
        <w:tblpPr w:leftFromText="181" w:rightFromText="181" w:bottomFromText="170" w:vertAnchor="text" w:tblpXSpec="center" w:tblpY="1"/>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972"/>
        <w:gridCol w:w="594"/>
        <w:gridCol w:w="825"/>
        <w:gridCol w:w="1215"/>
        <w:gridCol w:w="168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70"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bookmarkStart w:id="38" w:name="_Toc25710"/>
            <w:r>
              <w:rPr>
                <w:rFonts w:hint="eastAsia" w:ascii="宋体" w:hAnsi="宋体" w:cs="宋体"/>
                <w:b/>
                <w:color w:val="auto"/>
                <w:szCs w:val="21"/>
                <w:highlight w:val="none"/>
              </w:rPr>
              <w:t>标项号</w:t>
            </w:r>
          </w:p>
        </w:tc>
        <w:tc>
          <w:tcPr>
            <w:tcW w:w="1972"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ind w:firstLine="105" w:firstLineChars="50"/>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标项名称</w:t>
            </w:r>
          </w:p>
        </w:tc>
        <w:tc>
          <w:tcPr>
            <w:tcW w:w="594"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825"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单位</w:t>
            </w:r>
          </w:p>
        </w:tc>
        <w:tc>
          <w:tcPr>
            <w:tcW w:w="1215" w:type="dxa"/>
            <w:vAlign w:val="center"/>
          </w:tcPr>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预算</w:t>
            </w:r>
            <w:r>
              <w:rPr>
                <w:rFonts w:hint="eastAsia" w:ascii="宋体" w:hAnsi="宋体" w:cs="宋体"/>
                <w:b/>
                <w:color w:val="auto"/>
                <w:szCs w:val="21"/>
                <w:highlight w:val="none"/>
                <w:lang w:val="en-US" w:eastAsia="zh-CN"/>
              </w:rPr>
              <w:t>金额</w:t>
            </w:r>
          </w:p>
          <w:p>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1680" w:type="dxa"/>
            <w:vAlign w:val="center"/>
          </w:tcPr>
          <w:p>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最高限价</w:t>
            </w:r>
          </w:p>
          <w:p>
            <w:pPr>
              <w:keepNext w:val="0"/>
              <w:keepLines w:val="0"/>
              <w:pageBreakBefore w:val="0"/>
              <w:kinsoku/>
              <w:wordWrap/>
              <w:overflowPunct/>
              <w:topLinePunct w:val="0"/>
              <w:bidi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cs="宋体"/>
                <w:b/>
                <w:color w:val="auto"/>
                <w:szCs w:val="21"/>
                <w:highlight w:val="none"/>
              </w:rPr>
              <w:t>元）</w:t>
            </w:r>
          </w:p>
        </w:tc>
        <w:tc>
          <w:tcPr>
            <w:tcW w:w="240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7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197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台州市国土空间基础信息平台升级改造项目</w:t>
            </w:r>
          </w:p>
        </w:tc>
        <w:tc>
          <w:tcPr>
            <w:tcW w:w="594"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w:t>
            </w:r>
          </w:p>
        </w:tc>
        <w:tc>
          <w:tcPr>
            <w:tcW w:w="825"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eastAsia="zh-CN"/>
              </w:rPr>
            </w:pPr>
            <w:r>
              <w:rPr>
                <w:rFonts w:hint="default" w:ascii="宋体" w:hAnsi="宋体" w:cs="宋体"/>
                <w:color w:val="auto"/>
                <w:kern w:val="0"/>
                <w:sz w:val="24"/>
                <w:highlight w:val="none"/>
                <w:lang w:eastAsia="zh-CN"/>
              </w:rPr>
              <w:t>项</w:t>
            </w:r>
          </w:p>
        </w:tc>
        <w:tc>
          <w:tcPr>
            <w:tcW w:w="1215"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120</w:t>
            </w:r>
          </w:p>
        </w:tc>
        <w:tc>
          <w:tcPr>
            <w:tcW w:w="1680"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120</w:t>
            </w:r>
          </w:p>
        </w:tc>
        <w:tc>
          <w:tcPr>
            <w:tcW w:w="2400"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项目计划建设期为12个月</w:t>
            </w:r>
          </w:p>
        </w:tc>
      </w:tr>
      <w:bookmarkEnd w:id="38"/>
    </w:tbl>
    <w:p>
      <w:pPr>
        <w:pStyle w:val="3"/>
        <w:spacing w:beforeAutospacing="0" w:afterAutospacing="0"/>
        <w:rPr>
          <w:rFonts w:hint="default" w:ascii="宋体" w:hAnsi="宋体" w:eastAsia="宋体" w:cs="Times New Roman"/>
          <w:lang w:val="en-US" w:eastAsia="zh-CN"/>
        </w:rPr>
      </w:pPr>
      <w:bookmarkStart w:id="39" w:name="_Toc12208"/>
      <w:bookmarkStart w:id="40" w:name="_Toc30806"/>
      <w:r>
        <w:rPr>
          <w:rFonts w:hint="default" w:ascii="宋体" w:hAnsi="宋体" w:eastAsia="宋体" w:cs="Times New Roman"/>
          <w:lang w:val="en-US" w:eastAsia="zh-CN"/>
        </w:rPr>
        <w:t>一、</w:t>
      </w:r>
      <w:r>
        <w:rPr>
          <w:rFonts w:hint="eastAsia"/>
          <w:b/>
          <w:bCs/>
          <w:lang w:eastAsia="zh-CN"/>
        </w:rPr>
        <w:t>项目背景</w:t>
      </w:r>
    </w:p>
    <w:p>
      <w:pPr>
        <w:keepNext w:val="0"/>
        <w:keepLines w:val="0"/>
        <w:pageBreakBefore w:val="0"/>
        <w:kinsoku/>
        <w:wordWrap/>
        <w:overflowPunct/>
        <w:topLinePunct w:val="0"/>
        <w:bidi w:val="0"/>
        <w:spacing w:beforeAutospacing="0" w:afterAutospacing="0" w:line="360" w:lineRule="auto"/>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000000"/>
          <w:sz w:val="24"/>
        </w:rPr>
        <w:t>国家发改委印发</w:t>
      </w:r>
      <w:r>
        <w:rPr>
          <w:rFonts w:hint="eastAsia" w:ascii="宋体" w:hAnsi="宋体" w:cs="宋体"/>
          <w:color w:val="000000"/>
          <w:sz w:val="24"/>
          <w:lang w:eastAsia="zh-CN"/>
        </w:rPr>
        <w:t>的</w:t>
      </w:r>
      <w:r>
        <w:rPr>
          <w:rFonts w:hint="eastAsia" w:ascii="宋体" w:hAnsi="宋体" w:cs="宋体"/>
          <w:color w:val="000000"/>
          <w:sz w:val="24"/>
        </w:rPr>
        <w:t>《“十四五”国家信息化规划》，提出“要加大IT行业的国产化，实现自主研发和自主可控”；国务院《关于加强数字政府建设的指导意见》提出“加强自主创新，加快数字政府建设领域关键核心技术公关，强化安全可靠技术和产品应用，切实提高自主可控水平”；《浙江省软件和信息服务业发展“十四五”规划》提到“推进国产硬件、数据库、操作系统、中间件、安全软件及各类应用软件的集成、适配、优化，构建基于自主可控基础平台的应用软件开发和服务生态”</w:t>
      </w:r>
      <w:r>
        <w:rPr>
          <w:rFonts w:hint="eastAsia" w:ascii="宋体" w:hAnsi="宋体" w:cs="宋体"/>
          <w:color w:val="000000"/>
          <w:sz w:val="24"/>
          <w:lang w:eastAsia="zh-CN"/>
        </w:rPr>
        <w:t>。随着国内自主软件创新能力、开发能力、应用能力、服务支撑能力与安全可靠软件产品的不断提升，信创应用能有效解决信息技术发展中带来的安全问题，是打造可掌控、研究、发展和生产的基础设施的必然选择，助力进一步提升信息技术核心竞争力和创新升级能力。</w:t>
      </w:r>
    </w:p>
    <w:p>
      <w:pPr>
        <w:pStyle w:val="3"/>
        <w:spacing w:beforeAutospacing="0" w:afterAutospacing="0"/>
        <w:rPr>
          <w:rFonts w:hint="default" w:ascii="宋体" w:hAnsi="宋体" w:eastAsia="宋体" w:cs="Times New Roman"/>
          <w:lang w:val="en-US" w:eastAsia="zh-CN"/>
        </w:rPr>
      </w:pPr>
      <w:r>
        <w:rPr>
          <w:rFonts w:hint="default" w:ascii="宋体" w:hAnsi="宋体" w:eastAsia="宋体" w:cs="Times New Roman"/>
          <w:lang w:val="en-US" w:eastAsia="zh-CN"/>
        </w:rPr>
        <w:t>二、</w:t>
      </w:r>
      <w:r>
        <w:rPr>
          <w:rFonts w:hint="eastAsia"/>
          <w:b/>
          <w:bCs/>
          <w:lang w:eastAsia="zh-CN"/>
        </w:rPr>
        <w:t>建设目标</w:t>
      </w:r>
    </w:p>
    <w:p>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sz w:val="24"/>
        </w:rPr>
        <w:t>坚决贯彻落实习近平总书记“没有网络安全就没有国家安全、没有信息化就没有现代化”的重要指示</w:t>
      </w:r>
      <w:r>
        <w:rPr>
          <w:rFonts w:hint="eastAsia" w:ascii="宋体" w:hAnsi="宋体"/>
          <w:sz w:val="24"/>
          <w:lang w:eastAsia="zh-CN"/>
        </w:rPr>
        <w:t>精神</w:t>
      </w:r>
      <w:r>
        <w:rPr>
          <w:rFonts w:hint="eastAsia" w:ascii="宋体" w:hAnsi="宋体"/>
          <w:sz w:val="24"/>
        </w:rPr>
        <w:t>，按照部、省、市有关要求及“十四五”规划的建设目标，紧紧围绕局职能和信息安全工作要求，充分运用新一代信息技术，按照“节约集约、资源复用、创新引领、安全可控”的思路，立足</w:t>
      </w:r>
      <w:r>
        <w:rPr>
          <w:rFonts w:hint="eastAsia" w:ascii="宋体" w:hAnsi="宋体"/>
          <w:sz w:val="24"/>
          <w:lang w:val="en-US" w:eastAsia="zh-CN"/>
        </w:rPr>
        <w:t>台州市自然资源和规划局</w:t>
      </w:r>
      <w:r>
        <w:rPr>
          <w:rFonts w:hint="eastAsia" w:ascii="宋体" w:hAnsi="宋体"/>
          <w:sz w:val="24"/>
        </w:rPr>
        <w:t>信息化已有基础，提前规划、稳步推进，积极响应台州市政府关于国产信创的建设要求，</w:t>
      </w:r>
      <w:r>
        <w:rPr>
          <w:rFonts w:hint="eastAsia" w:ascii="宋体" w:hAnsi="宋体"/>
          <w:sz w:val="24"/>
          <w:lang w:val="en-US" w:eastAsia="zh-CN"/>
        </w:rPr>
        <w:t>完成</w:t>
      </w:r>
      <w:r>
        <w:rPr>
          <w:rFonts w:hint="eastAsia" w:ascii="宋体" w:hAnsi="宋体"/>
          <w:sz w:val="24"/>
        </w:rPr>
        <w:t>台州市国土空间基础信息平台安全可靠改造</w:t>
      </w:r>
      <w:r>
        <w:rPr>
          <w:rFonts w:hint="eastAsia" w:ascii="宋体" w:hAnsi="宋体"/>
          <w:sz w:val="24"/>
          <w:lang w:eastAsia="zh-CN"/>
        </w:rPr>
        <w:t>，</w:t>
      </w:r>
      <w:r>
        <w:rPr>
          <w:rFonts w:hint="eastAsia" w:ascii="宋体" w:hAnsi="宋体"/>
          <w:sz w:val="24"/>
        </w:rPr>
        <w:t>对平台进行基于信创服务器、数据库和操作系统环境的改造，同时将平台地理空间数据库整库迁移至信创云平台，切实提高自然资源数据安全保障能力。</w:t>
      </w:r>
    </w:p>
    <w:p>
      <w:pPr>
        <w:pStyle w:val="3"/>
        <w:spacing w:before="120" w:afterAutospacing="0"/>
        <w:rPr>
          <w:rFonts w:hint="default" w:ascii="宋体" w:hAnsi="宋体" w:eastAsia="宋体" w:cs="Times New Roman"/>
          <w:lang w:val="en-US" w:eastAsia="zh-CN"/>
        </w:rPr>
      </w:pPr>
      <w:r>
        <w:rPr>
          <w:rFonts w:hint="default" w:ascii="宋体" w:hAnsi="宋体" w:eastAsia="宋体" w:cs="Times New Roman"/>
          <w:lang w:val="en-US" w:eastAsia="zh-CN"/>
        </w:rPr>
        <w:t>三、</w:t>
      </w:r>
      <w:r>
        <w:rPr>
          <w:rFonts w:hint="eastAsia"/>
          <w:b/>
          <w:bCs/>
          <w:lang w:eastAsia="zh-CN"/>
        </w:rPr>
        <w:t>项目建设内容及要求</w:t>
      </w:r>
    </w:p>
    <w:bookmarkEnd w:id="39"/>
    <w:bookmarkEnd w:id="40"/>
    <w:p>
      <w:pPr>
        <w:spacing w:after="90" w:afterLines="28" w:afterAutospacing="0" w:line="440" w:lineRule="exact"/>
        <w:ind w:firstLine="480" w:firstLineChars="200"/>
        <w:rPr>
          <w:rFonts w:hint="eastAsia"/>
        </w:rPr>
      </w:pPr>
      <w:r>
        <w:rPr>
          <w:rFonts w:hint="eastAsia" w:ascii="宋体" w:hAnsi="宋体"/>
          <w:sz w:val="24"/>
        </w:rPr>
        <w:t>项目总投资金额为12</w:t>
      </w:r>
      <w:r>
        <w:rPr>
          <w:rFonts w:hint="eastAsia" w:ascii="宋体" w:hAnsi="宋体"/>
          <w:sz w:val="24"/>
          <w:lang w:val="en-US" w:eastAsia="zh-CN"/>
        </w:rPr>
        <w:t>0</w:t>
      </w:r>
      <w:r>
        <w:rPr>
          <w:rFonts w:hint="eastAsia" w:ascii="宋体" w:hAnsi="宋体"/>
          <w:sz w:val="24"/>
        </w:rPr>
        <w:t>万元，资金来源：2024年度城市建设专项资金。</w:t>
      </w:r>
    </w:p>
    <w:p>
      <w:pPr>
        <w:spacing w:beforeAutospacing="0" w:after="90" w:afterLines="28" w:afterAutospacing="0"/>
        <w:ind w:firstLine="560"/>
        <w:rPr>
          <w:rFonts w:ascii="宋体" w:hAnsi="宋体" w:eastAsia="宋体" w:cs="宋体"/>
          <w:color w:val="000000"/>
          <w:sz w:val="24"/>
          <w:szCs w:val="24"/>
        </w:rPr>
      </w:pPr>
      <w:r>
        <w:rPr>
          <w:rFonts w:hint="eastAsia" w:ascii="宋体" w:hAnsi="宋体" w:eastAsia="宋体" w:cs="宋体"/>
          <w:color w:val="000000"/>
          <w:sz w:val="24"/>
          <w:szCs w:val="24"/>
        </w:rPr>
        <w:t>（一）建设内容</w:t>
      </w:r>
    </w:p>
    <w:p>
      <w:pPr>
        <w:spacing w:beforeAutospacing="0" w:line="440" w:lineRule="exact"/>
        <w:ind w:firstLine="480" w:firstLineChars="200"/>
        <w:rPr>
          <w:rFonts w:ascii="宋体" w:hAnsi="宋体" w:cs="宋体"/>
          <w:sz w:val="24"/>
        </w:rPr>
      </w:pPr>
      <w:r>
        <w:rPr>
          <w:rFonts w:hint="eastAsia" w:ascii="宋体" w:hAnsi="宋体" w:cs="宋体"/>
          <w:color w:val="000000"/>
          <w:sz w:val="24"/>
        </w:rPr>
        <w:t>基于国产操作系统</w:t>
      </w:r>
      <w:r>
        <w:rPr>
          <w:rFonts w:hint="eastAsia" w:ascii="宋体" w:hAnsi="宋体" w:cs="宋体"/>
          <w:color w:val="000000"/>
          <w:sz w:val="24"/>
          <w:lang w:eastAsia="zh-CN"/>
        </w:rPr>
        <w:t>、</w:t>
      </w:r>
      <w:r>
        <w:rPr>
          <w:rFonts w:hint="eastAsia" w:ascii="宋体" w:hAnsi="宋体" w:cs="宋体"/>
          <w:color w:val="000000"/>
          <w:sz w:val="24"/>
          <w:lang w:val="en-US" w:eastAsia="zh-CN"/>
        </w:rPr>
        <w:t>国产服务器、国产数据库</w:t>
      </w:r>
      <w:r>
        <w:rPr>
          <w:rFonts w:hint="eastAsia" w:ascii="宋体" w:hAnsi="宋体" w:cs="宋体"/>
          <w:color w:val="000000"/>
          <w:sz w:val="24"/>
        </w:rPr>
        <w:t>等，对台州市国土空间基础信息平台（二期</w:t>
      </w:r>
      <w:r>
        <w:rPr>
          <w:rFonts w:hint="eastAsia" w:ascii="宋体" w:hAnsi="宋体" w:cs="宋体"/>
          <w:color w:val="000000"/>
          <w:sz w:val="24"/>
          <w:lang w:eastAsia="zh-CN"/>
        </w:rPr>
        <w:t>、</w:t>
      </w:r>
      <w:r>
        <w:rPr>
          <w:rFonts w:hint="eastAsia" w:ascii="宋体" w:hAnsi="宋体" w:cs="宋体"/>
          <w:color w:val="000000"/>
          <w:sz w:val="24"/>
        </w:rPr>
        <w:t>迭代</w:t>
      </w:r>
      <w:r>
        <w:rPr>
          <w:rFonts w:hint="eastAsia" w:ascii="宋体" w:hAnsi="宋体" w:cs="宋体"/>
          <w:color w:val="000000"/>
          <w:sz w:val="24"/>
          <w:lang w:eastAsia="zh-CN"/>
        </w:rPr>
        <w:t>深化</w:t>
      </w:r>
      <w:r>
        <w:rPr>
          <w:rFonts w:hint="eastAsia" w:ascii="宋体" w:hAnsi="宋体" w:cs="宋体"/>
          <w:color w:val="000000"/>
          <w:sz w:val="24"/>
        </w:rPr>
        <w:t>）</w:t>
      </w:r>
      <w:r>
        <w:rPr>
          <w:rFonts w:hint="eastAsia" w:ascii="宋体" w:hAnsi="宋体" w:cs="宋体"/>
          <w:sz w:val="24"/>
        </w:rPr>
        <w:t>进行安全可靠改造，建设内容包含数据迁移至国产化数据库、对原系统功能进行安全可靠改造和国产化软件购置。</w:t>
      </w:r>
    </w:p>
    <w:p>
      <w:pPr>
        <w:pStyle w:val="4"/>
        <w:numPr>
          <w:ilvl w:val="2"/>
          <w:numId w:val="0"/>
        </w:numPr>
        <w:tabs>
          <w:tab w:val="left" w:pos="2644"/>
          <w:tab w:val="clear" w:pos="8280"/>
        </w:tabs>
        <w:spacing w:before="0"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1、台州市国土空间基础信息平台二期改造</w:t>
      </w:r>
    </w:p>
    <w:p>
      <w:pPr>
        <w:spacing w:line="440" w:lineRule="exact"/>
        <w:ind w:firstLine="480" w:firstLineChars="200"/>
        <w:rPr>
          <w:rFonts w:hint="eastAsia" w:ascii="宋体" w:hAnsi="宋体" w:cs="宋体"/>
          <w:sz w:val="24"/>
        </w:rPr>
      </w:pPr>
      <w:r>
        <w:rPr>
          <w:rFonts w:hint="eastAsia" w:ascii="宋体" w:hAnsi="宋体" w:cs="宋体"/>
          <w:sz w:val="24"/>
        </w:rPr>
        <w:t>台州市国土空间基础信息平台二期改造的具体工作包括数据迁移、应用服务模块改造、国土空间管理态势感知模块、自然资源综合信息掌上查询模块（政务版+公众版）改造、内网平台功能进行国产化改造、与系统集成与对接。</w:t>
      </w:r>
    </w:p>
    <w:p>
      <w:pPr>
        <w:pStyle w:val="5"/>
        <w:numPr>
          <w:ilvl w:val="3"/>
          <w:numId w:val="0"/>
        </w:numPr>
        <w:tabs>
          <w:tab w:val="left" w:pos="1984"/>
        </w:tabs>
        <w:spacing w:before="0" w:after="0"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1）数据迁移</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需完成台州市国土空间基础信息平台二期国土空</w:t>
      </w:r>
      <w:r>
        <w:rPr>
          <w:rFonts w:hint="eastAsia" w:ascii="宋体" w:hAnsi="宋体" w:cs="宋体"/>
          <w:color w:val="auto"/>
          <w:sz w:val="24"/>
          <w:lang w:val="en-US" w:eastAsia="zh-CN"/>
        </w:rPr>
        <w:t>间综合数据仓（部署在市级服务器上的）全量迁移，实现在信创环境下现有地图服务重新发布、数据服务共享发布、数据</w:t>
      </w:r>
      <w:r>
        <w:rPr>
          <w:rFonts w:hint="eastAsia" w:ascii="宋体" w:hAnsi="宋体" w:cs="宋体"/>
          <w:sz w:val="24"/>
          <w:lang w:val="en-US" w:eastAsia="zh-CN"/>
        </w:rPr>
        <w:t>更新机制建立。</w:t>
      </w:r>
    </w:p>
    <w:p>
      <w:pPr>
        <w:pStyle w:val="5"/>
        <w:numPr>
          <w:ilvl w:val="3"/>
          <w:numId w:val="0"/>
        </w:numPr>
        <w:tabs>
          <w:tab w:val="left" w:pos="1984"/>
        </w:tabs>
        <w:spacing w:before="0" w:after="0" w:line="440" w:lineRule="exact"/>
        <w:ind w:firstLine="482"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二期应用系统模块改造</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需对二期应用系统模块进行改造，包括应用服务模块改造、国土空间管理态势感知模块改造、自然资源综合信息掌上查询系统改造、内网平台国产化适配改造部署。</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①应用服务模块改造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需对应用服务模块进行信创改造，包括二维一张图、叠加分析服务、空间数据上图入库等功能。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②国土空间管理态势感知模块改造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需对国土空间管理态势感知模块进行信创改造，包括自然资源现状专题感知、国土空间规划专题感知、空间用途管制专题感知、开发利用管理专题感知和生态保护修复专题感知等功能。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③自然资源综合信息掌上查询模块（政务版+公众版）改造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需对自然资源综合信息掌上查询模块（政务版+公众版）进行信创改造，包括自然资源综合信息“掌上查”政务版和自然资源综合信息“掌上查”公众版两部分内容。</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④内网平台国产化适配改造部署</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需对内网平台进行国产化适配改造部署。</w:t>
      </w:r>
    </w:p>
    <w:p>
      <w:pPr>
        <w:pStyle w:val="5"/>
        <w:numPr>
          <w:ilvl w:val="3"/>
          <w:numId w:val="0"/>
        </w:numPr>
        <w:tabs>
          <w:tab w:val="left" w:pos="1984"/>
        </w:tabs>
        <w:spacing w:before="0" w:after="0"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（3）系统集成与对接</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需完成服务接口改造，实现与局内部相关信息平台和台州市公共数据共享平台的系统集成对接。</w:t>
      </w:r>
    </w:p>
    <w:p>
      <w:pPr>
        <w:pStyle w:val="4"/>
        <w:numPr>
          <w:ilvl w:val="2"/>
          <w:numId w:val="0"/>
        </w:numPr>
        <w:tabs>
          <w:tab w:val="left" w:pos="2644"/>
          <w:tab w:val="clear" w:pos="8280"/>
        </w:tabs>
        <w:spacing w:before="0"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2、台州市国土空间基础信息平台迭代深化项目改造</w:t>
      </w:r>
    </w:p>
    <w:p>
      <w:pPr>
        <w:pStyle w:val="5"/>
        <w:numPr>
          <w:ilvl w:val="3"/>
          <w:numId w:val="0"/>
        </w:numPr>
        <w:tabs>
          <w:tab w:val="left" w:pos="1984"/>
        </w:tabs>
        <w:spacing w:before="0" w:after="0"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数据迁移</w:t>
      </w:r>
    </w:p>
    <w:p>
      <w:pPr>
        <w:spacing w:line="440" w:lineRule="exact"/>
        <w:ind w:firstLine="480" w:firstLineChars="200"/>
        <w:rPr>
          <w:rFonts w:hint="eastAsia" w:ascii="宋体" w:hAnsi="宋体" w:cs="宋体"/>
          <w:color w:val="auto"/>
          <w:sz w:val="24"/>
          <w:lang w:val="en-US" w:eastAsia="zh-CN"/>
        </w:rPr>
      </w:pPr>
      <w:r>
        <w:rPr>
          <w:rFonts w:hint="eastAsia" w:ascii="宋体" w:hAnsi="宋体" w:cs="宋体"/>
          <w:sz w:val="24"/>
          <w:lang w:val="en-US" w:eastAsia="zh-CN"/>
        </w:rPr>
        <w:t>需完成台州市国土空间基础信息平台迭代</w:t>
      </w:r>
      <w:r>
        <w:rPr>
          <w:rFonts w:hint="eastAsia" w:ascii="宋体" w:hAnsi="宋体" w:cs="宋体"/>
          <w:color w:val="auto"/>
          <w:sz w:val="24"/>
          <w:lang w:val="en-US" w:eastAsia="zh-CN"/>
        </w:rPr>
        <w:t>深化国土空间综合数据仓（部署在市级服务器上的）全量迁移，实现</w:t>
      </w:r>
      <w:r>
        <w:rPr>
          <w:rFonts w:hint="default" w:ascii="宋体" w:hAnsi="宋体" w:cs="宋体"/>
          <w:color w:val="auto"/>
          <w:sz w:val="24"/>
          <w:lang w:eastAsia="zh-CN"/>
        </w:rPr>
        <w:t>在信创环境下</w:t>
      </w:r>
      <w:r>
        <w:rPr>
          <w:rFonts w:hint="eastAsia" w:ascii="宋体" w:hAnsi="宋体" w:cs="宋体"/>
          <w:color w:val="auto"/>
          <w:sz w:val="24"/>
          <w:lang w:val="en-US" w:eastAsia="zh-CN"/>
        </w:rPr>
        <w:t>现有地图服务重新发布、数据服务共享发布、数据更新机制建立。</w:t>
      </w:r>
    </w:p>
    <w:p>
      <w:pPr>
        <w:pStyle w:val="5"/>
        <w:numPr>
          <w:ilvl w:val="3"/>
          <w:numId w:val="0"/>
        </w:numPr>
        <w:tabs>
          <w:tab w:val="left" w:pos="1984"/>
        </w:tabs>
        <w:spacing w:before="0" w:after="0" w:line="44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（2）迭代深化功能模块适配改造</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①空间数据归集系统改造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需对空间数据归集系统进行信创改造，包括空间数据归集管理和空间数据资产管理功能。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②空间数据治理系统改造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需对空间数据治理系统进行信创改造，包括我的问题、</w:t>
      </w:r>
      <w:r>
        <w:rPr>
          <w:rFonts w:hint="default" w:ascii="宋体" w:hAnsi="宋体" w:cs="宋体"/>
          <w:sz w:val="24"/>
          <w:lang w:eastAsia="zh-CN"/>
        </w:rPr>
        <w:t>待</w:t>
      </w:r>
      <w:r>
        <w:rPr>
          <w:rFonts w:hint="eastAsia" w:ascii="宋体" w:hAnsi="宋体" w:cs="宋体"/>
          <w:sz w:val="24"/>
          <w:lang w:val="en-US" w:eastAsia="zh-CN"/>
        </w:rPr>
        <w:t>办问题、已办问题和办结问题功能。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③空间数据共享系统改造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需对空间数据共享系统进行信创改造，包括卫星</w:t>
      </w:r>
      <w:r>
        <w:rPr>
          <w:rFonts w:hint="default" w:ascii="宋体" w:hAnsi="宋体" w:cs="宋体"/>
          <w:sz w:val="24"/>
          <w:lang w:eastAsia="zh-CN"/>
        </w:rPr>
        <w:t>影像</w:t>
      </w:r>
      <w:r>
        <w:rPr>
          <w:rFonts w:hint="eastAsia" w:ascii="宋体" w:hAnsi="宋体" w:cs="宋体"/>
          <w:sz w:val="24"/>
          <w:lang w:val="en-US" w:eastAsia="zh-CN"/>
        </w:rPr>
        <w:t>共享、平台搜索、实时数据查询服务、实时数据分发服务等功能。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④三维一张图服务改造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需对三维一张图服务进行信创改造，包括三维立体一张图和三维一张图应用配置等功能。</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⑤空间计算组件迁移</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空间计算组件进行国产化迁移，主要包括坐标检测组件复用对接、空间落位组件复用对接、叠加分析组件开发、缓冲区分析组件开发、填挖方分析组件开发、用户组件复用对接、认证组件复用对接、消息组件复用对接、上图入库接口复用对接、图形编辑接口。</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⑥全链路监测组件迁移</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需对全链路监测组件进行国产化迁移，主要包括开发地图服务调用日志、开发功能接口调用日志、开发数据分发监测日志、开发探针运行监测和接入省级运行监测。</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⑦自然资源“一本账”改造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需对自然资源“一本账”进行信创改造，依托自然资源“一本账”功能，建设工程一本账统计分析。</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⑧融合感知一张网改造</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需对融合感知一张网进行信创改造，集成耕地智保监控资源，实现全方位监测、分析与研判。</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⑨掌上查功能改造</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需对掌上查功能进行信创改造，增加服务申请和数据下载申请的数据移动审核功能和消息提醒功能。</w:t>
      </w:r>
    </w:p>
    <w:p>
      <w:pPr>
        <w:pStyle w:val="5"/>
        <w:numPr>
          <w:ilvl w:val="3"/>
          <w:numId w:val="0"/>
        </w:numPr>
        <w:tabs>
          <w:tab w:val="left" w:pos="1984"/>
        </w:tabs>
        <w:spacing w:before="0" w:after="0" w:line="44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（3）系统集成与对接</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①需实现对业务场景N应用的支撑信创改造，为业务场景提供数据支撑、组件支撑和应用支撑，合力构建多跨协同应用新生态。</w:t>
      </w: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②需实现与省域空间治理数字化平台台州节点对接，优化与省级国土空间基础信息平台对接。</w:t>
      </w:r>
    </w:p>
    <w:p>
      <w:pPr>
        <w:bidi w:val="0"/>
      </w:pPr>
    </w:p>
    <w:p>
      <w:pPr>
        <w:pStyle w:val="4"/>
        <w:numPr>
          <w:ilvl w:val="2"/>
          <w:numId w:val="0"/>
        </w:numPr>
        <w:tabs>
          <w:tab w:val="left" w:pos="2651"/>
          <w:tab w:val="clear" w:pos="8280"/>
        </w:tabs>
        <w:spacing w:before="0"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3、信创软件采购</w:t>
      </w:r>
    </w:p>
    <w:p>
      <w:pPr>
        <w:spacing w:line="440" w:lineRule="exact"/>
        <w:ind w:firstLine="480" w:firstLineChars="200"/>
        <w:rPr>
          <w:rFonts w:hint="eastAsia" w:ascii="宋体" w:hAnsi="宋体" w:cs="宋体"/>
          <w:sz w:val="24"/>
          <w:lang w:val="en-US" w:eastAsia="zh-CN"/>
        </w:rPr>
      </w:pPr>
      <w:r>
        <w:rPr>
          <w:rFonts w:hint="eastAsia" w:ascii="宋体" w:hAnsi="宋体" w:cs="宋体"/>
          <w:sz w:val="24"/>
        </w:rPr>
        <w:t>本项目中标人需</w:t>
      </w:r>
      <w:r>
        <w:rPr>
          <w:rFonts w:hint="eastAsia" w:ascii="宋体" w:hAnsi="宋体" w:cs="宋体"/>
          <w:sz w:val="24"/>
          <w:lang w:val="en-US" w:eastAsia="zh-CN"/>
        </w:rPr>
        <w:t>采购国产化数据库管理系统一套。</w:t>
      </w:r>
    </w:p>
    <w:p>
      <w:pPr>
        <w:spacing w:line="440" w:lineRule="exact"/>
        <w:ind w:firstLine="480" w:firstLineChars="200"/>
        <w:rPr>
          <w:rFonts w:hint="eastAsia" w:ascii="宋体" w:hAnsi="宋体" w:cs="宋体"/>
          <w:color w:val="auto"/>
          <w:sz w:val="24"/>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lang w:val="en-US" w:eastAsia="zh-CN"/>
        </w:rPr>
        <w:t>其他</w:t>
      </w:r>
    </w:p>
    <w:p>
      <w:pPr>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本项目中标人需要完成项目密码测评和第三方软件测评，符合验收要求。</w:t>
      </w:r>
    </w:p>
    <w:p>
      <w:pPr>
        <w:pStyle w:val="3"/>
        <w:numPr>
          <w:ilvl w:val="1"/>
          <w:numId w:val="0"/>
        </w:numPr>
        <w:tabs>
          <w:tab w:val="left" w:pos="1145"/>
          <w:tab w:val="clear" w:pos="8280"/>
        </w:tabs>
        <w:spacing w:before="0" w:after="0" w:line="440" w:lineRule="exact"/>
        <w:rPr>
          <w:rFonts w:ascii="宋体" w:hAnsi="宋体" w:eastAsia="宋体" w:cs="宋体"/>
          <w:sz w:val="24"/>
          <w:szCs w:val="24"/>
        </w:rPr>
      </w:pPr>
      <w:r>
        <w:rPr>
          <w:rFonts w:hint="eastAsia" w:ascii="宋体" w:hAnsi="宋体" w:eastAsia="宋体" w:cs="宋体"/>
          <w:sz w:val="24"/>
          <w:szCs w:val="24"/>
        </w:rPr>
        <w:t>（二）系统技术指标</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1、性能要求</w:t>
      </w:r>
    </w:p>
    <w:p>
      <w:pPr>
        <w:spacing w:line="440" w:lineRule="exact"/>
        <w:ind w:firstLine="480" w:firstLineChars="200"/>
        <w:rPr>
          <w:rFonts w:ascii="宋体" w:hAnsi="宋体" w:cs="宋体"/>
          <w:color w:val="000000"/>
          <w:sz w:val="24"/>
        </w:rPr>
      </w:pPr>
      <w:r>
        <w:rPr>
          <w:rFonts w:hint="eastAsia" w:ascii="宋体" w:hAnsi="宋体" w:cs="宋体"/>
          <w:color w:val="000000"/>
          <w:sz w:val="24"/>
          <w:lang w:eastAsia="zh-CN"/>
        </w:rPr>
        <w:t>台州市国土空间基础信息平台升级改造项目</w:t>
      </w:r>
      <w:r>
        <w:rPr>
          <w:rFonts w:hint="eastAsia" w:ascii="宋体" w:hAnsi="宋体" w:cs="宋体"/>
          <w:color w:val="000000"/>
          <w:sz w:val="24"/>
        </w:rPr>
        <w:t>主要性能需求指标包括：</w:t>
      </w:r>
    </w:p>
    <w:p>
      <w:pPr>
        <w:numPr>
          <w:ilvl w:val="0"/>
          <w:numId w:val="0"/>
        </w:numPr>
        <w:spacing w:line="440" w:lineRule="exact"/>
        <w:ind w:firstLine="480" w:firstLineChars="200"/>
        <w:rPr>
          <w:rFonts w:ascii="宋体" w:hAnsi="宋体" w:cs="宋体"/>
          <w:color w:val="000000"/>
          <w:sz w:val="24"/>
        </w:rPr>
      </w:pPr>
      <w:r>
        <w:rPr>
          <w:rFonts w:hint="eastAsia" w:ascii="宋体" w:hAnsi="宋体" w:cs="宋体"/>
          <w:color w:val="000000"/>
          <w:sz w:val="24"/>
        </w:rPr>
        <w:t>（1）系统界面友好，操作简单、易学易用；</w:t>
      </w:r>
    </w:p>
    <w:p>
      <w:pPr>
        <w:numPr>
          <w:ilvl w:val="0"/>
          <w:numId w:val="0"/>
        </w:numPr>
        <w:spacing w:line="440" w:lineRule="exact"/>
        <w:ind w:firstLine="480" w:firstLineChars="200"/>
        <w:rPr>
          <w:rFonts w:ascii="宋体" w:hAnsi="宋体" w:cs="宋体"/>
          <w:color w:val="000000"/>
          <w:sz w:val="24"/>
        </w:rPr>
      </w:pPr>
      <w:r>
        <w:rPr>
          <w:rFonts w:hint="eastAsia" w:ascii="宋体" w:hAnsi="宋体" w:cs="宋体"/>
          <w:color w:val="000000"/>
          <w:sz w:val="24"/>
        </w:rPr>
        <w:t>（2）系统具有较高的响应性能及并发访问性能，具有一定的容错性，在多人（</w:t>
      </w:r>
      <w:r>
        <w:rPr>
          <w:rFonts w:hint="eastAsia" w:ascii="宋体" w:hAnsi="宋体" w:cs="宋体"/>
          <w:color w:val="000000"/>
          <w:sz w:val="24"/>
          <w:lang w:val="en-US" w:eastAsia="zh-CN"/>
        </w:rPr>
        <w:t>5</w:t>
      </w:r>
      <w:r>
        <w:rPr>
          <w:rFonts w:hint="eastAsia" w:ascii="宋体" w:hAnsi="宋体" w:cs="宋体"/>
          <w:color w:val="000000"/>
          <w:sz w:val="24"/>
        </w:rPr>
        <w:t>00人以上）在线的情况下系统运行流畅、稳定；</w:t>
      </w:r>
    </w:p>
    <w:p>
      <w:pPr>
        <w:numPr>
          <w:ilvl w:val="0"/>
          <w:numId w:val="0"/>
        </w:numPr>
        <w:spacing w:line="440" w:lineRule="exact"/>
        <w:ind w:firstLine="480" w:firstLineChars="200"/>
        <w:rPr>
          <w:rFonts w:ascii="宋体" w:hAnsi="宋体" w:cs="宋体"/>
          <w:color w:val="000000"/>
          <w:sz w:val="24"/>
        </w:rPr>
      </w:pPr>
      <w:r>
        <w:rPr>
          <w:rFonts w:hint="eastAsia" w:ascii="宋体" w:hAnsi="宋体" w:cs="宋体"/>
          <w:color w:val="000000"/>
          <w:sz w:val="24"/>
        </w:rPr>
        <w:t>（3）7×24小时连续运行，年平均故障&lt;5天，系统修复时间&lt;3小时，系统平均响应时间&lt;5秒，查询&lt;5秒，对系统异常进行记录和处理；</w:t>
      </w:r>
    </w:p>
    <w:p>
      <w:pPr>
        <w:numPr>
          <w:ilvl w:val="0"/>
          <w:numId w:val="0"/>
        </w:numPr>
        <w:spacing w:line="440" w:lineRule="exact"/>
        <w:ind w:firstLine="480" w:firstLineChars="200"/>
        <w:rPr>
          <w:rFonts w:ascii="宋体" w:hAnsi="宋体" w:cs="宋体"/>
          <w:color w:val="000000"/>
          <w:sz w:val="24"/>
        </w:rPr>
      </w:pPr>
      <w:r>
        <w:rPr>
          <w:rFonts w:hint="eastAsia" w:ascii="宋体" w:hAnsi="宋体" w:cs="宋体"/>
          <w:color w:val="000000"/>
          <w:sz w:val="24"/>
        </w:rPr>
        <w:t>（4）应用服务器宕机不能丢失业务数据；对系统错误和数据异常进行明确、友好的提示。</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2、安全要求</w:t>
      </w:r>
    </w:p>
    <w:p>
      <w:pPr>
        <w:widowControl/>
        <w:tabs>
          <w:tab w:val="left" w:pos="993"/>
        </w:tabs>
        <w:spacing w:line="440" w:lineRule="exact"/>
        <w:ind w:firstLine="480" w:firstLineChars="200"/>
        <w:rPr>
          <w:rFonts w:hint="eastAsia" w:ascii="宋体" w:hAnsi="宋体" w:cs="宋体"/>
          <w:color w:val="000000"/>
          <w:sz w:val="24"/>
        </w:rPr>
      </w:pPr>
      <w:r>
        <w:rPr>
          <w:rFonts w:hint="eastAsia" w:ascii="宋体" w:hAnsi="宋体" w:cs="宋体"/>
          <w:color w:val="000000"/>
          <w:sz w:val="24"/>
        </w:rPr>
        <w:t>本项目的信创改造应符合国家、省、市相关安全管理要求。</w:t>
      </w:r>
    </w:p>
    <w:p>
      <w:pPr>
        <w:widowControl/>
        <w:tabs>
          <w:tab w:val="left" w:pos="993"/>
        </w:tabs>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本项目需要完成网络安全等级保护三级测评。</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3、系统运行环境要求</w:t>
      </w:r>
    </w:p>
    <w:p>
      <w:pPr>
        <w:widowControl/>
        <w:tabs>
          <w:tab w:val="left" w:pos="993"/>
        </w:tabs>
        <w:spacing w:line="440" w:lineRule="exact"/>
        <w:ind w:firstLine="480" w:firstLineChars="200"/>
        <w:rPr>
          <w:rFonts w:hint="eastAsia" w:ascii="宋体" w:hAnsi="宋体" w:cs="宋体"/>
          <w:color w:val="000000"/>
          <w:sz w:val="24"/>
        </w:rPr>
      </w:pPr>
      <w:r>
        <w:rPr>
          <w:rFonts w:hint="eastAsia" w:ascii="宋体" w:hAnsi="宋体" w:cs="宋体"/>
          <w:color w:val="000000"/>
          <w:sz w:val="24"/>
        </w:rPr>
        <w:t>针对系统运行所需的服务器配置、网络配套等需求，</w:t>
      </w:r>
      <w:r>
        <w:rPr>
          <w:rFonts w:hint="eastAsia" w:ascii="宋体" w:hAnsi="宋体" w:cs="宋体"/>
          <w:color w:val="000000"/>
          <w:sz w:val="24"/>
          <w:lang w:eastAsia="zh-CN"/>
        </w:rPr>
        <w:t>供应商</w:t>
      </w:r>
      <w:r>
        <w:rPr>
          <w:rFonts w:hint="eastAsia" w:ascii="宋体" w:hAnsi="宋体" w:cs="宋体"/>
          <w:color w:val="000000"/>
          <w:sz w:val="24"/>
        </w:rPr>
        <w:t>需形成服务器资源需求建议方案。</w:t>
      </w:r>
    </w:p>
    <w:p>
      <w:pPr>
        <w:pStyle w:val="3"/>
        <w:numPr>
          <w:ilvl w:val="1"/>
          <w:numId w:val="0"/>
        </w:numPr>
        <w:tabs>
          <w:tab w:val="left" w:pos="1145"/>
          <w:tab w:val="clear" w:pos="8280"/>
        </w:tabs>
        <w:spacing w:before="0" w:after="0" w:line="440" w:lineRule="exact"/>
        <w:rPr>
          <w:rFonts w:ascii="宋体" w:hAnsi="宋体" w:eastAsia="宋体" w:cs="宋体"/>
          <w:color w:val="000000"/>
          <w:sz w:val="24"/>
          <w:szCs w:val="24"/>
        </w:rPr>
      </w:pPr>
      <w:r>
        <w:rPr>
          <w:rFonts w:hint="eastAsia" w:ascii="宋体" w:hAnsi="宋体" w:eastAsia="宋体" w:cs="宋体"/>
          <w:color w:val="000000"/>
          <w:sz w:val="24"/>
          <w:szCs w:val="24"/>
        </w:rPr>
        <w:t>（三）建设进度要求</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项目计划建设期为12个月。自合同签订之日起</w:t>
      </w:r>
      <w:r>
        <w:rPr>
          <w:rFonts w:hint="eastAsia" w:ascii="宋体" w:hAnsi="宋体" w:cs="宋体"/>
          <w:color w:val="auto"/>
          <w:sz w:val="24"/>
        </w:rPr>
        <w:t>6个月内完成</w:t>
      </w:r>
      <w:r>
        <w:rPr>
          <w:rFonts w:hint="eastAsia" w:ascii="宋体" w:hAnsi="宋体" w:cs="宋体"/>
          <w:color w:val="auto"/>
          <w:sz w:val="24"/>
          <w:lang w:val="zh-CN"/>
        </w:rPr>
        <w:t>信创升级改造、测试和部署工作；</w:t>
      </w:r>
      <w:r>
        <w:rPr>
          <w:rFonts w:hint="eastAsia" w:ascii="宋体" w:hAnsi="宋体" w:cs="宋体"/>
          <w:color w:val="auto"/>
          <w:sz w:val="24"/>
        </w:rPr>
        <w:t>7个月内</w:t>
      </w:r>
      <w:r>
        <w:rPr>
          <w:rFonts w:hint="eastAsia" w:ascii="宋体" w:hAnsi="宋体" w:cs="宋体"/>
          <w:color w:val="auto"/>
          <w:sz w:val="24"/>
          <w:lang w:val="zh-CN"/>
        </w:rPr>
        <w:t>基本完成项目建设，并通过项目初验，系统进入试运行；试运行</w:t>
      </w:r>
      <w:r>
        <w:rPr>
          <w:rFonts w:hint="eastAsia" w:ascii="宋体" w:hAnsi="宋体" w:cs="宋体"/>
          <w:color w:val="auto"/>
          <w:sz w:val="24"/>
        </w:rPr>
        <w:t>3个月无问题后，完成项目终验</w:t>
      </w:r>
      <w:r>
        <w:rPr>
          <w:rFonts w:hint="eastAsia" w:ascii="宋体" w:hAnsi="宋体" w:cs="宋体"/>
          <w:color w:val="auto"/>
          <w:sz w:val="24"/>
          <w:lang w:val="zh-CN"/>
        </w:rPr>
        <w:t>。</w:t>
      </w:r>
    </w:p>
    <w:p>
      <w:pPr>
        <w:spacing w:line="440" w:lineRule="exact"/>
        <w:ind w:firstLine="480" w:firstLineChars="200"/>
        <w:rPr>
          <w:rFonts w:ascii="宋体" w:hAnsi="宋体" w:cs="宋体"/>
          <w:color w:val="auto"/>
          <w:sz w:val="24"/>
          <w:lang w:val="zh-CN"/>
        </w:rPr>
      </w:pPr>
      <w:r>
        <w:rPr>
          <w:rFonts w:hint="eastAsia" w:ascii="宋体" w:hAnsi="宋体" w:cs="宋体"/>
          <w:color w:val="auto"/>
          <w:sz w:val="24"/>
        </w:rPr>
        <w:t>2、如果甲方与乙方中任何一方由于地震、台风、水灾、疫情、战争等灾害和上级</w:t>
      </w:r>
      <w:r>
        <w:rPr>
          <w:rFonts w:hint="eastAsia" w:ascii="宋体" w:hAnsi="宋体" w:cs="宋体"/>
          <w:color w:val="auto"/>
          <w:sz w:val="24"/>
          <w:lang w:val="zh-CN"/>
        </w:rPr>
        <w:t>主管部门政策要求变化以及其他经双方同意属于不可抗力的事故，致使合同履行受阻时，则合同履行期可延长，其延长期与不可抗力影响期相当，由此造成的损失双方均不得提出索赔要求。</w:t>
      </w:r>
    </w:p>
    <w:p>
      <w:pPr>
        <w:pStyle w:val="3"/>
        <w:numPr>
          <w:ilvl w:val="1"/>
          <w:numId w:val="0"/>
        </w:numPr>
        <w:tabs>
          <w:tab w:val="left" w:pos="1145"/>
          <w:tab w:val="clear" w:pos="8280"/>
        </w:tabs>
        <w:spacing w:before="0" w:after="0" w:line="440" w:lineRule="exact"/>
        <w:rPr>
          <w:rFonts w:ascii="宋体" w:hAnsi="宋体" w:eastAsia="宋体" w:cs="宋体"/>
          <w:color w:val="000000"/>
          <w:sz w:val="24"/>
          <w:szCs w:val="24"/>
        </w:rPr>
      </w:pPr>
      <w:r>
        <w:rPr>
          <w:rFonts w:hint="eastAsia" w:ascii="宋体" w:hAnsi="宋体" w:eastAsia="宋体" w:cs="宋体"/>
          <w:color w:val="000000"/>
          <w:sz w:val="24"/>
          <w:szCs w:val="24"/>
        </w:rPr>
        <w:t>（四）项目实施要求</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1、人员配置要求</w:t>
      </w:r>
    </w:p>
    <w:p>
      <w:pPr>
        <w:widowControl/>
        <w:tabs>
          <w:tab w:val="left" w:pos="993"/>
        </w:tabs>
        <w:spacing w:line="440" w:lineRule="exact"/>
        <w:ind w:firstLine="480" w:firstLineChars="200"/>
        <w:rPr>
          <w:rFonts w:ascii="宋体" w:hAnsi="宋体" w:cs="宋体"/>
          <w:color w:val="000000"/>
          <w:sz w:val="24"/>
        </w:rPr>
      </w:pPr>
      <w:r>
        <w:rPr>
          <w:rFonts w:hint="eastAsia" w:ascii="宋体" w:hAnsi="宋体" w:cs="宋体"/>
          <w:color w:val="000000"/>
          <w:sz w:val="24"/>
        </w:rPr>
        <w:t>中标人应在合同签订之日起5日内，至少指派1名项目经理（需具备2年及以上相应项目管理经验）对项目的总体实施进行管控。软件系统开发根据实际需求，现场负责系统开发实施工作，确保项目正常运行，直至项目实施完成。期间应服从采购方管理，并遵守现场的各项规章制度。项目经理和技术负责人必须全程参与本项目的开发、实施过程，项目验收前无故不得更换。</w:t>
      </w:r>
      <w:r>
        <w:rPr>
          <w:rFonts w:hint="eastAsia" w:ascii="宋体" w:hAnsi="宋体" w:cs="宋体"/>
          <w:color w:val="000000"/>
          <w:sz w:val="24"/>
          <w:lang w:eastAsia="zh-CN"/>
        </w:rPr>
        <w:t>供应商</w:t>
      </w:r>
      <w:r>
        <w:rPr>
          <w:rFonts w:hint="eastAsia" w:ascii="宋体" w:hAnsi="宋体" w:cs="宋体"/>
          <w:color w:val="000000"/>
          <w:sz w:val="24"/>
        </w:rPr>
        <w:t>在投标时需在拟派人员表中注明驻场人员，在项目建设期的驻场人员不应少于1名，如需变更，需经采购人认可。</w:t>
      </w:r>
    </w:p>
    <w:p>
      <w:pPr>
        <w:pStyle w:val="23"/>
        <w:spacing w:line="440" w:lineRule="exact"/>
        <w:ind w:left="0" w:leftChars="0" w:firstLine="480" w:firstLineChars="200"/>
        <w:rPr>
          <w:rFonts w:ascii="宋体" w:hAnsi="宋体" w:cs="宋体"/>
          <w:color w:val="000000"/>
          <w:sz w:val="24"/>
        </w:rPr>
      </w:pPr>
      <w:r>
        <w:rPr>
          <w:rFonts w:hint="eastAsia" w:ascii="宋体" w:hAnsi="宋体" w:cs="宋体"/>
          <w:color w:val="000000"/>
          <w:sz w:val="24"/>
        </w:rPr>
        <w:t>中标人驻场、开发人员须遵守采购方相关工作规定、要求，如出现驻场、开发人员因迟到、早退、工作时间做与工作无关事情等，被甲方检查通报；因服务被用户投诉等，须扣减1%合同金额作为赔偿。</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2、实施方案要求</w:t>
      </w:r>
    </w:p>
    <w:p>
      <w:pPr>
        <w:widowControl/>
        <w:tabs>
          <w:tab w:val="left" w:pos="993"/>
        </w:tabs>
        <w:spacing w:line="440" w:lineRule="exact"/>
        <w:ind w:firstLine="480" w:firstLineChars="200"/>
        <w:rPr>
          <w:rFonts w:ascii="宋体" w:hAnsi="宋体" w:cs="宋体"/>
          <w:color w:val="000000"/>
          <w:sz w:val="24"/>
        </w:rPr>
      </w:pPr>
      <w:r>
        <w:rPr>
          <w:rFonts w:hint="eastAsia" w:ascii="宋体" w:hAnsi="宋体" w:cs="宋体"/>
          <w:color w:val="000000"/>
          <w:sz w:val="24"/>
        </w:rPr>
        <w:t>在本项目合同签订后，中标人应开展相应的项目实施调研工作，编制详细实施方案。</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3、测试要求</w:t>
      </w:r>
    </w:p>
    <w:p>
      <w:pPr>
        <w:widowControl/>
        <w:tabs>
          <w:tab w:val="left" w:pos="993"/>
        </w:tabs>
        <w:spacing w:line="440" w:lineRule="exact"/>
        <w:ind w:firstLine="480" w:firstLineChars="200"/>
        <w:rPr>
          <w:rFonts w:ascii="宋体" w:hAnsi="宋体" w:cs="宋体"/>
          <w:color w:val="000000"/>
          <w:sz w:val="24"/>
        </w:rPr>
      </w:pPr>
      <w:r>
        <w:rPr>
          <w:rFonts w:hint="eastAsia" w:ascii="宋体" w:hAnsi="宋体" w:cs="宋体"/>
          <w:color w:val="000000"/>
          <w:sz w:val="24"/>
        </w:rPr>
        <w:t>中标人应按照合同要求测试所有软件功能模块，保证满足功能规范中所述运行要求，负责合同中所有软件的现场部署、现场验收测试等工作。通过测试验收判断系统质量是否符合产品需求、功能实现是否正确，性能方面是否符合运行要求，并且产品可以最终上线。</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4、验收要求</w:t>
      </w:r>
    </w:p>
    <w:p>
      <w:pPr>
        <w:widowControl/>
        <w:tabs>
          <w:tab w:val="left" w:pos="993"/>
        </w:tabs>
        <w:spacing w:line="440" w:lineRule="exact"/>
        <w:ind w:firstLine="480" w:firstLineChars="200"/>
        <w:rPr>
          <w:rFonts w:ascii="宋体" w:hAnsi="宋体" w:cs="宋体"/>
          <w:color w:val="000000"/>
          <w:sz w:val="24"/>
        </w:rPr>
      </w:pPr>
      <w:r>
        <w:rPr>
          <w:rFonts w:hint="eastAsia" w:ascii="宋体" w:hAnsi="宋体" w:cs="宋体"/>
          <w:color w:val="000000"/>
          <w:sz w:val="24"/>
        </w:rPr>
        <w:t>在中标人按合同约定完成建设任务后，采购人负责组织项目验收。</w:t>
      </w:r>
    </w:p>
    <w:p>
      <w:pPr>
        <w:keepNext w:val="0"/>
        <w:keepLines w:val="0"/>
        <w:widowControl w:val="0"/>
        <w:suppressLineNumbers w:val="0"/>
        <w:tabs>
          <w:tab w:val="left" w:pos="993"/>
        </w:tabs>
        <w:spacing w:before="0" w:beforeAutospacing="0" w:after="0" w:afterAutospacing="0" w:line="440" w:lineRule="exact"/>
        <w:ind w:left="0" w:right="0" w:firstLine="480" w:firstLineChars="200"/>
        <w:jc w:val="both"/>
        <w:rPr>
          <w:rFonts w:ascii="宋体" w:hAnsi="宋体" w:cs="宋体"/>
          <w:color w:val="auto"/>
          <w:sz w:val="24"/>
        </w:rPr>
      </w:pPr>
      <w:r>
        <w:rPr>
          <w:rFonts w:hint="eastAsia" w:ascii="宋体" w:hAnsi="宋体" w:cs="宋体"/>
          <w:color w:val="000000"/>
          <w:sz w:val="24"/>
        </w:rPr>
        <w:t>验收时需提供的文档包括但不仅限</w:t>
      </w:r>
      <w:r>
        <w:rPr>
          <w:rFonts w:hint="eastAsia" w:ascii="宋体" w:hAnsi="宋体" w:cs="宋体"/>
          <w:color w:val="auto"/>
          <w:sz w:val="24"/>
        </w:rPr>
        <w:t>于：项目实施方案、测试方案、测试报告、系统试运行报告、项目总结报告、用户使用手册</w:t>
      </w:r>
      <w:r>
        <w:rPr>
          <w:rFonts w:hint="eastAsia" w:ascii="宋体" w:hAnsi="宋体" w:eastAsia="宋体" w:cs="宋体"/>
          <w:color w:val="auto"/>
          <w:kern w:val="2"/>
          <w:sz w:val="24"/>
          <w:szCs w:val="24"/>
          <w:lang w:val="en-US" w:eastAsia="zh-CN" w:bidi="ar"/>
        </w:rPr>
        <w:t>、密码测评报告、第三方软件测评报告</w:t>
      </w:r>
      <w:r>
        <w:rPr>
          <w:rFonts w:hint="eastAsia" w:ascii="宋体" w:hAnsi="宋体" w:cs="宋体"/>
          <w:color w:val="auto"/>
          <w:sz w:val="24"/>
        </w:rPr>
        <w:t>以及其他需要提交的材料。</w:t>
      </w:r>
    </w:p>
    <w:p>
      <w:pPr>
        <w:keepNext w:val="0"/>
        <w:keepLines w:val="0"/>
        <w:widowControl w:val="0"/>
        <w:suppressLineNumbers w:val="0"/>
        <w:spacing w:before="0" w:beforeAutospacing="0" w:after="0" w:afterAutospacing="0" w:line="440" w:lineRule="exact"/>
        <w:ind w:left="0" w:leftChars="0" w:right="0" w:firstLine="480" w:firstLineChars="200"/>
        <w:jc w:val="both"/>
        <w:rPr>
          <w:rFonts w:ascii="宋体" w:hAnsi="宋体" w:cs="宋体"/>
          <w:color w:val="auto"/>
          <w:sz w:val="24"/>
        </w:rPr>
      </w:pPr>
      <w:r>
        <w:rPr>
          <w:rFonts w:hint="eastAsia" w:ascii="宋体" w:hAnsi="宋体" w:cs="宋体"/>
          <w:color w:val="auto"/>
          <w:sz w:val="24"/>
        </w:rPr>
        <w:t>中标人完成项目要求的建设内容后可申请试运行，试运行至少 1 个月无问题后申请验收，验收材料经采购人认可后由</w:t>
      </w:r>
      <w:r>
        <w:rPr>
          <w:rFonts w:hint="eastAsia" w:ascii="宋体" w:hAnsi="宋体" w:eastAsia="宋体" w:cs="宋体"/>
          <w:color w:val="auto"/>
          <w:kern w:val="2"/>
          <w:sz w:val="24"/>
          <w:szCs w:val="24"/>
          <w:lang w:val="en-US" w:eastAsia="zh-CN" w:bidi="ar"/>
        </w:rPr>
        <w:t>采购人报请市数据局</w:t>
      </w:r>
      <w:r>
        <w:rPr>
          <w:rFonts w:hint="eastAsia" w:ascii="宋体" w:hAnsi="宋体" w:cs="宋体"/>
          <w:color w:val="auto"/>
          <w:sz w:val="24"/>
        </w:rPr>
        <w:t>组织专家进行验收。</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5、应急服务响应措施要求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要求提供 7×24 小时的实时支持响应服务。要求在 12 小时内响应采购人提出的疑问和修改意见。发生重大事故、问题要求 2 小时内解决。需提供完整的应急处理流程和预防措施。需根据系统及运行环境的不同故障类型、不同紧急程度说明突发事件的应急策略。</w:t>
      </w:r>
    </w:p>
    <w:p>
      <w:pPr>
        <w:pStyle w:val="3"/>
        <w:numPr>
          <w:ilvl w:val="1"/>
          <w:numId w:val="0"/>
        </w:numPr>
        <w:tabs>
          <w:tab w:val="left" w:pos="1145"/>
          <w:tab w:val="clear" w:pos="8280"/>
        </w:tabs>
        <w:spacing w:before="0" w:after="0" w:line="440" w:lineRule="exact"/>
        <w:rPr>
          <w:rFonts w:ascii="宋体" w:hAnsi="宋体" w:eastAsia="宋体" w:cs="宋体"/>
          <w:color w:val="000000"/>
          <w:sz w:val="24"/>
          <w:szCs w:val="24"/>
        </w:rPr>
      </w:pPr>
      <w:r>
        <w:rPr>
          <w:rFonts w:hint="eastAsia" w:ascii="宋体" w:hAnsi="宋体" w:eastAsia="宋体" w:cs="宋体"/>
          <w:color w:val="000000"/>
          <w:sz w:val="24"/>
          <w:szCs w:val="24"/>
        </w:rPr>
        <w:t>（五）运维服务要求</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1、售后服务要求</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本项目运维服务必须是产品原厂商提供运维服务。中标单位需提供免费驻场运维</w:t>
      </w:r>
      <w:r>
        <w:rPr>
          <w:rFonts w:hint="eastAsia" w:ascii="宋体" w:hAnsi="宋体" w:eastAsia="宋体" w:cs="宋体"/>
          <w:color w:val="auto"/>
          <w:sz w:val="24"/>
          <w:lang w:eastAsia="zh-CN"/>
        </w:rPr>
        <w:t>服务</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 年，驻场人员不少于1 人</w:t>
      </w:r>
      <w:r>
        <w:rPr>
          <w:rFonts w:hint="eastAsia" w:ascii="宋体" w:hAnsi="宋体" w:eastAsia="宋体" w:cs="宋体"/>
          <w:color w:val="auto"/>
          <w:sz w:val="24"/>
          <w:lang w:eastAsia="zh-CN"/>
        </w:rPr>
        <w:t>，驻场人员需具有相应中级职称证书，并且需严格遵守采购方工作纪律，接受采购方对该人员的季度评价。</w:t>
      </w:r>
    </w:p>
    <w:p>
      <w:pPr>
        <w:spacing w:line="440" w:lineRule="exact"/>
        <w:ind w:firstLine="480" w:firstLineChars="200"/>
        <w:rPr>
          <w:rFonts w:ascii="宋体" w:hAnsi="宋体" w:cs="宋体"/>
          <w:color w:val="auto"/>
          <w:sz w:val="24"/>
        </w:rPr>
      </w:pPr>
      <w:r>
        <w:rPr>
          <w:rFonts w:hint="eastAsia" w:ascii="宋体" w:hAnsi="宋体" w:eastAsia="宋体" w:cs="宋体"/>
          <w:color w:val="auto"/>
          <w:sz w:val="24"/>
        </w:rPr>
        <w:t>质保期：项目自竣工验收之日起1年内为项目质保期，不计维护费用。</w:t>
      </w:r>
      <w:r>
        <w:rPr>
          <w:rFonts w:hint="eastAsia" w:ascii="宋体" w:hAnsi="宋体" w:eastAsia="宋体" w:cs="宋体"/>
          <w:color w:val="auto"/>
          <w:sz w:val="24"/>
          <w:lang w:eastAsia="zh-CN"/>
        </w:rPr>
        <w:t>质保期结束后，项目运维按有关</w:t>
      </w:r>
      <w:r>
        <w:rPr>
          <w:rFonts w:hint="default" w:ascii="宋体" w:hAnsi="宋体" w:eastAsia="宋体" w:cs="宋体"/>
          <w:color w:val="auto"/>
          <w:sz w:val="24"/>
          <w:lang w:eastAsia="zh-CN"/>
        </w:rPr>
        <w:t>规定</w:t>
      </w:r>
      <w:r>
        <w:rPr>
          <w:rFonts w:hint="eastAsia" w:ascii="宋体" w:hAnsi="宋体" w:eastAsia="宋体" w:cs="宋体"/>
          <w:color w:val="auto"/>
          <w:sz w:val="24"/>
          <w:lang w:eastAsia="zh-CN"/>
        </w:rPr>
        <w:t>执行</w:t>
      </w:r>
      <w:r>
        <w:rPr>
          <w:rFonts w:hint="eastAsia" w:ascii="宋体" w:hAnsi="宋体" w:eastAsia="宋体" w:cs="宋体"/>
          <w:color w:val="auto"/>
          <w:sz w:val="24"/>
          <w:lang w:val="en-US" w:eastAsia="zh-CN"/>
        </w:rPr>
        <w:t>。</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2、培训要求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为了让该系统发挥最大效能，尽快的应用到实际工作中去，中标人应组织各参建单位对系统的使用、维护和管理等提供相应完整的培训，包括最终用户的培训。达到用户能够了解相关技术、掌握系统使用并能够独立进行系统维护的目的。</w:t>
      </w:r>
      <w:r>
        <w:rPr>
          <w:rFonts w:hint="eastAsia" w:ascii="宋体" w:hAnsi="宋体" w:cs="宋体"/>
          <w:color w:val="000000"/>
          <w:sz w:val="24"/>
          <w:lang w:eastAsia="zh-CN"/>
        </w:rPr>
        <w:t>供应商</w:t>
      </w:r>
      <w:r>
        <w:rPr>
          <w:rFonts w:hint="eastAsia" w:ascii="宋体" w:hAnsi="宋体" w:cs="宋体"/>
          <w:color w:val="000000"/>
          <w:sz w:val="24"/>
        </w:rPr>
        <w:t>应提供具有相应专业知识、实际工作和教学经验的讲师和辅导人员以及培训教材。</w:t>
      </w:r>
    </w:p>
    <w:p>
      <w:pPr>
        <w:spacing w:line="440" w:lineRule="exact"/>
        <w:ind w:firstLine="480" w:firstLineChars="200"/>
        <w:rPr>
          <w:rFonts w:ascii="宋体" w:hAnsi="宋体" w:cs="宋体"/>
          <w:color w:val="000000"/>
          <w:sz w:val="24"/>
        </w:rPr>
      </w:pPr>
      <w:r>
        <w:rPr>
          <w:rFonts w:hint="eastAsia" w:ascii="宋体" w:hAnsi="宋体" w:cs="宋体"/>
          <w:color w:val="000000"/>
          <w:sz w:val="24"/>
        </w:rPr>
        <w:t>培训时间和培训地点与采购人协商确定。</w:t>
      </w:r>
    </w:p>
    <w:p>
      <w:pPr>
        <w:spacing w:line="440" w:lineRule="exact"/>
        <w:ind w:firstLine="480" w:firstLineChars="200"/>
        <w:rPr>
          <w:rFonts w:ascii="宋体" w:hAnsi="宋体" w:cs="宋体"/>
          <w:color w:val="000000"/>
          <w:sz w:val="24"/>
        </w:rPr>
      </w:pPr>
      <w:r>
        <w:rPr>
          <w:rFonts w:hint="eastAsia" w:ascii="宋体" w:hAnsi="宋体" w:cs="宋体"/>
          <w:color w:val="000000"/>
          <w:sz w:val="24"/>
        </w:rPr>
        <w:t>培训方式：集中培训和现场培训。</w:t>
      </w:r>
    </w:p>
    <w:p>
      <w:pPr>
        <w:spacing w:line="440" w:lineRule="exact"/>
        <w:ind w:firstLine="480" w:firstLineChars="200"/>
        <w:rPr>
          <w:rFonts w:ascii="宋体" w:hAnsi="宋体" w:cs="宋体"/>
          <w:color w:val="000000"/>
          <w:sz w:val="24"/>
        </w:rPr>
      </w:pPr>
      <w:r>
        <w:rPr>
          <w:rFonts w:hint="eastAsia" w:ascii="宋体" w:hAnsi="宋体" w:cs="宋体"/>
          <w:color w:val="000000"/>
          <w:sz w:val="24"/>
        </w:rPr>
        <w:t>培训对象：软件系统管理员及业务操作人员（培训人数不限）。</w:t>
      </w:r>
    </w:p>
    <w:p>
      <w:pPr>
        <w:spacing w:line="440" w:lineRule="exact"/>
        <w:ind w:firstLine="480" w:firstLineChars="200"/>
        <w:rPr>
          <w:rFonts w:ascii="宋体" w:hAnsi="宋体" w:cs="宋体"/>
          <w:color w:val="000000"/>
          <w:sz w:val="24"/>
        </w:rPr>
      </w:pPr>
      <w:r>
        <w:rPr>
          <w:rFonts w:hint="eastAsia" w:ascii="宋体" w:hAnsi="宋体" w:cs="宋体"/>
          <w:color w:val="000000"/>
          <w:sz w:val="24"/>
        </w:rPr>
        <w:t>培训所使用的语言必须是中文，否则必须提供相应的翻译。</w:t>
      </w:r>
    </w:p>
    <w:p>
      <w:pPr>
        <w:spacing w:line="440" w:lineRule="exact"/>
        <w:ind w:firstLine="480" w:firstLineChars="200"/>
        <w:rPr>
          <w:rFonts w:ascii="宋体" w:hAnsi="宋体" w:cs="宋体"/>
          <w:color w:val="000000"/>
          <w:sz w:val="24"/>
        </w:rPr>
      </w:pPr>
      <w:r>
        <w:rPr>
          <w:rFonts w:hint="eastAsia" w:ascii="宋体" w:hAnsi="宋体" w:cs="宋体"/>
          <w:color w:val="000000"/>
          <w:sz w:val="24"/>
        </w:rPr>
        <w:t>对平台的使用、维护、管理等提供培训服务，明确培训时间、培训方式、培训对象等，至少提供一次培训。</w:t>
      </w:r>
    </w:p>
    <w:p>
      <w:pPr>
        <w:pStyle w:val="3"/>
        <w:numPr>
          <w:ilvl w:val="1"/>
          <w:numId w:val="0"/>
        </w:numPr>
        <w:tabs>
          <w:tab w:val="left" w:pos="1145"/>
          <w:tab w:val="clear" w:pos="8280"/>
        </w:tabs>
        <w:spacing w:before="0" w:after="0" w:line="440" w:lineRule="exact"/>
        <w:rPr>
          <w:rFonts w:ascii="宋体" w:hAnsi="宋体" w:eastAsia="宋体" w:cs="宋体"/>
          <w:color w:val="000000"/>
          <w:sz w:val="24"/>
          <w:szCs w:val="24"/>
        </w:rPr>
      </w:pPr>
      <w:r>
        <w:rPr>
          <w:rFonts w:hint="eastAsia" w:ascii="宋体" w:hAnsi="宋体" w:eastAsia="宋体" w:cs="宋体"/>
          <w:color w:val="000000"/>
          <w:sz w:val="24"/>
          <w:szCs w:val="24"/>
        </w:rPr>
        <w:t>（六）其他要求</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1、项目保密要求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中标单位对本项目所有数据不得带离采购人指定的工作现场，所产生的业务资料、技术信息等负有保密责任，未经采购人同意不得提供给任何第三方，包括中标单位的分支机构、子公司、委托顾问方或接受咨询方。</w:t>
      </w:r>
    </w:p>
    <w:p>
      <w:pPr>
        <w:pStyle w:val="23"/>
        <w:spacing w:line="440" w:lineRule="exact"/>
        <w:ind w:left="0" w:leftChars="0" w:firstLine="480" w:firstLineChars="200"/>
        <w:rPr>
          <w:rFonts w:ascii="宋体" w:hAnsi="宋体" w:cs="宋体"/>
          <w:color w:val="000000"/>
          <w:sz w:val="24"/>
        </w:rPr>
      </w:pPr>
      <w:r>
        <w:rPr>
          <w:rFonts w:hint="eastAsia" w:ascii="宋体" w:hAnsi="宋体" w:cs="宋体"/>
          <w:color w:val="000000"/>
          <w:sz w:val="24"/>
        </w:rPr>
        <w:t>中标人应妥善保管有关的文件和资料，未经采购人许可，不对其进行复制、仿造等。项目结束后，将所有数据、文件和资料等移交给采购人。</w:t>
      </w:r>
    </w:p>
    <w:p>
      <w:pPr>
        <w:spacing w:line="440" w:lineRule="exact"/>
        <w:ind w:firstLine="480" w:firstLineChars="200"/>
        <w:rPr>
          <w:rFonts w:ascii="宋体" w:hAnsi="宋体" w:cs="宋体"/>
          <w:color w:val="000000"/>
          <w:sz w:val="24"/>
        </w:rPr>
      </w:pPr>
      <w:r>
        <w:rPr>
          <w:rFonts w:hint="eastAsia" w:ascii="宋体" w:hAnsi="宋体" w:cs="宋体"/>
          <w:color w:val="000000"/>
          <w:sz w:val="24"/>
        </w:rPr>
        <w:t>中标单位应对有关人员进行有效管理，包括制定规章制度，以确保本合同的履行。</w:t>
      </w:r>
    </w:p>
    <w:p>
      <w:pPr>
        <w:pStyle w:val="4"/>
        <w:numPr>
          <w:ilvl w:val="2"/>
          <w:numId w:val="0"/>
        </w:numPr>
        <w:tabs>
          <w:tab w:val="left" w:pos="2651"/>
          <w:tab w:val="clear" w:pos="8280"/>
        </w:tabs>
        <w:spacing w:before="0"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2、知识产权及版权要求</w:t>
      </w:r>
    </w:p>
    <w:p>
      <w:pPr>
        <w:spacing w:line="440" w:lineRule="exact"/>
        <w:ind w:firstLine="480" w:firstLineChars="200"/>
        <w:rPr>
          <w:rFonts w:ascii="宋体" w:hAnsi="宋体" w:cs="宋体"/>
          <w:color w:val="000000"/>
          <w:sz w:val="24"/>
        </w:rPr>
      </w:pPr>
      <w:r>
        <w:rPr>
          <w:rFonts w:hint="eastAsia" w:ascii="宋体" w:hAnsi="宋体" w:cs="宋体"/>
          <w:color w:val="000000"/>
          <w:sz w:val="24"/>
        </w:rPr>
        <w:t>本项目的最终用户为</w:t>
      </w:r>
      <w:r>
        <w:rPr>
          <w:rFonts w:hint="eastAsia" w:ascii="宋体" w:hAnsi="宋体" w:cs="宋体"/>
          <w:color w:val="000000"/>
          <w:sz w:val="24"/>
          <w:lang w:val="en-US" w:eastAsia="zh-CN"/>
        </w:rPr>
        <w:t>台州市</w:t>
      </w:r>
      <w:r>
        <w:rPr>
          <w:rFonts w:hint="eastAsia" w:ascii="宋体" w:hAnsi="宋体" w:cs="宋体"/>
          <w:color w:val="000000"/>
          <w:sz w:val="24"/>
        </w:rPr>
        <w:t>自然资源和规划局，项目的知识产权、软件版权和相关数据资源归采购人独享，中标人必须提供项目的所有源代码和文档，数据资源入库到采购人数据库。</w:t>
      </w:r>
    </w:p>
    <w:p>
      <w:pPr>
        <w:pStyle w:val="3"/>
        <w:numPr>
          <w:ilvl w:val="1"/>
          <w:numId w:val="0"/>
        </w:numPr>
        <w:tabs>
          <w:tab w:val="left" w:pos="1145"/>
          <w:tab w:val="clear" w:pos="8280"/>
        </w:tabs>
        <w:spacing w:before="0" w:after="0" w:line="440" w:lineRule="exact"/>
        <w:rPr>
          <w:rFonts w:ascii="宋体" w:hAnsi="宋体" w:eastAsia="宋体" w:cs="宋体"/>
          <w:color w:val="000000"/>
          <w:sz w:val="24"/>
          <w:szCs w:val="24"/>
        </w:rPr>
      </w:pPr>
      <w:r>
        <w:rPr>
          <w:rFonts w:hint="eastAsia" w:ascii="宋体" w:hAnsi="宋体" w:eastAsia="宋体" w:cs="宋体"/>
          <w:color w:val="000000"/>
          <w:sz w:val="24"/>
          <w:szCs w:val="24"/>
        </w:rPr>
        <w:t>（七）付款方式</w:t>
      </w:r>
    </w:p>
    <w:p>
      <w:pPr>
        <w:spacing w:line="440" w:lineRule="exact"/>
        <w:ind w:firstLine="480" w:firstLineChars="200"/>
        <w:rPr>
          <w:rFonts w:ascii="宋体" w:hAnsi="宋体" w:cs="宋体"/>
          <w:color w:val="000000"/>
          <w:sz w:val="24"/>
        </w:rPr>
      </w:pPr>
      <w:r>
        <w:rPr>
          <w:rFonts w:hint="eastAsia" w:ascii="宋体" w:hAnsi="宋体" w:cs="宋体"/>
          <w:color w:val="000000"/>
          <w:sz w:val="24"/>
        </w:rPr>
        <w:t>本项目具体付款方式如下：</w:t>
      </w:r>
    </w:p>
    <w:p>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合同签订后，采购人支付合同总价的40%；完成初步验收后，采购人支付合同总价的30%；项目竣工验收合格后，采购人支付合同总价的30%。</w:t>
      </w:r>
    </w:p>
    <w:p>
      <w:pPr>
        <w:spacing w:line="440" w:lineRule="exact"/>
        <w:ind w:firstLine="480" w:firstLineChars="200"/>
        <w:rPr>
          <w:rFonts w:hint="eastAsia" w:ascii="宋体" w:hAnsi="宋体" w:cs="宋体"/>
          <w:color w:val="000000"/>
          <w:sz w:val="24"/>
          <w:lang w:val="zh-CN" w:eastAsia="zh-CN"/>
        </w:rPr>
      </w:pPr>
      <w:r>
        <w:rPr>
          <w:rFonts w:hint="eastAsia" w:ascii="宋体" w:hAnsi="宋体" w:cs="宋体"/>
          <w:color w:val="000000"/>
          <w:sz w:val="24"/>
        </w:rPr>
        <w:t>注：上述支付条件在中标人向采购人提交相应等额发票后，30 日内按采购人流程支付。</w:t>
      </w:r>
    </w:p>
    <w:p>
      <w:pPr>
        <w:pStyle w:val="82"/>
        <w:ind w:firstLine="480"/>
        <w:rPr>
          <w:rFonts w:ascii="宋体" w:hAnsi="宋体" w:cs="仿宋"/>
          <w:bCs/>
          <w:lang w:val="zh-CN"/>
        </w:rPr>
      </w:pPr>
      <w:r>
        <w:rPr>
          <w:rFonts w:ascii="宋体" w:hAnsi="宋体" w:cs="仿宋"/>
          <w:bCs/>
          <w:lang w:val="zh-CN"/>
        </w:rPr>
        <w:t xml:space="preserve">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pPr>
        <w:numPr>
          <w:ilvl w:val="0"/>
          <w:numId w:val="5"/>
        </w:numPr>
        <w:spacing w:line="360" w:lineRule="auto"/>
        <w:jc w:val="center"/>
        <w:rPr>
          <w:rFonts w:asciiTheme="minorEastAsia" w:hAnsiTheme="minorEastAsia" w:eastAsiaTheme="minorEastAsia"/>
          <w:b/>
          <w:color w:val="auto"/>
          <w:sz w:val="36"/>
          <w:szCs w:val="36"/>
          <w:highlight w:val="none"/>
        </w:rPr>
      </w:pPr>
      <w:bookmarkStart w:id="41" w:name="_Toc31173_WPSOffice_Level1"/>
      <w:r>
        <w:rPr>
          <w:rFonts w:hint="eastAsia" w:asciiTheme="minorEastAsia" w:hAnsiTheme="minorEastAsia" w:eastAsiaTheme="minorEastAsia"/>
          <w:b/>
          <w:color w:val="auto"/>
          <w:sz w:val="36"/>
          <w:szCs w:val="36"/>
          <w:highlight w:val="none"/>
        </w:rPr>
        <w:t>评标</w:t>
      </w:r>
      <w:bookmarkEnd w:id="41"/>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为中标候选人的评标方法。</w:t>
      </w:r>
    </w:p>
    <w:p>
      <w:pPr>
        <w:pStyle w:val="27"/>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1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1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对投标文件有关事项作出澄清或者说明；</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4"/>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pPr>
        <w:pStyle w:val="24"/>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13"/>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的报价明显低于其他通过符合性审查</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的报价，有可能影响服务质量或者不能诚信履约的，</w:t>
      </w:r>
      <w:r>
        <w:rPr>
          <w:rFonts w:hint="eastAsia" w:asciiTheme="minorEastAsia" w:hAnsiTheme="minorEastAsia" w:eastAsiaTheme="minorEastAsia"/>
          <w:color w:val="auto"/>
          <w:kern w:val="0"/>
          <w:sz w:val="24"/>
          <w:highlight w:val="none"/>
          <w:lang w:eastAsia="zh-CN"/>
        </w:rPr>
        <w:t>供应商</w:t>
      </w:r>
      <w:r>
        <w:rPr>
          <w:rFonts w:hint="eastAsia" w:asciiTheme="minorEastAsia" w:hAnsiTheme="minorEastAsia" w:eastAsiaTheme="minorEastAsia"/>
          <w:color w:val="auto"/>
          <w:kern w:val="0"/>
          <w:sz w:val="24"/>
          <w:highlight w:val="none"/>
        </w:rPr>
        <w:t>在限定的时间内不能证明其报价合理性的，评标委员会应当将其作为无效投标处理；</w:t>
      </w:r>
    </w:p>
    <w:p>
      <w:pPr>
        <w:pStyle w:val="24"/>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pPr>
        <w:pStyle w:val="13"/>
        <w:spacing w:line="360" w:lineRule="auto"/>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（六）主要性能参数指标负偏离 X 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（九）有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lang w:eastAsia="zh-CN"/>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的投标文件由同一单位或者个人编制；</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委托同一单位或者个人办理投标事宜；</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的投标文件载明的项目管理成员或者联系人员为同一人；</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的投标文件异常一致或者投标报价呈规律性差异；</w:t>
      </w:r>
    </w:p>
    <w:p>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w:t>
      </w:r>
      <w:r>
        <w:rPr>
          <w:rFonts w:hint="eastAsia" w:asciiTheme="minorEastAsia" w:hAnsiTheme="minorEastAsia" w:eastAsiaTheme="minorEastAsia"/>
          <w:color w:val="auto"/>
          <w:highlight w:val="none"/>
          <w:lang w:eastAsia="zh-CN"/>
        </w:rPr>
        <w:t>供应商</w:t>
      </w:r>
      <w:r>
        <w:rPr>
          <w:rFonts w:asciiTheme="minorEastAsia" w:hAnsiTheme="minorEastAsia" w:eastAsiaTheme="minorEastAsia"/>
          <w:color w:val="auto"/>
          <w:highlight w:val="none"/>
        </w:rPr>
        <w:t>的投标文件相互混装。</w:t>
      </w:r>
    </w:p>
    <w:p>
      <w:pPr>
        <w:pStyle w:val="24"/>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（十）</w:t>
      </w:r>
      <w:r>
        <w:rPr>
          <w:rFonts w:cs="宋体"/>
          <w:color w:val="auto"/>
          <w:highlight w:val="none"/>
        </w:rPr>
        <w:t>实质性要求（招标文件中打“▲”内容）不响应的；</w:t>
      </w:r>
    </w:p>
    <w:p>
      <w:pPr>
        <w:pStyle w:val="12"/>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（十一）商务条款不响应的；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（十二）投标文件有效期不足的；</w:t>
      </w:r>
    </w:p>
    <w:p>
      <w:pPr>
        <w:pStyle w:val="12"/>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（十三）逾期或未按要求提交投标文件的；</w:t>
      </w:r>
    </w:p>
    <w:p>
      <w:pPr>
        <w:pStyle w:val="12"/>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（十四）其他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4"/>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pStyle w:val="16"/>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pPr>
        <w:pStyle w:val="24"/>
        <w:spacing w:before="0" w:beforeAutospacing="0" w:after="0" w:afterAutospacing="0" w:line="360" w:lineRule="auto"/>
        <w:ind w:firstLine="480" w:firstLineChars="200"/>
        <w:jc w:val="both"/>
        <w:rPr>
          <w:rFonts w:ascii="宋体"/>
          <w:color w:val="auto"/>
          <w:sz w:val="24"/>
          <w:highlight w:val="none"/>
          <w:lang w:val="zh-CN"/>
        </w:rPr>
      </w:pPr>
      <w:r>
        <w:rPr>
          <w:rFonts w:cs="宋体"/>
          <w:color w:val="auto"/>
          <w:highlight w:val="none"/>
        </w:rPr>
        <w:t>本项目评标过程实行全程录音、录像监控，政府采购监管部门视情进行现场监督，</w:t>
      </w:r>
      <w:r>
        <w:rPr>
          <w:rFonts w:hint="eastAsia" w:cs="宋体"/>
          <w:color w:val="auto"/>
          <w:highlight w:val="none"/>
          <w:lang w:eastAsia="zh-CN"/>
        </w:rPr>
        <w:t>供应商</w:t>
      </w:r>
      <w:r>
        <w:rPr>
          <w:rFonts w:cs="宋体"/>
          <w:color w:val="auto"/>
          <w:highlight w:val="none"/>
        </w:rPr>
        <w:t>在评标过程中所进行的试图影响评标结果的不公正活动，可能导致其投标被拒绝。</w:t>
      </w:r>
    </w:p>
    <w:p>
      <w:pPr>
        <w:pStyle w:val="16"/>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val="en-US" w:eastAsia="zh-CN"/>
        </w:rPr>
        <w:t>七</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13"/>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pPr>
              <w:pStyle w:val="57"/>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7"/>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w:t>
            </w:r>
            <w:r>
              <w:rPr>
                <w:rFonts w:hint="eastAsia"/>
                <w:color w:val="auto"/>
                <w:szCs w:val="21"/>
                <w:highlight w:val="none"/>
                <w:lang w:eastAsia="zh-CN"/>
              </w:rPr>
              <w:t>供应商</w:t>
            </w:r>
            <w:r>
              <w:rPr>
                <w:rFonts w:hint="eastAsia"/>
                <w:color w:val="auto"/>
                <w:szCs w:val="21"/>
                <w:highlight w:val="none"/>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r>
              <w:rPr>
                <w:rFonts w:hint="eastAsia" w:ascii="宋体" w:hAnsi="宋体" w:cs="宋体"/>
                <w:color w:val="auto"/>
                <w:highlight w:val="none"/>
              </w:rPr>
              <w:br w:type="textWrapping"/>
            </w:r>
            <w:r>
              <w:rPr>
                <w:rFonts w:hint="eastAsia" w:ascii="宋体" w:hAnsi="宋体" w:cs="宋体"/>
                <w:color w:val="auto"/>
                <w:highlight w:val="none"/>
              </w:rPr>
              <w:t xml:space="preserve">    3.使用规则：</w:t>
            </w:r>
            <w:r>
              <w:rPr>
                <w:rFonts w:hint="eastAsia" w:ascii="宋体" w:hAnsi="宋体" w:cs="宋体"/>
                <w:color w:val="auto"/>
                <w:highlight w:val="none"/>
                <w:lang w:eastAsia="zh-CN"/>
              </w:rPr>
              <w:t>供应商</w:t>
            </w:r>
            <w:r>
              <w:rPr>
                <w:rFonts w:hint="eastAsia" w:ascii="宋体" w:hAnsi="宋体" w:cs="宋体"/>
                <w:color w:val="auto"/>
                <w:highlight w:val="none"/>
              </w:rPr>
              <w:t>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7"/>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w:t>
            </w:r>
            <w:r>
              <w:rPr>
                <w:rFonts w:hint="eastAsia"/>
                <w:color w:val="auto"/>
                <w:szCs w:val="21"/>
                <w:highlight w:val="none"/>
                <w:lang w:val="en-US" w:eastAsia="zh-CN"/>
              </w:rPr>
              <w:t>不</w:t>
            </w:r>
            <w:r>
              <w:rPr>
                <w:rFonts w:hint="eastAsia"/>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rightChars="0" w:hanging="10" w:firstLineChars="0"/>
              <w:jc w:val="center"/>
              <w:rPr>
                <w:rFonts w:hint="eastAsia"/>
                <w:color w:val="auto"/>
                <w:szCs w:val="21"/>
                <w:highlight w:val="none"/>
              </w:rPr>
            </w:pPr>
            <w:r>
              <w:rPr>
                <w:rFonts w:hint="eastAsia"/>
                <w:color w:val="auto"/>
                <w:szCs w:val="21"/>
                <w:highlight w:val="none"/>
              </w:rPr>
              <w:t>落实政府采购政策需满足的资格要求</w:t>
            </w:r>
          </w:p>
        </w:tc>
        <w:tc>
          <w:tcPr>
            <w:tcW w:w="7092" w:type="dxa"/>
            <w:tcMar>
              <w:top w:w="57" w:type="dxa"/>
              <w:left w:w="108" w:type="dxa"/>
              <w:bottom w:w="0" w:type="dxa"/>
              <w:right w:w="108" w:type="dxa"/>
            </w:tcMar>
            <w:vAlign w:val="center"/>
          </w:tcPr>
          <w:p>
            <w:pPr>
              <w:pStyle w:val="13"/>
              <w:spacing w:line="300" w:lineRule="auto"/>
              <w:ind w:left="15" w:leftChars="7" w:right="-17" w:rightChars="-8" w:firstLine="403" w:firstLineChars="192"/>
              <w:jc w:val="both"/>
              <w:rPr>
                <w:rFonts w:hint="eastAsia"/>
                <w:color w:val="auto"/>
                <w:szCs w:val="21"/>
                <w:highlight w:val="none"/>
              </w:rPr>
            </w:pPr>
            <w:r>
              <w:rPr>
                <w:rFonts w:hint="eastAsia"/>
                <w:color w:val="auto"/>
                <w:szCs w:val="21"/>
                <w:highlight w:val="none"/>
              </w:rPr>
              <w:t>本项目为专门面向中小企业采购项目</w:t>
            </w:r>
          </w:p>
        </w:tc>
      </w:tr>
    </w:tbl>
    <w:p>
      <w:pPr>
        <w:pStyle w:val="1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13"/>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名单、投标无效的原因</w:t>
      </w:r>
      <w:r>
        <w:rPr>
          <w:rFonts w:hint="eastAsia" w:asciiTheme="minorEastAsia" w:hAnsiTheme="minorEastAsia" w:eastAsiaTheme="minorEastAsia"/>
          <w:color w:val="auto"/>
          <w:sz w:val="24"/>
          <w:highlight w:val="none"/>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13"/>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pPr>
              <w:pStyle w:val="13"/>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pPr>
              <w:pStyle w:val="13"/>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pPr>
              <w:pStyle w:val="13"/>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13"/>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4"/>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pPr>
        <w:numPr>
          <w:ilvl w:val="0"/>
          <w:numId w:val="7"/>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28"/>
        <w:tblpPr w:leftFromText="180" w:rightFromText="180" w:vertAnchor="text" w:tblpXSpec="center" w:tblpY="1"/>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53"/>
        <w:gridCol w:w="602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序号</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评审内容</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评分依据及标准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34"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1</w:t>
            </w:r>
          </w:p>
        </w:tc>
        <w:tc>
          <w:tcPr>
            <w:tcW w:w="1553"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供应商综合情况（1</w:t>
            </w:r>
            <w:r>
              <w:rPr>
                <w:rFonts w:hint="default" w:cs="Times New Roman" w:asciiTheme="minorEastAsia" w:hAnsiTheme="minorEastAsia" w:eastAsiaTheme="minorEastAsia"/>
                <w:color w:val="auto"/>
                <w:kern w:val="0"/>
                <w:sz w:val="24"/>
                <w:szCs w:val="24"/>
                <w:highlight w:val="none"/>
                <w:lang w:val="en-US" w:eastAsia="zh-CN" w:bidi="ar-SA"/>
              </w:rPr>
              <w:t>3</w:t>
            </w:r>
            <w:r>
              <w:rPr>
                <w:rFonts w:hint="eastAsia" w:cs="Times New Roman" w:asciiTheme="minorEastAsia" w:hAnsiTheme="minorEastAsia" w:eastAsiaTheme="minorEastAsia"/>
                <w:color w:val="auto"/>
                <w:kern w:val="0"/>
                <w:sz w:val="24"/>
                <w:szCs w:val="24"/>
                <w:highlight w:val="none"/>
                <w:lang w:val="en-US" w:eastAsia="zh-CN" w:bidi="ar-SA"/>
              </w:rPr>
              <w:t>分）</w:t>
            </w:r>
          </w:p>
        </w:tc>
        <w:tc>
          <w:tcPr>
            <w:tcW w:w="6020" w:type="dxa"/>
            <w:noWrap w:val="0"/>
            <w:vAlign w:val="center"/>
          </w:tcPr>
          <w:p>
            <w:pPr>
              <w:pStyle w:val="89"/>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具备有效的质量管理体系认证、信息技术服务管理体系认证、信息安全管理体系认证证书，每提供一个得1分，最高得3分。证书必须在国家市场监督管理总局的全国认证认可信息公共服务平台上可以查询，否则不得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投标文件中需提供相关证书扫描件或图片以及该证书在全国认证认可信息公共服务平台上的查询截图并加盖供应商公章，不提供的不得分。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供应商具备国家认可的认证机构颁发的有效的软件过程及能力成熟度评估认证证书的，具备3级及以上的得</w:t>
            </w:r>
            <w:r>
              <w:rPr>
                <w:rFonts w:hint="default" w:cs="Times New Roman" w:asciiTheme="minorEastAsia" w:hAnsiTheme="minorEastAsia" w:eastAsiaTheme="minorEastAsia"/>
                <w:color w:val="auto"/>
                <w:kern w:val="0"/>
                <w:sz w:val="24"/>
                <w:szCs w:val="24"/>
                <w:highlight w:val="none"/>
                <w:lang w:val="en-US" w:eastAsia="zh-CN" w:bidi="ar-SA"/>
              </w:rPr>
              <w:t>2</w:t>
            </w:r>
            <w:r>
              <w:rPr>
                <w:rFonts w:hint="eastAsia" w:cs="Times New Roman" w:asciiTheme="minorEastAsia" w:hAnsiTheme="minorEastAsia" w:eastAsiaTheme="minorEastAsia"/>
                <w:color w:val="auto"/>
                <w:kern w:val="0"/>
                <w:sz w:val="24"/>
                <w:szCs w:val="24"/>
                <w:highlight w:val="none"/>
                <w:lang w:val="en-US" w:eastAsia="zh-CN" w:bidi="ar-SA"/>
              </w:rPr>
              <w:t>分，3级以下的得1分，其他的不得分。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投标文件中需提供相关证书扫描件或图片并加盖供应商公章，不提供的不得分。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default" w:cs="Times New Roman" w:asciiTheme="minorEastAsia" w:hAnsiTheme="minorEastAsia" w:eastAsiaTheme="minorEastAsia"/>
                <w:color w:val="auto"/>
                <w:kern w:val="0"/>
                <w:sz w:val="24"/>
                <w:szCs w:val="24"/>
                <w:highlight w:val="none"/>
                <w:lang w:val="en-US" w:eastAsia="zh-CN" w:bidi="ar-SA"/>
              </w:rPr>
              <w:t>2</w:t>
            </w:r>
            <w:r>
              <w:rPr>
                <w:rFonts w:hint="eastAsia" w:cs="Times New Roman" w:asciiTheme="minorEastAsia" w:hAnsiTheme="minorEastAsia" w:eastAsiaTheme="minorEastAsia"/>
                <w:color w:val="auto"/>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供应商具有有效的信息安全服务资质认证证书且认证范围包含软件安全开发和信息系统安全集成等相关内容的，得4分。投标文件中需提供相关证书扫描件或图片并加盖供应商公章，不提供的不得分。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供应商具有项目相关的软件著作权证书（如数据归集管理类、三维数据系统类、共享服务平台类、国土空间基础信息平台类等）的，每类得0.5分，最高得2分。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投标文件中需提供相关证书扫描件或图片并加盖供应商公章，不提供的不得分。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2</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供应商类似业绩（1分）</w:t>
            </w:r>
          </w:p>
        </w:tc>
        <w:tc>
          <w:tcPr>
            <w:tcW w:w="6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自2021年1月1日（以合同签订时间为准），供应商承担过类似平台信创改造项目的，每个合同得0.5分，最高得1分。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投标文件中需提供合同及中标通知书原件扫描件或图片并加盖供应商公章，不提供的不得分。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3</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拟投入项目组人员资质 （8分）</w:t>
            </w:r>
          </w:p>
        </w:tc>
        <w:tc>
          <w:tcPr>
            <w:tcW w:w="60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both"/>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项目负责人</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拟投入项目负责人具有信息安全高级工程师职称的得1.5分；具有信息系统项目管理师（高级）的得1.5分；本项最高得3分。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both"/>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技术负责人</w:t>
            </w:r>
            <w:r>
              <w:rPr>
                <w:rFonts w:hint="default" w:cs="Times New Roman" w:asciiTheme="minorEastAsia" w:hAnsiTheme="minorEastAsia" w:eastAsiaTheme="minorEastAsia"/>
                <w:color w:val="auto"/>
                <w:kern w:val="0"/>
                <w:sz w:val="24"/>
                <w:szCs w:val="24"/>
                <w:highlight w:val="none"/>
                <w:lang w:val="en-US" w:eastAsia="zh-CN" w:bidi="ar-SA"/>
              </w:rPr>
              <w:t>：</w:t>
            </w:r>
            <w:r>
              <w:rPr>
                <w:rFonts w:hint="eastAsia" w:cs="Times New Roman" w:asciiTheme="minorEastAsia" w:hAnsiTheme="minorEastAsia" w:eastAsiaTheme="minorEastAsia"/>
                <w:color w:val="auto"/>
                <w:kern w:val="0"/>
                <w:sz w:val="24"/>
                <w:szCs w:val="24"/>
                <w:highlight w:val="none"/>
                <w:lang w:val="en-US" w:eastAsia="zh-CN" w:bidi="ar-SA"/>
              </w:rPr>
              <w:t>拟投入技术负责人具有信息系统项目管理师（高级）的得1分；具有数据库</w:t>
            </w:r>
            <w:r>
              <w:rPr>
                <w:rFonts w:hint="default" w:cs="Times New Roman" w:asciiTheme="minorEastAsia" w:hAnsiTheme="minorEastAsia" w:eastAsiaTheme="minorEastAsia"/>
                <w:color w:val="auto"/>
                <w:kern w:val="0"/>
                <w:sz w:val="24"/>
                <w:szCs w:val="24"/>
                <w:highlight w:val="none"/>
                <w:lang w:eastAsia="zh-CN" w:bidi="ar-SA"/>
              </w:rPr>
              <w:t>或者</w:t>
            </w:r>
            <w:r>
              <w:rPr>
                <w:rFonts w:hint="eastAsia" w:cs="Times New Roman" w:asciiTheme="minorEastAsia" w:hAnsiTheme="minorEastAsia" w:eastAsiaTheme="minorEastAsia"/>
                <w:color w:val="auto"/>
                <w:kern w:val="0"/>
                <w:sz w:val="24"/>
                <w:szCs w:val="24"/>
                <w:highlight w:val="none"/>
                <w:lang w:val="en-US" w:eastAsia="zh-CN" w:bidi="ar-SA"/>
              </w:rPr>
              <w:t>大数据技术高级工程师职称及以上的得1分；本项最高得2分。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both"/>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项目组成员</w:t>
            </w:r>
            <w:r>
              <w:rPr>
                <w:rFonts w:hint="default" w:cs="Times New Roman" w:asciiTheme="minorEastAsia" w:hAnsiTheme="minorEastAsia" w:eastAsiaTheme="minorEastAsia"/>
                <w:color w:val="auto"/>
                <w:kern w:val="0"/>
                <w:sz w:val="24"/>
                <w:szCs w:val="24"/>
                <w:highlight w:val="none"/>
                <w:lang w:val="en-US" w:eastAsia="zh-CN" w:bidi="ar-SA"/>
              </w:rPr>
              <w:t>：项目组成员（除项目负责人、项目技术负责人及驻场人员外）具有计算机软件及计算机应用专业中级及以上职称证书人员的，得1分；具有系统集成项目管理工程师（中级）的，得1分；具有数据库系统工程师（中级）证书人员的，得1分。一人多证的只计一次分，本项最高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上述所有成员须为供应商在职职工（在职职工不包括离、退休返聘人员），须提供投标截止时间前3个月的供应商所属社保机构养老保险交纳清单（缴费单位和投标单位名称必须一致，并加盖社保缴费证明专用章），以供应商所属社保机构出具的盖有社保部门专用章（或电子专用章）的社保证明件为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投标文件中需提供相关证书及人员社保证明扫描件或图片并加盖供应商公章，不提供的不得分。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w:t>
            </w:r>
            <w:r>
              <w:rPr>
                <w:rFonts w:hint="default" w:cs="Times New Roman" w:asciiTheme="minorEastAsia" w:hAnsiTheme="minorEastAsia" w:eastAsiaTheme="minorEastAsia"/>
                <w:color w:val="auto"/>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34"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w:t>
            </w:r>
          </w:p>
        </w:tc>
        <w:tc>
          <w:tcPr>
            <w:tcW w:w="1553"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项目技术</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方案（40分）</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项目建设方案的全面性、科学性、可行性和扩展性，和内外部系统的一体化集成性；项目建设方案的针对性、系统架构设计合理性和先进性、建设过程中对困难的有效解决方案；项目建设方案设计能满足业务需求并注重与相关技术标准的衔接与协调。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供应商提供的项目建设方案全面、合理、科学的得6分；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供应商提供的项目建设方案较全面、合理、科学的得5分；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供应商提供的项目建设方案欠全面、合理、科学的得4分；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供应商针对本项目的需求分析是否明确、合理、有针对性以及业务熟悉程度。评委根据此项要求酌情打分。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供应商针对本项目需求分析合理、明确、有针对性的得6分；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供应商针对本项目需求分析较合理、明确、有针对性的得5分；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供供应商针对本项目需求分析欠合理、明确、有针对性的得4分；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供应商针对台州市国土空间基础信息平台二期改造的数据迁移方案的完整性、合理性及可行性。评委根据此项要求酌情打分。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供应商针对本项目需求分析合理、明确、有针对性的得5分；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供应商针对本项目需求分析较合理、明确、有针对性的得4分；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供应商针对本项目需求分析欠合理、明确、有针对性的得3分；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供应商针对原台州市国土空间基础信息平台二期的应用系统模块改造方案的完整性、合理性及可行性。评委根据此项要求酌情打分。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供应商提供的项目改造方案全面、合理、可行的得5分；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供应商提供的项目改造方案较全面、合理、可行的得4分；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供应商提供的项目改造方案欠全面、合理、可行的得3分；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供应商针对原台州市国土空间基础信息平台二期改造的系统集成对接方案的完整性、合理性及可行性。评委根据此项要求酌情打分。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供应商提供的项目系统集成对接方案全面、合理、可行的得5分；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供应商提供的项目系统集成对接方案较全面、合理、可行的得4分；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供应商提供的项目系统集成对接方案欠全面、合理、可行的得3分；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供应商针对台州市国土空间基础信息平台迭代深化项目改造的数据迁移方案的完整性、合理性及可行性。评委根据此项要求酌情打分。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供应商提供的项目数据迁移方案全面、合理、可行的得5分；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供应商提供的项目数据迁移方案较全面、合理、可行的得4分；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供应商提供的项目数据迁移方案欠全面、合理、可行的得3分；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供应商针对原台州市国土空间基础信息平台迭代深化项目的迭代深化功能模块适配改造方案的完整性、合理性以及可行性。评委根据此项要求酌情打分。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供应商提供的项目迭代深化功能模块适配改造方案全面、合理、可行的得5分；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供应商提供的项目迭代深化功能模块适配改造方案较全面、合理、可行的得4分；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供应商提供的项目迭代深化功能模块适配改造方案欠全面、合理、可行的得3分；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供应商针对原台州市国土空间基础信息平台迭代深化项目的系统集成对接方案的完整性、合理性及可行性。评委根据此项要求酌情打分。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供应商提供的系统集成对接方案全面、合理、可行的得5分；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供应商提供的系统集成对接方案较全面、合理、可行的得4分；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供应商提供的系统集成对接方案欠全面、合理、可行的得3分；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left"/>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firstLine="0" w:firstLineChars="0"/>
              <w:jc w:val="center"/>
              <w:textAlignment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w:t>
            </w:r>
          </w:p>
        </w:tc>
        <w:tc>
          <w:tcPr>
            <w:tcW w:w="1553"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组织实施与管理（15分）</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供应商针对本项目提供项目组织实施方案的全面性、针对性、专业性、科学性、合理性、规范性和可操作性和完整性进行评析。评委根据此项要求酌情打分。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供应商提供的项目组织实施方案全面、合理、针对性强的得5分；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供应商提供的项目组织实施方案较全面、合理、针对性较强的得4分；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供应商提供的项目组织实施方案欠全面、合理、针对性欠强的得3分；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供应商针对本项目提供完善的质量管理方案及质量保证措施。评委根据此项要求酌情打分。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供应商提供完善的质量管理方案及质量保证措施合理有效的得5分；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供应商提供完善的质量管理方案及质量保证措施较合理较有效的得4分；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供应商提供完善的质量管理方案及质量保证措施欠合理欠有效的得3分；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1553"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w:t>
            </w:r>
            <w:r>
              <w:rPr>
                <w:rFonts w:hint="default" w:cs="Times New Roman" w:asciiTheme="minorEastAsia" w:hAnsiTheme="minorEastAsia" w:eastAsiaTheme="minorEastAsia"/>
                <w:color w:val="auto"/>
                <w:kern w:val="0"/>
                <w:sz w:val="24"/>
                <w:szCs w:val="24"/>
                <w:highlight w:val="none"/>
                <w:lang w:val="en-US" w:eastAsia="zh-CN" w:bidi="ar-SA"/>
              </w:rPr>
              <w:t>在项目全生命周期内，</w:t>
            </w:r>
            <w:r>
              <w:rPr>
                <w:rFonts w:hint="eastAsia" w:cs="Times New Roman" w:asciiTheme="minorEastAsia" w:hAnsiTheme="minorEastAsia" w:eastAsiaTheme="minorEastAsia"/>
                <w:color w:val="auto"/>
                <w:kern w:val="0"/>
                <w:sz w:val="24"/>
                <w:szCs w:val="24"/>
                <w:highlight w:val="none"/>
                <w:lang w:val="en-US" w:eastAsia="zh-CN" w:bidi="ar-SA"/>
              </w:rPr>
              <w:t>供应商</w:t>
            </w:r>
            <w:r>
              <w:rPr>
                <w:rFonts w:hint="default" w:cs="Times New Roman" w:asciiTheme="minorEastAsia" w:hAnsiTheme="minorEastAsia" w:eastAsiaTheme="minorEastAsia"/>
                <w:color w:val="auto"/>
                <w:kern w:val="0"/>
                <w:sz w:val="24"/>
                <w:szCs w:val="24"/>
                <w:highlight w:val="none"/>
                <w:lang w:val="en-US" w:eastAsia="zh-CN" w:bidi="ar-SA"/>
              </w:rPr>
              <w:t>提供完善的数据安全和驻场人员管理制度，签订保密工作协议。</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供应商提供安全管理制度合理的得5分；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供应商提供安全管理制度较合理的得4分；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供应商提供安全管理制度欠合理的得3分；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6</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项目进度计划及保证措施（4分）</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供应商针对本项目提供完善的项目进度计划以及保证措施方案的可行性、完整性、合理性、规范性等。评委根据此项要求酌情打分。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供应商提供的项目进度计划以及保证措施方案全面、合理、可行的得4分；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供应商提供的项目进度计划以及保证措施方案较全面、合理、可行的得3分；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供应商提供的项目进度计划以及保证措施方案欠全面、合理、可行的得2分；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7</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培训方案</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（4分）</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供应商针对本项目提供提供的培训方案以及方案的可行性、完整性、合理性、规范性进行评价。评委根据此项要求酌情打分。供应商提供的项培训方案全面、合理、可行的得4分；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供应商提供的培训方案较全面、合理、可行的得3分；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供应商提供的培训方案欠全面、合理、可行的得2分；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售后服务承诺（5分）</w:t>
            </w:r>
          </w:p>
        </w:tc>
        <w:tc>
          <w:tcPr>
            <w:tcW w:w="602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供应商针对本项目提供提供的售后服务承诺情况以及服务承诺的可行性、完整性以及服务承诺落实的保障措施，维护期内外的后续技术支持和维护能力情况等。评委根据此项要求酌情打分。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供应商提供的项目售后服务承诺以及保障措施全面、合理、针对性强的得5分；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供应商提供的项目售后服务承诺以及保障措施较全面、合理、针对性较强的得4分；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供应商提供的项目售后服务承诺以及保障措施欠全面、合理、针对性欠强的得3分；</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未提供的不得分。</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9</w:t>
            </w:r>
          </w:p>
        </w:tc>
        <w:tc>
          <w:tcPr>
            <w:tcW w:w="155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ascii="宋体" w:hAnsi="宋体" w:cs="宋体"/>
                <w:color w:val="auto"/>
                <w:kern w:val="2"/>
                <w:sz w:val="21"/>
                <w:szCs w:val="21"/>
                <w:highlight w:val="none"/>
                <w:lang w:val="en-US" w:eastAsia="zh-CN" w:bidi="ar-SA"/>
              </w:rPr>
              <w:t>价格分（10分）</w:t>
            </w:r>
          </w:p>
        </w:tc>
        <w:tc>
          <w:tcPr>
            <w:tcW w:w="6020" w:type="dxa"/>
            <w:noWrap w:val="0"/>
            <w:vAlign w:val="center"/>
          </w:tcPr>
          <w:p>
            <w:pPr>
              <w:widowControl/>
              <w:tabs>
                <w:tab w:val="left" w:pos="0"/>
              </w:tabs>
              <w:spacing w:line="30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评标基准价指的是满足</w:t>
            </w:r>
            <w:r>
              <w:rPr>
                <w:rFonts w:hint="eastAsia" w:ascii="宋体" w:hAnsi="宋体" w:eastAsia="宋体" w:cs="宋体"/>
                <w:bCs/>
                <w:color w:val="auto"/>
                <w:kern w:val="0"/>
                <w:szCs w:val="21"/>
                <w:highlight w:val="none"/>
                <w:lang w:eastAsia="zh-CN"/>
              </w:rPr>
              <w:t>采购</w:t>
            </w:r>
            <w:r>
              <w:rPr>
                <w:rFonts w:hint="eastAsia" w:ascii="宋体" w:hAnsi="宋体" w:eastAsia="宋体" w:cs="宋体"/>
                <w:bCs/>
                <w:color w:val="auto"/>
                <w:kern w:val="0"/>
                <w:szCs w:val="21"/>
                <w:highlight w:val="none"/>
              </w:rPr>
              <w:t>文件要求且最低的参与评审的价格。</w:t>
            </w:r>
          </w:p>
          <w:p>
            <w:pPr>
              <w:widowControl/>
              <w:tabs>
                <w:tab w:val="left" w:pos="0"/>
              </w:tabs>
              <w:spacing w:line="30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参与评审的价格为评标基准价的其价格得分得满分</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分。</w:t>
            </w:r>
          </w:p>
          <w:p>
            <w:pPr>
              <w:widowControl/>
              <w:tabs>
                <w:tab w:val="left" w:pos="0"/>
              </w:tabs>
              <w:spacing w:line="30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其他</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价格得分按照下列公式计算：</w:t>
            </w:r>
          </w:p>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outlineLvl w:val="9"/>
              <w:rPr>
                <w:rFonts w:hint="eastAsia" w:cs="Times New Roman" w:asciiTheme="minorEastAsia" w:hAnsiTheme="minorEastAsia" w:eastAsiaTheme="minorEastAsia"/>
                <w:color w:val="auto"/>
                <w:kern w:val="0"/>
                <w:sz w:val="24"/>
                <w:szCs w:val="24"/>
                <w:highlight w:val="none"/>
                <w:lang w:val="en-US" w:eastAsia="zh-CN" w:bidi="ar-SA"/>
              </w:rPr>
            </w:pPr>
            <w:r>
              <w:rPr>
                <w:rFonts w:hint="eastAsia" w:ascii="宋体" w:hAnsi="宋体" w:eastAsia="宋体" w:cs="宋体"/>
                <w:bCs/>
                <w:color w:val="auto"/>
                <w:kern w:val="0"/>
                <w:szCs w:val="21"/>
                <w:highlight w:val="none"/>
              </w:rPr>
              <w:t>价格得分=（评标基准价/各</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参与评审的价格）×</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％×100。</w:t>
            </w:r>
          </w:p>
        </w:tc>
        <w:tc>
          <w:tcPr>
            <w:tcW w:w="763"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outlineLvl w:val="9"/>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10分</w:t>
            </w:r>
          </w:p>
        </w:tc>
      </w:tr>
    </w:tbl>
    <w:p>
      <w:pPr>
        <w:pStyle w:val="27"/>
      </w:pPr>
    </w:p>
    <w:p>
      <w:pPr>
        <w:pStyle w:val="16"/>
        <w:snapToGrid w:val="0"/>
        <w:spacing w:before="159" w:beforeLines="50" w:beforeAutospacing="0" w:after="63" w:afterLines="20" w:afterAutospacing="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before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为排名第一的中标候选人。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pPr>
        <w:pStyle w:val="37"/>
        <w:rPr>
          <w:color w:val="auto"/>
          <w:highlight w:val="none"/>
        </w:rPr>
      </w:pPr>
    </w:p>
    <w:p>
      <w:pPr>
        <w:pStyle w:val="37"/>
        <w:rPr>
          <w:color w:val="auto"/>
          <w:highlight w:val="none"/>
        </w:rPr>
      </w:pPr>
    </w:p>
    <w:p>
      <w:pPr>
        <w:pStyle w:val="37"/>
        <w:rPr>
          <w:color w:val="auto"/>
          <w:highlight w:val="none"/>
        </w:rPr>
      </w:pPr>
    </w:p>
    <w:p>
      <w:pPr>
        <w:spacing w:line="360" w:lineRule="auto"/>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pPr>
    </w:p>
    <w:p>
      <w:pPr>
        <w:pStyle w:val="26"/>
        <w:rPr>
          <w:rFonts w:asciiTheme="minorEastAsia" w:hAnsiTheme="minorEastAsia" w:eastAsiaTheme="minorEastAsia"/>
          <w:b/>
          <w:color w:val="auto"/>
          <w:sz w:val="36"/>
          <w:szCs w:val="36"/>
          <w:highlight w:val="none"/>
        </w:rPr>
        <w:sectPr>
          <w:pgSz w:w="11906" w:h="16838"/>
          <w:pgMar w:top="1701" w:right="1448" w:bottom="1531" w:left="1418" w:header="851" w:footer="851" w:gutter="0"/>
          <w:cols w:space="720" w:num="1"/>
          <w:docGrid w:linePitch="312" w:charSpace="0"/>
        </w:sectPr>
      </w:pPr>
    </w:p>
    <w:p>
      <w:pPr>
        <w:pStyle w:val="2"/>
        <w:numPr>
          <w:ilvl w:val="0"/>
          <w:numId w:val="0"/>
        </w:numPr>
        <w:spacing w:line="360" w:lineRule="auto"/>
        <w:ind w:leftChars="0"/>
        <w:jc w:val="center"/>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pPr>
        <w:pStyle w:val="86"/>
        <w:jc w:val="center"/>
        <w:textAlignment w:val="baseline"/>
        <w:rPr>
          <w:b/>
          <w:bCs/>
          <w:sz w:val="36"/>
          <w:szCs w:val="36"/>
        </w:rPr>
      </w:pPr>
      <w:r>
        <w:rPr>
          <w:rFonts w:hint="eastAsia"/>
          <w:b/>
          <w:bCs/>
          <w:color w:val="auto"/>
          <w:sz w:val="36"/>
          <w:szCs w:val="36"/>
          <w:highlight w:val="none"/>
        </w:rPr>
        <w:t>浙江</w:t>
      </w:r>
      <w:r>
        <w:rPr>
          <w:rFonts w:hint="eastAsia"/>
          <w:b/>
          <w:bCs/>
          <w:sz w:val="36"/>
          <w:szCs w:val="36"/>
        </w:rPr>
        <w:t>省政府采购合同主要条款指引</w:t>
      </w:r>
    </w:p>
    <w:p>
      <w:pPr>
        <w:pStyle w:val="87"/>
        <w:jc w:val="center"/>
        <w:textAlignment w:val="baseline"/>
      </w:pPr>
      <w:r>
        <w:rPr>
          <w:rFonts w:hint="eastAsia" w:ascii="宋体" w:hAnsi="宋体"/>
          <w:b/>
          <w:bCs/>
          <w:sz w:val="32"/>
          <w:szCs w:val="32"/>
        </w:rPr>
        <w:t>（此稿为合同样本，最终定稿待双方协商后定）</w:t>
      </w:r>
    </w:p>
    <w:p>
      <w:pPr>
        <w:spacing w:line="360" w:lineRule="auto"/>
        <w:ind w:firstLine="2415" w:firstLineChars="802"/>
        <w:textAlignment w:val="baseline"/>
        <w:rPr>
          <w:rFonts w:ascii="黑体" w:hAnsi="黑体" w:eastAsia="黑体"/>
          <w:b/>
          <w:sz w:val="30"/>
          <w:szCs w:val="30"/>
        </w:rPr>
      </w:pP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项目名称：台州市国土空间基础信息平台升级改造项目</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项目编号：台财采确临[2024]4845号</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甲方（采购方）：台州市自然资源和规划信息中心</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乙方（供应商）：</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甲、乙双方根据项目公开招标采购的结果，签署本合同。</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一、服务内容：乙方为甲方提供的服务范围详见本项目招标文件。</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二、合同金额</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本合同总金额为（大写）：____________________________________元（￥_______________元）人民币（含税）。</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三、服务要求：满足招标文件的要求。</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四、成果要求：满足招标文件的要求。</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五、时间进度要求：</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1、项目计划建设期为12个月。自合同签订之日起6个月内完成信创升级改造、测试和部署工作；7个月内基本完成项目建设，并通过项目初验，系统进入试运行；试运行3个月无问题后，完成项目终验。</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如果甲方与乙方中任何一方由于地震、台风、水灾、疫情、战争等灾害和上级主管部门政策要求变化以及其他经双方同意属于不可抗力的事故，致使合同履行受阻时，则合同履行期可延长，其延长期与不可抗力影响期相当，由此造成的损失双方均不得提出索赔要求。</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六、知识产权及不侵权</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1.乙方应保证提供服务过程中不会侵犯任何第三方的知识产权及其他合法权益。</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2.本次项目成果所有权、知识产权和使用权均属于甲方。未经甲方书面同意，乙方不得向任何单位和个人转让和使用、披露本项目成果，否则承担由此产生的一切法律和经济责任。</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七、转包或分包</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乙方不得向他人转让、转包本项目，也不得将本项目肢解后分别向他人转让、转包，也不得将本项目的部分工作（包括非主体、非关键性的部分工作）分包给他人完成。</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八、合同履行时间、履行方式及履行地点</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1.履行时间：                                     。</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2.履行方式：                                     。</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3.履行地点：                                     。</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 xml:space="preserve">4.履约保证金：                             </w:t>
      </w:r>
      <w:r>
        <w:rPr>
          <w:rFonts w:hint="eastAsia"/>
          <w:color w:val="auto"/>
          <w:sz w:val="22"/>
          <w:szCs w:val="22"/>
          <w:highlight w:val="none"/>
          <w:lang w:val="en-US" w:eastAsia="zh-CN"/>
        </w:rPr>
        <w:t xml:space="preserve"> </w:t>
      </w:r>
      <w:r>
        <w:rPr>
          <w:rFonts w:hint="default" w:eastAsia="宋体"/>
          <w:color w:val="auto"/>
          <w:sz w:val="22"/>
          <w:szCs w:val="22"/>
          <w:highlight w:val="none"/>
          <w:lang w:val="en-US" w:eastAsia="zh-CN"/>
        </w:rPr>
        <w:t xml:space="preserve">     。</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九、付款方式：</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合同签订后，甲方支付合同总价的40%；完成初步验收后，甲方支付合同总价的30%；项目终验合格后，甲方支付合同总价的30%。</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注：上述支付条件满足、乙方向甲方提交相应等额合格发票后30日内，甲方按甲方流程支付。</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十、税费</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本合同执行中相关的一切税费均由乙方负担。</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十一、质量保证及后续服务</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1.乙方应按不低于招标文件、投标文件、本合同规定和承诺的标准向甲方提供成果、服务。</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2.乙方提供的服务成果得不到评审专家认可的，乙方应负责免费提供后续服务，直到得到评审专家评审认可为止。对达不到要求者，根据实际情况，经双方协商，可按以下办法处理：</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①重做：由乙方承担所发生的全部费用。如乙方重做的成果未在本合同约定期限内得到评审专家认可、完成终验的，甲方有权追究乙方违约责任。</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②贬值处理：由甲乙双方合议定价或由乙方赔偿甲方的全部损失。</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③解除合同。</w:t>
      </w:r>
    </w:p>
    <w:p>
      <w:pPr>
        <w:spacing w:line="360" w:lineRule="auto"/>
        <w:ind w:firstLine="440" w:firstLineChars="200"/>
        <w:rPr>
          <w:rFonts w:hint="default" w:eastAsia="宋体"/>
          <w:color w:val="auto"/>
          <w:sz w:val="22"/>
          <w:szCs w:val="22"/>
          <w:highlight w:val="none"/>
          <w:lang w:val="en-US" w:eastAsia="zh-CN"/>
        </w:rPr>
      </w:pPr>
      <w:r>
        <w:rPr>
          <w:rFonts w:hint="eastAsia"/>
          <w:color w:val="auto"/>
          <w:sz w:val="22"/>
          <w:szCs w:val="22"/>
          <w:highlight w:val="none"/>
          <w:lang w:val="en-US" w:eastAsia="zh-CN"/>
        </w:rPr>
        <w:t>3</w:t>
      </w:r>
      <w:r>
        <w:rPr>
          <w:rFonts w:hint="default" w:eastAsia="宋体"/>
          <w:color w:val="auto"/>
          <w:sz w:val="22"/>
          <w:szCs w:val="22"/>
          <w:highlight w:val="none"/>
          <w:lang w:val="en-US" w:eastAsia="zh-CN"/>
        </w:rPr>
        <w:t>.合同履行完毕后，如发现存在缺失、错误或其他原因需对项目成果进行调整或修改的，乙方需负责免费对项目成果进行调整或修改。</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十二、违约责任</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1.甲方无正当理由拒绝接受服务且拒付价款、解除合同的，甲方向乙方偿付合同款项百分之五作为违约金。</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2.甲方无故逾期验收和办理款项支付手续的,甲方应自逾期之日起按逾期付款总额每日万分之五向乙方支付违约金。</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3.乙方逾期提供服务的，自逾期之日起每日向甲方支付合同总价千分之六违约金。</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十三、不可抗力事件处理</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1.在合同有效期内，任何一方因不可抗力事件导致不能履行合同，则合同履行期可延长，其延长期与不可抗力影响期相同。</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2.不可抗力事件发生后，受到不可抗力影响的一方应立即通知对方，并寄送有关权威机构出具的证明。</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3.不可抗力事件延续120天以上，双方应通过友好协商，确定是否继续履行合同。</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十四、诉讼</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本合同引起的或与本合同有关的任何争议，双方应通过协商解决。如协商不成，可向合同签订地（）有管辖权的法院起诉。违约方应当承担相对方为主张权利支出的全部费用（包括但不限于律师费、财产保全费、财产保全保险费等）。</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十五、合同生效及其它</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1.合同经双方法定代表人或授权代表签字并加盖单位公章后生效。</w:t>
      </w:r>
    </w:p>
    <w:p>
      <w:pPr>
        <w:spacing w:line="360" w:lineRule="auto"/>
        <w:ind w:firstLine="440" w:firstLineChars="200"/>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2.本合同未尽事宜，遵照《中华人民共和国民法典》等法律法规有关条文执行。</w:t>
      </w:r>
    </w:p>
    <w:p>
      <w:pPr>
        <w:spacing w:line="360" w:lineRule="auto"/>
        <w:ind w:firstLine="440" w:firstLineChars="200"/>
        <w:rPr>
          <w:rFonts w:hint="default" w:eastAsia="宋体"/>
          <w:color w:val="auto"/>
          <w:sz w:val="22"/>
          <w:szCs w:val="22"/>
          <w:highlight w:val="yellow"/>
          <w:lang w:val="en-US" w:eastAsia="zh-CN"/>
        </w:rPr>
      </w:pPr>
      <w:r>
        <w:rPr>
          <w:rFonts w:hint="default" w:eastAsia="宋体"/>
          <w:color w:val="auto"/>
          <w:sz w:val="22"/>
          <w:szCs w:val="22"/>
          <w:highlight w:val="none"/>
          <w:lang w:val="en-US" w:eastAsia="zh-CN"/>
        </w:rPr>
        <w:t>3.本合同正本一式六份，具有同等法律效力，甲乙双方各执</w:t>
      </w:r>
      <w:r>
        <w:rPr>
          <w:rFonts w:hint="default"/>
          <w:color w:val="auto"/>
          <w:sz w:val="22"/>
          <w:szCs w:val="22"/>
          <w:highlight w:val="none"/>
          <w:lang w:eastAsia="zh-CN"/>
        </w:rPr>
        <w:t>两</w:t>
      </w:r>
      <w:r>
        <w:rPr>
          <w:rFonts w:hint="default" w:eastAsia="宋体"/>
          <w:color w:val="auto"/>
          <w:sz w:val="22"/>
          <w:szCs w:val="22"/>
          <w:highlight w:val="none"/>
          <w:lang w:val="en-US" w:eastAsia="zh-CN"/>
        </w:rPr>
        <w:t>份；采购代理机构</w:t>
      </w:r>
      <w:r>
        <w:rPr>
          <w:rFonts w:hint="default"/>
          <w:color w:val="auto"/>
          <w:sz w:val="22"/>
          <w:szCs w:val="22"/>
          <w:highlight w:val="none"/>
          <w:lang w:eastAsia="zh-CN"/>
        </w:rPr>
        <w:t>两</w:t>
      </w:r>
      <w:r>
        <w:rPr>
          <w:rFonts w:hint="default" w:eastAsia="宋体"/>
          <w:color w:val="auto"/>
          <w:sz w:val="22"/>
          <w:szCs w:val="22"/>
          <w:highlight w:val="none"/>
          <w:lang w:val="en-US" w:eastAsia="zh-CN"/>
        </w:rPr>
        <w:t>份。</w:t>
      </w:r>
    </w:p>
    <w:p>
      <w:pPr>
        <w:spacing w:line="360" w:lineRule="auto"/>
        <w:rPr>
          <w:rFonts w:hint="default" w:eastAsia="宋体"/>
          <w:color w:val="auto"/>
          <w:sz w:val="22"/>
          <w:szCs w:val="22"/>
          <w:highlight w:val="none"/>
          <w:lang w:val="en-US" w:eastAsia="zh-CN"/>
        </w:rPr>
      </w:pPr>
    </w:p>
    <w:p>
      <w:pPr>
        <w:spacing w:line="360" w:lineRule="auto"/>
        <w:rPr>
          <w:rFonts w:hint="default" w:eastAsia="宋体"/>
          <w:color w:val="auto"/>
          <w:sz w:val="22"/>
          <w:szCs w:val="22"/>
          <w:highlight w:val="none"/>
          <w:lang w:val="en-US" w:eastAsia="zh-CN"/>
        </w:rPr>
      </w:pPr>
    </w:p>
    <w:tbl>
      <w:tblPr>
        <w:tblStyle w:val="28"/>
        <w:tblW w:w="9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3"/>
        <w:gridCol w:w="5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4743" w:type="dxa"/>
            <w:vMerge w:val="restart"/>
            <w:tcBorders>
              <w:bottom w:val="nil"/>
            </w:tcBorders>
            <w:noWrap w:val="0"/>
            <w:vAlign w:val="top"/>
          </w:tcPr>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甲方单位名称（章）：</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单位地址：</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法定代表人：</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授权代表：</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电话：</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开户银行：</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帐号：</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邮政编码：</w:t>
            </w:r>
          </w:p>
        </w:tc>
        <w:tc>
          <w:tcPr>
            <w:tcW w:w="5010" w:type="dxa"/>
            <w:vMerge w:val="restart"/>
            <w:tcBorders>
              <w:bottom w:val="nil"/>
            </w:tcBorders>
            <w:noWrap w:val="0"/>
            <w:vAlign w:val="top"/>
          </w:tcPr>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乙方单位名称（章）：</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单位地址：</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法定代表人：</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授权代表：</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电话：</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开户银行：</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帐号：</w:t>
            </w: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4743" w:type="dxa"/>
            <w:vMerge w:val="continue"/>
            <w:tcBorders>
              <w:top w:val="nil"/>
            </w:tcBorders>
            <w:noWrap w:val="0"/>
            <w:vAlign w:val="top"/>
          </w:tcPr>
          <w:p>
            <w:pPr>
              <w:spacing w:line="360" w:lineRule="auto"/>
              <w:rPr>
                <w:rFonts w:hint="default" w:eastAsia="宋体"/>
                <w:color w:val="auto"/>
                <w:sz w:val="22"/>
                <w:szCs w:val="22"/>
                <w:highlight w:val="none"/>
                <w:lang w:val="en-US" w:eastAsia="zh-CN"/>
              </w:rPr>
            </w:pPr>
          </w:p>
        </w:tc>
        <w:tc>
          <w:tcPr>
            <w:tcW w:w="5010" w:type="dxa"/>
            <w:vMerge w:val="continue"/>
            <w:tcBorders>
              <w:top w:val="nil"/>
            </w:tcBorders>
            <w:noWrap w:val="0"/>
            <w:vAlign w:val="top"/>
          </w:tcPr>
          <w:p>
            <w:pPr>
              <w:spacing w:line="360" w:lineRule="auto"/>
              <w:rPr>
                <w:rFonts w:hint="default" w:eastAsia="宋体"/>
                <w:color w:val="auto"/>
                <w:sz w:val="22"/>
                <w:szCs w:val="22"/>
                <w:highlight w:val="none"/>
                <w:lang w:val="en-US" w:eastAsia="zh-CN"/>
              </w:rPr>
            </w:pPr>
          </w:p>
        </w:tc>
      </w:tr>
    </w:tbl>
    <w:p>
      <w:pPr>
        <w:spacing w:line="360" w:lineRule="auto"/>
        <w:rPr>
          <w:rFonts w:hint="default" w:eastAsia="宋体"/>
          <w:color w:val="auto"/>
          <w:sz w:val="22"/>
          <w:szCs w:val="22"/>
          <w:highlight w:val="none"/>
          <w:lang w:val="en-US" w:eastAsia="zh-CN"/>
        </w:rPr>
      </w:pPr>
    </w:p>
    <w:p>
      <w:pPr>
        <w:spacing w:line="360" w:lineRule="auto"/>
        <w:rPr>
          <w:rFonts w:hint="default" w:eastAsia="宋体"/>
          <w:color w:val="auto"/>
          <w:sz w:val="22"/>
          <w:szCs w:val="22"/>
          <w:highlight w:val="none"/>
          <w:lang w:val="en-US" w:eastAsia="zh-CN"/>
        </w:rPr>
      </w:pPr>
    </w:p>
    <w:p>
      <w:pPr>
        <w:spacing w:line="360" w:lineRule="auto"/>
        <w:rPr>
          <w:rFonts w:hint="default" w:eastAsia="宋体"/>
          <w:color w:val="auto"/>
          <w:sz w:val="22"/>
          <w:szCs w:val="22"/>
          <w:highlight w:val="none"/>
          <w:lang w:val="en-US" w:eastAsia="zh-CN"/>
        </w:rPr>
      </w:pPr>
      <w:r>
        <w:rPr>
          <w:rFonts w:hint="default" w:eastAsia="宋体"/>
          <w:color w:val="auto"/>
          <w:sz w:val="22"/>
          <w:szCs w:val="22"/>
          <w:highlight w:val="none"/>
          <w:lang w:val="en-US" w:eastAsia="zh-CN"/>
        </w:rPr>
        <w:t>注：此合同样本仅作参考，采购人、供应商可根据采购项目的实际情况进行修改。</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52"/>
          <w:szCs w:val="52"/>
          <w:highlight w:val="none"/>
        </w:rPr>
      </w:pPr>
      <w:bookmarkStart w:id="43" w:name="_Toc4956_WPSOffice_Level1"/>
      <w:bookmarkStart w:id="44" w:name="_Toc19093_WPSOffice_Level1"/>
      <w:bookmarkStart w:id="45" w:name="_Toc32372_WPSOffice_Level1"/>
      <w:r>
        <w:rPr>
          <w:rFonts w:hint="eastAsia"/>
          <w:color w:val="auto"/>
          <w:sz w:val="52"/>
          <w:szCs w:val="52"/>
          <w:highlight w:val="none"/>
        </w:rPr>
        <w:t>项目名称</w:t>
      </w:r>
      <w:bookmarkEnd w:id="43"/>
      <w:bookmarkEnd w:id="44"/>
      <w:bookmarkEnd w:id="45"/>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7"/>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pPr>
        <w:pStyle w:val="27"/>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12"/>
        <w:rPr>
          <w:rFonts w:ascii="仿宋_GB2312" w:hAnsi="宋体" w:eastAsia="仿宋_GB2312"/>
          <w:b/>
          <w:color w:val="auto"/>
          <w:sz w:val="36"/>
          <w:szCs w:val="36"/>
          <w:highlight w:val="none"/>
        </w:rPr>
      </w:pPr>
    </w:p>
    <w:p>
      <w:pPr>
        <w:pStyle w:val="12"/>
        <w:rPr>
          <w:rFonts w:ascii="仿宋_GB2312" w:hAnsi="宋体" w:eastAsia="仿宋_GB2312"/>
          <w:b/>
          <w:color w:val="auto"/>
          <w:sz w:val="36"/>
          <w:szCs w:val="36"/>
          <w:highlight w:val="none"/>
        </w:rPr>
      </w:pPr>
    </w:p>
    <w:p>
      <w:pPr>
        <w:spacing w:line="360" w:lineRule="auto"/>
        <w:jc w:val="center"/>
        <w:rPr>
          <w:b/>
          <w:bCs/>
          <w:color w:val="auto"/>
          <w:sz w:val="32"/>
          <w:szCs w:val="40"/>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资格证明文件目录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Times New Roman"/>
          <w:bCs/>
          <w:color w:val="auto"/>
          <w:kern w:val="2"/>
          <w:sz w:val="24"/>
          <w:szCs w:val="20"/>
          <w:highlight w:val="none"/>
          <w:lang w:val="en-US" w:eastAsia="zh-CN" w:bidi="ar-SA"/>
        </w:rPr>
        <w:t>中小企业、</w:t>
      </w:r>
      <w:r>
        <w:rPr>
          <w:rFonts w:hint="eastAsia" w:ascii="宋体" w:hAnsi="宋体" w:eastAsia="宋体" w:cs="Times New Roman"/>
          <w:bCs/>
          <w:color w:val="auto"/>
          <w:kern w:val="2"/>
          <w:sz w:val="24"/>
          <w:szCs w:val="20"/>
          <w:highlight w:val="none"/>
          <w:lang w:val="en-GB" w:eastAsia="zh-CN" w:bidi="ar-SA"/>
        </w:rPr>
        <w:t>残疾人福利性单位、监狱企业</w:t>
      </w:r>
      <w:r>
        <w:rPr>
          <w:rFonts w:hint="eastAsia" w:ascii="宋体" w:hAnsi="宋体" w:eastAsia="宋体" w:cs="Times New Roman"/>
          <w:bCs/>
          <w:color w:val="auto"/>
          <w:kern w:val="2"/>
          <w:sz w:val="24"/>
          <w:szCs w:val="20"/>
          <w:highlight w:val="none"/>
          <w:lang w:val="en-US" w:eastAsia="zh-CN" w:bidi="ar-SA"/>
        </w:rPr>
        <w:t>等声明函（附件</w:t>
      </w:r>
      <w:r>
        <w:rPr>
          <w:rFonts w:hint="eastAsia" w:ascii="宋体" w:hAnsi="宋体" w:cs="Times New Roman"/>
          <w:bCs/>
          <w:color w:val="auto"/>
          <w:kern w:val="2"/>
          <w:sz w:val="24"/>
          <w:szCs w:val="20"/>
          <w:highlight w:val="none"/>
          <w:lang w:val="en-US" w:eastAsia="zh-CN" w:bidi="ar-SA"/>
        </w:rPr>
        <w:t>6</w:t>
      </w:r>
      <w:r>
        <w:rPr>
          <w:rFonts w:hint="eastAsia" w:ascii="宋体" w:hAnsi="宋体" w:eastAsia="宋体" w:cs="Times New Roman"/>
          <w:bCs/>
          <w:color w:val="auto"/>
          <w:kern w:val="2"/>
          <w:sz w:val="24"/>
          <w:szCs w:val="20"/>
          <w:highlight w:val="none"/>
          <w:lang w:val="en-US" w:eastAsia="zh-CN" w:bidi="ar-SA"/>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pPr>
        <w:spacing w:line="360" w:lineRule="auto"/>
        <w:ind w:left="420"/>
        <w:rPr>
          <w:rFonts w:ascii="宋体" w:hAnsi="宋体"/>
          <w:b/>
          <w:color w:val="auto"/>
          <w:sz w:val="28"/>
          <w:highlight w:val="none"/>
        </w:rPr>
      </w:pPr>
    </w:p>
    <w:p>
      <w:pPr>
        <w:pStyle w:val="37"/>
        <w:rPr>
          <w:rFonts w:ascii="宋体" w:hAnsi="宋体"/>
          <w:b/>
          <w:color w:val="auto"/>
          <w:sz w:val="28"/>
          <w:highlight w:val="none"/>
        </w:rPr>
      </w:pPr>
    </w:p>
    <w:p>
      <w:pPr>
        <w:pStyle w:val="37"/>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spacing w:line="360" w:lineRule="auto"/>
        <w:ind w:left="420"/>
        <w:rPr>
          <w:rFonts w:ascii="宋体" w:hAnsi="宋体"/>
          <w:b/>
          <w:color w:val="auto"/>
          <w:sz w:val="28"/>
          <w:highlight w:val="none"/>
        </w:rPr>
      </w:pPr>
    </w:p>
    <w:p>
      <w:pPr>
        <w:pStyle w:val="12"/>
        <w:rPr>
          <w:rFonts w:ascii="宋体" w:hAnsi="宋体"/>
          <w:b/>
          <w:color w:val="auto"/>
          <w:sz w:val="28"/>
          <w:highlight w:val="none"/>
        </w:rPr>
      </w:pPr>
    </w:p>
    <w:p>
      <w:pPr>
        <w:pStyle w:val="12"/>
        <w:rPr>
          <w:rFonts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hint="eastAsia" w:ascii="宋体" w:hAnsi="宋体"/>
          <w:b/>
          <w:color w:val="auto"/>
          <w:sz w:val="28"/>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46" w:name="_Toc31708_WPSOffice_Level1"/>
      <w:bookmarkStart w:id="47" w:name="_Toc30723_WPSOffice_Level1"/>
      <w:r>
        <w:rPr>
          <w:rFonts w:hint="eastAsia" w:ascii="宋体" w:hAnsi="宋体"/>
          <w:b/>
          <w:color w:val="auto"/>
          <w:kern w:val="0"/>
          <w:sz w:val="32"/>
          <w:szCs w:val="32"/>
          <w:highlight w:val="none"/>
          <w:lang w:val="zh-CN"/>
        </w:rPr>
        <w:t>投标声明书</w:t>
      </w:r>
      <w:bookmarkEnd w:id="46"/>
      <w:bookmarkEnd w:id="47"/>
    </w:p>
    <w:p>
      <w:pPr>
        <w:snapToGrid w:val="0"/>
        <w:spacing w:before="120" w:beforeLines="50" w:after="50" w:line="312"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pPr>
        <w:numPr>
          <w:ilvl w:val="0"/>
          <w:numId w:val="8"/>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pStyle w:val="27"/>
        <w:ind w:left="0" w:leftChars="0" w:firstLine="0"/>
        <w:rPr>
          <w:color w:val="auto"/>
          <w:highlight w:val="none"/>
        </w:rPr>
      </w:pP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48" w:name="_Toc6870_WPSOffice_Level1"/>
      <w:bookmarkStart w:id="49"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8"/>
      <w:bookmarkEnd w:id="49"/>
    </w:p>
    <w:p>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hint="eastAsia" w:ascii="宋体" w:hAnsi="宋体" w:cs="宋体"/>
          <w:color w:val="auto"/>
          <w:kern w:val="0"/>
          <w:sz w:val="24"/>
          <w:highlight w:val="none"/>
        </w:rPr>
        <w:t>：</w:t>
      </w:r>
    </w:p>
    <w:p>
      <w:pPr>
        <w:pStyle w:val="16"/>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6"/>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rPr>
          <w:rFonts w:ascii="宋体" w:hAnsi="宋体"/>
          <w:b/>
          <w:color w:val="auto"/>
          <w:sz w:val="28"/>
          <w:highlight w:val="none"/>
        </w:rPr>
      </w:pPr>
      <w:bookmarkStart w:id="50" w:name="_Toc12331_WPSOffice_Level1"/>
      <w:bookmarkStart w:id="51" w:name="_Toc16825_WPSOffice_Level1"/>
      <w:bookmarkStart w:id="52" w:name="_Toc26389_WPSOffice_Level1"/>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jc w:val="center"/>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jc w:val="center"/>
        <w:rPr>
          <w:color w:val="auto"/>
          <w:sz w:val="52"/>
          <w:szCs w:val="52"/>
          <w:highlight w:val="none"/>
        </w:rPr>
      </w:pPr>
    </w:p>
    <w:p>
      <w:pPr>
        <w:pStyle w:val="36"/>
        <w:ind w:firstLine="480"/>
        <w:rPr>
          <w:color w:val="auto"/>
          <w:highlight w:val="none"/>
        </w:rPr>
      </w:pPr>
    </w:p>
    <w:p>
      <w:pPr>
        <w:jc w:val="center"/>
        <w:rPr>
          <w:color w:val="auto"/>
          <w:sz w:val="52"/>
          <w:szCs w:val="52"/>
          <w:highlight w:val="none"/>
        </w:rPr>
      </w:pPr>
    </w:p>
    <w:p>
      <w:pPr>
        <w:rPr>
          <w:rFonts w:ascii="宋体" w:hAnsi="宋体"/>
          <w:b/>
          <w:color w:val="auto"/>
          <w:sz w:val="28"/>
          <w:highlight w:val="none"/>
        </w:rPr>
      </w:pP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jc w:val="center"/>
        <w:rPr>
          <w:color w:val="auto"/>
          <w:sz w:val="52"/>
          <w:szCs w:val="52"/>
          <w:highlight w:val="none"/>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theme="minorBidi"/>
          <w:color w:val="auto"/>
          <w:sz w:val="24"/>
          <w:highlight w:val="none"/>
        </w:rPr>
        <w:t>××</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台州市自然资源和规划信息中心</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台州市国土空间基础信息平台升级改造项目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default" w:ascii="宋体" w:hAnsi="宋体" w:cs="宋体"/>
          <w:color w:val="auto"/>
          <w:sz w:val="24"/>
          <w:highlight w:val="none"/>
          <w:u w:val="single"/>
          <w:lang w:eastAsia="zh-CN"/>
        </w:rPr>
        <w:t>台财采确临[2024]4845号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pStyle w:val="36"/>
        <w:ind w:firstLine="4800" w:firstLineChars="2000"/>
        <w:rPr>
          <w:color w:val="auto"/>
          <w:sz w:val="52"/>
          <w:szCs w:val="52"/>
          <w:highlight w:val="none"/>
        </w:rPr>
      </w:pPr>
      <w:r>
        <w:rPr>
          <w:rFonts w:hint="eastAsia" w:hAnsi="宋体" w:cs="仿宋_GB2312"/>
          <w:color w:val="auto"/>
          <w:kern w:val="0"/>
          <w:highlight w:val="none"/>
          <w:lang w:val="zh-CN"/>
        </w:rPr>
        <w:t>日期：</w:t>
      </w:r>
      <w:r>
        <w:rPr>
          <w:rFonts w:hint="eastAsia" w:hAnsi="宋体" w:cstheme="minorBidi"/>
          <w:color w:val="auto"/>
          <w:highlight w:val="none"/>
        </w:rPr>
        <w:t>××</w:t>
      </w:r>
      <w:r>
        <w:rPr>
          <w:rFonts w:hint="eastAsia" w:hAnsi="宋体" w:cs="仿宋_GB2312"/>
          <w:color w:val="auto"/>
          <w:kern w:val="0"/>
          <w:highlight w:val="none"/>
          <w:lang w:val="zh-CN"/>
        </w:rPr>
        <w:t xml:space="preserve">年 </w:t>
      </w:r>
      <w:r>
        <w:rPr>
          <w:rFonts w:hint="eastAsia" w:hAnsi="宋体" w:cstheme="minorBidi"/>
          <w:color w:val="auto"/>
          <w:highlight w:val="none"/>
        </w:rPr>
        <w:t>××</w:t>
      </w:r>
      <w:r>
        <w:rPr>
          <w:rFonts w:hint="eastAsia" w:hAnsi="宋体" w:cs="仿宋_GB2312"/>
          <w:color w:val="auto"/>
          <w:kern w:val="0"/>
          <w:highlight w:val="none"/>
          <w:lang w:val="zh-CN"/>
        </w:rPr>
        <w:t xml:space="preserve"> 月 </w:t>
      </w:r>
      <w:r>
        <w:rPr>
          <w:rFonts w:hint="eastAsia" w:hAnsi="宋体" w:cstheme="minorBidi"/>
          <w:color w:val="auto"/>
          <w:highlight w:val="none"/>
        </w:rPr>
        <w:t>××</w:t>
      </w:r>
      <w:r>
        <w:rPr>
          <w:rFonts w:hint="eastAsia" w:hAnsi="宋体" w:cs="仿宋_GB2312"/>
          <w:color w:val="auto"/>
          <w:kern w:val="0"/>
          <w:highlight w:val="none"/>
          <w:lang w:val="zh-CN"/>
        </w:rPr>
        <w:t xml:space="preserve"> 日</w:t>
      </w: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pPr>
    </w:p>
    <w:p>
      <w:pPr>
        <w:pStyle w:val="36"/>
        <w:ind w:firstLine="1040"/>
        <w:rPr>
          <w:color w:val="auto"/>
          <w:sz w:val="52"/>
          <w:szCs w:val="52"/>
          <w:highlight w:val="none"/>
        </w:rPr>
        <w:sectPr>
          <w:pgSz w:w="11906" w:h="16838"/>
          <w:pgMar w:top="1701" w:right="1448" w:bottom="1531" w:left="1418" w:header="851" w:footer="851" w:gutter="0"/>
          <w:cols w:space="720" w:num="1"/>
          <w:docGrid w:linePitch="312" w:charSpace="0"/>
        </w:sectPr>
      </w:pPr>
    </w:p>
    <w:p>
      <w:pPr>
        <w:snapToGrid w:val="0"/>
        <w:spacing w:before="120"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51"/>
        <w:spacing w:line="360" w:lineRule="auto"/>
        <w:jc w:val="center"/>
        <w:rPr>
          <w:rFonts w:ascii="宋体" w:hAnsi="宋体"/>
          <w:b/>
          <w:color w:val="auto"/>
          <w:sz w:val="24"/>
          <w:highlight w:val="none"/>
          <w:lang w:val="en-GB"/>
        </w:rPr>
      </w:pPr>
    </w:p>
    <w:p>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1"/>
        <w:numPr>
          <w:ilvl w:val="0"/>
          <w:numId w:val="9"/>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51"/>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pStyle w:val="51"/>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pPr>
        <w:spacing w:line="360" w:lineRule="auto"/>
        <w:rPr>
          <w:rFonts w:ascii="宋体" w:hAnsi="宋体"/>
          <w:color w:val="auto"/>
          <w:spacing w:val="6"/>
          <w:sz w:val="24"/>
          <w:highlight w:val="none"/>
        </w:rPr>
      </w:pPr>
    </w:p>
    <w:p>
      <w:pPr>
        <w:pStyle w:val="51"/>
        <w:spacing w:line="360" w:lineRule="auto"/>
        <w:ind w:firstLine="480" w:firstLineChars="200"/>
        <w:rPr>
          <w:rFonts w:ascii="宋体" w:hAnsi="宋体" w:cs="Arial"/>
          <w:bCs/>
          <w:color w:val="auto"/>
          <w:sz w:val="24"/>
          <w:highlight w:val="none"/>
        </w:rPr>
      </w:pPr>
    </w:p>
    <w:p>
      <w:pPr>
        <w:pStyle w:val="51"/>
        <w:spacing w:line="360" w:lineRule="auto"/>
        <w:rPr>
          <w:rFonts w:ascii="宋体" w:hAnsi="宋体"/>
          <w:color w:val="auto"/>
          <w:sz w:val="24"/>
          <w:highlight w:val="none"/>
        </w:rPr>
      </w:pPr>
    </w:p>
    <w:p>
      <w:pPr>
        <w:pStyle w:val="5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pPr>
        <w:pStyle w:val="5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pPr>
        <w:pStyle w:val="12"/>
        <w:rPr>
          <w:rFonts w:ascii="宋体" w:hAnsi="宋体" w:cs="宋体"/>
          <w:color w:val="auto"/>
          <w:sz w:val="24"/>
          <w:szCs w:val="24"/>
          <w:highlight w:val="none"/>
        </w:rPr>
      </w:pPr>
    </w:p>
    <w:p>
      <w:pPr>
        <w:pStyle w:val="12"/>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pPr>
        <w:pStyle w:val="16"/>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台州市自然资源和规划信息中心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olor w:val="auto"/>
          <w:sz w:val="24"/>
          <w:highlight w:val="none"/>
          <w:u w:val="single"/>
          <w:lang w:eastAsia="zh-CN"/>
        </w:rPr>
        <w:t>台州市国土空间基础信息平台升级改造项目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pStyle w:val="27"/>
        <w:rPr>
          <w:color w:val="auto"/>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pStyle w:val="51"/>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pPr>
        <w:pStyle w:val="51"/>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pPr>
        <w:pStyle w:val="36"/>
        <w:ind w:firstLine="1040"/>
        <w:rPr>
          <w:color w:val="auto"/>
          <w:sz w:val="52"/>
          <w:szCs w:val="52"/>
          <w:highlight w:val="none"/>
        </w:rPr>
      </w:pPr>
      <w:r>
        <w:rPr>
          <w:rFonts w:hint="eastAsia" w:ascii="宋体" w:hAnsi="宋体"/>
          <w:color w:val="auto"/>
          <w:sz w:val="24"/>
          <w:highlight w:val="none"/>
        </w:rPr>
        <w:t>日  期  ：</w:t>
      </w:r>
    </w:p>
    <w:p>
      <w:pPr>
        <w:jc w:val="left"/>
        <w:rPr>
          <w:rFonts w:hint="eastAsia" w:ascii="宋体" w:hAnsi="宋体"/>
          <w:b/>
          <w:color w:val="auto"/>
          <w:kern w:val="0"/>
          <w:sz w:val="32"/>
          <w:szCs w:val="32"/>
          <w:highlight w:val="none"/>
        </w:rPr>
      </w:pPr>
    </w:p>
    <w:p>
      <w:pPr>
        <w:pStyle w:val="36"/>
        <w:ind w:firstLine="1040"/>
        <w:rPr>
          <w:color w:val="auto"/>
          <w:sz w:val="52"/>
          <w:szCs w:val="52"/>
          <w:highlight w:val="none"/>
        </w:rPr>
      </w:pPr>
    </w:p>
    <w:p>
      <w:pPr>
        <w:pStyle w:val="36"/>
        <w:ind w:firstLine="1040"/>
        <w:rPr>
          <w:color w:val="auto"/>
          <w:sz w:val="52"/>
          <w:szCs w:val="52"/>
          <w:highlight w:val="none"/>
        </w:rPr>
        <w:sectPr>
          <w:pgSz w:w="11906" w:h="16838"/>
          <w:pgMar w:top="1701" w:right="1448" w:bottom="1531" w:left="1418" w:header="851" w:footer="851" w:gutter="0"/>
          <w:cols w:space="720" w:num="1"/>
          <w:docGrid w:linePitch="312" w:charSpace="0"/>
        </w:sectPr>
      </w:pPr>
    </w:p>
    <w:p>
      <w:pPr>
        <w:jc w:val="center"/>
        <w:rPr>
          <w:color w:val="auto"/>
          <w:sz w:val="52"/>
          <w:szCs w:val="52"/>
          <w:highlight w:val="none"/>
        </w:rPr>
      </w:pPr>
      <w:r>
        <w:rPr>
          <w:rFonts w:hint="eastAsia"/>
          <w:color w:val="auto"/>
          <w:sz w:val="52"/>
          <w:szCs w:val="52"/>
          <w:highlight w:val="none"/>
        </w:rPr>
        <w:t>项目名称</w:t>
      </w:r>
      <w:bookmarkEnd w:id="50"/>
      <w:bookmarkEnd w:id="51"/>
      <w:bookmarkEnd w:id="52"/>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pPr>
        <w:pStyle w:val="27"/>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36"/>
        <w:ind w:firstLine="723"/>
        <w:rPr>
          <w:rFonts w:ascii="仿宋_GB2312" w:hAnsi="宋体" w:eastAsia="仿宋_GB2312"/>
          <w:b/>
          <w:color w:val="auto"/>
          <w:sz w:val="36"/>
          <w:szCs w:val="36"/>
          <w:highlight w:val="none"/>
        </w:rPr>
      </w:pPr>
    </w:p>
    <w:p>
      <w:pPr>
        <w:pStyle w:val="36"/>
        <w:ind w:firstLine="723"/>
        <w:rPr>
          <w:rFonts w:ascii="仿宋_GB2312" w:hAnsi="宋体" w:eastAsia="仿宋_GB2312"/>
          <w:b/>
          <w:color w:val="auto"/>
          <w:sz w:val="36"/>
          <w:szCs w:val="36"/>
          <w:highlight w:val="none"/>
        </w:rPr>
      </w:pPr>
    </w:p>
    <w:p>
      <w:pPr>
        <w:pStyle w:val="36"/>
        <w:ind w:firstLine="723"/>
        <w:rPr>
          <w:rFonts w:ascii="仿宋_GB2312" w:hAnsi="宋体" w:eastAsia="仿宋_GB2312"/>
          <w:b/>
          <w:color w:val="auto"/>
          <w:sz w:val="36"/>
          <w:szCs w:val="36"/>
          <w:highlight w:val="none"/>
        </w:rPr>
      </w:pPr>
    </w:p>
    <w:p>
      <w:pPr>
        <w:pStyle w:val="36"/>
        <w:ind w:firstLine="723"/>
        <w:rPr>
          <w:rFonts w:ascii="仿宋_GB2312" w:hAnsi="宋体" w:eastAsia="仿宋_GB2312"/>
          <w:b/>
          <w:color w:val="auto"/>
          <w:sz w:val="36"/>
          <w:szCs w:val="36"/>
          <w:highlight w:val="none"/>
        </w:rPr>
      </w:pPr>
    </w:p>
    <w:p>
      <w:pPr>
        <w:pStyle w:val="12"/>
        <w:rPr>
          <w:rFonts w:ascii="仿宋_GB2312" w:hAnsi="宋体" w:eastAsia="仿宋_GB2312"/>
          <w:b/>
          <w:color w:val="auto"/>
          <w:sz w:val="36"/>
          <w:szCs w:val="36"/>
          <w:highlight w:val="none"/>
        </w:rPr>
      </w:pPr>
    </w:p>
    <w:p>
      <w:pPr>
        <w:rPr>
          <w:b/>
          <w:bCs/>
          <w:color w:val="auto"/>
          <w:sz w:val="32"/>
          <w:szCs w:val="32"/>
          <w:highlight w:val="none"/>
          <w:lang w:val="zh-CN"/>
        </w:rPr>
      </w:pPr>
      <w:bookmarkStart w:id="53" w:name="_Toc5889_WPSOffice_Level1"/>
      <w:bookmarkStart w:id="54" w:name="_Toc11308_WPSOffice_Level1"/>
    </w:p>
    <w:p>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3"/>
      <w:bookmarkEnd w:id="54"/>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情况介绍（附件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eastAsia="宋体" w:cs="Times New Roman"/>
          <w:bCs/>
          <w:color w:val="auto"/>
          <w:kern w:val="2"/>
          <w:sz w:val="24"/>
          <w:szCs w:val="20"/>
          <w:highlight w:val="none"/>
          <w:lang w:val="en-US" w:eastAsia="zh-CN" w:bidi="ar-SA"/>
        </w:rPr>
        <w:t>10</w:t>
      </w:r>
      <w:r>
        <w:rPr>
          <w:rFonts w:hint="eastAsia" w:ascii="Calibri" w:hAnsi="Calibri" w:cs="Calibri"/>
          <w:color w:val="auto"/>
          <w:sz w:val="24"/>
          <w:highlight w:val="none"/>
        </w:rPr>
        <w:t>）；</w:t>
      </w:r>
    </w:p>
    <w:p>
      <w:pPr>
        <w:pStyle w:val="12"/>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pPr>
        <w:pStyle w:val="12"/>
        <w:widowControl/>
        <w:numPr>
          <w:ilvl w:val="255"/>
          <w:numId w:val="0"/>
        </w:num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（7）同类业绩证明（如有，需提供合同复印件；附件1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pStyle w:val="12"/>
        <w:spacing w:line="360" w:lineRule="auto"/>
        <w:ind w:firstLine="480" w:firstLineChars="20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p>
    <w:p>
      <w:pPr>
        <w:pStyle w:val="12"/>
        <w:spacing w:line="360" w:lineRule="auto"/>
        <w:ind w:firstLine="480" w:firstLineChars="200"/>
        <w:rPr>
          <w:color w:val="auto"/>
          <w:sz w:val="24"/>
          <w:szCs w:val="24"/>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pPr>
    </w:p>
    <w:p>
      <w:pPr>
        <w:pStyle w:val="12"/>
        <w:ind w:firstLine="0"/>
        <w:rPr>
          <w:color w:val="auto"/>
          <w:sz w:val="28"/>
          <w:szCs w:val="28"/>
          <w:highlight w:val="none"/>
        </w:rPr>
        <w:sectPr>
          <w:pgSz w:w="11906" w:h="16838"/>
          <w:pgMar w:top="1701" w:right="1448" w:bottom="1531" w:left="1418" w:header="851" w:footer="851" w:gutter="0"/>
          <w:cols w:space="720" w:num="1"/>
          <w:docGrid w:linePitch="312" w:charSpace="0"/>
        </w:sectPr>
      </w:pPr>
    </w:p>
    <w:p>
      <w:pPr>
        <w:pStyle w:val="41"/>
        <w:shd w:val="clear" w:color="auto" w:fill="FFFFFF"/>
        <w:spacing w:before="0" w:beforeAutospacing="0" w:after="0" w:afterAutospacing="0" w:line="360" w:lineRule="auto"/>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5" w:name="_Toc14261_WPSOffice_Level1"/>
      <w:bookmarkStart w:id="56" w:name="_Toc13307_WPSOffice_Level1"/>
      <w:r>
        <w:rPr>
          <w:rFonts w:hint="eastAsia"/>
          <w:b/>
          <w:color w:val="auto"/>
          <w:sz w:val="32"/>
          <w:szCs w:val="32"/>
          <w:highlight w:val="none"/>
          <w:lang w:eastAsia="zh-CN"/>
        </w:rPr>
        <w:t>供应商</w:t>
      </w:r>
      <w:r>
        <w:rPr>
          <w:rFonts w:hint="eastAsia"/>
          <w:b/>
          <w:bCs/>
          <w:color w:val="auto"/>
          <w:sz w:val="32"/>
          <w:szCs w:val="32"/>
          <w:highlight w:val="none"/>
        </w:rPr>
        <w:t>基本情况表</w:t>
      </w:r>
      <w:bookmarkEnd w:id="55"/>
      <w:bookmarkEnd w:id="56"/>
    </w:p>
    <w:tbl>
      <w:tblPr>
        <w:tblStyle w:val="28"/>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平方米</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□自有</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41"/>
              <w:spacing w:before="0" w:beforeAutospacing="0" w:after="0" w:afterAutospacing="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bl>
    <w:p>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4"/>
          <w:highlight w:val="none"/>
        </w:rPr>
      </w:pPr>
    </w:p>
    <w:p>
      <w:pPr>
        <w:spacing w:line="360" w:lineRule="auto"/>
        <w:rPr>
          <w:rFonts w:ascii="宋体" w:hAnsi="宋体"/>
          <w:b/>
          <w:color w:val="auto"/>
          <w:sz w:val="28"/>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p>
    <w:p>
      <w:pPr>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8"/>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7"/>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pPr>
        <w:pStyle w:val="42"/>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10</w:t>
      </w:r>
    </w:p>
    <w:p>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ind w:firstLine="1205" w:firstLineChars="375"/>
        <w:jc w:val="center"/>
        <w:rPr>
          <w:rFonts w:ascii="宋体" w:hAnsi="宋体"/>
          <w:b/>
          <w:color w:val="auto"/>
          <w:kern w:val="0"/>
          <w:sz w:val="32"/>
          <w:szCs w:val="32"/>
          <w:highlight w:val="none"/>
        </w:rPr>
      </w:pPr>
    </w:p>
    <w:tbl>
      <w:tblPr>
        <w:tblStyle w:val="28"/>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1349"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771"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pPr>
              <w:adjustRightInd w:val="0"/>
              <w:snapToGrid w:val="0"/>
              <w:spacing w:before="100" w:beforeAutospacing="1" w:after="100" w:afterAutospacing="1"/>
              <w:jc w:val="center"/>
              <w:rPr>
                <w:rFonts w:ascii="宋体" w:hAnsi="宋体"/>
                <w:color w:val="auto"/>
                <w:sz w:val="24"/>
                <w:highlight w:val="none"/>
              </w:rPr>
            </w:pPr>
          </w:p>
        </w:tc>
        <w:tc>
          <w:tcPr>
            <w:tcW w:w="3870" w:type="dxa"/>
            <w:vAlign w:val="center"/>
          </w:tcPr>
          <w:p>
            <w:pPr>
              <w:adjustRightInd w:val="0"/>
              <w:snapToGrid w:val="0"/>
              <w:spacing w:before="100" w:beforeAutospacing="1" w:after="100" w:afterAutospacing="1"/>
              <w:rPr>
                <w:rFonts w:ascii="宋体" w:hAnsi="宋体"/>
                <w:color w:val="auto"/>
                <w:sz w:val="24"/>
                <w:highlight w:val="none"/>
              </w:rPr>
            </w:pPr>
          </w:p>
        </w:tc>
        <w:tc>
          <w:tcPr>
            <w:tcW w:w="2707" w:type="dxa"/>
            <w:vAlign w:val="center"/>
          </w:tcPr>
          <w:p>
            <w:pPr>
              <w:adjustRightInd w:val="0"/>
              <w:snapToGrid w:val="0"/>
              <w:spacing w:before="100" w:beforeAutospacing="1" w:after="100" w:afterAutospacing="1"/>
              <w:rPr>
                <w:rFonts w:ascii="宋体" w:hAnsi="宋体"/>
                <w:color w:val="auto"/>
                <w:sz w:val="24"/>
                <w:highlight w:val="none"/>
              </w:rPr>
            </w:pPr>
          </w:p>
        </w:tc>
        <w:tc>
          <w:tcPr>
            <w:tcW w:w="1349" w:type="dxa"/>
            <w:vAlign w:val="center"/>
          </w:tcPr>
          <w:p>
            <w:pPr>
              <w:adjustRightInd w:val="0"/>
              <w:snapToGrid w:val="0"/>
              <w:spacing w:before="100" w:beforeAutospacing="1" w:after="100" w:afterAutospacing="1"/>
              <w:rPr>
                <w:rFonts w:ascii="宋体" w:hAnsi="宋体"/>
                <w:color w:val="auto"/>
                <w:sz w:val="24"/>
                <w:highlight w:val="none"/>
              </w:rPr>
            </w:pPr>
          </w:p>
        </w:tc>
        <w:tc>
          <w:tcPr>
            <w:tcW w:w="771" w:type="dxa"/>
            <w:vAlign w:val="center"/>
          </w:tcPr>
          <w:p>
            <w:pPr>
              <w:adjustRightInd w:val="0"/>
              <w:snapToGrid w:val="0"/>
              <w:spacing w:before="100" w:beforeAutospacing="1" w:after="100" w:afterAutospacing="1"/>
              <w:rPr>
                <w:rFonts w:ascii="宋体" w:hAnsi="宋体"/>
                <w:color w:val="auto"/>
                <w:sz w:val="24"/>
                <w:highlight w:val="none"/>
              </w:rPr>
            </w:pPr>
          </w:p>
        </w:tc>
      </w:tr>
    </w:tbl>
    <w:p>
      <w:pPr>
        <w:pStyle w:val="16"/>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pPr>
        <w:pStyle w:val="16"/>
        <w:adjustRightInd w:val="0"/>
        <w:snapToGrid w:val="0"/>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拟提供的服务承诺与招标文件中的要求不一致时，则必须在技术标《服务条款响应表》中予以明确。 </w:t>
      </w:r>
    </w:p>
    <w:p>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p>
      <w:pPr>
        <w:spacing w:line="360" w:lineRule="auto"/>
        <w:rPr>
          <w:rFonts w:ascii="宋体" w:hAnsi="宋体"/>
          <w:color w:val="auto"/>
          <w:sz w:val="24"/>
          <w:highlight w:val="none"/>
        </w:rPr>
      </w:pPr>
    </w:p>
    <w:p>
      <w:pPr>
        <w:pStyle w:val="27"/>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pStyle w:val="44"/>
        <w:spacing w:line="360" w:lineRule="auto"/>
        <w:jc w:val="left"/>
        <w:rPr>
          <w:rFonts w:ascii="宋体" w:hAnsi="宋体"/>
          <w:b/>
          <w:color w:val="auto"/>
          <w:sz w:val="28"/>
          <w:highlight w:val="none"/>
        </w:rPr>
      </w:pPr>
    </w:p>
    <w:p>
      <w:pPr>
        <w:pStyle w:val="44"/>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pPr>
        <w:pStyle w:val="45"/>
        <w:spacing w:line="360" w:lineRule="auto"/>
        <w:jc w:val="center"/>
        <w:rPr>
          <w:rFonts w:ascii="宋体" w:hAnsi="宋体" w:cs="Arial"/>
          <w:color w:val="auto"/>
          <w:sz w:val="28"/>
          <w:szCs w:val="28"/>
          <w:highlight w:val="none"/>
        </w:rPr>
      </w:pPr>
      <w:bookmarkStart w:id="57" w:name="_Toc11030_WPSOffice_Level1"/>
      <w:bookmarkStart w:id="58" w:name="_Toc17604_WPSOffice_Level1"/>
      <w:r>
        <w:rPr>
          <w:rFonts w:hint="eastAsia" w:ascii="宋体" w:hAnsi="宋体"/>
          <w:b/>
          <w:color w:val="auto"/>
          <w:sz w:val="32"/>
          <w:szCs w:val="32"/>
          <w:highlight w:val="none"/>
        </w:rPr>
        <w:t>证书一览表</w:t>
      </w:r>
      <w:bookmarkEnd w:id="57"/>
      <w:bookmarkEnd w:id="58"/>
    </w:p>
    <w:tbl>
      <w:tblPr>
        <w:tblStyle w:val="28"/>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45"/>
              <w:spacing w:line="360" w:lineRule="auto"/>
              <w:jc w:val="center"/>
              <w:rPr>
                <w:rFonts w:ascii="宋体" w:hAnsi="宋体" w:cs="Arial"/>
                <w:color w:val="auto"/>
                <w:szCs w:val="21"/>
                <w:highlight w:val="none"/>
              </w:rPr>
            </w:pPr>
          </w:p>
        </w:tc>
      </w:tr>
    </w:tbl>
    <w:p>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45"/>
        <w:tabs>
          <w:tab w:val="left" w:pos="1050"/>
        </w:tabs>
        <w:spacing w:line="360" w:lineRule="auto"/>
        <w:rPr>
          <w:rFonts w:ascii="仿宋_GB2312" w:hAnsi="宋体" w:eastAsia="仿宋_GB2312"/>
          <w:color w:val="auto"/>
          <w:sz w:val="24"/>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pPr>
        <w:spacing w:line="360" w:lineRule="auto"/>
        <w:jc w:val="center"/>
        <w:rPr>
          <w:rFonts w:ascii="宋体" w:hAnsi="宋体"/>
          <w:b/>
          <w:bCs/>
          <w:color w:val="auto"/>
          <w:kern w:val="0"/>
          <w:sz w:val="32"/>
          <w:szCs w:val="32"/>
          <w:highlight w:val="none"/>
        </w:rPr>
      </w:pPr>
      <w:bookmarkStart w:id="59" w:name="_Toc7134_WPSOffice_Level1"/>
      <w:bookmarkStart w:id="60" w:name="_Toc19231_WPSOffice_Level1"/>
      <w:r>
        <w:rPr>
          <w:rFonts w:hint="eastAsia" w:ascii="宋体" w:hAnsi="宋体"/>
          <w:b/>
          <w:bCs/>
          <w:color w:val="auto"/>
          <w:kern w:val="0"/>
          <w:sz w:val="32"/>
          <w:szCs w:val="32"/>
          <w:highlight w:val="none"/>
          <w:lang w:eastAsia="zh-CN"/>
        </w:rPr>
        <w:t>供应商</w:t>
      </w:r>
      <w:r>
        <w:rPr>
          <w:rFonts w:hint="eastAsia" w:ascii="宋体" w:hAnsi="宋体"/>
          <w:b/>
          <w:bCs/>
          <w:color w:val="auto"/>
          <w:kern w:val="0"/>
          <w:sz w:val="32"/>
          <w:szCs w:val="32"/>
          <w:highlight w:val="none"/>
        </w:rPr>
        <w:t>类似项目实施情况一览表</w:t>
      </w:r>
      <w:bookmarkEnd w:id="59"/>
      <w:bookmarkEnd w:id="60"/>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7"/>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rPr>
      </w:pPr>
    </w:p>
    <w:p>
      <w:pPr>
        <w:jc w:val="center"/>
        <w:rPr>
          <w:rFonts w:ascii="仿宋" w:hAnsi="仿宋" w:eastAsia="仿宋"/>
          <w:snapToGrid w:val="0"/>
          <w:color w:val="auto"/>
          <w:kern w:val="0"/>
          <w:sz w:val="24"/>
          <w:highlight w:val="none"/>
        </w:rPr>
      </w:pPr>
    </w:p>
    <w:p>
      <w:pPr>
        <w:pStyle w:val="45"/>
        <w:tabs>
          <w:tab w:val="left" w:pos="1050"/>
        </w:tabs>
        <w:spacing w:line="360" w:lineRule="auto"/>
        <w:rPr>
          <w:rFonts w:ascii="宋体" w:hAnsi="宋体"/>
          <w:b/>
          <w:color w:val="auto"/>
          <w:sz w:val="28"/>
          <w:highlight w:val="none"/>
        </w:rPr>
      </w:pPr>
    </w:p>
    <w:p>
      <w:pPr>
        <w:pStyle w:val="45"/>
        <w:tabs>
          <w:tab w:val="left" w:pos="1050"/>
        </w:tabs>
        <w:spacing w:line="360" w:lineRule="auto"/>
        <w:rPr>
          <w:rFonts w:ascii="宋体" w:hAnsi="宋体"/>
          <w:b/>
          <w:color w:val="auto"/>
          <w:sz w:val="28"/>
          <w:highlight w:val="none"/>
        </w:rPr>
      </w:pPr>
    </w:p>
    <w:p>
      <w:pPr>
        <w:pStyle w:val="45"/>
        <w:tabs>
          <w:tab w:val="left" w:pos="1050"/>
        </w:tabs>
        <w:spacing w:line="360" w:lineRule="auto"/>
        <w:rPr>
          <w:rFonts w:ascii="宋体" w:hAnsi="宋体"/>
          <w:b/>
          <w:color w:val="auto"/>
          <w:sz w:val="28"/>
          <w:highlight w:val="none"/>
        </w:rPr>
        <w:sectPr>
          <w:pgSz w:w="11906" w:h="16838"/>
          <w:pgMar w:top="1701" w:right="1448" w:bottom="1531" w:left="1418" w:header="851" w:footer="851" w:gutter="0"/>
          <w:cols w:space="720" w:num="1"/>
          <w:docGrid w:linePitch="312" w:charSpace="0"/>
        </w:sectPr>
      </w:pPr>
    </w:p>
    <w:p>
      <w:pPr>
        <w:jc w:val="center"/>
        <w:rPr>
          <w:color w:val="auto"/>
          <w:sz w:val="52"/>
          <w:szCs w:val="52"/>
          <w:highlight w:val="none"/>
        </w:rPr>
      </w:pPr>
      <w:bookmarkStart w:id="61" w:name="_Toc4615_WPSOffice_Level1"/>
      <w:bookmarkStart w:id="62" w:name="_Toc30468_WPSOffice_Level1"/>
      <w:bookmarkStart w:id="63" w:name="_Toc21322_WPSOffice_Level1"/>
      <w:r>
        <w:rPr>
          <w:rFonts w:hint="eastAsia"/>
          <w:color w:val="auto"/>
          <w:sz w:val="52"/>
          <w:szCs w:val="52"/>
          <w:highlight w:val="none"/>
        </w:rPr>
        <w:t>项目名称</w:t>
      </w:r>
      <w:bookmarkEnd w:id="61"/>
      <w:bookmarkEnd w:id="62"/>
      <w:bookmarkEnd w:id="63"/>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7"/>
        <w:rPr>
          <w:color w:val="auto"/>
          <w:highlight w:val="none"/>
        </w:rPr>
      </w:pPr>
    </w:p>
    <w:p>
      <w:pPr>
        <w:jc w:val="center"/>
        <w:rPr>
          <w:color w:val="auto"/>
          <w:sz w:val="84"/>
          <w:szCs w:val="84"/>
          <w:highlight w:val="none"/>
        </w:rPr>
      </w:pPr>
      <w:bookmarkStart w:id="64" w:name="_Toc8885_WPSOffice_Level1"/>
      <w:bookmarkStart w:id="65" w:name="_Toc9453_WPSOffice_Level1"/>
      <w:r>
        <w:rPr>
          <w:rFonts w:hint="eastAsia"/>
          <w:color w:val="auto"/>
          <w:sz w:val="84"/>
          <w:szCs w:val="84"/>
          <w:highlight w:val="none"/>
        </w:rPr>
        <w:t>报</w:t>
      </w:r>
      <w:bookmarkEnd w:id="64"/>
      <w:bookmarkEnd w:id="65"/>
    </w:p>
    <w:p>
      <w:pPr>
        <w:jc w:val="center"/>
        <w:rPr>
          <w:color w:val="auto"/>
          <w:sz w:val="84"/>
          <w:szCs w:val="84"/>
          <w:highlight w:val="none"/>
        </w:rPr>
      </w:pPr>
      <w:bookmarkStart w:id="66" w:name="_Toc10910_WPSOffice_Level1"/>
      <w:bookmarkStart w:id="67" w:name="_Toc7485_WPSOffice_Level1"/>
      <w:r>
        <w:rPr>
          <w:rFonts w:hint="eastAsia"/>
          <w:color w:val="auto"/>
          <w:sz w:val="84"/>
          <w:szCs w:val="84"/>
          <w:highlight w:val="none"/>
        </w:rPr>
        <w:t>价</w:t>
      </w:r>
      <w:bookmarkEnd w:id="66"/>
      <w:bookmarkEnd w:id="67"/>
    </w:p>
    <w:p>
      <w:pPr>
        <w:jc w:val="center"/>
        <w:rPr>
          <w:color w:val="auto"/>
          <w:sz w:val="84"/>
          <w:szCs w:val="84"/>
          <w:highlight w:val="none"/>
        </w:rPr>
      </w:pPr>
      <w:bookmarkStart w:id="68" w:name="_Toc14572_WPSOffice_Level1"/>
      <w:bookmarkStart w:id="69" w:name="_Toc3932_WPSOffice_Level1"/>
      <w:r>
        <w:rPr>
          <w:rFonts w:hint="eastAsia"/>
          <w:color w:val="auto"/>
          <w:sz w:val="84"/>
          <w:szCs w:val="84"/>
          <w:highlight w:val="none"/>
        </w:rPr>
        <w:t>文</w:t>
      </w:r>
      <w:bookmarkEnd w:id="68"/>
      <w:bookmarkEnd w:id="69"/>
    </w:p>
    <w:p>
      <w:pPr>
        <w:jc w:val="center"/>
        <w:rPr>
          <w:color w:val="auto"/>
          <w:sz w:val="84"/>
          <w:szCs w:val="84"/>
          <w:highlight w:val="none"/>
        </w:rPr>
      </w:pPr>
      <w:bookmarkStart w:id="70" w:name="_Toc7562_WPSOffice_Level1"/>
      <w:bookmarkStart w:id="71" w:name="_Toc16973_WPSOffice_Level1"/>
      <w:r>
        <w:rPr>
          <w:rFonts w:hint="eastAsia"/>
          <w:color w:val="auto"/>
          <w:sz w:val="84"/>
          <w:szCs w:val="84"/>
          <w:highlight w:val="none"/>
        </w:rPr>
        <w:t>件</w:t>
      </w:r>
      <w:bookmarkEnd w:id="70"/>
      <w:bookmarkEnd w:id="71"/>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72" w:name="_Toc26700_WPSOffice_Level1"/>
      <w:bookmarkStart w:id="73" w:name="_Toc4603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72"/>
      <w:bookmarkEnd w:id="73"/>
    </w:p>
    <w:p>
      <w:pPr>
        <w:spacing w:line="360" w:lineRule="auto"/>
        <w:ind w:right="-108" w:firstLine="720" w:firstLineChars="200"/>
        <w:rPr>
          <w:rFonts w:ascii="宋体" w:hAnsi="宋体"/>
          <w:color w:val="auto"/>
          <w:sz w:val="36"/>
          <w:szCs w:val="36"/>
          <w:highlight w:val="none"/>
        </w:rPr>
      </w:pPr>
      <w:bookmarkStart w:id="74" w:name="_Toc32593_WPSOffice_Level1"/>
      <w:bookmarkStart w:id="75" w:name="_Toc1391_WPSOffice_Level1"/>
      <w:r>
        <w:rPr>
          <w:rFonts w:hint="eastAsia" w:ascii="宋体" w:hAnsi="宋体"/>
          <w:color w:val="auto"/>
          <w:sz w:val="36"/>
          <w:szCs w:val="36"/>
          <w:highlight w:val="none"/>
        </w:rPr>
        <w:t>地    址：</w:t>
      </w:r>
      <w:bookmarkEnd w:id="74"/>
      <w:bookmarkEnd w:id="75"/>
    </w:p>
    <w:p>
      <w:pPr>
        <w:spacing w:line="360" w:lineRule="auto"/>
        <w:ind w:right="-108" w:firstLine="720" w:firstLineChars="200"/>
        <w:rPr>
          <w:rFonts w:ascii="宋体" w:hAnsi="宋体"/>
          <w:color w:val="auto"/>
          <w:sz w:val="36"/>
          <w:szCs w:val="36"/>
          <w:highlight w:val="none"/>
        </w:rPr>
      </w:pPr>
      <w:bookmarkStart w:id="76" w:name="_Toc3791_WPSOffice_Level1"/>
      <w:bookmarkStart w:id="77" w:name="_Toc20938_WPSOffice_Level1"/>
      <w:r>
        <w:rPr>
          <w:rFonts w:hint="eastAsia" w:ascii="宋体" w:hAnsi="宋体"/>
          <w:color w:val="auto"/>
          <w:sz w:val="36"/>
          <w:szCs w:val="36"/>
          <w:highlight w:val="none"/>
        </w:rPr>
        <w:t>时    间：</w:t>
      </w:r>
      <w:bookmarkEnd w:id="76"/>
      <w:bookmarkEnd w:id="77"/>
    </w:p>
    <w:p>
      <w:pPr>
        <w:spacing w:line="360" w:lineRule="auto"/>
        <w:ind w:right="-108"/>
        <w:jc w:val="center"/>
        <w:rPr>
          <w:rFonts w:ascii="仿宋_GB2312" w:hAnsi="宋体" w:eastAsia="仿宋_GB2312"/>
          <w:b/>
          <w:color w:val="auto"/>
          <w:sz w:val="36"/>
          <w:szCs w:val="36"/>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12"/>
        <w:rPr>
          <w:rFonts w:ascii="仿宋_GB2312" w:hAnsi="宋体" w:eastAsia="仿宋_GB2312"/>
          <w:b/>
          <w:color w:val="auto"/>
          <w:sz w:val="36"/>
          <w:szCs w:val="36"/>
          <w:highlight w:val="none"/>
        </w:rPr>
      </w:pPr>
    </w:p>
    <w:p>
      <w:pPr>
        <w:spacing w:line="480" w:lineRule="auto"/>
        <w:jc w:val="center"/>
        <w:rPr>
          <w:rFonts w:ascii="宋体" w:hAnsi="宋体"/>
          <w:b/>
          <w:bCs/>
          <w:color w:val="auto"/>
          <w:sz w:val="36"/>
          <w:szCs w:val="36"/>
          <w:highlight w:val="none"/>
        </w:rPr>
      </w:pPr>
      <w:bookmarkStart w:id="78" w:name="_Toc29537_WPSOffice_Level1"/>
      <w:bookmarkStart w:id="79" w:name="_Toc19972_WPSOffice_Level1"/>
      <w:r>
        <w:rPr>
          <w:rFonts w:hint="eastAsia" w:ascii="宋体" w:hAnsi="宋体"/>
          <w:b/>
          <w:bCs/>
          <w:color w:val="auto"/>
          <w:sz w:val="36"/>
          <w:szCs w:val="36"/>
          <w:highlight w:val="none"/>
        </w:rPr>
        <w:t>报价文件目录</w:t>
      </w:r>
      <w:bookmarkEnd w:id="78"/>
      <w:bookmarkEnd w:id="79"/>
    </w:p>
    <w:p>
      <w:pPr>
        <w:rPr>
          <w:rFonts w:asciiTheme="minorEastAsia" w:hAnsiTheme="minorEastAsia" w:eastAsiaTheme="minorEastAsia" w:cstheme="minorEastAsia"/>
          <w:color w:val="auto"/>
          <w:sz w:val="28"/>
          <w:szCs w:val="28"/>
          <w:highlight w:val="none"/>
        </w:rPr>
      </w:pPr>
    </w:p>
    <w:p>
      <w:pPr>
        <w:numPr>
          <w:ilvl w:val="0"/>
          <w:numId w:val="10"/>
        </w:numPr>
        <w:snapToGrid w:val="0"/>
        <w:spacing w:line="360" w:lineRule="auto"/>
        <w:ind w:firstLine="480" w:firstLineChars="200"/>
        <w:rPr>
          <w:rFonts w:hint="eastAsia" w:ascii="宋体" w:hAnsi="宋体"/>
          <w:color w:val="auto"/>
          <w:kern w:val="0"/>
          <w:sz w:val="24"/>
          <w:highlight w:val="none"/>
        </w:rPr>
      </w:pPr>
      <w:bookmarkStart w:id="80" w:name="_Toc29988_WPSOffice_Level1"/>
      <w:bookmarkStart w:id="81" w:name="_Toc6778_WPSOffice_Level1"/>
      <w:r>
        <w:rPr>
          <w:rFonts w:hint="eastAsia" w:ascii="宋体" w:hAnsi="宋体"/>
          <w:color w:val="auto"/>
          <w:kern w:val="0"/>
          <w:sz w:val="24"/>
          <w:highlight w:val="none"/>
        </w:rPr>
        <w:t>开标一览表（附件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pPr>
        <w:numPr>
          <w:ilvl w:val="0"/>
          <w:numId w:val="0"/>
        </w:num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）针对报价</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认为其他需要说明的。</w:t>
      </w:r>
    </w:p>
    <w:bookmarkEnd w:id="80"/>
    <w:bookmarkEnd w:id="81"/>
    <w:p>
      <w:pPr>
        <w:pStyle w:val="27"/>
        <w:rPr>
          <w:color w:val="auto"/>
          <w:highlight w:val="none"/>
        </w:rPr>
      </w:pPr>
    </w:p>
    <w:p>
      <w:pPr>
        <w:rPr>
          <w:rFonts w:asciiTheme="minorEastAsia" w:hAnsiTheme="minorEastAsia" w:eastAsiaTheme="minorEastAsia" w:cstheme="minorEastAsia"/>
          <w:color w:val="auto"/>
          <w:sz w:val="28"/>
          <w:szCs w:val="28"/>
          <w:highlight w:val="none"/>
        </w:rPr>
      </w:pPr>
    </w:p>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pStyle w:val="36"/>
        <w:ind w:firstLine="562"/>
        <w:rPr>
          <w:rFonts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sectPr>
          <w:pgSz w:w="11906" w:h="16838"/>
          <w:pgMar w:top="1701" w:right="1448" w:bottom="1531" w:left="1418" w:header="851" w:footer="851" w:gutter="0"/>
          <w:cols w:space="720" w:num="1"/>
          <w:docGrid w:linePitch="312" w:charSpace="0"/>
        </w:sectPr>
      </w:pP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pPr>
        <w:spacing w:line="360" w:lineRule="auto"/>
        <w:ind w:left="-2" w:hanging="2"/>
        <w:jc w:val="center"/>
        <w:rPr>
          <w:rFonts w:ascii="宋体" w:hAnsi="宋体"/>
          <w:b/>
          <w:color w:val="auto"/>
          <w:sz w:val="32"/>
          <w:szCs w:val="32"/>
          <w:highlight w:val="none"/>
        </w:rPr>
      </w:pPr>
      <w:bookmarkStart w:id="82" w:name="_Toc16144_WPSOffice_Level1"/>
      <w:bookmarkStart w:id="83" w:name="_Toc30363_WPSOffice_Level1"/>
      <w:r>
        <w:rPr>
          <w:rFonts w:hint="eastAsia" w:ascii="宋体" w:hAnsi="宋体"/>
          <w:b/>
          <w:color w:val="auto"/>
          <w:sz w:val="32"/>
          <w:szCs w:val="32"/>
          <w:highlight w:val="none"/>
        </w:rPr>
        <w:t xml:space="preserve">开标一览表 </w:t>
      </w:r>
      <w:bookmarkEnd w:id="82"/>
      <w:bookmarkEnd w:id="83"/>
    </w:p>
    <w:p>
      <w:pPr>
        <w:spacing w:line="360" w:lineRule="auto"/>
        <w:ind w:left="-2" w:hanging="2"/>
        <w:jc w:val="center"/>
        <w:rPr>
          <w:rFonts w:ascii="宋体" w:hAnsi="宋体"/>
          <w:b/>
          <w:color w:val="auto"/>
          <w:sz w:val="32"/>
          <w:szCs w:val="32"/>
          <w:highlight w:val="none"/>
        </w:rPr>
      </w:pPr>
    </w:p>
    <w:p>
      <w:pPr>
        <w:pStyle w:val="16"/>
        <w:spacing w:line="360" w:lineRule="auto"/>
        <w:ind w:firstLine="482" w:firstLineChars="200"/>
        <w:rPr>
          <w:rFonts w:hAnsi="宋体"/>
          <w:b/>
          <w:color w:val="auto"/>
          <w:sz w:val="24"/>
          <w:highlight w:val="none"/>
        </w:rPr>
      </w:pPr>
      <w:r>
        <w:rPr>
          <w:rFonts w:hAnsi="宋体"/>
          <w:b/>
          <w:color w:val="auto"/>
          <w:sz w:val="24"/>
          <w:highlight w:val="none"/>
        </w:rPr>
        <w:t>项目编号：</w:t>
      </w:r>
    </w:p>
    <w:p>
      <w:pPr>
        <w:pStyle w:val="50"/>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台州市国土空间基础信息平台升级改造项目</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8"/>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Cs w:val="21"/>
                <w:highlight w:val="none"/>
              </w:rPr>
            </w:pPr>
          </w:p>
        </w:tc>
      </w:tr>
    </w:tbl>
    <w:p>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宋体" w:hAnsi="宋体"/>
          <w:color w:val="auto"/>
          <w:szCs w:val="21"/>
          <w:highlight w:val="none"/>
        </w:rPr>
        <w:t>投标报价包括本项目采购需求和投入使用的所有费用，包括但不限于其应包括（但不限于）项目实施人员费用、软件开发、安装、调试、测试、技术交底、技术培训、售后服务、验收、培训、采购代理服务费、保修及其他配套服务等一切税金和费用</w:t>
      </w:r>
      <w:r>
        <w:rPr>
          <w:rFonts w:hint="eastAsia" w:ascii="宋体" w:hAnsi="宋体"/>
          <w:color w:val="auto"/>
          <w:szCs w:val="21"/>
          <w:highlight w:val="none"/>
          <w:lang w:eastAsia="zh-CN"/>
        </w:rPr>
        <w:t>合同包含的所有风险责任和不可预见费等所需的全部费用。乙方在投标报价中应充分考虑所有可能发生的费用，否则甲方将视投标报价中已包括所有费用</w:t>
      </w:r>
      <w:r>
        <w:rPr>
          <w:rFonts w:hint="eastAsia" w:ascii="宋体" w:hAnsi="宋体"/>
          <w:color w:val="auto"/>
          <w:szCs w:val="21"/>
          <w:highlight w:val="none"/>
        </w:rPr>
        <w:t>。</w:t>
      </w:r>
    </w:p>
    <w:p>
      <w:pPr>
        <w:pStyle w:val="27"/>
        <w:ind w:left="0" w:leftChars="0" w:firstLine="0"/>
        <w:rPr>
          <w:rFonts w:ascii="宋体" w:hAnsi="宋体"/>
          <w:color w:val="auto"/>
          <w:sz w:val="24"/>
          <w:highlight w:val="none"/>
        </w:rPr>
      </w:pPr>
    </w:p>
    <w:p>
      <w:pPr>
        <w:pStyle w:val="27"/>
        <w:ind w:left="0" w:leftChars="0" w:firstLine="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rPr>
          <w:color w:val="auto"/>
          <w:highlight w:val="none"/>
        </w:rPr>
      </w:pPr>
    </w:p>
    <w:p>
      <w:pPr>
        <w:spacing w:line="360" w:lineRule="auto"/>
        <w:rPr>
          <w:color w:val="auto"/>
          <w:highlight w:val="none"/>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C13E2"/>
    <w:multiLevelType w:val="multilevel"/>
    <w:tmpl w:val="C72C13E2"/>
    <w:lvl w:ilvl="0" w:tentative="0">
      <w:start w:val="1"/>
      <w:numFmt w:val="chineseCounting"/>
      <w:suff w:val="nothing"/>
      <w:lvlText w:val="第%1章 "/>
      <w:lvlJc w:val="left"/>
      <w:pPr>
        <w:tabs>
          <w:tab w:val="left" w:pos="0"/>
        </w:tabs>
        <w:ind w:left="432" w:hanging="432"/>
      </w:pPr>
      <w:rPr>
        <w:rFonts w:hint="eastAsia" w:ascii="宋体" w:hAnsi="宋体" w:eastAsia="仿宋_GB2312" w:cs="仿宋_GB2312"/>
        <w:b/>
        <w:sz w:val="36"/>
      </w:rPr>
    </w:lvl>
    <w:lvl w:ilvl="1" w:tentative="0">
      <w:start w:val="1"/>
      <w:numFmt w:val="decimal"/>
      <w:isLgl/>
      <w:lvlText w:val="%1.%2"/>
      <w:lvlJc w:val="left"/>
      <w:pPr>
        <w:tabs>
          <w:tab w:val="left" w:pos="567"/>
        </w:tabs>
        <w:ind w:left="575" w:hanging="575"/>
      </w:pPr>
      <w:rPr>
        <w:rFonts w:hint="eastAsia" w:ascii="仿宋_GB2312" w:hAnsi="仿宋_GB2312" w:eastAsia="仿宋_GB2312" w:cs="仿宋_GB2312"/>
        <w:b/>
        <w:sz w:val="32"/>
      </w:rPr>
    </w:lvl>
    <w:lvl w:ilvl="2" w:tentative="0">
      <w:start w:val="1"/>
      <w:numFmt w:val="decimal"/>
      <w:isLgl/>
      <w:lvlText w:val="%1.%2.%3"/>
      <w:lvlJc w:val="left"/>
      <w:pPr>
        <w:ind w:left="0" w:firstLine="0"/>
      </w:pPr>
      <w:rPr>
        <w:rFonts w:hint="eastAsia" w:ascii="仿宋_GB2312" w:hAnsi="仿宋_GB2312" w:eastAsia="仿宋_GB2312" w:cs="仿宋_GB2312"/>
        <w:b/>
        <w:sz w:val="30"/>
      </w:rPr>
    </w:lvl>
    <w:lvl w:ilvl="3" w:tentative="0">
      <w:start w:val="1"/>
      <w:numFmt w:val="decimal"/>
      <w:isLgl/>
      <w:lvlText w:val="%1.%2.%3.%4"/>
      <w:lvlJc w:val="left"/>
      <w:pPr>
        <w:tabs>
          <w:tab w:val="left" w:pos="539"/>
        </w:tabs>
        <w:ind w:left="0" w:firstLine="0"/>
      </w:pPr>
      <w:rPr>
        <w:rFonts w:hint="eastAsia" w:ascii="仿宋_GB2312" w:hAnsi="仿宋_GB2312" w:eastAsia="仿宋_GB2312" w:cs="仿宋_GB2312"/>
        <w:b/>
        <w:sz w:val="28"/>
      </w:rPr>
    </w:lvl>
    <w:lvl w:ilvl="4" w:tentative="0">
      <w:start w:val="1"/>
      <w:numFmt w:val="decimal"/>
      <w:isLgl/>
      <w:lvlText w:val="%1.%2.%3.%4.%5"/>
      <w:lvlJc w:val="left"/>
      <w:pPr>
        <w:ind w:left="1008" w:hanging="1008"/>
      </w:pPr>
      <w:rPr>
        <w:rFonts w:hint="eastAsia" w:ascii="仿宋_GB2312" w:hAnsi="仿宋_GB2312" w:eastAsia="仿宋_GB2312" w:cs="仿宋_GB2312"/>
        <w:sz w:val="28"/>
      </w:rPr>
    </w:lvl>
    <w:lvl w:ilvl="5" w:tentative="0">
      <w:start w:val="1"/>
      <w:numFmt w:val="decimal"/>
      <w:pStyle w:val="7"/>
      <w:isLgl/>
      <w:lvlText w:val="%1.%2.%3.%4.%5.%6"/>
      <w:lvlJc w:val="left"/>
      <w:pPr>
        <w:ind w:left="1151" w:hanging="1151"/>
      </w:pPr>
      <w:rPr>
        <w:rFonts w:hint="eastAsia" w:ascii="仿宋_GB2312" w:hAnsi="仿宋_GB2312" w:eastAsia="仿宋_GB2312" w:cs="仿宋_GB2312"/>
        <w:sz w:val="28"/>
      </w:rPr>
    </w:lvl>
    <w:lvl w:ilvl="6" w:tentative="0">
      <w:start w:val="1"/>
      <w:numFmt w:val="decimal"/>
      <w:isLgl/>
      <w:lvlText w:val="%1.%2.%3.%4.%5.%6.%7"/>
      <w:lvlJc w:val="left"/>
      <w:pPr>
        <w:ind w:left="1296" w:hanging="1296"/>
      </w:pPr>
      <w:rPr>
        <w:rFonts w:hint="eastAsia" w:ascii="仿宋_GB2312" w:hAnsi="仿宋_GB2312" w:eastAsia="仿宋_GB2312" w:cs="仿宋_GB2312"/>
        <w:sz w:val="28"/>
      </w:rPr>
    </w:lvl>
    <w:lvl w:ilvl="7" w:tentative="0">
      <w:start w:val="1"/>
      <w:numFmt w:val="decimal"/>
      <w:isLgl/>
      <w:lvlText w:val="%1.%2.%3.%4.%5.%6.%7.%8"/>
      <w:lvlJc w:val="left"/>
      <w:pPr>
        <w:ind w:left="1440" w:hanging="1440"/>
      </w:pPr>
      <w:rPr>
        <w:rFonts w:hint="eastAsia" w:ascii="宋体" w:hAnsi="宋体" w:eastAsia="仿宋_GB2312" w:cs="宋体"/>
        <w:sz w:val="28"/>
      </w:rPr>
    </w:lvl>
    <w:lvl w:ilvl="8" w:tentative="0">
      <w:start w:val="1"/>
      <w:numFmt w:val="decimal"/>
      <w:isLgl/>
      <w:lvlText w:val="%1.%2.%3.%4.%5.%6.%7.%8.%9"/>
      <w:lvlJc w:val="left"/>
      <w:pPr>
        <w:ind w:left="1583" w:hanging="1583"/>
      </w:pPr>
      <w:rPr>
        <w:rFonts w:hint="eastAsia" w:ascii="宋体" w:hAnsi="宋体" w:eastAsia="仿宋_GB2312" w:cs="宋体"/>
        <w:sz w:val="28"/>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F77F9D6E"/>
    <w:multiLevelType w:val="singleLevel"/>
    <w:tmpl w:val="F77F9D6E"/>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11"/>
      <w:lvlText w:val="%1."/>
      <w:lvlJc w:val="left"/>
      <w:pPr>
        <w:tabs>
          <w:tab w:val="left" w:pos="360"/>
        </w:tabs>
        <w:ind w:left="360" w:hanging="360"/>
      </w:pPr>
    </w:lvl>
  </w:abstractNum>
  <w:abstractNum w:abstractNumId="4">
    <w:nsid w:val="3CEB21C5"/>
    <w:multiLevelType w:val="singleLevel"/>
    <w:tmpl w:val="3CEB21C5"/>
    <w:lvl w:ilvl="0" w:tentative="0">
      <w:start w:val="1"/>
      <w:numFmt w:val="decimal"/>
      <w:lvlText w:val="%1."/>
      <w:lvlJc w:val="left"/>
      <w:pPr>
        <w:tabs>
          <w:tab w:val="left" w:pos="312"/>
        </w:tabs>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3F985B4"/>
    <w:multiLevelType w:val="singleLevel"/>
    <w:tmpl w:val="53F985B4"/>
    <w:lvl w:ilvl="0" w:tentative="0">
      <w:start w:val="1"/>
      <w:numFmt w:val="decimal"/>
      <w:lvlText w:val="%1."/>
      <w:lvlJc w:val="left"/>
      <w:pPr>
        <w:tabs>
          <w:tab w:val="left" w:pos="312"/>
        </w:tabs>
      </w:p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num w:numId="1">
    <w:abstractNumId w:val="8"/>
  </w:num>
  <w:num w:numId="2">
    <w:abstractNumId w:val="0"/>
  </w:num>
  <w:num w:numId="3">
    <w:abstractNumId w:val="3"/>
  </w:num>
  <w:num w:numId="4">
    <w:abstractNumId w:val="9"/>
  </w:num>
  <w:num w:numId="5">
    <w:abstractNumId w:val="5"/>
  </w:num>
  <w:num w:numId="6">
    <w:abstractNumId w:val="1"/>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s>
  <w:rsids>
    <w:rsidRoot w:val="685F2B0C"/>
    <w:rsid w:val="00030D77"/>
    <w:rsid w:val="00041BAF"/>
    <w:rsid w:val="00071BA1"/>
    <w:rsid w:val="000A2B60"/>
    <w:rsid w:val="001146EF"/>
    <w:rsid w:val="00165EE9"/>
    <w:rsid w:val="001832BF"/>
    <w:rsid w:val="00186236"/>
    <w:rsid w:val="001C3C52"/>
    <w:rsid w:val="00261C9F"/>
    <w:rsid w:val="00291503"/>
    <w:rsid w:val="002C29FD"/>
    <w:rsid w:val="00315916"/>
    <w:rsid w:val="0036127F"/>
    <w:rsid w:val="003912B3"/>
    <w:rsid w:val="0049548B"/>
    <w:rsid w:val="0056488D"/>
    <w:rsid w:val="005A48DC"/>
    <w:rsid w:val="005C5943"/>
    <w:rsid w:val="005D0DD1"/>
    <w:rsid w:val="005D7C43"/>
    <w:rsid w:val="00667357"/>
    <w:rsid w:val="006B13C6"/>
    <w:rsid w:val="006D5C96"/>
    <w:rsid w:val="00703DA6"/>
    <w:rsid w:val="007477AD"/>
    <w:rsid w:val="0077215E"/>
    <w:rsid w:val="00775D23"/>
    <w:rsid w:val="007E430A"/>
    <w:rsid w:val="008126DD"/>
    <w:rsid w:val="00812CB7"/>
    <w:rsid w:val="00816543"/>
    <w:rsid w:val="008248FA"/>
    <w:rsid w:val="0084174C"/>
    <w:rsid w:val="008771FC"/>
    <w:rsid w:val="008D4880"/>
    <w:rsid w:val="00905DA1"/>
    <w:rsid w:val="00987EDA"/>
    <w:rsid w:val="009D46C4"/>
    <w:rsid w:val="009D6A9E"/>
    <w:rsid w:val="00A85AC9"/>
    <w:rsid w:val="00A921FD"/>
    <w:rsid w:val="00AB072A"/>
    <w:rsid w:val="00AB49B7"/>
    <w:rsid w:val="00AC1AF0"/>
    <w:rsid w:val="00B21BE9"/>
    <w:rsid w:val="00B91F02"/>
    <w:rsid w:val="00C061A0"/>
    <w:rsid w:val="00C50B60"/>
    <w:rsid w:val="00C52A0D"/>
    <w:rsid w:val="00CA2C6C"/>
    <w:rsid w:val="00CB22DC"/>
    <w:rsid w:val="00D0009A"/>
    <w:rsid w:val="00D14AD5"/>
    <w:rsid w:val="00D325EC"/>
    <w:rsid w:val="00D32D42"/>
    <w:rsid w:val="00D40771"/>
    <w:rsid w:val="00D47A22"/>
    <w:rsid w:val="00D81728"/>
    <w:rsid w:val="00DB1553"/>
    <w:rsid w:val="00E42018"/>
    <w:rsid w:val="00F026B4"/>
    <w:rsid w:val="00FC1E7F"/>
    <w:rsid w:val="00FE4CBF"/>
    <w:rsid w:val="00FF7A94"/>
    <w:rsid w:val="010742D5"/>
    <w:rsid w:val="010F7B98"/>
    <w:rsid w:val="01270A4D"/>
    <w:rsid w:val="01851778"/>
    <w:rsid w:val="01A729ED"/>
    <w:rsid w:val="01AE11E6"/>
    <w:rsid w:val="01B729F0"/>
    <w:rsid w:val="01E96BCD"/>
    <w:rsid w:val="01F53A09"/>
    <w:rsid w:val="02222883"/>
    <w:rsid w:val="0268098B"/>
    <w:rsid w:val="02A01370"/>
    <w:rsid w:val="02A824AD"/>
    <w:rsid w:val="02C62BA9"/>
    <w:rsid w:val="030A7540"/>
    <w:rsid w:val="032F44A6"/>
    <w:rsid w:val="034C79A8"/>
    <w:rsid w:val="035E327D"/>
    <w:rsid w:val="03624C71"/>
    <w:rsid w:val="037171B2"/>
    <w:rsid w:val="03723D7D"/>
    <w:rsid w:val="03A55E37"/>
    <w:rsid w:val="03C30C20"/>
    <w:rsid w:val="03F2143F"/>
    <w:rsid w:val="04071573"/>
    <w:rsid w:val="04357EE7"/>
    <w:rsid w:val="043E0AAC"/>
    <w:rsid w:val="044F2C90"/>
    <w:rsid w:val="04604D98"/>
    <w:rsid w:val="04762FE4"/>
    <w:rsid w:val="048361AE"/>
    <w:rsid w:val="048962DE"/>
    <w:rsid w:val="04900A7E"/>
    <w:rsid w:val="04AB1EA0"/>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3D2F0C"/>
    <w:rsid w:val="06474E34"/>
    <w:rsid w:val="06484055"/>
    <w:rsid w:val="065949DD"/>
    <w:rsid w:val="065A3F7A"/>
    <w:rsid w:val="06653EC4"/>
    <w:rsid w:val="068154EF"/>
    <w:rsid w:val="0699402C"/>
    <w:rsid w:val="069C64C8"/>
    <w:rsid w:val="06A0112C"/>
    <w:rsid w:val="06A81BEC"/>
    <w:rsid w:val="06DC60DB"/>
    <w:rsid w:val="06F44F8B"/>
    <w:rsid w:val="06F84851"/>
    <w:rsid w:val="06FB0045"/>
    <w:rsid w:val="073E6F3C"/>
    <w:rsid w:val="077B362D"/>
    <w:rsid w:val="079A6E72"/>
    <w:rsid w:val="079F3EE7"/>
    <w:rsid w:val="07AA1AB7"/>
    <w:rsid w:val="07DF5164"/>
    <w:rsid w:val="07E50580"/>
    <w:rsid w:val="07EE133F"/>
    <w:rsid w:val="08065B86"/>
    <w:rsid w:val="08273E74"/>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7A4477"/>
    <w:rsid w:val="09CE19BC"/>
    <w:rsid w:val="09E70A54"/>
    <w:rsid w:val="09E84CCD"/>
    <w:rsid w:val="0A051115"/>
    <w:rsid w:val="0A0B0AA7"/>
    <w:rsid w:val="0A0B2A12"/>
    <w:rsid w:val="0A3A5C5D"/>
    <w:rsid w:val="0A3D7B60"/>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BFC1116"/>
    <w:rsid w:val="0C2B68A4"/>
    <w:rsid w:val="0C377F1F"/>
    <w:rsid w:val="0C516743"/>
    <w:rsid w:val="0C5D1BDB"/>
    <w:rsid w:val="0C7E2237"/>
    <w:rsid w:val="0CA34118"/>
    <w:rsid w:val="0CA758F8"/>
    <w:rsid w:val="0CCD457A"/>
    <w:rsid w:val="0CCD48BE"/>
    <w:rsid w:val="0CED2959"/>
    <w:rsid w:val="0CEF3BF8"/>
    <w:rsid w:val="0D000761"/>
    <w:rsid w:val="0D3F7F2E"/>
    <w:rsid w:val="0D6344EC"/>
    <w:rsid w:val="0D705EC6"/>
    <w:rsid w:val="0D7446FA"/>
    <w:rsid w:val="0D870C14"/>
    <w:rsid w:val="0DB14507"/>
    <w:rsid w:val="0DB757B9"/>
    <w:rsid w:val="0DE545F3"/>
    <w:rsid w:val="0DE7555E"/>
    <w:rsid w:val="0DED62FA"/>
    <w:rsid w:val="0E0316BF"/>
    <w:rsid w:val="0E072513"/>
    <w:rsid w:val="0E691231"/>
    <w:rsid w:val="0EE45760"/>
    <w:rsid w:val="0EEE7DFC"/>
    <w:rsid w:val="0F0D0D2C"/>
    <w:rsid w:val="0F385060"/>
    <w:rsid w:val="0F58781F"/>
    <w:rsid w:val="0F5D7625"/>
    <w:rsid w:val="0F6147A2"/>
    <w:rsid w:val="0F86061B"/>
    <w:rsid w:val="0FC27645"/>
    <w:rsid w:val="0FD4645C"/>
    <w:rsid w:val="0FE963AA"/>
    <w:rsid w:val="1007199F"/>
    <w:rsid w:val="101A3630"/>
    <w:rsid w:val="102C199B"/>
    <w:rsid w:val="105576A8"/>
    <w:rsid w:val="107A6B0B"/>
    <w:rsid w:val="10BE1B05"/>
    <w:rsid w:val="10C64B9C"/>
    <w:rsid w:val="10CB7C05"/>
    <w:rsid w:val="10CF3933"/>
    <w:rsid w:val="10FD1FE7"/>
    <w:rsid w:val="11012D5F"/>
    <w:rsid w:val="11344EBE"/>
    <w:rsid w:val="115B5C4F"/>
    <w:rsid w:val="117C20D6"/>
    <w:rsid w:val="118A244C"/>
    <w:rsid w:val="1198193E"/>
    <w:rsid w:val="11A2124C"/>
    <w:rsid w:val="11B33AF6"/>
    <w:rsid w:val="11C049F1"/>
    <w:rsid w:val="11C20C82"/>
    <w:rsid w:val="11C8536C"/>
    <w:rsid w:val="11D0460B"/>
    <w:rsid w:val="11DE5C79"/>
    <w:rsid w:val="12101447"/>
    <w:rsid w:val="12215961"/>
    <w:rsid w:val="123E166F"/>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9F11B3"/>
    <w:rsid w:val="15AF033B"/>
    <w:rsid w:val="15C012BB"/>
    <w:rsid w:val="16031113"/>
    <w:rsid w:val="160C1329"/>
    <w:rsid w:val="16332D75"/>
    <w:rsid w:val="163B2DC4"/>
    <w:rsid w:val="16502A53"/>
    <w:rsid w:val="16725D01"/>
    <w:rsid w:val="16777B9F"/>
    <w:rsid w:val="168F227C"/>
    <w:rsid w:val="169A575C"/>
    <w:rsid w:val="16AD5C51"/>
    <w:rsid w:val="16C11894"/>
    <w:rsid w:val="16C377D3"/>
    <w:rsid w:val="171F0861"/>
    <w:rsid w:val="1731374B"/>
    <w:rsid w:val="173B1F0E"/>
    <w:rsid w:val="173D243C"/>
    <w:rsid w:val="17534ECF"/>
    <w:rsid w:val="17C76AD9"/>
    <w:rsid w:val="17DC7BF0"/>
    <w:rsid w:val="180053F0"/>
    <w:rsid w:val="181011F1"/>
    <w:rsid w:val="185F5F75"/>
    <w:rsid w:val="186E51A7"/>
    <w:rsid w:val="188227EF"/>
    <w:rsid w:val="189220EE"/>
    <w:rsid w:val="189E4B47"/>
    <w:rsid w:val="18E36CFC"/>
    <w:rsid w:val="19000C71"/>
    <w:rsid w:val="19267830"/>
    <w:rsid w:val="192A06DB"/>
    <w:rsid w:val="193028F8"/>
    <w:rsid w:val="19800DAF"/>
    <w:rsid w:val="198218DD"/>
    <w:rsid w:val="198D1B84"/>
    <w:rsid w:val="198E4D52"/>
    <w:rsid w:val="19923F06"/>
    <w:rsid w:val="19AF2729"/>
    <w:rsid w:val="19B86714"/>
    <w:rsid w:val="19E51688"/>
    <w:rsid w:val="19EE2A8B"/>
    <w:rsid w:val="19EE41FA"/>
    <w:rsid w:val="19EE5BA1"/>
    <w:rsid w:val="19F16090"/>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17C51"/>
    <w:rsid w:val="1B317E8A"/>
    <w:rsid w:val="1B3B15AA"/>
    <w:rsid w:val="1B6A3FBF"/>
    <w:rsid w:val="1B8C6B7B"/>
    <w:rsid w:val="1B9E29B4"/>
    <w:rsid w:val="1BBF65FB"/>
    <w:rsid w:val="1BC2281C"/>
    <w:rsid w:val="1BF657FB"/>
    <w:rsid w:val="1C374515"/>
    <w:rsid w:val="1C4235A6"/>
    <w:rsid w:val="1C4F222F"/>
    <w:rsid w:val="1C691F5E"/>
    <w:rsid w:val="1C6D1D2E"/>
    <w:rsid w:val="1CA86A15"/>
    <w:rsid w:val="1CBB4247"/>
    <w:rsid w:val="1CF87735"/>
    <w:rsid w:val="1CFA7EEF"/>
    <w:rsid w:val="1CFB1146"/>
    <w:rsid w:val="1D1338EC"/>
    <w:rsid w:val="1D37062D"/>
    <w:rsid w:val="1D3B199E"/>
    <w:rsid w:val="1D5B6D2E"/>
    <w:rsid w:val="1DB84E09"/>
    <w:rsid w:val="1DC13FCB"/>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90562"/>
    <w:rsid w:val="1F3E1D5D"/>
    <w:rsid w:val="1F6E3177"/>
    <w:rsid w:val="1F6F04BA"/>
    <w:rsid w:val="1F8129BD"/>
    <w:rsid w:val="1FD774B6"/>
    <w:rsid w:val="20027E74"/>
    <w:rsid w:val="2024650C"/>
    <w:rsid w:val="204663FA"/>
    <w:rsid w:val="204F1D86"/>
    <w:rsid w:val="20624FA2"/>
    <w:rsid w:val="206A1137"/>
    <w:rsid w:val="20835E3C"/>
    <w:rsid w:val="20AA1825"/>
    <w:rsid w:val="20BB1EB1"/>
    <w:rsid w:val="20F46465"/>
    <w:rsid w:val="210E203D"/>
    <w:rsid w:val="21125384"/>
    <w:rsid w:val="21144C23"/>
    <w:rsid w:val="212A75E7"/>
    <w:rsid w:val="21593740"/>
    <w:rsid w:val="215C6880"/>
    <w:rsid w:val="2163612C"/>
    <w:rsid w:val="217039C6"/>
    <w:rsid w:val="21754AF5"/>
    <w:rsid w:val="217E7700"/>
    <w:rsid w:val="218158E0"/>
    <w:rsid w:val="2186684C"/>
    <w:rsid w:val="218F0080"/>
    <w:rsid w:val="21B118E7"/>
    <w:rsid w:val="21BA53F5"/>
    <w:rsid w:val="220B781D"/>
    <w:rsid w:val="2220525E"/>
    <w:rsid w:val="224449F5"/>
    <w:rsid w:val="225D16C1"/>
    <w:rsid w:val="2266010D"/>
    <w:rsid w:val="226E674C"/>
    <w:rsid w:val="22712A0D"/>
    <w:rsid w:val="22734646"/>
    <w:rsid w:val="228E1279"/>
    <w:rsid w:val="22B609EC"/>
    <w:rsid w:val="22C23296"/>
    <w:rsid w:val="22CF4727"/>
    <w:rsid w:val="22E35CB6"/>
    <w:rsid w:val="231F4E65"/>
    <w:rsid w:val="23280561"/>
    <w:rsid w:val="2330019D"/>
    <w:rsid w:val="235E2799"/>
    <w:rsid w:val="23666663"/>
    <w:rsid w:val="23693289"/>
    <w:rsid w:val="23795972"/>
    <w:rsid w:val="239147E1"/>
    <w:rsid w:val="23BB34F7"/>
    <w:rsid w:val="23CB333E"/>
    <w:rsid w:val="23F91B39"/>
    <w:rsid w:val="242E5E97"/>
    <w:rsid w:val="243A5F83"/>
    <w:rsid w:val="244702BD"/>
    <w:rsid w:val="24730225"/>
    <w:rsid w:val="247E0687"/>
    <w:rsid w:val="24A20628"/>
    <w:rsid w:val="24B45D14"/>
    <w:rsid w:val="24E6443F"/>
    <w:rsid w:val="24FE0E05"/>
    <w:rsid w:val="25171BA0"/>
    <w:rsid w:val="251B18C1"/>
    <w:rsid w:val="25222461"/>
    <w:rsid w:val="25501E67"/>
    <w:rsid w:val="25524FA6"/>
    <w:rsid w:val="25532EC3"/>
    <w:rsid w:val="25890B7B"/>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5B4FFA"/>
    <w:rsid w:val="285D72A5"/>
    <w:rsid w:val="288F719F"/>
    <w:rsid w:val="28A40378"/>
    <w:rsid w:val="28D9203E"/>
    <w:rsid w:val="28E60D8A"/>
    <w:rsid w:val="295E1181"/>
    <w:rsid w:val="298330BD"/>
    <w:rsid w:val="29B00B02"/>
    <w:rsid w:val="29B661A7"/>
    <w:rsid w:val="29DB1483"/>
    <w:rsid w:val="29DC3277"/>
    <w:rsid w:val="29FA460F"/>
    <w:rsid w:val="2A0B6D48"/>
    <w:rsid w:val="2A397DF9"/>
    <w:rsid w:val="2A7C5019"/>
    <w:rsid w:val="2A8E3410"/>
    <w:rsid w:val="2AB31D9A"/>
    <w:rsid w:val="2AC017A8"/>
    <w:rsid w:val="2AC47CD5"/>
    <w:rsid w:val="2AF74BC3"/>
    <w:rsid w:val="2B127E2F"/>
    <w:rsid w:val="2B3677A4"/>
    <w:rsid w:val="2B7F5D7B"/>
    <w:rsid w:val="2B9073EB"/>
    <w:rsid w:val="2BAD682D"/>
    <w:rsid w:val="2BC41873"/>
    <w:rsid w:val="2BEE5A9C"/>
    <w:rsid w:val="2C6B41B7"/>
    <w:rsid w:val="2C7E1373"/>
    <w:rsid w:val="2CAF7AE9"/>
    <w:rsid w:val="2CB550EC"/>
    <w:rsid w:val="2CF947D9"/>
    <w:rsid w:val="2CFA06CC"/>
    <w:rsid w:val="2D0E5DBF"/>
    <w:rsid w:val="2D0F0C1F"/>
    <w:rsid w:val="2D1C2FCC"/>
    <w:rsid w:val="2D3F090C"/>
    <w:rsid w:val="2D473273"/>
    <w:rsid w:val="2D8167C0"/>
    <w:rsid w:val="2D9C1D44"/>
    <w:rsid w:val="2DAB174B"/>
    <w:rsid w:val="2DAC3053"/>
    <w:rsid w:val="2DB40F04"/>
    <w:rsid w:val="2DB55317"/>
    <w:rsid w:val="2DD04A2C"/>
    <w:rsid w:val="2E073EDF"/>
    <w:rsid w:val="2E1A2D69"/>
    <w:rsid w:val="2E1C2312"/>
    <w:rsid w:val="2E617376"/>
    <w:rsid w:val="2E6F7E66"/>
    <w:rsid w:val="2ED13170"/>
    <w:rsid w:val="2F011E82"/>
    <w:rsid w:val="2F415E64"/>
    <w:rsid w:val="2F60404A"/>
    <w:rsid w:val="2F6858EF"/>
    <w:rsid w:val="2F7674B4"/>
    <w:rsid w:val="2FC51659"/>
    <w:rsid w:val="2FCB2DE8"/>
    <w:rsid w:val="2FF44938"/>
    <w:rsid w:val="30082C17"/>
    <w:rsid w:val="301A6B35"/>
    <w:rsid w:val="30385048"/>
    <w:rsid w:val="30400DE6"/>
    <w:rsid w:val="3046030C"/>
    <w:rsid w:val="30577166"/>
    <w:rsid w:val="30A8450A"/>
    <w:rsid w:val="30B147B2"/>
    <w:rsid w:val="30C47C02"/>
    <w:rsid w:val="30FE64F4"/>
    <w:rsid w:val="310D00D7"/>
    <w:rsid w:val="314A5A0E"/>
    <w:rsid w:val="31682139"/>
    <w:rsid w:val="319957F6"/>
    <w:rsid w:val="31AE3364"/>
    <w:rsid w:val="31C036D0"/>
    <w:rsid w:val="31C90302"/>
    <w:rsid w:val="31D953B1"/>
    <w:rsid w:val="31EC1741"/>
    <w:rsid w:val="31EF6CF0"/>
    <w:rsid w:val="31F7619B"/>
    <w:rsid w:val="321F0CAE"/>
    <w:rsid w:val="321F3505"/>
    <w:rsid w:val="322B0318"/>
    <w:rsid w:val="32494369"/>
    <w:rsid w:val="324C0B81"/>
    <w:rsid w:val="32517D1E"/>
    <w:rsid w:val="329B0438"/>
    <w:rsid w:val="32B63AAA"/>
    <w:rsid w:val="32DF36F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121410"/>
    <w:rsid w:val="36243C2B"/>
    <w:rsid w:val="36475152"/>
    <w:rsid w:val="365674EF"/>
    <w:rsid w:val="36624145"/>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0B0AC4"/>
    <w:rsid w:val="391E370A"/>
    <w:rsid w:val="392F5095"/>
    <w:rsid w:val="393A5028"/>
    <w:rsid w:val="393C7ED6"/>
    <w:rsid w:val="39465433"/>
    <w:rsid w:val="39581B4E"/>
    <w:rsid w:val="395B6912"/>
    <w:rsid w:val="396271DB"/>
    <w:rsid w:val="39A56F77"/>
    <w:rsid w:val="39BE4A11"/>
    <w:rsid w:val="3A27520A"/>
    <w:rsid w:val="3A3F6C87"/>
    <w:rsid w:val="3A465FD4"/>
    <w:rsid w:val="3A956A72"/>
    <w:rsid w:val="3AD1189A"/>
    <w:rsid w:val="3AD70862"/>
    <w:rsid w:val="3AE76311"/>
    <w:rsid w:val="3B1109C9"/>
    <w:rsid w:val="3B2552D7"/>
    <w:rsid w:val="3B3F7D03"/>
    <w:rsid w:val="3B970D6B"/>
    <w:rsid w:val="3BE51125"/>
    <w:rsid w:val="3BE90506"/>
    <w:rsid w:val="3BEB6832"/>
    <w:rsid w:val="3BF178CC"/>
    <w:rsid w:val="3BFA2E9E"/>
    <w:rsid w:val="3C0D2894"/>
    <w:rsid w:val="3C157564"/>
    <w:rsid w:val="3C3D13BF"/>
    <w:rsid w:val="3C40766B"/>
    <w:rsid w:val="3C476B61"/>
    <w:rsid w:val="3C583A62"/>
    <w:rsid w:val="3C813EBD"/>
    <w:rsid w:val="3C925C0E"/>
    <w:rsid w:val="3CA24375"/>
    <w:rsid w:val="3CB702EA"/>
    <w:rsid w:val="3CB968F3"/>
    <w:rsid w:val="3CBD35C8"/>
    <w:rsid w:val="3CC24029"/>
    <w:rsid w:val="3CCB7ED2"/>
    <w:rsid w:val="3CCF0F73"/>
    <w:rsid w:val="3CDB33D4"/>
    <w:rsid w:val="3CE437F4"/>
    <w:rsid w:val="3D386985"/>
    <w:rsid w:val="3D3906B1"/>
    <w:rsid w:val="3D584E9B"/>
    <w:rsid w:val="3D6EBC34"/>
    <w:rsid w:val="3D880E45"/>
    <w:rsid w:val="3D9C69C1"/>
    <w:rsid w:val="3DA0424A"/>
    <w:rsid w:val="3DA419D7"/>
    <w:rsid w:val="3DD31329"/>
    <w:rsid w:val="3DDA6370"/>
    <w:rsid w:val="3DDD2C1B"/>
    <w:rsid w:val="3DFF5060"/>
    <w:rsid w:val="3E072051"/>
    <w:rsid w:val="3E136870"/>
    <w:rsid w:val="3E5D5F3B"/>
    <w:rsid w:val="3E615282"/>
    <w:rsid w:val="3E8429B9"/>
    <w:rsid w:val="3E886F46"/>
    <w:rsid w:val="3EBE7D18"/>
    <w:rsid w:val="3ECC547A"/>
    <w:rsid w:val="3EE01AD6"/>
    <w:rsid w:val="3F1A1718"/>
    <w:rsid w:val="3F4E5041"/>
    <w:rsid w:val="3F506818"/>
    <w:rsid w:val="3FBF5D6C"/>
    <w:rsid w:val="3FE36C1C"/>
    <w:rsid w:val="3FEB19D5"/>
    <w:rsid w:val="3FF15ABF"/>
    <w:rsid w:val="3FF87B58"/>
    <w:rsid w:val="40003C7E"/>
    <w:rsid w:val="40340044"/>
    <w:rsid w:val="40661E5E"/>
    <w:rsid w:val="406E45AD"/>
    <w:rsid w:val="407C0CAD"/>
    <w:rsid w:val="40924D64"/>
    <w:rsid w:val="40932EEA"/>
    <w:rsid w:val="40963A57"/>
    <w:rsid w:val="40D16C5D"/>
    <w:rsid w:val="40F024AD"/>
    <w:rsid w:val="410A3110"/>
    <w:rsid w:val="41310CA2"/>
    <w:rsid w:val="417E2272"/>
    <w:rsid w:val="41893506"/>
    <w:rsid w:val="419915A4"/>
    <w:rsid w:val="41A82FD1"/>
    <w:rsid w:val="41C35995"/>
    <w:rsid w:val="41CF7D38"/>
    <w:rsid w:val="41FC4A89"/>
    <w:rsid w:val="420F1D94"/>
    <w:rsid w:val="42295B17"/>
    <w:rsid w:val="422C362E"/>
    <w:rsid w:val="423E5ED2"/>
    <w:rsid w:val="424441F1"/>
    <w:rsid w:val="425E0F00"/>
    <w:rsid w:val="426D5149"/>
    <w:rsid w:val="427E3E3A"/>
    <w:rsid w:val="42856A71"/>
    <w:rsid w:val="428917B7"/>
    <w:rsid w:val="42F1595A"/>
    <w:rsid w:val="430B7DA4"/>
    <w:rsid w:val="430D4AC0"/>
    <w:rsid w:val="431E047F"/>
    <w:rsid w:val="431E65EF"/>
    <w:rsid w:val="43430E5B"/>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6321B"/>
    <w:rsid w:val="4478624B"/>
    <w:rsid w:val="4493367B"/>
    <w:rsid w:val="44A72843"/>
    <w:rsid w:val="44AB74B4"/>
    <w:rsid w:val="44B2771E"/>
    <w:rsid w:val="44B8368E"/>
    <w:rsid w:val="44DC3315"/>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1C5128"/>
    <w:rsid w:val="47283388"/>
    <w:rsid w:val="4750618B"/>
    <w:rsid w:val="47775FCD"/>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6A1BBD"/>
    <w:rsid w:val="497C5511"/>
    <w:rsid w:val="49B65DC9"/>
    <w:rsid w:val="4A131AB1"/>
    <w:rsid w:val="4A34760C"/>
    <w:rsid w:val="4A4E064F"/>
    <w:rsid w:val="4A64259A"/>
    <w:rsid w:val="4AA4128B"/>
    <w:rsid w:val="4AAA7028"/>
    <w:rsid w:val="4AD50D4A"/>
    <w:rsid w:val="4ADC75C4"/>
    <w:rsid w:val="4AFF7646"/>
    <w:rsid w:val="4B2977E3"/>
    <w:rsid w:val="4B3A3263"/>
    <w:rsid w:val="4B404F96"/>
    <w:rsid w:val="4B5F395F"/>
    <w:rsid w:val="4B63503D"/>
    <w:rsid w:val="4BB73A13"/>
    <w:rsid w:val="4BE22955"/>
    <w:rsid w:val="4C3D6114"/>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B7D9D"/>
    <w:rsid w:val="4E9C2A45"/>
    <w:rsid w:val="4EC07803"/>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39389D"/>
    <w:rsid w:val="514C35D0"/>
    <w:rsid w:val="514E3A09"/>
    <w:rsid w:val="517C3AF1"/>
    <w:rsid w:val="51915B3D"/>
    <w:rsid w:val="519F5121"/>
    <w:rsid w:val="52080B79"/>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AC7255"/>
    <w:rsid w:val="55D37E92"/>
    <w:rsid w:val="55DD38ED"/>
    <w:rsid w:val="55E72D6A"/>
    <w:rsid w:val="561A3EA2"/>
    <w:rsid w:val="56434C8D"/>
    <w:rsid w:val="56500234"/>
    <w:rsid w:val="568A68D9"/>
    <w:rsid w:val="56A438D4"/>
    <w:rsid w:val="56BA5C7F"/>
    <w:rsid w:val="56D50ABF"/>
    <w:rsid w:val="56EA1F97"/>
    <w:rsid w:val="570F0FFB"/>
    <w:rsid w:val="5714516A"/>
    <w:rsid w:val="57392849"/>
    <w:rsid w:val="574E065D"/>
    <w:rsid w:val="575B7C13"/>
    <w:rsid w:val="576E7E03"/>
    <w:rsid w:val="578A5B09"/>
    <w:rsid w:val="57AA49F3"/>
    <w:rsid w:val="57AA5D1A"/>
    <w:rsid w:val="57BE32DB"/>
    <w:rsid w:val="57D631F8"/>
    <w:rsid w:val="58082218"/>
    <w:rsid w:val="581028EA"/>
    <w:rsid w:val="58344161"/>
    <w:rsid w:val="585D0DF7"/>
    <w:rsid w:val="587316C8"/>
    <w:rsid w:val="587358E6"/>
    <w:rsid w:val="58AD641D"/>
    <w:rsid w:val="58B420E4"/>
    <w:rsid w:val="58F92391"/>
    <w:rsid w:val="59135C67"/>
    <w:rsid w:val="593C1329"/>
    <w:rsid w:val="595A34E9"/>
    <w:rsid w:val="595B7937"/>
    <w:rsid w:val="597655E6"/>
    <w:rsid w:val="597C7365"/>
    <w:rsid w:val="597F7369"/>
    <w:rsid w:val="59997155"/>
    <w:rsid w:val="59A2414B"/>
    <w:rsid w:val="59FE08FA"/>
    <w:rsid w:val="5A060D86"/>
    <w:rsid w:val="5A886394"/>
    <w:rsid w:val="5A9F6060"/>
    <w:rsid w:val="5ACF7403"/>
    <w:rsid w:val="5B46719F"/>
    <w:rsid w:val="5B487EBA"/>
    <w:rsid w:val="5B58102C"/>
    <w:rsid w:val="5B737DCF"/>
    <w:rsid w:val="5BA42A14"/>
    <w:rsid w:val="5BB47CCC"/>
    <w:rsid w:val="5BD05B9D"/>
    <w:rsid w:val="5BD343E6"/>
    <w:rsid w:val="5BE00F61"/>
    <w:rsid w:val="5BFB5206"/>
    <w:rsid w:val="5C9ACC81"/>
    <w:rsid w:val="5CB65A64"/>
    <w:rsid w:val="5CD26BB3"/>
    <w:rsid w:val="5CEB063E"/>
    <w:rsid w:val="5D0B0214"/>
    <w:rsid w:val="5D13161F"/>
    <w:rsid w:val="5D1A0A42"/>
    <w:rsid w:val="5D1E0517"/>
    <w:rsid w:val="5D4F1710"/>
    <w:rsid w:val="5D71045F"/>
    <w:rsid w:val="5D740167"/>
    <w:rsid w:val="5D7B7702"/>
    <w:rsid w:val="5D7F0889"/>
    <w:rsid w:val="5DA55EAC"/>
    <w:rsid w:val="5DAC626B"/>
    <w:rsid w:val="5DB003BD"/>
    <w:rsid w:val="5DC133FE"/>
    <w:rsid w:val="5E146811"/>
    <w:rsid w:val="5E3F1ED0"/>
    <w:rsid w:val="5E4A015A"/>
    <w:rsid w:val="5E4E1E2F"/>
    <w:rsid w:val="5E5C7DDB"/>
    <w:rsid w:val="5E7E280E"/>
    <w:rsid w:val="5EA343F9"/>
    <w:rsid w:val="5EC549C2"/>
    <w:rsid w:val="5F164D5E"/>
    <w:rsid w:val="5F2D2E3D"/>
    <w:rsid w:val="5F511649"/>
    <w:rsid w:val="5F530220"/>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75447D"/>
    <w:rsid w:val="618B1561"/>
    <w:rsid w:val="61A25580"/>
    <w:rsid w:val="61AE7556"/>
    <w:rsid w:val="61C55F7F"/>
    <w:rsid w:val="61CA3612"/>
    <w:rsid w:val="61D41854"/>
    <w:rsid w:val="61F46458"/>
    <w:rsid w:val="622317FD"/>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520660"/>
    <w:rsid w:val="64643953"/>
    <w:rsid w:val="647B7FFD"/>
    <w:rsid w:val="64963CFA"/>
    <w:rsid w:val="64AD08A6"/>
    <w:rsid w:val="64B31A3E"/>
    <w:rsid w:val="64BB7086"/>
    <w:rsid w:val="64C8024E"/>
    <w:rsid w:val="64DF720B"/>
    <w:rsid w:val="64FB2F8F"/>
    <w:rsid w:val="6502750F"/>
    <w:rsid w:val="655769D7"/>
    <w:rsid w:val="658C66C4"/>
    <w:rsid w:val="65B76CC0"/>
    <w:rsid w:val="65C86337"/>
    <w:rsid w:val="65DC6542"/>
    <w:rsid w:val="65F04964"/>
    <w:rsid w:val="65FE3124"/>
    <w:rsid w:val="664408C2"/>
    <w:rsid w:val="66475BEE"/>
    <w:rsid w:val="66921396"/>
    <w:rsid w:val="669A00A1"/>
    <w:rsid w:val="669A0A1D"/>
    <w:rsid w:val="66B9305E"/>
    <w:rsid w:val="66C77EC3"/>
    <w:rsid w:val="66CD32EE"/>
    <w:rsid w:val="66EF31C1"/>
    <w:rsid w:val="66FE6CC3"/>
    <w:rsid w:val="67286643"/>
    <w:rsid w:val="672E7323"/>
    <w:rsid w:val="67340A1D"/>
    <w:rsid w:val="67415D12"/>
    <w:rsid w:val="67645CC5"/>
    <w:rsid w:val="678257B5"/>
    <w:rsid w:val="679D0438"/>
    <w:rsid w:val="679F14A6"/>
    <w:rsid w:val="67A7594A"/>
    <w:rsid w:val="67F71CAA"/>
    <w:rsid w:val="67FF2C53"/>
    <w:rsid w:val="6833136E"/>
    <w:rsid w:val="68374646"/>
    <w:rsid w:val="6851003F"/>
    <w:rsid w:val="68532F31"/>
    <w:rsid w:val="685F2B0C"/>
    <w:rsid w:val="686A5890"/>
    <w:rsid w:val="686E4CA0"/>
    <w:rsid w:val="6870598D"/>
    <w:rsid w:val="68CD56D6"/>
    <w:rsid w:val="68CE0878"/>
    <w:rsid w:val="68D0468F"/>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3A025D"/>
    <w:rsid w:val="6B4C78DC"/>
    <w:rsid w:val="6B6932A5"/>
    <w:rsid w:val="6B6D4BD4"/>
    <w:rsid w:val="6B736C65"/>
    <w:rsid w:val="6B884223"/>
    <w:rsid w:val="6BCC6A33"/>
    <w:rsid w:val="6BE94680"/>
    <w:rsid w:val="6C1648A2"/>
    <w:rsid w:val="6C2B5B56"/>
    <w:rsid w:val="6C405A24"/>
    <w:rsid w:val="6C4C1DDE"/>
    <w:rsid w:val="6C661592"/>
    <w:rsid w:val="6C7360A2"/>
    <w:rsid w:val="6C98271E"/>
    <w:rsid w:val="6CA30856"/>
    <w:rsid w:val="6CB357D4"/>
    <w:rsid w:val="6CD6095A"/>
    <w:rsid w:val="6D0152EE"/>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A463A2"/>
    <w:rsid w:val="6F436F8F"/>
    <w:rsid w:val="6F4D5562"/>
    <w:rsid w:val="6F614293"/>
    <w:rsid w:val="6F663712"/>
    <w:rsid w:val="6F6D69E8"/>
    <w:rsid w:val="6F8B29B5"/>
    <w:rsid w:val="6F9B0752"/>
    <w:rsid w:val="6FD156E3"/>
    <w:rsid w:val="6FDA7D83"/>
    <w:rsid w:val="6FED75FB"/>
    <w:rsid w:val="70041560"/>
    <w:rsid w:val="703467FC"/>
    <w:rsid w:val="7040732E"/>
    <w:rsid w:val="7086364B"/>
    <w:rsid w:val="70A42103"/>
    <w:rsid w:val="70CE43B5"/>
    <w:rsid w:val="71054875"/>
    <w:rsid w:val="710B27AB"/>
    <w:rsid w:val="712C6F85"/>
    <w:rsid w:val="71320E55"/>
    <w:rsid w:val="71321C7C"/>
    <w:rsid w:val="71340B64"/>
    <w:rsid w:val="713B104B"/>
    <w:rsid w:val="714D7437"/>
    <w:rsid w:val="71546F0E"/>
    <w:rsid w:val="7170146E"/>
    <w:rsid w:val="717268C8"/>
    <w:rsid w:val="71802D0E"/>
    <w:rsid w:val="718F5890"/>
    <w:rsid w:val="719323BF"/>
    <w:rsid w:val="71A17FC5"/>
    <w:rsid w:val="71B903B6"/>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EB5B6F"/>
    <w:rsid w:val="72F838AA"/>
    <w:rsid w:val="73134385"/>
    <w:rsid w:val="731726EC"/>
    <w:rsid w:val="73197AE0"/>
    <w:rsid w:val="73221860"/>
    <w:rsid w:val="732B7092"/>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623559"/>
    <w:rsid w:val="747D3462"/>
    <w:rsid w:val="74812030"/>
    <w:rsid w:val="74886161"/>
    <w:rsid w:val="74A039B1"/>
    <w:rsid w:val="74D52CCF"/>
    <w:rsid w:val="74E511EF"/>
    <w:rsid w:val="74E66F49"/>
    <w:rsid w:val="74EB245C"/>
    <w:rsid w:val="74F624F0"/>
    <w:rsid w:val="753C15BB"/>
    <w:rsid w:val="75585493"/>
    <w:rsid w:val="755E6626"/>
    <w:rsid w:val="757F2F50"/>
    <w:rsid w:val="75841DF5"/>
    <w:rsid w:val="758C4CA2"/>
    <w:rsid w:val="75C630A2"/>
    <w:rsid w:val="75D40046"/>
    <w:rsid w:val="75D96E3B"/>
    <w:rsid w:val="762F29E5"/>
    <w:rsid w:val="764374F1"/>
    <w:rsid w:val="766A4E0B"/>
    <w:rsid w:val="76944E76"/>
    <w:rsid w:val="769A26CA"/>
    <w:rsid w:val="76C34928"/>
    <w:rsid w:val="76D17FE1"/>
    <w:rsid w:val="76DF15B8"/>
    <w:rsid w:val="76FB601C"/>
    <w:rsid w:val="7708778F"/>
    <w:rsid w:val="770B7BD2"/>
    <w:rsid w:val="777818BD"/>
    <w:rsid w:val="778364BE"/>
    <w:rsid w:val="7799548D"/>
    <w:rsid w:val="77ED1FBE"/>
    <w:rsid w:val="787764A6"/>
    <w:rsid w:val="78867CFB"/>
    <w:rsid w:val="78AE1EE3"/>
    <w:rsid w:val="78CF3891"/>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8212EB"/>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EC566F"/>
    <w:rsid w:val="7DF550BA"/>
    <w:rsid w:val="7E0A7817"/>
    <w:rsid w:val="7E433F0B"/>
    <w:rsid w:val="7E531FFF"/>
    <w:rsid w:val="7E5E764B"/>
    <w:rsid w:val="7ECB55B8"/>
    <w:rsid w:val="7EE626A2"/>
    <w:rsid w:val="7EEC63E7"/>
    <w:rsid w:val="7EF50764"/>
    <w:rsid w:val="7EF54C4F"/>
    <w:rsid w:val="7EFB3937"/>
    <w:rsid w:val="7F020EC4"/>
    <w:rsid w:val="7F245010"/>
    <w:rsid w:val="7F381A2F"/>
    <w:rsid w:val="7F413799"/>
    <w:rsid w:val="7F567D38"/>
    <w:rsid w:val="7F5957B0"/>
    <w:rsid w:val="7F7B11C3"/>
    <w:rsid w:val="7F9846AE"/>
    <w:rsid w:val="7F9A7F46"/>
    <w:rsid w:val="7FAD0277"/>
    <w:rsid w:val="7FBB1674"/>
    <w:rsid w:val="7FBD28C5"/>
    <w:rsid w:val="7FBF4D6D"/>
    <w:rsid w:val="7FBF8173"/>
    <w:rsid w:val="7FC50214"/>
    <w:rsid w:val="7FEF71EF"/>
    <w:rsid w:val="7FEF9E94"/>
    <w:rsid w:val="7FF674D0"/>
    <w:rsid w:val="CFF76514"/>
    <w:rsid w:val="DFF711DB"/>
    <w:rsid w:val="F6B7B46A"/>
    <w:rsid w:val="FDFD1E4F"/>
    <w:rsid w:val="FFBD75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7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72"/>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5"/>
    <w:unhideWhenUsed/>
    <w:qFormat/>
    <w:uiPriority w:val="0"/>
    <w:pPr>
      <w:spacing w:before="280" w:after="290" w:line="372" w:lineRule="auto"/>
      <w:ind w:firstLine="200" w:firstLineChars="200"/>
      <w:outlineLvl w:val="3"/>
    </w:pPr>
    <w:rPr>
      <w:rFonts w:ascii="Arial" w:hAnsi="Arial" w:eastAsia="黑体"/>
      <w:b/>
      <w:sz w:val="28"/>
      <w:szCs w:val="22"/>
    </w:rPr>
  </w:style>
  <w:style w:type="paragraph" w:styleId="6">
    <w:name w:val="heading 5"/>
    <w:basedOn w:val="1"/>
    <w:next w:val="1"/>
    <w:link w:val="66"/>
    <w:unhideWhenUsed/>
    <w:qFormat/>
    <w:uiPriority w:val="0"/>
    <w:pPr>
      <w:keepNext/>
      <w:keepLines/>
      <w:spacing w:before="280" w:after="290" w:line="372" w:lineRule="auto"/>
      <w:ind w:left="2495" w:hanging="895" w:firstLineChars="200"/>
      <w:outlineLvl w:val="4"/>
    </w:pPr>
    <w:rPr>
      <w:rFonts w:eastAsia="仿宋_GB2312"/>
      <w:b/>
      <w:sz w:val="28"/>
      <w:szCs w:val="22"/>
    </w:rPr>
  </w:style>
  <w:style w:type="paragraph" w:styleId="7">
    <w:name w:val="heading 6"/>
    <w:basedOn w:val="1"/>
    <w:next w:val="1"/>
    <w:link w:val="67"/>
    <w:unhideWhenUsed/>
    <w:qFormat/>
    <w:uiPriority w:val="0"/>
    <w:pPr>
      <w:keepNext/>
      <w:keepLines/>
      <w:numPr>
        <w:ilvl w:val="5"/>
        <w:numId w:val="2"/>
      </w:numPr>
      <w:spacing w:line="360" w:lineRule="auto"/>
      <w:ind w:firstLine="0"/>
      <w:outlineLvl w:val="5"/>
    </w:pPr>
    <w:rPr>
      <w:rFonts w:ascii="仿宋" w:hAnsi="仿宋" w:eastAsia="仿宋" w:cstheme="minorBidi"/>
      <w:b/>
      <w:sz w:val="24"/>
      <w:szCs w:val="22"/>
    </w:rPr>
  </w:style>
  <w:style w:type="paragraph" w:styleId="8">
    <w:name w:val="heading 7"/>
    <w:basedOn w:val="1"/>
    <w:next w:val="1"/>
    <w:link w:val="68"/>
    <w:unhideWhenUsed/>
    <w:qFormat/>
    <w:uiPriority w:val="0"/>
    <w:pPr>
      <w:keepNext/>
      <w:keepLines/>
      <w:spacing w:line="360" w:lineRule="auto"/>
      <w:ind w:left="1296"/>
      <w:outlineLvl w:val="6"/>
    </w:pPr>
    <w:rPr>
      <w:rFonts w:ascii="仿宋_GB2312" w:hAnsi="仿宋_GB2312" w:eastAsia="仿宋_GB2312" w:cstheme="minorBidi"/>
      <w:b/>
      <w:sz w:val="28"/>
    </w:rPr>
  </w:style>
  <w:style w:type="paragraph" w:styleId="9">
    <w:name w:val="heading 8"/>
    <w:basedOn w:val="1"/>
    <w:next w:val="1"/>
    <w:link w:val="69"/>
    <w:unhideWhenUsed/>
    <w:qFormat/>
    <w:uiPriority w:val="0"/>
    <w:pPr>
      <w:keepNext/>
      <w:keepLines/>
      <w:spacing w:line="360" w:lineRule="auto"/>
      <w:ind w:left="1440"/>
      <w:outlineLvl w:val="7"/>
    </w:pPr>
    <w:rPr>
      <w:rFonts w:ascii="仿宋" w:hAnsi="仿宋" w:eastAsia="仿宋" w:cstheme="minorBidi"/>
      <w:b/>
      <w:sz w:val="28"/>
    </w:rPr>
  </w:style>
  <w:style w:type="paragraph" w:styleId="10">
    <w:name w:val="heading 9"/>
    <w:basedOn w:val="1"/>
    <w:next w:val="1"/>
    <w:link w:val="70"/>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numPr>
        <w:ilvl w:val="0"/>
        <w:numId w:val="3"/>
      </w:numPr>
    </w:pPr>
  </w:style>
  <w:style w:type="paragraph" w:styleId="12">
    <w:name w:val="Normal Indent"/>
    <w:basedOn w:val="1"/>
    <w:next w:val="1"/>
    <w:qFormat/>
    <w:uiPriority w:val="0"/>
    <w:pPr>
      <w:ind w:firstLine="420"/>
    </w:pPr>
    <w:rPr>
      <w:szCs w:val="20"/>
    </w:rPr>
  </w:style>
  <w:style w:type="paragraph" w:styleId="13">
    <w:name w:val="annotation text"/>
    <w:basedOn w:val="1"/>
    <w:link w:val="73"/>
    <w:qFormat/>
    <w:uiPriority w:val="0"/>
    <w:pPr>
      <w:jc w:val="left"/>
    </w:pPr>
  </w:style>
  <w:style w:type="paragraph" w:styleId="14">
    <w:name w:val="Body Text"/>
    <w:basedOn w:val="1"/>
    <w:link w:val="74"/>
    <w:qFormat/>
    <w:uiPriority w:val="1"/>
    <w:pPr>
      <w:spacing w:line="360" w:lineRule="exact"/>
    </w:pPr>
    <w:rPr>
      <w:sz w:val="24"/>
    </w:rPr>
  </w:style>
  <w:style w:type="paragraph" w:styleId="15">
    <w:name w:val="Body Text Indent"/>
    <w:basedOn w:val="1"/>
    <w:next w:val="1"/>
    <w:qFormat/>
    <w:uiPriority w:val="0"/>
    <w:pPr>
      <w:spacing w:after="120"/>
      <w:ind w:left="420" w:leftChars="200"/>
    </w:pPr>
  </w:style>
  <w:style w:type="paragraph" w:styleId="16">
    <w:name w:val="Plain Text"/>
    <w:basedOn w:val="1"/>
    <w:next w:val="17"/>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60"/>
    <w:qFormat/>
    <w:uiPriority w:val="0"/>
    <w:rPr>
      <w:sz w:val="18"/>
      <w:szCs w:val="18"/>
    </w:rPr>
  </w:style>
  <w:style w:type="paragraph" w:styleId="19">
    <w:name w:val="footer"/>
    <w:basedOn w:val="1"/>
    <w:link w:val="78"/>
    <w:qFormat/>
    <w:uiPriority w:val="0"/>
    <w:pPr>
      <w:tabs>
        <w:tab w:val="center" w:pos="4153"/>
        <w:tab w:val="right" w:pos="8306"/>
      </w:tabs>
      <w:snapToGrid w:val="0"/>
      <w:jc w:val="left"/>
    </w:pPr>
    <w:rPr>
      <w:sz w:val="18"/>
    </w:rPr>
  </w:style>
  <w:style w:type="paragraph" w:styleId="20">
    <w:name w:val="header"/>
    <w:basedOn w:val="1"/>
    <w:link w:val="7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toc 6"/>
    <w:basedOn w:val="1"/>
    <w:next w:val="1"/>
    <w:qFormat/>
    <w:uiPriority w:val="39"/>
    <w:pPr>
      <w:widowControl/>
      <w:ind w:left="1000"/>
      <w:jc w:val="left"/>
    </w:pPr>
    <w:rPr>
      <w:kern w:val="0"/>
      <w:sz w:val="18"/>
      <w:szCs w:val="20"/>
    </w:rPr>
  </w:style>
  <w:style w:type="paragraph" w:styleId="23">
    <w:name w:val="toc 2"/>
    <w:basedOn w:val="1"/>
    <w:next w:val="1"/>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13"/>
    <w:next w:val="13"/>
    <w:link w:val="80"/>
    <w:qFormat/>
    <w:uiPriority w:val="0"/>
    <w:rPr>
      <w:b/>
      <w:bCs/>
    </w:rPr>
  </w:style>
  <w:style w:type="paragraph" w:styleId="26">
    <w:name w:val="Body Text First Indent"/>
    <w:basedOn w:val="14"/>
    <w:link w:val="75"/>
    <w:qFormat/>
    <w:uiPriority w:val="0"/>
    <w:pPr>
      <w:ind w:firstLine="200" w:firstLineChars="200"/>
    </w:pPr>
  </w:style>
  <w:style w:type="paragraph" w:styleId="27">
    <w:name w:val="Body Text First Indent 2"/>
    <w:basedOn w:val="15"/>
    <w:qFormat/>
    <w:uiPriority w:val="0"/>
    <w:pPr>
      <w:ind w:firstLine="420"/>
    </w:pPr>
  </w:style>
  <w:style w:type="table" w:styleId="29">
    <w:name w:val="Table Grid"/>
    <w:basedOn w:val="28"/>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Strong"/>
    <w:basedOn w:val="30"/>
    <w:qFormat/>
    <w:uiPriority w:val="0"/>
    <w:rPr>
      <w:b/>
    </w:rPr>
  </w:style>
  <w:style w:type="character" w:styleId="32">
    <w:name w:val="Hyperlink"/>
    <w:qFormat/>
    <w:uiPriority w:val="0"/>
    <w:rPr>
      <w:color w:val="0000FF"/>
      <w:u w:val="single"/>
    </w:rPr>
  </w:style>
  <w:style w:type="character" w:styleId="33">
    <w:name w:val="annotation reference"/>
    <w:basedOn w:val="30"/>
    <w:qFormat/>
    <w:uiPriority w:val="0"/>
    <w:rPr>
      <w:sz w:val="21"/>
      <w:szCs w:val="21"/>
    </w:rPr>
  </w:style>
  <w:style w:type="character" w:customStyle="1" w:styleId="34">
    <w:name w:val="标题 1 Char"/>
    <w:basedOn w:val="30"/>
    <w:link w:val="2"/>
    <w:qFormat/>
    <w:uiPriority w:val="0"/>
    <w:rPr>
      <w:b/>
      <w:bCs/>
      <w:kern w:val="44"/>
      <w:sz w:val="44"/>
      <w:szCs w:val="44"/>
    </w:rPr>
  </w:style>
  <w:style w:type="paragraph" w:customStyle="1" w:styleId="35">
    <w:name w:val="文档正文"/>
    <w:basedOn w:val="1"/>
    <w:unhideWhenUsed/>
    <w:qFormat/>
    <w:uiPriority w:val="0"/>
    <w:pPr>
      <w:snapToGrid w:val="0"/>
      <w:spacing w:before="60" w:after="60" w:line="360" w:lineRule="atLeast"/>
      <w:ind w:firstLine="482"/>
      <w:jc w:val="both"/>
    </w:pPr>
  </w:style>
  <w:style w:type="paragraph" w:customStyle="1" w:styleId="36">
    <w:name w:val="4、正文"/>
    <w:basedOn w:val="1"/>
    <w:qFormat/>
    <w:uiPriority w:val="0"/>
    <w:pPr>
      <w:ind w:firstLine="200" w:firstLineChars="200"/>
    </w:pPr>
    <w:rPr>
      <w:rFonts w:ascii="宋体"/>
      <w:sz w:val="24"/>
      <w:szCs w:val="28"/>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0"/>
    <w:qFormat/>
    <w:uiPriority w:val="0"/>
    <w:rPr>
      <w:rFonts w:hint="default" w:ascii="Arial" w:hAnsi="Arial" w:cs="Arial"/>
      <w:color w:val="000000"/>
      <w:sz w:val="20"/>
      <w:szCs w:val="20"/>
      <w:u w:val="none"/>
    </w:rPr>
  </w:style>
  <w:style w:type="character" w:customStyle="1" w:styleId="54">
    <w:name w:val="font01"/>
    <w:basedOn w:val="30"/>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Char"/>
    <w:basedOn w:val="30"/>
    <w:link w:val="18"/>
    <w:qFormat/>
    <w:uiPriority w:val="0"/>
    <w:rPr>
      <w:kern w:val="2"/>
      <w:sz w:val="18"/>
      <w:szCs w:val="18"/>
    </w:rPr>
  </w:style>
  <w:style w:type="paragraph" w:customStyle="1" w:styleId="61">
    <w:name w:val="英文"/>
    <w:basedOn w:val="1"/>
    <w:link w:val="63"/>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标题 4 Char"/>
    <w:basedOn w:val="30"/>
    <w:link w:val="5"/>
    <w:qFormat/>
    <w:uiPriority w:val="0"/>
    <w:rPr>
      <w:rFonts w:ascii="Arial" w:hAnsi="Arial" w:eastAsia="黑体"/>
      <w:b/>
      <w:kern w:val="2"/>
      <w:sz w:val="28"/>
      <w:szCs w:val="22"/>
    </w:rPr>
  </w:style>
  <w:style w:type="character" w:customStyle="1" w:styleId="66">
    <w:name w:val="标题 5 Char"/>
    <w:basedOn w:val="30"/>
    <w:link w:val="6"/>
    <w:qFormat/>
    <w:uiPriority w:val="0"/>
    <w:rPr>
      <w:rFonts w:eastAsia="仿宋_GB2312"/>
      <w:b/>
      <w:kern w:val="2"/>
      <w:sz w:val="28"/>
      <w:szCs w:val="22"/>
    </w:rPr>
  </w:style>
  <w:style w:type="character" w:customStyle="1" w:styleId="67">
    <w:name w:val="标题 6 Char"/>
    <w:basedOn w:val="30"/>
    <w:link w:val="7"/>
    <w:qFormat/>
    <w:uiPriority w:val="0"/>
    <w:rPr>
      <w:rFonts w:ascii="仿宋" w:hAnsi="仿宋" w:eastAsia="仿宋" w:cstheme="minorBidi"/>
      <w:b/>
      <w:kern w:val="2"/>
      <w:sz w:val="24"/>
      <w:szCs w:val="22"/>
    </w:rPr>
  </w:style>
  <w:style w:type="character" w:customStyle="1" w:styleId="68">
    <w:name w:val="标题 7 Char"/>
    <w:basedOn w:val="30"/>
    <w:link w:val="8"/>
    <w:qFormat/>
    <w:uiPriority w:val="0"/>
    <w:rPr>
      <w:rFonts w:ascii="仿宋_GB2312" w:hAnsi="仿宋_GB2312" w:eastAsia="仿宋_GB2312" w:cstheme="minorBidi"/>
      <w:b/>
      <w:kern w:val="2"/>
      <w:sz w:val="28"/>
      <w:szCs w:val="24"/>
    </w:rPr>
  </w:style>
  <w:style w:type="character" w:customStyle="1" w:styleId="69">
    <w:name w:val="标题 8 Char"/>
    <w:basedOn w:val="30"/>
    <w:link w:val="9"/>
    <w:qFormat/>
    <w:uiPriority w:val="0"/>
    <w:rPr>
      <w:rFonts w:ascii="仿宋" w:hAnsi="仿宋" w:eastAsia="仿宋" w:cstheme="minorBidi"/>
      <w:b/>
      <w:kern w:val="2"/>
      <w:sz w:val="28"/>
      <w:szCs w:val="24"/>
    </w:rPr>
  </w:style>
  <w:style w:type="character" w:customStyle="1" w:styleId="70">
    <w:name w:val="标题 9 Char"/>
    <w:basedOn w:val="30"/>
    <w:link w:val="10"/>
    <w:qFormat/>
    <w:uiPriority w:val="0"/>
    <w:rPr>
      <w:rFonts w:ascii="Arial" w:hAnsi="Arial" w:eastAsia="黑体" w:cstheme="minorBidi"/>
      <w:kern w:val="2"/>
      <w:sz w:val="21"/>
      <w:szCs w:val="24"/>
    </w:rPr>
  </w:style>
  <w:style w:type="character" w:customStyle="1" w:styleId="71">
    <w:name w:val="标题 2 Char"/>
    <w:basedOn w:val="30"/>
    <w:link w:val="3"/>
    <w:qFormat/>
    <w:uiPriority w:val="0"/>
    <w:rPr>
      <w:rFonts w:ascii="宋体" w:hAnsi="宋体"/>
      <w:b/>
      <w:kern w:val="2"/>
      <w:sz w:val="32"/>
      <w:szCs w:val="28"/>
    </w:rPr>
  </w:style>
  <w:style w:type="character" w:customStyle="1" w:styleId="72">
    <w:name w:val="标题 3 Char"/>
    <w:basedOn w:val="30"/>
    <w:link w:val="4"/>
    <w:qFormat/>
    <w:uiPriority w:val="0"/>
    <w:rPr>
      <w:bCs/>
      <w:kern w:val="2"/>
      <w:sz w:val="21"/>
      <w:szCs w:val="32"/>
    </w:rPr>
  </w:style>
  <w:style w:type="character" w:customStyle="1" w:styleId="73">
    <w:name w:val="批注文字 Char"/>
    <w:basedOn w:val="30"/>
    <w:link w:val="13"/>
    <w:qFormat/>
    <w:uiPriority w:val="0"/>
    <w:rPr>
      <w:kern w:val="2"/>
      <w:sz w:val="21"/>
      <w:szCs w:val="24"/>
    </w:rPr>
  </w:style>
  <w:style w:type="character" w:customStyle="1" w:styleId="74">
    <w:name w:val="正文文本 Char"/>
    <w:basedOn w:val="30"/>
    <w:link w:val="14"/>
    <w:qFormat/>
    <w:uiPriority w:val="1"/>
    <w:rPr>
      <w:kern w:val="2"/>
      <w:sz w:val="24"/>
      <w:szCs w:val="24"/>
    </w:rPr>
  </w:style>
  <w:style w:type="character" w:customStyle="1" w:styleId="75">
    <w:name w:val="正文首行缩进 Char"/>
    <w:basedOn w:val="74"/>
    <w:link w:val="26"/>
    <w:qFormat/>
    <w:uiPriority w:val="0"/>
    <w:rPr>
      <w:kern w:val="2"/>
      <w:sz w:val="21"/>
      <w:szCs w:val="24"/>
    </w:rPr>
  </w:style>
  <w:style w:type="paragraph" w:customStyle="1" w:styleId="76">
    <w:name w:val="正文缩进1"/>
    <w:basedOn w:val="1"/>
    <w:unhideWhenUsed/>
    <w:qFormat/>
    <w:uiPriority w:val="0"/>
    <w:pPr>
      <w:spacing w:line="360" w:lineRule="auto"/>
      <w:ind w:firstLine="420" w:firstLineChars="200"/>
    </w:pPr>
    <w:rPr>
      <w:rFonts w:ascii="Calibri" w:hAnsi="Calibri" w:eastAsiaTheme="minorEastAsia" w:cstheme="minorBidi"/>
      <w:szCs w:val="22"/>
    </w:rPr>
  </w:style>
  <w:style w:type="character" w:customStyle="1" w:styleId="77">
    <w:name w:val="页眉 Char"/>
    <w:basedOn w:val="30"/>
    <w:link w:val="20"/>
    <w:qFormat/>
    <w:uiPriority w:val="0"/>
    <w:rPr>
      <w:kern w:val="2"/>
      <w:sz w:val="18"/>
      <w:szCs w:val="24"/>
    </w:rPr>
  </w:style>
  <w:style w:type="character" w:customStyle="1" w:styleId="78">
    <w:name w:val="页脚 Char"/>
    <w:basedOn w:val="30"/>
    <w:link w:val="19"/>
    <w:qFormat/>
    <w:uiPriority w:val="0"/>
    <w:rPr>
      <w:kern w:val="2"/>
      <w:sz w:val="18"/>
      <w:szCs w:val="24"/>
    </w:rPr>
  </w:style>
  <w:style w:type="paragraph" w:customStyle="1" w:styleId="79">
    <w:name w:val="表格正文"/>
    <w:basedOn w:val="1"/>
    <w:qFormat/>
    <w:uiPriority w:val="0"/>
    <w:pPr>
      <w:widowControl/>
      <w:jc w:val="center"/>
      <w:textAlignment w:val="center"/>
    </w:pPr>
    <w:rPr>
      <w:rFonts w:ascii="仿宋_GB2312" w:hAnsi="仿宋_GB2312" w:eastAsia="仿宋_GB2312"/>
      <w:kern w:val="0"/>
      <w:sz w:val="24"/>
      <w:szCs w:val="21"/>
    </w:rPr>
  </w:style>
  <w:style w:type="character" w:customStyle="1" w:styleId="80">
    <w:name w:val="批注主题 Char"/>
    <w:basedOn w:val="73"/>
    <w:link w:val="25"/>
    <w:qFormat/>
    <w:uiPriority w:val="0"/>
    <w:rPr>
      <w:b/>
      <w:bCs/>
      <w:kern w:val="2"/>
      <w:sz w:val="21"/>
      <w:szCs w:val="24"/>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正文"/>
    <w:basedOn w:val="1"/>
    <w:qFormat/>
    <w:uiPriority w:val="0"/>
    <w:pPr>
      <w:widowControl w:val="0"/>
      <w:spacing w:line="360" w:lineRule="auto"/>
      <w:ind w:firstLine="200" w:firstLineChars="200"/>
      <w:jc w:val="both"/>
    </w:pPr>
    <w:rPr>
      <w:rFonts w:ascii="仿宋" w:hAnsi="仿宋" w:eastAsia="仿宋_GB2312"/>
      <w:kern w:val="2"/>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文本缩进1"/>
    <w:basedOn w:val="1"/>
    <w:qFormat/>
    <w:uiPriority w:val="0"/>
    <w:pPr>
      <w:spacing w:after="120"/>
      <w:ind w:left="420"/>
    </w:pPr>
    <w:rPr>
      <w:color w:val="000000"/>
    </w:rPr>
  </w:style>
  <w:style w:type="paragraph" w:customStyle="1" w:styleId="85">
    <w:name w:val="签发人"/>
    <w:basedOn w:val="1"/>
    <w:qFormat/>
    <w:uiPriority w:val="0"/>
    <w:rPr>
      <w:rFonts w:eastAsia="楷体"/>
      <w:sz w:val="32"/>
    </w:rPr>
  </w:style>
  <w:style w:type="paragraph" w:customStyle="1" w:styleId="8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87">
    <w:name w:val="BodyText"/>
    <w:basedOn w:val="1"/>
    <w:qFormat/>
    <w:uiPriority w:val="0"/>
    <w:pPr>
      <w:spacing w:after="120"/>
    </w:pPr>
    <w:rPr>
      <w:sz w:val="24"/>
    </w:rPr>
  </w:style>
  <w:style w:type="character" w:customStyle="1" w:styleId="88">
    <w:name w:val="NormalCharacter"/>
    <w:qFormat/>
    <w:uiPriority w:val="0"/>
  </w:style>
  <w:style w:type="paragraph" w:customStyle="1" w:styleId="89">
    <w:name w:val="列出段落1"/>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24623</Words>
  <Characters>25747</Characters>
  <Lines>227</Lines>
  <Paragraphs>63</Paragraphs>
  <TotalTime>27</TotalTime>
  <ScaleCrop>false</ScaleCrop>
  <LinksUpToDate>false</LinksUpToDate>
  <CharactersWithSpaces>26448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2021-02-08T17:06:00Z</dcterms:created>
  <dc:creator>Thorpe521</dc:creator>
  <cp:lastModifiedBy>葛俊</cp:lastModifiedBy>
  <cp:lastPrinted>2024-07-08T00:43:00Z</cp:lastPrinted>
  <dcterms:modified xsi:type="dcterms:W3CDTF">2024-07-09T03:09:07Z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F7EC14152BAA4A71BD345846725E8A54_13</vt:lpwstr>
  </property>
  <property fmtid="{D5CDD505-2E9C-101B-9397-08002B2CF9AE}" pid="4" name="commondata">
    <vt:lpwstr>eyJoZGlkIjoiNmE1YjI5NjI4ODRjMjczZTJlYTk2NTYyNTg3ZjMwZTYifQ==</vt:lpwstr>
  </property>
</Properties>
</file>