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580"/>
        </w:tabs>
        <w:spacing w:before="624" w:beforeLines="200"/>
        <w:ind w:left="2880" w:hanging="840" w:hangingChars="400"/>
        <w:jc w:val="center"/>
        <w:rPr>
          <w:sz w:val="22"/>
          <w:szCs w:val="22"/>
        </w:rPr>
      </w:pPr>
      <w:r>
        <w:rPr>
          <w:color w:val="0000FF"/>
        </w:rPr>
        <w:drawing>
          <wp:anchor distT="0" distB="0" distL="114300" distR="114300" simplePos="0" relativeHeight="251660288" behindDoc="1" locked="0" layoutInCell="1" allowOverlap="1">
            <wp:simplePos x="0" y="0"/>
            <wp:positionH relativeFrom="column">
              <wp:posOffset>-393065</wp:posOffset>
            </wp:positionH>
            <wp:positionV relativeFrom="paragraph">
              <wp:posOffset>163195</wp:posOffset>
            </wp:positionV>
            <wp:extent cx="932815" cy="867410"/>
            <wp:effectExtent l="0" t="0" r="635" b="8890"/>
            <wp:wrapTight wrapText="bothSides">
              <wp:wrapPolygon>
                <wp:start x="0" y="0"/>
                <wp:lineTo x="0" y="21347"/>
                <wp:lineTo x="21174" y="21347"/>
                <wp:lineTo x="21174" y="0"/>
                <wp:lineTo x="0" y="0"/>
              </wp:wrapPolygon>
            </wp:wrapTight>
            <wp:docPr id="29" name="图片 2" descr="b7b72726d0da41ab85fcece60352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b7b72726d0da41ab85fcece60352fd0"/>
                    <pic:cNvPicPr>
                      <a:picLocks noChangeAspect="1"/>
                    </pic:cNvPicPr>
                  </pic:nvPicPr>
                  <pic:blipFill>
                    <a:blip r:embed="rId27"/>
                    <a:stretch>
                      <a:fillRect/>
                    </a:stretch>
                  </pic:blipFill>
                  <pic:spPr>
                    <a:xfrm>
                      <a:off x="0" y="0"/>
                      <a:ext cx="932815" cy="867410"/>
                    </a:xfrm>
                    <a:prstGeom prst="rect">
                      <a:avLst/>
                    </a:prstGeom>
                    <a:noFill/>
                    <a:ln>
                      <a:noFill/>
                    </a:ln>
                  </pic:spPr>
                </pic:pic>
              </a:graphicData>
            </a:graphic>
          </wp:anchor>
        </w:drawing>
      </w:r>
      <w:r>
        <w:rPr>
          <w:rFonts w:ascii="宋体" w:hAnsi="Times New Roman" w:eastAsia="宋体"/>
          <w:b/>
          <w:color w:val="000000"/>
          <w:kern w:val="24"/>
          <w:sz w:val="52"/>
          <w:szCs w:val="52"/>
        </w:rPr>
        <w:t>浙江凯宝工程项目管理有限公司</w:t>
      </w:r>
      <w:r>
        <w:rPr>
          <w:rFonts w:hint="eastAsia" w:ascii="宋体" w:hAnsi="Times New Roman" w:eastAsia="宋体"/>
          <w:b/>
          <w:color w:val="000000"/>
          <w:kern w:val="24"/>
          <w:sz w:val="52"/>
          <w:szCs w:val="52"/>
          <w:lang w:val="en-US" w:eastAsia="zh-CN"/>
        </w:rPr>
        <w:t xml:space="preserve">  </w:t>
      </w:r>
      <w:r>
        <w:rPr>
          <w:rFonts w:ascii="Calibri" w:hAnsi="Times New Roman" w:eastAsia="宋体"/>
          <w:color w:val="000000"/>
          <w:kern w:val="24"/>
        </w:rPr>
        <w:t>ZHE JIANG KAI BAO ENGINEERING PROJECT MANAGEMENT CO. , LTD</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b/>
          <w:bCs/>
          <w:color w:val="auto"/>
          <w:sz w:val="48"/>
          <w:szCs w:val="48"/>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84"/>
          <w:szCs w:val="84"/>
          <w:highlight w:val="none"/>
        </w:rPr>
      </w:pPr>
      <w:r>
        <w:rPr>
          <w:rFonts w:hint="eastAsia" w:ascii="宋体" w:hAnsi="宋体" w:cs="宋体"/>
          <w:b/>
          <w:bCs/>
          <w:color w:val="auto"/>
          <w:sz w:val="48"/>
          <w:szCs w:val="48"/>
          <w:highlight w:val="none"/>
          <w:lang w:eastAsia="zh-CN"/>
        </w:rPr>
        <w:t>瑞安市安阳街道望江菜市场周边环境整治提升工程</w:t>
      </w:r>
    </w:p>
    <w:p>
      <w:pPr>
        <w:jc w:val="center"/>
        <w:rPr>
          <w:rFonts w:hint="eastAsia" w:ascii="宋体" w:hAnsi="宋体" w:eastAsia="宋体" w:cs="宋体"/>
          <w:b/>
          <w:bCs/>
          <w:color w:val="auto"/>
          <w:sz w:val="72"/>
          <w:szCs w:val="72"/>
          <w:highlight w:val="none"/>
          <w:lang w:val="en-US" w:eastAsia="zh-CN"/>
        </w:rPr>
      </w:pPr>
    </w:p>
    <w:p>
      <w:pPr>
        <w:jc w:val="center"/>
        <w:rPr>
          <w:rFonts w:hint="eastAsia" w:ascii="宋体" w:hAnsi="宋体" w:eastAsia="宋体" w:cs="宋体"/>
          <w:b/>
          <w:bCs/>
          <w:color w:val="auto"/>
          <w:sz w:val="72"/>
          <w:szCs w:val="72"/>
          <w:highlight w:val="none"/>
          <w:lang w:val="en-US" w:eastAsia="zh-CN"/>
        </w:rPr>
      </w:pPr>
      <w:r>
        <w:rPr>
          <w:rFonts w:hint="eastAsia" w:ascii="宋体" w:hAnsi="宋体" w:eastAsia="宋体" w:cs="宋体"/>
          <w:b/>
          <w:bCs/>
          <w:color w:val="auto"/>
          <w:sz w:val="72"/>
          <w:szCs w:val="72"/>
          <w:highlight w:val="none"/>
          <w:lang w:val="en-US" w:eastAsia="zh-CN"/>
        </w:rPr>
        <w:t>磋</w:t>
      </w:r>
    </w:p>
    <w:p>
      <w:pPr>
        <w:jc w:val="center"/>
        <w:rPr>
          <w:rFonts w:hint="default" w:ascii="宋体" w:hAnsi="宋体" w:eastAsia="宋体" w:cs="宋体"/>
          <w:b/>
          <w:bCs/>
          <w:color w:val="auto"/>
          <w:sz w:val="72"/>
          <w:szCs w:val="72"/>
          <w:highlight w:val="none"/>
          <w:lang w:val="en-US" w:eastAsia="zh-CN"/>
        </w:rPr>
      </w:pPr>
      <w:r>
        <w:rPr>
          <w:rFonts w:hint="eastAsia" w:ascii="宋体" w:hAnsi="宋体" w:eastAsia="宋体" w:cs="宋体"/>
          <w:b/>
          <w:bCs/>
          <w:color w:val="auto"/>
          <w:sz w:val="72"/>
          <w:szCs w:val="72"/>
          <w:highlight w:val="none"/>
          <w:lang w:val="en-US" w:eastAsia="zh-CN"/>
        </w:rPr>
        <w:t>商</w:t>
      </w:r>
    </w:p>
    <w:p>
      <w:pPr>
        <w:jc w:val="center"/>
        <w:rPr>
          <w:rFonts w:hint="eastAsia" w:ascii="宋体" w:hAnsi="宋体" w:eastAsia="宋体" w:cs="宋体"/>
          <w:b/>
          <w:bCs/>
          <w:color w:val="auto"/>
          <w:sz w:val="72"/>
          <w:szCs w:val="72"/>
          <w:highlight w:val="none"/>
        </w:rPr>
      </w:pPr>
      <w:r>
        <w:rPr>
          <w:rFonts w:hint="eastAsia" w:ascii="宋体" w:hAnsi="宋体" w:eastAsia="宋体" w:cs="宋体"/>
          <w:b/>
          <w:bCs/>
          <w:color w:val="auto"/>
          <w:sz w:val="72"/>
          <w:szCs w:val="72"/>
          <w:highlight w:val="none"/>
        </w:rPr>
        <w:t>文</w:t>
      </w:r>
    </w:p>
    <w:p>
      <w:pPr>
        <w:jc w:val="center"/>
        <w:rPr>
          <w:rFonts w:hint="eastAsia" w:ascii="宋体" w:hAnsi="宋体" w:eastAsia="宋体" w:cs="宋体"/>
          <w:color w:val="auto"/>
          <w:sz w:val="72"/>
          <w:szCs w:val="72"/>
          <w:highlight w:val="none"/>
        </w:rPr>
      </w:pPr>
      <w:r>
        <w:rPr>
          <w:rFonts w:hint="eastAsia" w:ascii="宋体" w:hAnsi="宋体" w:eastAsia="宋体" w:cs="宋体"/>
          <w:b/>
          <w:bCs/>
          <w:color w:val="auto"/>
          <w:sz w:val="72"/>
          <w:szCs w:val="72"/>
          <w:highlight w:val="none"/>
        </w:rPr>
        <w:t>件</w:t>
      </w:r>
    </w:p>
    <w:p>
      <w:pPr>
        <w:spacing w:line="400" w:lineRule="exact"/>
        <w:rPr>
          <w:rFonts w:hint="eastAsia" w:ascii="宋体" w:hAnsi="宋体" w:eastAsia="宋体" w:cs="宋体"/>
          <w:color w:val="auto"/>
          <w:sz w:val="28"/>
          <w:highlight w:val="none"/>
        </w:rPr>
      </w:pPr>
    </w:p>
    <w:p>
      <w:pPr>
        <w:spacing w:line="400" w:lineRule="exact"/>
        <w:rPr>
          <w:rFonts w:hint="eastAsia" w:ascii="宋体" w:hAnsi="宋体" w:eastAsia="宋体" w:cs="宋体"/>
          <w:color w:val="auto"/>
          <w:sz w:val="28"/>
          <w:highlight w:val="none"/>
        </w:rPr>
      </w:pPr>
    </w:p>
    <w:p>
      <w:pPr>
        <w:pStyle w:val="15"/>
        <w:keepNext w:val="0"/>
        <w:keepLines w:val="0"/>
        <w:pageBreakBefore w:val="0"/>
        <w:widowControl w:val="0"/>
        <w:tabs>
          <w:tab w:val="left" w:pos="1500"/>
          <w:tab w:val="clear" w:pos="4153"/>
          <w:tab w:val="clear" w:pos="8306"/>
        </w:tabs>
        <w:kinsoku/>
        <w:wordWrap/>
        <w:overflowPunct/>
        <w:topLinePunct w:val="0"/>
        <w:autoSpaceDE/>
        <w:autoSpaceDN/>
        <w:bidi w:val="0"/>
        <w:adjustRightInd/>
        <w:snapToGrid/>
        <w:spacing w:line="240" w:lineRule="auto"/>
        <w:textAlignment w:val="auto"/>
        <w:rPr>
          <w:rFonts w:hint="default" w:ascii="宋体" w:hAnsi="宋体" w:eastAsia="宋体" w:cs="宋体"/>
          <w:color w:val="auto"/>
          <w:kern w:val="2"/>
          <w:sz w:val="30"/>
          <w:szCs w:val="30"/>
          <w:highlight w:val="none"/>
          <w:lang w:val="en-US" w:eastAsia="zh-CN" w:bidi="ar-SA"/>
        </w:rPr>
      </w:pPr>
      <w:r>
        <w:rPr>
          <w:rFonts w:hint="eastAsia" w:ascii="宋体" w:hAnsi="宋体" w:eastAsia="宋体" w:cs="宋体"/>
          <w:color w:val="auto"/>
          <w:sz w:val="30"/>
          <w:szCs w:val="30"/>
          <w:highlight w:val="none"/>
        </w:rPr>
        <w:t xml:space="preserve">        项  目 编 号：</w:t>
      </w:r>
      <w:r>
        <w:rPr>
          <w:rFonts w:hint="eastAsia" w:ascii="宋体" w:hAnsi="宋体" w:cs="宋体"/>
          <w:color w:val="auto"/>
          <w:kern w:val="2"/>
          <w:sz w:val="30"/>
          <w:szCs w:val="30"/>
          <w:highlight w:val="none"/>
          <w:lang w:val="en-US" w:eastAsia="zh-CN" w:bidi="ar-SA"/>
        </w:rPr>
        <w:t>KBCG20240713</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color w:val="auto"/>
          <w:sz w:val="30"/>
          <w:szCs w:val="30"/>
          <w:highlight w:val="none"/>
          <w:lang w:val="en-US" w:eastAsia="zh-CN"/>
        </w:rPr>
      </w:pPr>
      <w:r>
        <w:rPr>
          <w:rFonts w:hint="eastAsia" w:ascii="宋体" w:hAnsi="宋体" w:eastAsia="宋体" w:cs="宋体"/>
          <w:color w:val="auto"/>
          <w:sz w:val="30"/>
          <w:highlight w:val="none"/>
        </w:rPr>
        <w:t xml:space="preserve">        </w:t>
      </w:r>
      <w:r>
        <w:rPr>
          <w:rFonts w:hint="eastAsia" w:ascii="宋体" w:hAnsi="宋体" w:eastAsia="宋体" w:cs="宋体"/>
          <w:color w:val="auto"/>
          <w:sz w:val="30"/>
          <w:szCs w:val="30"/>
          <w:highlight w:val="none"/>
        </w:rPr>
        <w:t>采  购 方 式：</w:t>
      </w:r>
      <w:r>
        <w:rPr>
          <w:rFonts w:hint="eastAsia" w:ascii="宋体" w:hAnsi="宋体" w:eastAsia="宋体" w:cs="宋体"/>
          <w:color w:val="auto"/>
          <w:sz w:val="30"/>
          <w:szCs w:val="30"/>
          <w:highlight w:val="none"/>
          <w:lang w:val="en-US" w:eastAsia="zh-CN"/>
        </w:rPr>
        <w:t>竞争性磋商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color w:val="auto"/>
          <w:sz w:val="30"/>
          <w:highlight w:val="none"/>
          <w:lang w:val="en-US" w:eastAsia="zh-CN"/>
        </w:rPr>
      </w:pPr>
      <w:r>
        <w:rPr>
          <w:rFonts w:hint="eastAsia" w:ascii="宋体" w:hAnsi="宋体" w:eastAsia="宋体" w:cs="宋体"/>
          <w:color w:val="auto"/>
          <w:sz w:val="30"/>
          <w:highlight w:val="none"/>
        </w:rPr>
        <w:t xml:space="preserve">    </w:t>
      </w:r>
      <w:r>
        <w:rPr>
          <w:rFonts w:hint="eastAsia" w:ascii="宋体" w:hAnsi="宋体" w:eastAsia="宋体" w:cs="宋体"/>
          <w:color w:val="auto"/>
          <w:sz w:val="30"/>
          <w:szCs w:val="30"/>
          <w:highlight w:val="none"/>
        </w:rPr>
        <w:t xml:space="preserve">    </w:t>
      </w:r>
      <w:r>
        <w:rPr>
          <w:rFonts w:hint="eastAsia" w:ascii="宋体" w:hAnsi="宋体" w:eastAsia="宋体" w:cs="宋体"/>
          <w:color w:val="auto"/>
          <w:sz w:val="30"/>
          <w:szCs w:val="30"/>
          <w:highlight w:val="none"/>
          <w:lang w:val="en-US" w:eastAsia="zh-CN"/>
        </w:rPr>
        <w:t>采</w:t>
      </w:r>
      <w:r>
        <w:rPr>
          <w:rFonts w:hint="eastAsia" w:ascii="宋体" w:hAnsi="宋体" w:eastAsia="宋体" w:cs="宋体"/>
          <w:color w:val="auto"/>
          <w:sz w:val="30"/>
          <w:szCs w:val="30"/>
          <w:highlight w:val="none"/>
        </w:rPr>
        <w:t xml:space="preserve">   </w:t>
      </w:r>
      <w:r>
        <w:rPr>
          <w:rFonts w:hint="eastAsia" w:ascii="宋体" w:hAnsi="宋体" w:eastAsia="宋体" w:cs="宋体"/>
          <w:color w:val="auto"/>
          <w:sz w:val="30"/>
          <w:szCs w:val="30"/>
          <w:highlight w:val="none"/>
          <w:lang w:val="en-US" w:eastAsia="zh-CN"/>
        </w:rPr>
        <w:t>购</w:t>
      </w:r>
      <w:r>
        <w:rPr>
          <w:rFonts w:hint="eastAsia" w:ascii="宋体" w:hAnsi="宋体" w:eastAsia="宋体" w:cs="宋体"/>
          <w:color w:val="auto"/>
          <w:sz w:val="30"/>
          <w:szCs w:val="30"/>
          <w:highlight w:val="none"/>
        </w:rPr>
        <w:t xml:space="preserve">   人：</w:t>
      </w:r>
      <w:r>
        <w:rPr>
          <w:rFonts w:hint="eastAsia" w:ascii="宋体" w:hAnsi="宋体" w:cs="宋体"/>
          <w:color w:val="auto"/>
          <w:sz w:val="30"/>
          <w:szCs w:val="30"/>
          <w:highlight w:val="none"/>
          <w:lang w:eastAsia="zh-CN"/>
        </w:rPr>
        <w:t>瑞安市</w:t>
      </w:r>
      <w:r>
        <w:rPr>
          <w:rFonts w:hint="eastAsia" w:ascii="宋体" w:hAnsi="宋体" w:cs="宋体"/>
          <w:color w:val="auto"/>
          <w:sz w:val="30"/>
          <w:szCs w:val="30"/>
          <w:highlight w:val="none"/>
          <w:lang w:val="en-US" w:eastAsia="zh-CN"/>
        </w:rPr>
        <w:t>安阳街道办事处</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30"/>
          <w:highlight w:val="none"/>
          <w:lang w:eastAsia="zh-CN"/>
        </w:rPr>
      </w:pPr>
      <w:r>
        <w:rPr>
          <w:rFonts w:hint="eastAsia" w:ascii="宋体" w:hAnsi="宋体" w:eastAsia="宋体" w:cs="宋体"/>
          <w:color w:val="auto"/>
          <w:sz w:val="30"/>
          <w:highlight w:val="none"/>
        </w:rPr>
        <w:t xml:space="preserve">        </w:t>
      </w:r>
      <w:r>
        <w:rPr>
          <w:rFonts w:hint="eastAsia" w:ascii="宋体" w:hAnsi="宋体" w:eastAsia="宋体" w:cs="宋体"/>
          <w:color w:val="auto"/>
          <w:sz w:val="30"/>
          <w:szCs w:val="30"/>
          <w:highlight w:val="none"/>
        </w:rPr>
        <w:t>采购代理机构：</w:t>
      </w:r>
      <w:r>
        <w:rPr>
          <w:rFonts w:hint="eastAsia" w:ascii="宋体" w:hAnsi="宋体" w:cs="宋体"/>
          <w:color w:val="auto"/>
          <w:sz w:val="30"/>
          <w:szCs w:val="30"/>
          <w:highlight w:val="none"/>
          <w:lang w:eastAsia="zh-CN"/>
        </w:rPr>
        <w:t>浙江凯宝工程项目管理有限公司</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30"/>
          <w:szCs w:val="30"/>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30"/>
          <w:szCs w:val="30"/>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二〇二</w:t>
      </w:r>
      <w:r>
        <w:rPr>
          <w:rFonts w:hint="eastAsia" w:ascii="宋体" w:hAnsi="宋体" w:eastAsia="宋体" w:cs="宋体"/>
          <w:color w:val="auto"/>
          <w:sz w:val="30"/>
          <w:szCs w:val="30"/>
          <w:highlight w:val="none"/>
          <w:lang w:val="en-US" w:eastAsia="zh-CN"/>
        </w:rPr>
        <w:t>四</w:t>
      </w:r>
      <w:r>
        <w:rPr>
          <w:rFonts w:hint="eastAsia" w:ascii="宋体" w:hAnsi="宋体" w:eastAsia="宋体" w:cs="宋体"/>
          <w:color w:val="auto"/>
          <w:sz w:val="30"/>
          <w:szCs w:val="30"/>
          <w:highlight w:val="none"/>
        </w:rPr>
        <w:t>年</w:t>
      </w:r>
      <w:r>
        <w:rPr>
          <w:rFonts w:hint="eastAsia" w:ascii="宋体" w:hAnsi="宋体" w:cs="宋体"/>
          <w:color w:val="auto"/>
          <w:sz w:val="30"/>
          <w:szCs w:val="30"/>
          <w:highlight w:val="none"/>
          <w:lang w:val="en-US" w:eastAsia="zh-CN"/>
        </w:rPr>
        <w:t>七</w:t>
      </w:r>
      <w:r>
        <w:rPr>
          <w:rFonts w:hint="eastAsia" w:ascii="宋体" w:hAnsi="宋体" w:eastAsia="宋体" w:cs="宋体"/>
          <w:color w:val="auto"/>
          <w:sz w:val="30"/>
          <w:szCs w:val="30"/>
          <w:highlight w:val="none"/>
        </w:rPr>
        <w:t>月</w:t>
      </w:r>
    </w:p>
    <w:p>
      <w:pPr>
        <w:widowControl/>
        <w:jc w:val="left"/>
        <w:rPr>
          <w:rFonts w:hint="eastAsia" w:ascii="宋体" w:hAnsi="宋体" w:eastAsia="宋体" w:cs="宋体"/>
          <w:color w:val="auto"/>
          <w:highlight w:val="none"/>
        </w:rPr>
      </w:pPr>
    </w:p>
    <w:p>
      <w:pPr>
        <w:widowControl/>
        <w:jc w:val="left"/>
        <w:rPr>
          <w:rFonts w:hint="eastAsia" w:ascii="宋体" w:hAnsi="宋体" w:eastAsia="宋体" w:cs="宋体"/>
          <w:color w:val="auto"/>
          <w:highlight w:val="none"/>
        </w:rPr>
        <w:sectPr>
          <w:headerReference r:id="rId5" w:type="first"/>
          <w:headerReference r:id="rId3" w:type="default"/>
          <w:headerReference r:id="rId4" w:type="even"/>
          <w:pgSz w:w="11906" w:h="16838"/>
          <w:pgMar w:top="1134" w:right="1418" w:bottom="1020" w:left="1418" w:header="680" w:footer="680" w:gutter="0"/>
          <w:pgNumType w:fmt="numberInDash" w:start="1"/>
          <w:cols w:space="720" w:num="1"/>
          <w:docGrid w:type="lines" w:linePitch="312" w:charSpace="0"/>
        </w:sectPr>
      </w:pPr>
    </w:p>
    <w:p>
      <w:pPr>
        <w:snapToGrid w:val="0"/>
        <w:spacing w:line="360" w:lineRule="auto"/>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p>
    <w:p>
      <w:pPr>
        <w:pStyle w:val="17"/>
        <w:tabs>
          <w:tab w:val="right" w:leader="dot" w:pos="9070"/>
          <w:tab w:val="clear" w:pos="8948"/>
        </w:tabs>
        <w:spacing w:line="480" w:lineRule="auto"/>
        <w:rPr>
          <w:color w:val="auto"/>
          <w:highlight w:val="none"/>
        </w:rPr>
      </w:pPr>
      <w:r>
        <w:rPr>
          <w:rFonts w:hint="eastAsia"/>
          <w:color w:val="auto"/>
          <w:highlight w:val="none"/>
        </w:rPr>
        <w:fldChar w:fldCharType="begin"/>
      </w:r>
      <w:r>
        <w:rPr>
          <w:rFonts w:hint="eastAsia"/>
          <w:color w:val="auto"/>
          <w:highlight w:val="none"/>
        </w:rPr>
        <w:instrText xml:space="preserve">TOC \o "1-1" \h \u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HYPERLINK \l _Toc6502 </w:instrText>
      </w:r>
      <w:r>
        <w:rPr>
          <w:rFonts w:hint="eastAsia"/>
          <w:color w:val="auto"/>
          <w:highlight w:val="none"/>
        </w:rPr>
        <w:fldChar w:fldCharType="separate"/>
      </w:r>
      <w:r>
        <w:rPr>
          <w:rFonts w:hint="eastAsia" w:hAnsi="宋体" w:cs="宋体"/>
          <w:color w:val="auto"/>
          <w:szCs w:val="36"/>
          <w:highlight w:val="none"/>
        </w:rPr>
        <w:t>第一部分 竞争性磋商公告</w:t>
      </w:r>
      <w:r>
        <w:rPr>
          <w:color w:val="auto"/>
          <w:highlight w:val="none"/>
        </w:rPr>
        <w:tab/>
      </w:r>
      <w:r>
        <w:rPr>
          <w:color w:val="auto"/>
          <w:highlight w:val="none"/>
        </w:rPr>
        <w:fldChar w:fldCharType="begin"/>
      </w:r>
      <w:r>
        <w:rPr>
          <w:color w:val="auto"/>
          <w:highlight w:val="none"/>
        </w:rPr>
        <w:instrText xml:space="preserve"> PAGEREF _Toc6502 </w:instrText>
      </w:r>
      <w:r>
        <w:rPr>
          <w:color w:val="auto"/>
          <w:highlight w:val="none"/>
        </w:rPr>
        <w:fldChar w:fldCharType="separate"/>
      </w:r>
      <w:r>
        <w:rPr>
          <w:color w:val="auto"/>
          <w:highlight w:val="none"/>
        </w:rPr>
        <w:t>1</w:t>
      </w:r>
      <w:r>
        <w:rPr>
          <w:color w:val="auto"/>
          <w:highlight w:val="none"/>
        </w:rPr>
        <w:fldChar w:fldCharType="end"/>
      </w:r>
      <w:r>
        <w:rPr>
          <w:rFonts w:hint="eastAsia"/>
          <w:color w:val="auto"/>
          <w:highlight w:val="none"/>
        </w:rPr>
        <w:fldChar w:fldCharType="end"/>
      </w:r>
    </w:p>
    <w:p>
      <w:pPr>
        <w:pStyle w:val="17"/>
        <w:tabs>
          <w:tab w:val="right" w:leader="dot" w:pos="9070"/>
          <w:tab w:val="clear" w:pos="8948"/>
        </w:tabs>
        <w:spacing w:line="480" w:lineRule="auto"/>
        <w:rPr>
          <w:color w:val="auto"/>
          <w:highlight w:val="none"/>
        </w:rPr>
      </w:pPr>
      <w:r>
        <w:rPr>
          <w:rFonts w:hint="eastAsia"/>
          <w:color w:val="auto"/>
          <w:highlight w:val="none"/>
        </w:rPr>
        <w:fldChar w:fldCharType="begin"/>
      </w:r>
      <w:r>
        <w:rPr>
          <w:rFonts w:hint="eastAsia"/>
          <w:color w:val="auto"/>
          <w:highlight w:val="none"/>
        </w:rPr>
        <w:instrText xml:space="preserve"> HYPERLINK \l _Toc14250 </w:instrText>
      </w:r>
      <w:r>
        <w:rPr>
          <w:rFonts w:hint="eastAsia"/>
          <w:color w:val="auto"/>
          <w:highlight w:val="none"/>
        </w:rPr>
        <w:fldChar w:fldCharType="separate"/>
      </w:r>
      <w:r>
        <w:rPr>
          <w:rFonts w:hint="eastAsia" w:ascii="Times New Roman" w:hAnsi="宋体" w:eastAsia="宋体" w:cs="宋体"/>
          <w:bCs/>
          <w:color w:val="auto"/>
          <w:kern w:val="44"/>
          <w:szCs w:val="36"/>
          <w:highlight w:val="none"/>
          <w:lang w:val="en-US" w:eastAsia="zh-CN" w:bidi="ar-SA"/>
        </w:rPr>
        <w:t>第二部分 磋商供应商须知</w:t>
      </w:r>
      <w:r>
        <w:rPr>
          <w:color w:val="auto"/>
          <w:highlight w:val="none"/>
        </w:rPr>
        <w:tab/>
      </w:r>
      <w:r>
        <w:rPr>
          <w:color w:val="auto"/>
          <w:highlight w:val="none"/>
        </w:rPr>
        <w:fldChar w:fldCharType="begin"/>
      </w:r>
      <w:r>
        <w:rPr>
          <w:color w:val="auto"/>
          <w:highlight w:val="none"/>
        </w:rPr>
        <w:instrText xml:space="preserve"> PAGEREF _Toc14250 </w:instrText>
      </w:r>
      <w:r>
        <w:rPr>
          <w:color w:val="auto"/>
          <w:highlight w:val="none"/>
        </w:rPr>
        <w:fldChar w:fldCharType="separate"/>
      </w:r>
      <w:r>
        <w:rPr>
          <w:color w:val="auto"/>
          <w:highlight w:val="none"/>
        </w:rPr>
        <w:t>5</w:t>
      </w:r>
      <w:r>
        <w:rPr>
          <w:color w:val="auto"/>
          <w:highlight w:val="none"/>
        </w:rPr>
        <w:fldChar w:fldCharType="end"/>
      </w:r>
      <w:r>
        <w:rPr>
          <w:rFonts w:hint="eastAsia"/>
          <w:color w:val="auto"/>
          <w:highlight w:val="none"/>
        </w:rPr>
        <w:fldChar w:fldCharType="end"/>
      </w:r>
    </w:p>
    <w:p>
      <w:pPr>
        <w:pStyle w:val="17"/>
        <w:tabs>
          <w:tab w:val="right" w:leader="dot" w:pos="9070"/>
          <w:tab w:val="clear" w:pos="8948"/>
        </w:tabs>
        <w:spacing w:line="480" w:lineRule="auto"/>
        <w:ind w:left="0" w:leftChars="0" w:firstLine="422" w:firstLineChars="200"/>
        <w:rPr>
          <w:color w:val="auto"/>
          <w:highlight w:val="none"/>
        </w:rPr>
      </w:pPr>
      <w:r>
        <w:rPr>
          <w:rFonts w:hint="eastAsia"/>
          <w:color w:val="auto"/>
          <w:highlight w:val="none"/>
        </w:rPr>
        <w:fldChar w:fldCharType="begin"/>
      </w:r>
      <w:r>
        <w:rPr>
          <w:rFonts w:hint="eastAsia"/>
          <w:color w:val="auto"/>
          <w:highlight w:val="none"/>
        </w:rPr>
        <w:instrText xml:space="preserve"> HYPERLINK \l _Toc29602 </w:instrText>
      </w:r>
      <w:r>
        <w:rPr>
          <w:rFonts w:hint="eastAsia"/>
          <w:color w:val="auto"/>
          <w:highlight w:val="none"/>
        </w:rPr>
        <w:fldChar w:fldCharType="separate"/>
      </w:r>
      <w:r>
        <w:rPr>
          <w:rFonts w:hint="eastAsia" w:ascii="宋体" w:hAnsi="宋体" w:eastAsia="宋体" w:cs="宋体"/>
          <w:color w:val="auto"/>
          <w:szCs w:val="20"/>
          <w:highlight w:val="none"/>
        </w:rPr>
        <w:t>一、总则</w:t>
      </w:r>
      <w:r>
        <w:rPr>
          <w:color w:val="auto"/>
          <w:highlight w:val="none"/>
        </w:rPr>
        <w:tab/>
      </w:r>
      <w:r>
        <w:rPr>
          <w:color w:val="auto"/>
          <w:highlight w:val="none"/>
        </w:rPr>
        <w:fldChar w:fldCharType="begin"/>
      </w:r>
      <w:r>
        <w:rPr>
          <w:color w:val="auto"/>
          <w:highlight w:val="none"/>
        </w:rPr>
        <w:instrText xml:space="preserve"> PAGEREF _Toc29602 </w:instrText>
      </w:r>
      <w:r>
        <w:rPr>
          <w:color w:val="auto"/>
          <w:highlight w:val="none"/>
        </w:rPr>
        <w:fldChar w:fldCharType="separate"/>
      </w:r>
      <w:r>
        <w:rPr>
          <w:color w:val="auto"/>
          <w:highlight w:val="none"/>
        </w:rPr>
        <w:t>8</w:t>
      </w:r>
      <w:r>
        <w:rPr>
          <w:color w:val="auto"/>
          <w:highlight w:val="none"/>
        </w:rPr>
        <w:fldChar w:fldCharType="end"/>
      </w:r>
      <w:r>
        <w:rPr>
          <w:rFonts w:hint="eastAsia"/>
          <w:color w:val="auto"/>
          <w:highlight w:val="none"/>
        </w:rPr>
        <w:fldChar w:fldCharType="end"/>
      </w:r>
    </w:p>
    <w:p>
      <w:pPr>
        <w:pStyle w:val="17"/>
        <w:tabs>
          <w:tab w:val="right" w:leader="dot" w:pos="9070"/>
          <w:tab w:val="clear" w:pos="8948"/>
        </w:tabs>
        <w:spacing w:line="480" w:lineRule="auto"/>
        <w:ind w:left="0" w:leftChars="0" w:firstLine="422" w:firstLineChars="200"/>
        <w:rPr>
          <w:color w:val="auto"/>
          <w:highlight w:val="none"/>
        </w:rPr>
      </w:pPr>
      <w:r>
        <w:rPr>
          <w:rFonts w:hint="eastAsia"/>
          <w:color w:val="auto"/>
          <w:highlight w:val="none"/>
        </w:rPr>
        <w:fldChar w:fldCharType="begin"/>
      </w:r>
      <w:r>
        <w:rPr>
          <w:rFonts w:hint="eastAsia"/>
          <w:color w:val="auto"/>
          <w:highlight w:val="none"/>
        </w:rPr>
        <w:instrText xml:space="preserve"> HYPERLINK \l _Toc2269 </w:instrText>
      </w:r>
      <w:r>
        <w:rPr>
          <w:rFonts w:hint="eastAsia"/>
          <w:color w:val="auto"/>
          <w:highlight w:val="none"/>
        </w:rPr>
        <w:fldChar w:fldCharType="separate"/>
      </w:r>
      <w:r>
        <w:rPr>
          <w:rFonts w:hint="eastAsia" w:ascii="宋体" w:hAnsi="宋体" w:eastAsia="宋体" w:cs="宋体"/>
          <w:color w:val="auto"/>
          <w:szCs w:val="20"/>
          <w:highlight w:val="none"/>
        </w:rPr>
        <w:t>二、</w:t>
      </w:r>
      <w:r>
        <w:rPr>
          <w:rFonts w:hint="eastAsia" w:ascii="宋体" w:hAnsi="宋体" w:eastAsia="宋体" w:cs="宋体"/>
          <w:color w:val="auto"/>
          <w:szCs w:val="20"/>
          <w:highlight w:val="none"/>
          <w:lang w:eastAsia="zh-CN"/>
        </w:rPr>
        <w:t>磋商文件</w:t>
      </w:r>
      <w:r>
        <w:rPr>
          <w:rFonts w:hint="eastAsia" w:ascii="宋体" w:hAnsi="宋体" w:eastAsia="宋体" w:cs="宋体"/>
          <w:color w:val="auto"/>
          <w:szCs w:val="20"/>
          <w:highlight w:val="none"/>
        </w:rPr>
        <w:t>的构成、澄清、修改</w:t>
      </w:r>
      <w:r>
        <w:rPr>
          <w:color w:val="auto"/>
          <w:highlight w:val="none"/>
        </w:rPr>
        <w:tab/>
      </w:r>
      <w:r>
        <w:rPr>
          <w:color w:val="auto"/>
          <w:highlight w:val="none"/>
        </w:rPr>
        <w:fldChar w:fldCharType="begin"/>
      </w:r>
      <w:r>
        <w:rPr>
          <w:color w:val="auto"/>
          <w:highlight w:val="none"/>
        </w:rPr>
        <w:instrText xml:space="preserve"> PAGEREF _Toc2269 </w:instrText>
      </w:r>
      <w:r>
        <w:rPr>
          <w:color w:val="auto"/>
          <w:highlight w:val="none"/>
        </w:rPr>
        <w:fldChar w:fldCharType="separate"/>
      </w:r>
      <w:r>
        <w:rPr>
          <w:color w:val="auto"/>
          <w:highlight w:val="none"/>
        </w:rPr>
        <w:t>12</w:t>
      </w:r>
      <w:r>
        <w:rPr>
          <w:color w:val="auto"/>
          <w:highlight w:val="none"/>
        </w:rPr>
        <w:fldChar w:fldCharType="end"/>
      </w:r>
      <w:r>
        <w:rPr>
          <w:rFonts w:hint="eastAsia"/>
          <w:color w:val="auto"/>
          <w:highlight w:val="none"/>
        </w:rPr>
        <w:fldChar w:fldCharType="end"/>
      </w:r>
    </w:p>
    <w:p>
      <w:pPr>
        <w:pStyle w:val="17"/>
        <w:tabs>
          <w:tab w:val="right" w:leader="dot" w:pos="9070"/>
          <w:tab w:val="clear" w:pos="8948"/>
        </w:tabs>
        <w:spacing w:line="480" w:lineRule="auto"/>
        <w:ind w:left="0" w:leftChars="0" w:firstLine="422" w:firstLineChars="200"/>
        <w:rPr>
          <w:color w:val="auto"/>
          <w:highlight w:val="none"/>
        </w:rPr>
      </w:pPr>
      <w:r>
        <w:rPr>
          <w:rFonts w:hint="eastAsia"/>
          <w:color w:val="auto"/>
          <w:highlight w:val="none"/>
        </w:rPr>
        <w:fldChar w:fldCharType="begin"/>
      </w:r>
      <w:r>
        <w:rPr>
          <w:rFonts w:hint="eastAsia"/>
          <w:color w:val="auto"/>
          <w:highlight w:val="none"/>
        </w:rPr>
        <w:instrText xml:space="preserve"> HYPERLINK \l _Toc1397 </w:instrText>
      </w:r>
      <w:r>
        <w:rPr>
          <w:rFonts w:hint="eastAsia"/>
          <w:color w:val="auto"/>
          <w:highlight w:val="none"/>
        </w:rPr>
        <w:fldChar w:fldCharType="separate"/>
      </w:r>
      <w:r>
        <w:rPr>
          <w:rFonts w:hint="eastAsia" w:ascii="宋体" w:hAnsi="宋体" w:eastAsia="宋体" w:cs="宋体"/>
          <w:color w:val="auto"/>
          <w:szCs w:val="20"/>
          <w:highlight w:val="none"/>
        </w:rPr>
        <w:t>三、投标</w:t>
      </w:r>
      <w:r>
        <w:rPr>
          <w:color w:val="auto"/>
          <w:highlight w:val="none"/>
        </w:rPr>
        <w:tab/>
      </w:r>
      <w:r>
        <w:rPr>
          <w:color w:val="auto"/>
          <w:highlight w:val="none"/>
        </w:rPr>
        <w:fldChar w:fldCharType="begin"/>
      </w:r>
      <w:r>
        <w:rPr>
          <w:color w:val="auto"/>
          <w:highlight w:val="none"/>
        </w:rPr>
        <w:instrText xml:space="preserve"> PAGEREF _Toc1397 </w:instrText>
      </w:r>
      <w:r>
        <w:rPr>
          <w:color w:val="auto"/>
          <w:highlight w:val="none"/>
        </w:rPr>
        <w:fldChar w:fldCharType="separate"/>
      </w:r>
      <w:r>
        <w:rPr>
          <w:color w:val="auto"/>
          <w:highlight w:val="none"/>
        </w:rPr>
        <w:t>12</w:t>
      </w:r>
      <w:r>
        <w:rPr>
          <w:color w:val="auto"/>
          <w:highlight w:val="none"/>
        </w:rPr>
        <w:fldChar w:fldCharType="end"/>
      </w:r>
      <w:r>
        <w:rPr>
          <w:rFonts w:hint="eastAsia"/>
          <w:color w:val="auto"/>
          <w:highlight w:val="none"/>
        </w:rPr>
        <w:fldChar w:fldCharType="end"/>
      </w:r>
    </w:p>
    <w:p>
      <w:pPr>
        <w:pStyle w:val="17"/>
        <w:tabs>
          <w:tab w:val="right" w:leader="dot" w:pos="9070"/>
          <w:tab w:val="clear" w:pos="8948"/>
        </w:tabs>
        <w:spacing w:line="480" w:lineRule="auto"/>
        <w:ind w:left="0" w:leftChars="0" w:firstLine="422" w:firstLineChars="200"/>
        <w:rPr>
          <w:color w:val="auto"/>
          <w:highlight w:val="none"/>
        </w:rPr>
      </w:pPr>
      <w:r>
        <w:rPr>
          <w:rFonts w:hint="eastAsia"/>
          <w:color w:val="auto"/>
          <w:highlight w:val="none"/>
        </w:rPr>
        <w:fldChar w:fldCharType="begin"/>
      </w:r>
      <w:r>
        <w:rPr>
          <w:rFonts w:hint="eastAsia"/>
          <w:color w:val="auto"/>
          <w:highlight w:val="none"/>
        </w:rPr>
        <w:instrText xml:space="preserve"> HYPERLINK \l _Toc21441 </w:instrText>
      </w:r>
      <w:r>
        <w:rPr>
          <w:rFonts w:hint="eastAsia"/>
          <w:color w:val="auto"/>
          <w:highlight w:val="none"/>
        </w:rPr>
        <w:fldChar w:fldCharType="separate"/>
      </w:r>
      <w:r>
        <w:rPr>
          <w:rFonts w:hint="eastAsia" w:ascii="宋体" w:hAnsi="宋体" w:eastAsia="宋体" w:cs="宋体"/>
          <w:color w:val="auto"/>
          <w:szCs w:val="36"/>
          <w:highlight w:val="none"/>
        </w:rPr>
        <w:t>四、开标、资格审查与信用信息查询</w:t>
      </w:r>
      <w:r>
        <w:rPr>
          <w:color w:val="auto"/>
          <w:highlight w:val="none"/>
        </w:rPr>
        <w:tab/>
      </w:r>
      <w:r>
        <w:rPr>
          <w:color w:val="auto"/>
          <w:highlight w:val="none"/>
        </w:rPr>
        <w:fldChar w:fldCharType="begin"/>
      </w:r>
      <w:r>
        <w:rPr>
          <w:color w:val="auto"/>
          <w:highlight w:val="none"/>
        </w:rPr>
        <w:instrText xml:space="preserve"> PAGEREF _Toc21441 </w:instrText>
      </w:r>
      <w:r>
        <w:rPr>
          <w:color w:val="auto"/>
          <w:highlight w:val="none"/>
        </w:rPr>
        <w:fldChar w:fldCharType="separate"/>
      </w:r>
      <w:r>
        <w:rPr>
          <w:color w:val="auto"/>
          <w:highlight w:val="none"/>
        </w:rPr>
        <w:t>17</w:t>
      </w:r>
      <w:r>
        <w:rPr>
          <w:color w:val="auto"/>
          <w:highlight w:val="none"/>
        </w:rPr>
        <w:fldChar w:fldCharType="end"/>
      </w:r>
      <w:r>
        <w:rPr>
          <w:rFonts w:hint="eastAsia"/>
          <w:color w:val="auto"/>
          <w:highlight w:val="none"/>
        </w:rPr>
        <w:fldChar w:fldCharType="end"/>
      </w:r>
    </w:p>
    <w:p>
      <w:pPr>
        <w:pStyle w:val="17"/>
        <w:tabs>
          <w:tab w:val="right" w:leader="dot" w:pos="9070"/>
          <w:tab w:val="clear" w:pos="8948"/>
        </w:tabs>
        <w:spacing w:line="480" w:lineRule="auto"/>
        <w:ind w:left="0" w:leftChars="0" w:firstLine="422" w:firstLineChars="200"/>
        <w:rPr>
          <w:color w:val="auto"/>
          <w:highlight w:val="none"/>
        </w:rPr>
      </w:pPr>
      <w:r>
        <w:rPr>
          <w:rFonts w:hint="eastAsia"/>
          <w:color w:val="auto"/>
          <w:highlight w:val="none"/>
        </w:rPr>
        <w:fldChar w:fldCharType="begin"/>
      </w:r>
      <w:r>
        <w:rPr>
          <w:rFonts w:hint="eastAsia"/>
          <w:color w:val="auto"/>
          <w:highlight w:val="none"/>
        </w:rPr>
        <w:instrText xml:space="preserve"> HYPERLINK \l _Toc29139 </w:instrText>
      </w:r>
      <w:r>
        <w:rPr>
          <w:rFonts w:hint="eastAsia"/>
          <w:color w:val="auto"/>
          <w:highlight w:val="none"/>
        </w:rPr>
        <w:fldChar w:fldCharType="separate"/>
      </w:r>
      <w:r>
        <w:rPr>
          <w:rFonts w:hint="eastAsia" w:ascii="宋体" w:hAnsi="宋体" w:eastAsia="宋体" w:cs="宋体"/>
          <w:color w:val="auto"/>
          <w:szCs w:val="36"/>
          <w:highlight w:val="none"/>
        </w:rPr>
        <w:t>五、评标</w:t>
      </w:r>
      <w:r>
        <w:rPr>
          <w:color w:val="auto"/>
          <w:highlight w:val="none"/>
        </w:rPr>
        <w:tab/>
      </w:r>
      <w:r>
        <w:rPr>
          <w:color w:val="auto"/>
          <w:highlight w:val="none"/>
        </w:rPr>
        <w:fldChar w:fldCharType="begin"/>
      </w:r>
      <w:r>
        <w:rPr>
          <w:color w:val="auto"/>
          <w:highlight w:val="none"/>
        </w:rPr>
        <w:instrText xml:space="preserve"> PAGEREF _Toc29139 </w:instrText>
      </w:r>
      <w:r>
        <w:rPr>
          <w:color w:val="auto"/>
          <w:highlight w:val="none"/>
        </w:rPr>
        <w:fldChar w:fldCharType="separate"/>
      </w:r>
      <w:r>
        <w:rPr>
          <w:color w:val="auto"/>
          <w:highlight w:val="none"/>
        </w:rPr>
        <w:t>18</w:t>
      </w:r>
      <w:r>
        <w:rPr>
          <w:color w:val="auto"/>
          <w:highlight w:val="none"/>
        </w:rPr>
        <w:fldChar w:fldCharType="end"/>
      </w:r>
      <w:r>
        <w:rPr>
          <w:rFonts w:hint="eastAsia"/>
          <w:color w:val="auto"/>
          <w:highlight w:val="none"/>
        </w:rPr>
        <w:fldChar w:fldCharType="end"/>
      </w:r>
    </w:p>
    <w:p>
      <w:pPr>
        <w:pStyle w:val="17"/>
        <w:tabs>
          <w:tab w:val="right" w:leader="dot" w:pos="9070"/>
          <w:tab w:val="clear" w:pos="8948"/>
        </w:tabs>
        <w:spacing w:line="480" w:lineRule="auto"/>
        <w:ind w:left="0" w:leftChars="0" w:firstLine="422" w:firstLineChars="200"/>
        <w:rPr>
          <w:color w:val="auto"/>
          <w:highlight w:val="none"/>
        </w:rPr>
      </w:pPr>
      <w:r>
        <w:rPr>
          <w:rFonts w:hint="eastAsia"/>
          <w:color w:val="auto"/>
          <w:highlight w:val="none"/>
        </w:rPr>
        <w:fldChar w:fldCharType="begin"/>
      </w:r>
      <w:r>
        <w:rPr>
          <w:rFonts w:hint="eastAsia"/>
          <w:color w:val="auto"/>
          <w:highlight w:val="none"/>
        </w:rPr>
        <w:instrText xml:space="preserve"> HYPERLINK \l _Toc15660 </w:instrText>
      </w:r>
      <w:r>
        <w:rPr>
          <w:rFonts w:hint="eastAsia"/>
          <w:color w:val="auto"/>
          <w:highlight w:val="none"/>
        </w:rPr>
        <w:fldChar w:fldCharType="separate"/>
      </w:r>
      <w:r>
        <w:rPr>
          <w:rFonts w:hint="eastAsia" w:ascii="宋体" w:hAnsi="宋体" w:eastAsia="宋体" w:cs="宋体"/>
          <w:color w:val="auto"/>
          <w:szCs w:val="36"/>
          <w:highlight w:val="none"/>
        </w:rPr>
        <w:t>六、定 标</w:t>
      </w:r>
      <w:r>
        <w:rPr>
          <w:color w:val="auto"/>
          <w:highlight w:val="none"/>
        </w:rPr>
        <w:tab/>
      </w:r>
      <w:r>
        <w:rPr>
          <w:color w:val="auto"/>
          <w:highlight w:val="none"/>
        </w:rPr>
        <w:fldChar w:fldCharType="begin"/>
      </w:r>
      <w:r>
        <w:rPr>
          <w:color w:val="auto"/>
          <w:highlight w:val="none"/>
        </w:rPr>
        <w:instrText xml:space="preserve"> PAGEREF _Toc15660 </w:instrText>
      </w:r>
      <w:r>
        <w:rPr>
          <w:color w:val="auto"/>
          <w:highlight w:val="none"/>
        </w:rPr>
        <w:fldChar w:fldCharType="separate"/>
      </w:r>
      <w:r>
        <w:rPr>
          <w:color w:val="auto"/>
          <w:highlight w:val="none"/>
        </w:rPr>
        <w:t>19</w:t>
      </w:r>
      <w:r>
        <w:rPr>
          <w:color w:val="auto"/>
          <w:highlight w:val="none"/>
        </w:rPr>
        <w:fldChar w:fldCharType="end"/>
      </w:r>
      <w:r>
        <w:rPr>
          <w:rFonts w:hint="eastAsia"/>
          <w:color w:val="auto"/>
          <w:highlight w:val="none"/>
        </w:rPr>
        <w:fldChar w:fldCharType="end"/>
      </w:r>
    </w:p>
    <w:p>
      <w:pPr>
        <w:pStyle w:val="17"/>
        <w:tabs>
          <w:tab w:val="right" w:leader="dot" w:pos="9070"/>
          <w:tab w:val="clear" w:pos="8948"/>
        </w:tabs>
        <w:spacing w:line="480" w:lineRule="auto"/>
        <w:rPr>
          <w:color w:val="auto"/>
          <w:highlight w:val="none"/>
        </w:rPr>
      </w:pPr>
      <w:r>
        <w:rPr>
          <w:rFonts w:hint="eastAsia"/>
          <w:color w:val="auto"/>
          <w:highlight w:val="none"/>
        </w:rPr>
        <w:fldChar w:fldCharType="begin"/>
      </w:r>
      <w:r>
        <w:rPr>
          <w:rFonts w:hint="eastAsia"/>
          <w:color w:val="auto"/>
          <w:highlight w:val="none"/>
        </w:rPr>
        <w:instrText xml:space="preserve"> HYPERLINK \l _Toc26914 </w:instrText>
      </w:r>
      <w:r>
        <w:rPr>
          <w:rFonts w:hint="eastAsia"/>
          <w:color w:val="auto"/>
          <w:highlight w:val="none"/>
        </w:rPr>
        <w:fldChar w:fldCharType="separate"/>
      </w:r>
      <w:r>
        <w:rPr>
          <w:rFonts w:hint="eastAsia" w:ascii="宋体" w:hAnsi="宋体" w:eastAsia="宋体" w:cs="宋体"/>
          <w:color w:val="auto"/>
          <w:szCs w:val="36"/>
          <w:highlight w:val="none"/>
        </w:rPr>
        <w:t>第三部分 采购需求</w:t>
      </w:r>
      <w:r>
        <w:rPr>
          <w:color w:val="auto"/>
          <w:highlight w:val="none"/>
        </w:rPr>
        <w:tab/>
      </w:r>
      <w:r>
        <w:rPr>
          <w:color w:val="auto"/>
          <w:highlight w:val="none"/>
        </w:rPr>
        <w:fldChar w:fldCharType="begin"/>
      </w:r>
      <w:r>
        <w:rPr>
          <w:color w:val="auto"/>
          <w:highlight w:val="none"/>
        </w:rPr>
        <w:instrText xml:space="preserve"> PAGEREF _Toc26914 </w:instrText>
      </w:r>
      <w:r>
        <w:rPr>
          <w:color w:val="auto"/>
          <w:highlight w:val="none"/>
        </w:rPr>
        <w:fldChar w:fldCharType="separate"/>
      </w:r>
      <w:r>
        <w:rPr>
          <w:color w:val="auto"/>
          <w:highlight w:val="none"/>
        </w:rPr>
        <w:t>23</w:t>
      </w:r>
      <w:r>
        <w:rPr>
          <w:color w:val="auto"/>
          <w:highlight w:val="none"/>
        </w:rPr>
        <w:fldChar w:fldCharType="end"/>
      </w:r>
      <w:r>
        <w:rPr>
          <w:rFonts w:hint="eastAsia"/>
          <w:color w:val="auto"/>
          <w:highlight w:val="none"/>
        </w:rPr>
        <w:fldChar w:fldCharType="end"/>
      </w:r>
    </w:p>
    <w:p>
      <w:pPr>
        <w:pStyle w:val="17"/>
        <w:tabs>
          <w:tab w:val="right" w:leader="dot" w:pos="9070"/>
          <w:tab w:val="clear" w:pos="8948"/>
        </w:tabs>
        <w:spacing w:line="480" w:lineRule="auto"/>
        <w:rPr>
          <w:color w:val="auto"/>
          <w:highlight w:val="none"/>
        </w:rPr>
      </w:pPr>
      <w:r>
        <w:rPr>
          <w:rFonts w:hint="eastAsia"/>
          <w:color w:val="auto"/>
          <w:highlight w:val="none"/>
        </w:rPr>
        <w:fldChar w:fldCharType="begin"/>
      </w:r>
      <w:r>
        <w:rPr>
          <w:rFonts w:hint="eastAsia"/>
          <w:color w:val="auto"/>
          <w:highlight w:val="none"/>
        </w:rPr>
        <w:instrText xml:space="preserve"> HYPERLINK \l _Toc32559 </w:instrText>
      </w:r>
      <w:r>
        <w:rPr>
          <w:rFonts w:hint="eastAsia"/>
          <w:color w:val="auto"/>
          <w:highlight w:val="none"/>
        </w:rPr>
        <w:fldChar w:fldCharType="separate"/>
      </w:r>
      <w:r>
        <w:rPr>
          <w:rFonts w:hint="eastAsia" w:ascii="宋体" w:hAnsi="宋体" w:eastAsia="宋体" w:cs="宋体"/>
          <w:color w:val="auto"/>
          <w:szCs w:val="36"/>
          <w:highlight w:val="none"/>
        </w:rPr>
        <w:t>第</w:t>
      </w:r>
      <w:r>
        <w:rPr>
          <w:rFonts w:hint="eastAsia" w:ascii="宋体" w:hAnsi="宋体" w:cs="宋体"/>
          <w:color w:val="auto"/>
          <w:szCs w:val="36"/>
          <w:highlight w:val="none"/>
          <w:lang w:val="en-US" w:eastAsia="zh-CN"/>
        </w:rPr>
        <w:t>四</w:t>
      </w:r>
      <w:r>
        <w:rPr>
          <w:rFonts w:hint="eastAsia" w:ascii="宋体" w:hAnsi="宋体" w:eastAsia="宋体" w:cs="宋体"/>
          <w:color w:val="auto"/>
          <w:szCs w:val="36"/>
          <w:highlight w:val="none"/>
        </w:rPr>
        <w:t>部分 评标办法</w:t>
      </w:r>
      <w:r>
        <w:rPr>
          <w:color w:val="auto"/>
          <w:highlight w:val="none"/>
        </w:rPr>
        <w:tab/>
      </w:r>
      <w:r>
        <w:rPr>
          <w:color w:val="auto"/>
          <w:highlight w:val="none"/>
        </w:rPr>
        <w:fldChar w:fldCharType="begin"/>
      </w:r>
      <w:r>
        <w:rPr>
          <w:color w:val="auto"/>
          <w:highlight w:val="none"/>
        </w:rPr>
        <w:instrText xml:space="preserve"> PAGEREF _Toc32559 </w:instrText>
      </w:r>
      <w:r>
        <w:rPr>
          <w:color w:val="auto"/>
          <w:highlight w:val="none"/>
        </w:rPr>
        <w:fldChar w:fldCharType="separate"/>
      </w:r>
      <w:r>
        <w:rPr>
          <w:color w:val="auto"/>
          <w:highlight w:val="none"/>
        </w:rPr>
        <w:t>26</w:t>
      </w:r>
      <w:r>
        <w:rPr>
          <w:color w:val="auto"/>
          <w:highlight w:val="none"/>
        </w:rPr>
        <w:fldChar w:fldCharType="end"/>
      </w:r>
      <w:r>
        <w:rPr>
          <w:rFonts w:hint="eastAsia"/>
          <w:color w:val="auto"/>
          <w:highlight w:val="none"/>
        </w:rPr>
        <w:fldChar w:fldCharType="end"/>
      </w:r>
    </w:p>
    <w:p>
      <w:pPr>
        <w:pStyle w:val="17"/>
        <w:tabs>
          <w:tab w:val="right" w:leader="dot" w:pos="9070"/>
          <w:tab w:val="clear" w:pos="8948"/>
        </w:tabs>
        <w:spacing w:line="480" w:lineRule="auto"/>
        <w:rPr>
          <w:color w:val="auto"/>
          <w:highlight w:val="none"/>
        </w:rPr>
      </w:pPr>
      <w:r>
        <w:rPr>
          <w:rFonts w:hint="eastAsia"/>
          <w:color w:val="auto"/>
          <w:highlight w:val="none"/>
        </w:rPr>
        <w:fldChar w:fldCharType="begin"/>
      </w:r>
      <w:r>
        <w:rPr>
          <w:rFonts w:hint="eastAsia"/>
          <w:color w:val="auto"/>
          <w:highlight w:val="none"/>
        </w:rPr>
        <w:instrText xml:space="preserve"> HYPERLINK \l _Toc9891 </w:instrText>
      </w:r>
      <w:r>
        <w:rPr>
          <w:rFonts w:hint="eastAsia"/>
          <w:color w:val="auto"/>
          <w:highlight w:val="none"/>
        </w:rPr>
        <w:fldChar w:fldCharType="separate"/>
      </w:r>
      <w:r>
        <w:rPr>
          <w:rFonts w:hint="eastAsia" w:ascii="宋体" w:hAnsi="宋体" w:eastAsia="宋体" w:cs="宋体"/>
          <w:color w:val="auto"/>
          <w:szCs w:val="36"/>
          <w:highlight w:val="none"/>
        </w:rPr>
        <w:t>第五部分 拟签订的合同文本</w:t>
      </w:r>
      <w:r>
        <w:rPr>
          <w:color w:val="auto"/>
          <w:highlight w:val="none"/>
        </w:rPr>
        <w:tab/>
      </w:r>
      <w:r>
        <w:rPr>
          <w:color w:val="auto"/>
          <w:highlight w:val="none"/>
        </w:rPr>
        <w:fldChar w:fldCharType="begin"/>
      </w:r>
      <w:r>
        <w:rPr>
          <w:color w:val="auto"/>
          <w:highlight w:val="none"/>
        </w:rPr>
        <w:instrText xml:space="preserve"> PAGEREF _Toc9891 </w:instrText>
      </w:r>
      <w:r>
        <w:rPr>
          <w:color w:val="auto"/>
          <w:highlight w:val="none"/>
        </w:rPr>
        <w:fldChar w:fldCharType="separate"/>
      </w:r>
      <w:r>
        <w:rPr>
          <w:color w:val="auto"/>
          <w:highlight w:val="none"/>
        </w:rPr>
        <w:t>33</w:t>
      </w:r>
      <w:r>
        <w:rPr>
          <w:color w:val="auto"/>
          <w:highlight w:val="none"/>
        </w:rPr>
        <w:fldChar w:fldCharType="end"/>
      </w:r>
      <w:r>
        <w:rPr>
          <w:rFonts w:hint="eastAsia"/>
          <w:color w:val="auto"/>
          <w:highlight w:val="none"/>
        </w:rPr>
        <w:fldChar w:fldCharType="end"/>
      </w:r>
    </w:p>
    <w:p>
      <w:pPr>
        <w:pStyle w:val="17"/>
        <w:tabs>
          <w:tab w:val="right" w:leader="dot" w:pos="9070"/>
          <w:tab w:val="clear" w:pos="8948"/>
        </w:tabs>
        <w:spacing w:line="480" w:lineRule="auto"/>
        <w:rPr>
          <w:color w:val="auto"/>
          <w:highlight w:val="none"/>
        </w:rPr>
      </w:pPr>
      <w:r>
        <w:rPr>
          <w:rFonts w:hint="eastAsia"/>
          <w:color w:val="auto"/>
          <w:highlight w:val="none"/>
        </w:rPr>
        <w:fldChar w:fldCharType="begin"/>
      </w:r>
      <w:r>
        <w:rPr>
          <w:rFonts w:hint="eastAsia"/>
          <w:color w:val="auto"/>
          <w:highlight w:val="none"/>
        </w:rPr>
        <w:instrText xml:space="preserve"> HYPERLINK \l _Toc17588 </w:instrText>
      </w:r>
      <w:r>
        <w:rPr>
          <w:rFonts w:hint="eastAsia"/>
          <w:color w:val="auto"/>
          <w:highlight w:val="none"/>
        </w:rPr>
        <w:fldChar w:fldCharType="separate"/>
      </w:r>
      <w:r>
        <w:rPr>
          <w:rFonts w:hint="eastAsia" w:ascii="宋体" w:hAnsi="宋体" w:eastAsia="宋体" w:cs="宋体"/>
          <w:color w:val="auto"/>
          <w:szCs w:val="20"/>
          <w:highlight w:val="none"/>
        </w:rPr>
        <w:t>第六部分 应提交的有关格式范例</w:t>
      </w:r>
      <w:r>
        <w:rPr>
          <w:color w:val="auto"/>
          <w:highlight w:val="none"/>
        </w:rPr>
        <w:tab/>
      </w:r>
      <w:r>
        <w:rPr>
          <w:color w:val="auto"/>
          <w:highlight w:val="none"/>
        </w:rPr>
        <w:fldChar w:fldCharType="begin"/>
      </w:r>
      <w:r>
        <w:rPr>
          <w:color w:val="auto"/>
          <w:highlight w:val="none"/>
        </w:rPr>
        <w:instrText xml:space="preserve"> PAGEREF _Toc17588 </w:instrText>
      </w:r>
      <w:r>
        <w:rPr>
          <w:color w:val="auto"/>
          <w:highlight w:val="none"/>
        </w:rPr>
        <w:fldChar w:fldCharType="separate"/>
      </w:r>
      <w:r>
        <w:rPr>
          <w:color w:val="auto"/>
          <w:highlight w:val="none"/>
        </w:rPr>
        <w:t>75</w:t>
      </w:r>
      <w:r>
        <w:rPr>
          <w:color w:val="auto"/>
          <w:highlight w:val="none"/>
        </w:rPr>
        <w:fldChar w:fldCharType="end"/>
      </w:r>
      <w:r>
        <w:rPr>
          <w:rFonts w:hint="eastAsia"/>
          <w:color w:val="auto"/>
          <w:highlight w:val="none"/>
        </w:rPr>
        <w:fldChar w:fldCharType="end"/>
      </w:r>
    </w:p>
    <w:p>
      <w:pPr>
        <w:pStyle w:val="17"/>
        <w:tabs>
          <w:tab w:val="right" w:leader="dot" w:pos="9070"/>
          <w:tab w:val="clear" w:pos="8948"/>
        </w:tabs>
        <w:spacing w:line="480" w:lineRule="auto"/>
        <w:rPr>
          <w:color w:val="auto"/>
          <w:highlight w:val="none"/>
        </w:rPr>
      </w:pPr>
      <w:r>
        <w:rPr>
          <w:rFonts w:hint="eastAsia"/>
          <w:color w:val="auto"/>
          <w:highlight w:val="none"/>
        </w:rPr>
        <w:fldChar w:fldCharType="begin"/>
      </w:r>
      <w:r>
        <w:rPr>
          <w:rFonts w:hint="eastAsia"/>
          <w:color w:val="auto"/>
          <w:highlight w:val="none"/>
        </w:rPr>
        <w:instrText xml:space="preserve"> HYPERLINK \l _Toc21523 </w:instrText>
      </w:r>
      <w:r>
        <w:rPr>
          <w:rFonts w:hint="eastAsia"/>
          <w:color w:val="auto"/>
          <w:highlight w:val="none"/>
        </w:rPr>
        <w:fldChar w:fldCharType="separate"/>
      </w:r>
      <w:r>
        <w:rPr>
          <w:rFonts w:hint="eastAsia" w:ascii="宋体" w:hAnsi="宋体" w:eastAsia="宋体" w:cs="宋体"/>
          <w:color w:val="auto"/>
          <w:szCs w:val="20"/>
          <w:highlight w:val="none"/>
        </w:rPr>
        <w:t>第</w:t>
      </w:r>
      <w:r>
        <w:rPr>
          <w:rFonts w:hint="eastAsia" w:ascii="宋体" w:hAnsi="宋体" w:eastAsia="宋体" w:cs="宋体"/>
          <w:color w:val="auto"/>
          <w:szCs w:val="20"/>
          <w:highlight w:val="none"/>
          <w:lang w:val="en-US" w:eastAsia="zh-CN"/>
        </w:rPr>
        <w:t>七</w:t>
      </w:r>
      <w:r>
        <w:rPr>
          <w:rFonts w:hint="eastAsia" w:ascii="宋体" w:hAnsi="宋体" w:eastAsia="宋体" w:cs="宋体"/>
          <w:color w:val="auto"/>
          <w:szCs w:val="20"/>
          <w:highlight w:val="none"/>
        </w:rPr>
        <w:t xml:space="preserve">部分 </w:t>
      </w:r>
      <w:r>
        <w:rPr>
          <w:rFonts w:hint="eastAsia" w:ascii="宋体" w:hAnsi="宋体" w:eastAsia="宋体" w:cs="宋体"/>
          <w:color w:val="auto"/>
          <w:highlight w:val="none"/>
        </w:rPr>
        <w:t>实质性响应条款及无效标条款</w:t>
      </w:r>
      <w:r>
        <w:rPr>
          <w:color w:val="auto"/>
          <w:highlight w:val="none"/>
        </w:rPr>
        <w:tab/>
      </w:r>
      <w:r>
        <w:rPr>
          <w:color w:val="auto"/>
          <w:highlight w:val="none"/>
        </w:rPr>
        <w:fldChar w:fldCharType="begin"/>
      </w:r>
      <w:r>
        <w:rPr>
          <w:color w:val="auto"/>
          <w:highlight w:val="none"/>
        </w:rPr>
        <w:instrText xml:space="preserve"> PAGEREF _Toc21523 </w:instrText>
      </w:r>
      <w:r>
        <w:rPr>
          <w:color w:val="auto"/>
          <w:highlight w:val="none"/>
        </w:rPr>
        <w:fldChar w:fldCharType="separate"/>
      </w:r>
      <w:r>
        <w:rPr>
          <w:color w:val="auto"/>
          <w:highlight w:val="none"/>
        </w:rPr>
        <w:t>86</w:t>
      </w:r>
      <w:r>
        <w:rPr>
          <w:color w:val="auto"/>
          <w:highlight w:val="none"/>
        </w:rPr>
        <w:fldChar w:fldCharType="end"/>
      </w:r>
      <w:r>
        <w:rPr>
          <w:rFonts w:hint="eastAsia"/>
          <w:color w:val="auto"/>
          <w:highlight w:val="none"/>
        </w:rPr>
        <w:fldChar w:fldCharType="end"/>
      </w:r>
    </w:p>
    <w:p>
      <w:pPr>
        <w:pStyle w:val="3"/>
        <w:spacing w:line="480" w:lineRule="auto"/>
        <w:rPr>
          <w:rFonts w:hint="eastAsia"/>
          <w:color w:val="auto"/>
          <w:highlight w:val="none"/>
        </w:rPr>
      </w:pPr>
      <w:r>
        <w:rPr>
          <w:rFonts w:hint="eastAsia"/>
          <w:color w:val="auto"/>
          <w:highlight w:val="none"/>
        </w:rPr>
        <w:fldChar w:fldCharType="end"/>
      </w:r>
    </w:p>
    <w:p>
      <w:pPr>
        <w:spacing w:line="360" w:lineRule="auto"/>
        <w:rPr>
          <w:rFonts w:hint="eastAsia" w:ascii="宋体" w:hAnsi="宋体" w:eastAsia="宋体" w:cs="宋体"/>
          <w:color w:val="auto"/>
          <w:sz w:val="32"/>
          <w:szCs w:val="32"/>
          <w:highlight w:val="none"/>
        </w:rPr>
      </w:pPr>
    </w:p>
    <w:p>
      <w:pPr>
        <w:spacing w:line="360" w:lineRule="auto"/>
        <w:ind w:firstLine="549" w:firstLineChars="229"/>
        <w:rPr>
          <w:rFonts w:hint="eastAsia" w:ascii="宋体" w:hAnsi="宋体" w:eastAsia="宋体" w:cs="宋体"/>
          <w:color w:val="auto"/>
          <w:sz w:val="24"/>
          <w:highlight w:val="none"/>
        </w:rPr>
      </w:pPr>
      <w:bookmarkStart w:id="0" w:name="_Toc91899869"/>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p>
      <w:pPr>
        <w:spacing w:line="360" w:lineRule="auto"/>
        <w:ind w:firstLine="549" w:firstLineChars="229"/>
        <w:rPr>
          <w:rFonts w:hint="eastAsia" w:ascii="宋体" w:hAnsi="宋体" w:eastAsia="宋体" w:cs="宋体"/>
          <w:color w:val="auto"/>
          <w:sz w:val="24"/>
          <w:highlight w:val="none"/>
        </w:rPr>
      </w:pPr>
    </w:p>
    <w:bookmarkEnd w:id="0"/>
    <w:p>
      <w:pPr>
        <w:pStyle w:val="5"/>
        <w:keepNext w:val="0"/>
        <w:keepLines w:val="0"/>
        <w:tabs>
          <w:tab w:val="left" w:pos="840"/>
          <w:tab w:val="clear" w:pos="432"/>
        </w:tabs>
        <w:spacing w:afterLines="50" w:line="400" w:lineRule="exact"/>
        <w:jc w:val="center"/>
        <w:rPr>
          <w:rFonts w:hint="eastAsia" w:hAnsi="宋体" w:cs="宋体"/>
          <w:color w:val="auto"/>
          <w:sz w:val="36"/>
          <w:szCs w:val="36"/>
          <w:highlight w:val="none"/>
        </w:rPr>
        <w:sectPr>
          <w:footerReference r:id="rId8" w:type="first"/>
          <w:headerReference r:id="rId6" w:type="default"/>
          <w:footerReference r:id="rId7" w:type="default"/>
          <w:pgSz w:w="11906" w:h="16838"/>
          <w:pgMar w:top="1984" w:right="1418" w:bottom="1417" w:left="1418" w:header="680" w:footer="992" w:gutter="0"/>
          <w:pgNumType w:fmt="decimal" w:start="1"/>
          <w:cols w:space="720" w:num="1"/>
          <w:rtlGutter w:val="0"/>
          <w:docGrid w:linePitch="312" w:charSpace="0"/>
        </w:sectPr>
      </w:pPr>
      <w:bookmarkStart w:id="1" w:name="_Hlt74649545"/>
      <w:bookmarkEnd w:id="1"/>
      <w:bookmarkStart w:id="2" w:name="_Hlt74729822"/>
      <w:bookmarkEnd w:id="2"/>
      <w:bookmarkStart w:id="3" w:name="_Hlt74707423"/>
      <w:bookmarkEnd w:id="3"/>
      <w:bookmarkStart w:id="4" w:name="_Hlt74728647"/>
      <w:bookmarkEnd w:id="4"/>
      <w:bookmarkStart w:id="5" w:name="_Toc17744"/>
      <w:bookmarkStart w:id="6" w:name="_第一部分 竞争性磋商公告"/>
      <w:bookmarkStart w:id="7" w:name="第二部分"/>
      <w:bookmarkStart w:id="8" w:name="_Toc91899870"/>
      <w:bookmarkStart w:id="9" w:name="_Toc91899871"/>
    </w:p>
    <w:p>
      <w:pPr>
        <w:pStyle w:val="5"/>
        <w:keepNext w:val="0"/>
        <w:keepLines w:val="0"/>
        <w:numPr>
          <w:ilvl w:val="0"/>
          <w:numId w:val="1"/>
        </w:numPr>
        <w:tabs>
          <w:tab w:val="left" w:pos="840"/>
          <w:tab w:val="clear" w:pos="432"/>
        </w:tabs>
        <w:spacing w:afterLines="50" w:line="400" w:lineRule="exact"/>
        <w:jc w:val="center"/>
        <w:outlineLvl w:val="0"/>
        <w:rPr>
          <w:rFonts w:hint="eastAsia" w:hAnsi="宋体" w:cs="宋体"/>
          <w:color w:val="auto"/>
          <w:sz w:val="36"/>
          <w:szCs w:val="36"/>
          <w:highlight w:val="none"/>
        </w:rPr>
      </w:pPr>
      <w:bookmarkStart w:id="10" w:name="_Toc6502"/>
      <w:bookmarkStart w:id="11" w:name="_Toc24163"/>
      <w:r>
        <w:rPr>
          <w:rFonts w:hint="eastAsia" w:hAnsi="宋体" w:cs="宋体"/>
          <w:color w:val="auto"/>
          <w:sz w:val="36"/>
          <w:szCs w:val="36"/>
          <w:highlight w:val="none"/>
        </w:rPr>
        <w:t>竞争性磋商公告</w:t>
      </w:r>
      <w:bookmarkEnd w:id="5"/>
      <w:bookmarkEnd w:id="10"/>
      <w:bookmarkEnd w:id="11"/>
    </w:p>
    <w:p>
      <w:pPr>
        <w:pStyle w:val="5"/>
        <w:keepNext w:val="0"/>
        <w:keepLines w:val="0"/>
        <w:pageBreakBefore w:val="0"/>
        <w:widowControl w:val="0"/>
        <w:numPr>
          <w:ilvl w:val="0"/>
          <w:numId w:val="0"/>
        </w:numPr>
        <w:tabs>
          <w:tab w:val="left" w:pos="840"/>
          <w:tab w:val="clear" w:pos="432"/>
        </w:tabs>
        <w:kinsoku/>
        <w:wordWrap/>
        <w:overflowPunct/>
        <w:topLinePunct w:val="0"/>
        <w:autoSpaceDE/>
        <w:autoSpaceDN/>
        <w:bidi w:val="0"/>
        <w:adjustRightInd w:val="0"/>
        <w:snapToGrid/>
        <w:spacing w:before="0" w:after="0" w:line="240" w:lineRule="auto"/>
        <w:ind w:leftChars="0"/>
        <w:jc w:val="center"/>
        <w:textAlignment w:val="auto"/>
        <w:outlineLvl w:val="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发布日期：2024年</w:t>
      </w:r>
      <w:r>
        <w:rPr>
          <w:rFonts w:hint="eastAsia" w:ascii="宋体" w:hAnsi="宋体" w:cs="宋体"/>
          <w:b w:val="0"/>
          <w:bCs w:val="0"/>
          <w:color w:val="auto"/>
          <w:kern w:val="2"/>
          <w:sz w:val="24"/>
          <w:szCs w:val="24"/>
          <w:highlight w:val="none"/>
          <w:lang w:val="en-US" w:eastAsia="zh-CN" w:bidi="ar-SA"/>
        </w:rPr>
        <w:t>7</w:t>
      </w:r>
      <w:r>
        <w:rPr>
          <w:rFonts w:hint="eastAsia" w:ascii="宋体" w:hAnsi="宋体" w:eastAsia="宋体" w:cs="宋体"/>
          <w:b w:val="0"/>
          <w:bCs w:val="0"/>
          <w:color w:val="auto"/>
          <w:kern w:val="2"/>
          <w:sz w:val="24"/>
          <w:szCs w:val="24"/>
          <w:highlight w:val="none"/>
          <w:lang w:val="en-US" w:eastAsia="zh-CN" w:bidi="ar-SA"/>
        </w:rPr>
        <w:t>月</w:t>
      </w:r>
      <w:r>
        <w:rPr>
          <w:rFonts w:hint="eastAsia" w:ascii="宋体" w:hAnsi="宋体" w:cs="宋体"/>
          <w:b w:val="0"/>
          <w:bCs w:val="0"/>
          <w:color w:val="auto"/>
          <w:kern w:val="2"/>
          <w:sz w:val="24"/>
          <w:szCs w:val="24"/>
          <w:highlight w:val="none"/>
          <w:lang w:val="en-US" w:eastAsia="zh-CN" w:bidi="ar-SA"/>
        </w:rPr>
        <w:t>16</w:t>
      </w:r>
      <w:r>
        <w:rPr>
          <w:rFonts w:hint="eastAsia" w:ascii="宋体" w:hAnsi="宋体" w:eastAsia="宋体" w:cs="宋体"/>
          <w:b w:val="0"/>
          <w:bCs w:val="0"/>
          <w:color w:val="auto"/>
          <w:kern w:val="2"/>
          <w:sz w:val="24"/>
          <w:szCs w:val="24"/>
          <w:highlight w:val="none"/>
          <w:lang w:val="en-US" w:eastAsia="zh-CN" w:bidi="ar-SA"/>
        </w:rPr>
        <w:t>日</w:t>
      </w:r>
    </w:p>
    <w:bookmarkEnd w:id="6"/>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autoSpaceDE/>
        <w:autoSpaceDN/>
        <w:bidi w:val="0"/>
        <w:adjustRightInd w:val="0"/>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pPr>
        <w:keepNext w:val="0"/>
        <w:keepLines w:val="0"/>
        <w:pageBreakBefore w:val="0"/>
        <w:pBdr>
          <w:top w:val="single" w:color="auto" w:sz="4" w:space="1"/>
          <w:left w:val="single" w:color="auto" w:sz="4" w:space="4"/>
          <w:bottom w:val="single" w:color="auto" w:sz="4" w:space="1"/>
          <w:right w:val="single" w:color="auto" w:sz="4" w:space="4"/>
        </w:pBdr>
        <w:kinsoku/>
        <w:overflowPunct/>
        <w:topLinePunct w:val="0"/>
        <w:autoSpaceDE/>
        <w:autoSpaceDN/>
        <w:bidi w:val="0"/>
        <w:adjustRightInd w:val="0"/>
        <w:spacing w:line="40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cs="仿宋_GB2312"/>
          <w:sz w:val="21"/>
          <w:szCs w:val="21"/>
          <w:u w:val="single"/>
          <w:lang w:val="en-US" w:eastAsia="zh-CN"/>
        </w:rPr>
        <w:t>瑞安市安阳街道望江菜市场周边环境整治提升工程</w:t>
      </w:r>
      <w:r>
        <w:rPr>
          <w:rFonts w:hint="eastAsia" w:ascii="宋体" w:hAnsi="宋体" w:eastAsia="宋体" w:cs="宋体"/>
          <w:color w:val="auto"/>
          <w:sz w:val="21"/>
          <w:szCs w:val="21"/>
          <w:highlight w:val="none"/>
        </w:rPr>
        <w:t>采购项目的潜在</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应在政采云平台线上获取获取（下载）采购文件</w:t>
      </w:r>
      <w:r>
        <w:rPr>
          <w:rFonts w:hint="eastAsia" w:ascii="宋体" w:hAnsi="宋体" w:cs="宋体"/>
          <w:color w:val="auto"/>
          <w:sz w:val="21"/>
          <w:szCs w:val="21"/>
          <w:highlight w:val="none"/>
          <w:lang w:eastAsia="zh-CN"/>
        </w:rPr>
        <w:t>，</w:t>
      </w:r>
      <w:r>
        <w:rPr>
          <w:rFonts w:hint="eastAsia" w:ascii="宋体" w:hAnsi="宋体" w:eastAsia="宋体" w:cs="宋体"/>
          <w:bCs/>
          <w:color w:val="auto"/>
          <w:sz w:val="21"/>
          <w:szCs w:val="21"/>
          <w:highlight w:val="none"/>
        </w:rPr>
        <w:t>并于2024年</w:t>
      </w:r>
      <w:r>
        <w:rPr>
          <w:rFonts w:hint="eastAsia" w:ascii="宋体" w:hAnsi="宋体" w:cs="宋体"/>
          <w:bCs/>
          <w:color w:val="auto"/>
          <w:sz w:val="21"/>
          <w:szCs w:val="21"/>
          <w:highlight w:val="none"/>
          <w:lang w:val="en-US" w:eastAsia="zh-CN"/>
        </w:rPr>
        <w:t>7</w:t>
      </w:r>
      <w:r>
        <w:rPr>
          <w:rFonts w:hint="eastAsia" w:ascii="宋体" w:hAnsi="宋体" w:eastAsia="宋体" w:cs="宋体"/>
          <w:bCs/>
          <w:color w:val="auto"/>
          <w:sz w:val="21"/>
          <w:szCs w:val="21"/>
          <w:highlight w:val="none"/>
        </w:rPr>
        <w:t>月</w:t>
      </w:r>
      <w:r>
        <w:rPr>
          <w:rFonts w:hint="eastAsia" w:ascii="宋体" w:hAnsi="宋体" w:cs="宋体"/>
          <w:bCs/>
          <w:color w:val="auto"/>
          <w:sz w:val="21"/>
          <w:szCs w:val="21"/>
          <w:highlight w:val="none"/>
          <w:lang w:val="en-US" w:eastAsia="zh-CN"/>
        </w:rPr>
        <w:t>30</w:t>
      </w:r>
      <w:r>
        <w:rPr>
          <w:rFonts w:hint="eastAsia" w:ascii="宋体" w:hAnsi="宋体" w:eastAsia="宋体" w:cs="宋体"/>
          <w:bCs/>
          <w:color w:val="auto"/>
          <w:sz w:val="21"/>
          <w:szCs w:val="21"/>
          <w:highlight w:val="none"/>
        </w:rPr>
        <w:t xml:space="preserve">日 </w:t>
      </w:r>
      <w:r>
        <w:rPr>
          <w:rFonts w:hint="eastAsia" w:ascii="宋体" w:hAnsi="宋体" w:eastAsia="宋体" w:cs="宋体"/>
          <w:bCs/>
          <w:color w:val="auto"/>
          <w:sz w:val="21"/>
          <w:szCs w:val="21"/>
          <w:highlight w:val="none"/>
          <w:lang w:eastAsia="zh-CN"/>
        </w:rPr>
        <w:t>09:00</w:t>
      </w:r>
      <w:r>
        <w:rPr>
          <w:rFonts w:hint="eastAsia" w:ascii="宋体" w:hAnsi="宋体" w:eastAsia="宋体" w:cs="宋体"/>
          <w:bCs/>
          <w:color w:val="auto"/>
          <w:sz w:val="21"/>
          <w:szCs w:val="21"/>
          <w:highlight w:val="none"/>
        </w:rPr>
        <w:t>（北京时间）前提交（上传）响应文件。</w:t>
      </w:r>
    </w:p>
    <w:p>
      <w:pPr>
        <w:keepNext w:val="0"/>
        <w:keepLines w:val="0"/>
        <w:pageBreakBefore w:val="0"/>
        <w:kinsoku/>
        <w:wordWrap/>
        <w:overflowPunct/>
        <w:topLinePunct w:val="0"/>
        <w:autoSpaceDE/>
        <w:autoSpaceDN/>
        <w:bidi w:val="0"/>
        <w:adjustRightInd w:val="0"/>
        <w:spacing w:line="400" w:lineRule="exact"/>
        <w:ind w:left="0" w:lef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一、项目基本情况                                            </w:t>
      </w:r>
    </w:p>
    <w:p>
      <w:pPr>
        <w:keepNext w:val="0"/>
        <w:keepLines w:val="0"/>
        <w:pageBreakBefore w:val="0"/>
        <w:kinsoku/>
        <w:wordWrap/>
        <w:overflowPunct/>
        <w:topLinePunct w:val="0"/>
        <w:autoSpaceDE/>
        <w:autoSpaceDN/>
        <w:bidi w:val="0"/>
        <w:adjustRightInd w:val="0"/>
        <w:spacing w:line="400" w:lineRule="exact"/>
        <w:ind w:left="0" w:leftChars="0" w:firstLine="422"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项目编号：</w:t>
      </w:r>
      <w:r>
        <w:rPr>
          <w:rFonts w:hint="eastAsia" w:ascii="宋体" w:hAnsi="宋体" w:cs="宋体"/>
          <w:color w:val="auto"/>
          <w:sz w:val="21"/>
          <w:szCs w:val="21"/>
          <w:highlight w:val="none"/>
          <w:lang w:eastAsia="zh-CN"/>
        </w:rPr>
        <w:t>KBCG20240713</w:t>
      </w:r>
    </w:p>
    <w:p>
      <w:pPr>
        <w:keepNext w:val="0"/>
        <w:keepLines w:val="0"/>
        <w:pageBreakBefore w:val="0"/>
        <w:kinsoku/>
        <w:wordWrap/>
        <w:overflowPunct/>
        <w:topLinePunct w:val="0"/>
        <w:autoSpaceDE/>
        <w:autoSpaceDN/>
        <w:bidi w:val="0"/>
        <w:adjustRightInd w:val="0"/>
        <w:spacing w:line="400" w:lineRule="exact"/>
        <w:ind w:left="0" w:leftChars="0" w:firstLine="422"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项目名称：</w:t>
      </w:r>
      <w:r>
        <w:rPr>
          <w:rFonts w:hint="eastAsia" w:ascii="宋体" w:hAnsi="宋体" w:cs="仿宋_GB2312"/>
          <w:sz w:val="24"/>
          <w:lang w:val="en-US" w:eastAsia="zh-CN"/>
        </w:rPr>
        <w:t>瑞安市安阳街道望江菜市场周边环境整治提升工程</w:t>
      </w:r>
    </w:p>
    <w:p>
      <w:pPr>
        <w:keepNext w:val="0"/>
        <w:keepLines w:val="0"/>
        <w:pageBreakBefore w:val="0"/>
        <w:kinsoku/>
        <w:wordWrap/>
        <w:overflowPunct/>
        <w:topLinePunct w:val="0"/>
        <w:autoSpaceDE/>
        <w:autoSpaceDN/>
        <w:bidi w:val="0"/>
        <w:adjustRightInd w:val="0"/>
        <w:spacing w:line="400" w:lineRule="exact"/>
        <w:ind w:left="0" w:leftChars="0" w:firstLine="422"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预算金额</w:t>
      </w:r>
      <w:r>
        <w:rPr>
          <w:rFonts w:hint="eastAsia" w:ascii="宋体" w:hAnsi="宋体" w:eastAsia="宋体" w:cs="宋体"/>
          <w:b/>
          <w:color w:val="000000"/>
          <w:sz w:val="21"/>
          <w:szCs w:val="21"/>
          <w:highlight w:val="none"/>
        </w:rPr>
        <w:t>（元）：</w:t>
      </w:r>
      <w:r>
        <w:rPr>
          <w:rFonts w:hint="eastAsia" w:ascii="宋体" w:hAnsi="宋体" w:cs="仿宋_GB2312"/>
          <w:sz w:val="24"/>
          <w:lang w:val="en-US" w:eastAsia="zh-CN"/>
        </w:rPr>
        <w:t>3131047</w:t>
      </w:r>
    </w:p>
    <w:p>
      <w:pPr>
        <w:keepNext w:val="0"/>
        <w:keepLines w:val="0"/>
        <w:pageBreakBefore w:val="0"/>
        <w:kinsoku/>
        <w:wordWrap/>
        <w:overflowPunct/>
        <w:topLinePunct w:val="0"/>
        <w:autoSpaceDE/>
        <w:autoSpaceDN/>
        <w:bidi w:val="0"/>
        <w:adjustRightInd w:val="0"/>
        <w:spacing w:line="400" w:lineRule="exact"/>
        <w:ind w:left="0" w:leftChars="0" w:firstLine="422"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rPr>
        <w:t>最高限价（元）：</w:t>
      </w:r>
      <w:r>
        <w:rPr>
          <w:rFonts w:hint="eastAsia" w:ascii="宋体" w:hAnsi="宋体" w:cs="仿宋_GB2312"/>
          <w:sz w:val="24"/>
          <w:lang w:val="en-US" w:eastAsia="zh-CN"/>
        </w:rPr>
        <w:t>3131047</w:t>
      </w:r>
    </w:p>
    <w:p>
      <w:pPr>
        <w:pStyle w:val="10"/>
        <w:keepNext w:val="0"/>
        <w:keepLines w:val="0"/>
        <w:pageBreakBefore w:val="0"/>
        <w:kinsoku/>
        <w:wordWrap/>
        <w:overflowPunct/>
        <w:topLinePunct w:val="0"/>
        <w:autoSpaceDE/>
        <w:autoSpaceDN/>
        <w:bidi w:val="0"/>
        <w:adjustRightInd w:val="0"/>
        <w:spacing w:line="400" w:lineRule="exact"/>
        <w:ind w:left="0" w:leftChars="0" w:firstLine="422" w:firstLineChars="200"/>
        <w:jc w:val="left"/>
        <w:textAlignment w:val="auto"/>
        <w:rPr>
          <w:rFonts w:hint="eastAsia" w:ascii="宋体" w:hAnsi="宋体" w:eastAsia="宋体" w:cs="宋体"/>
          <w:bCs/>
          <w:color w:val="auto"/>
          <w:kern w:val="2"/>
          <w:sz w:val="21"/>
          <w:szCs w:val="21"/>
          <w:highlight w:val="none"/>
        </w:rPr>
      </w:pPr>
      <w:r>
        <w:rPr>
          <w:rFonts w:hint="eastAsia" w:ascii="宋体" w:hAnsi="宋体" w:eastAsia="宋体" w:cs="宋体"/>
          <w:b/>
          <w:color w:val="auto"/>
          <w:sz w:val="21"/>
          <w:szCs w:val="21"/>
          <w:highlight w:val="none"/>
        </w:rPr>
        <w:t>采购需求：</w:t>
      </w:r>
    </w:p>
    <w:p>
      <w:pPr>
        <w:pStyle w:val="29"/>
        <w:keepNext w:val="0"/>
        <w:keepLines w:val="0"/>
        <w:pageBreakBefore w:val="0"/>
        <w:kinsoku/>
        <w:wordWrap/>
        <w:overflowPunct/>
        <w:topLinePunct w:val="0"/>
        <w:autoSpaceDE/>
        <w:autoSpaceDN/>
        <w:bidi w:val="0"/>
        <w:adjustRightInd w:val="0"/>
        <w:spacing w:before="0" w:line="400" w:lineRule="exact"/>
        <w:ind w:left="0" w:leftChars="0" w:firstLine="422" w:firstLineChars="200"/>
        <w:jc w:val="left"/>
        <w:textAlignment w:val="auto"/>
        <w:outlineLvl w:val="2"/>
        <w:rPr>
          <w:rFonts w:hint="eastAsia" w:ascii="宋体" w:hAnsi="宋体" w:eastAsia="宋体" w:cs="宋体"/>
          <w:b/>
          <w:color w:val="auto"/>
          <w:sz w:val="21"/>
          <w:szCs w:val="21"/>
          <w:highlight w:val="none"/>
          <w:lang w:eastAsia="zh-CN"/>
        </w:rPr>
      </w:pPr>
    </w:p>
    <w:p>
      <w:pPr>
        <w:pStyle w:val="29"/>
        <w:keepNext w:val="0"/>
        <w:keepLines w:val="0"/>
        <w:pageBreakBefore w:val="0"/>
        <w:kinsoku/>
        <w:wordWrap/>
        <w:overflowPunct/>
        <w:topLinePunct w:val="0"/>
        <w:autoSpaceDE/>
        <w:autoSpaceDN/>
        <w:bidi w:val="0"/>
        <w:adjustRightInd w:val="0"/>
        <w:spacing w:before="0" w:line="400" w:lineRule="exact"/>
        <w:ind w:left="0" w:leftChars="0" w:firstLine="422" w:firstLineChars="200"/>
        <w:jc w:val="left"/>
        <w:textAlignment w:val="auto"/>
        <w:outlineLvl w:val="2"/>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数量：</w:t>
      </w:r>
      <w:r>
        <w:rPr>
          <w:rFonts w:hint="eastAsia" w:ascii="宋体" w:hAnsi="宋体" w:cs="宋体"/>
          <w:color w:val="auto"/>
          <w:sz w:val="21"/>
          <w:szCs w:val="21"/>
          <w:highlight w:val="none"/>
          <w:lang w:val="en-US" w:eastAsia="zh-CN"/>
        </w:rPr>
        <w:t>1</w:t>
      </w:r>
    </w:p>
    <w:p>
      <w:pPr>
        <w:pStyle w:val="29"/>
        <w:keepNext w:val="0"/>
        <w:keepLines w:val="0"/>
        <w:pageBreakBefore w:val="0"/>
        <w:kinsoku/>
        <w:wordWrap/>
        <w:overflowPunct/>
        <w:topLinePunct w:val="0"/>
        <w:autoSpaceDE/>
        <w:autoSpaceDN/>
        <w:bidi w:val="0"/>
        <w:adjustRightInd w:val="0"/>
        <w:spacing w:before="0" w:line="400" w:lineRule="exact"/>
        <w:ind w:left="0" w:leftChars="0" w:firstLine="422" w:firstLineChars="200"/>
        <w:jc w:val="left"/>
        <w:textAlignment w:val="auto"/>
        <w:outlineLvl w:val="2"/>
        <w:rPr>
          <w:rFonts w:hint="eastAsia" w:ascii="宋体" w:hAnsi="宋体" w:cs="宋体"/>
          <w:color w:val="auto"/>
          <w:sz w:val="21"/>
          <w:szCs w:val="21"/>
          <w:highlight w:val="none"/>
          <w:lang w:eastAsia="zh-CN" w:bidi="ar"/>
        </w:rPr>
      </w:pPr>
      <w:r>
        <w:rPr>
          <w:rFonts w:hint="eastAsia" w:ascii="宋体" w:hAnsi="宋体" w:eastAsia="宋体" w:cs="宋体"/>
          <w:b/>
          <w:color w:val="auto"/>
          <w:sz w:val="21"/>
          <w:szCs w:val="21"/>
          <w:highlight w:val="none"/>
          <w:lang w:eastAsia="zh-CN"/>
        </w:rPr>
        <w:t>预算金额（元）：</w:t>
      </w:r>
      <w:r>
        <w:rPr>
          <w:rFonts w:hint="eastAsia" w:ascii="宋体" w:hAnsi="宋体" w:cs="仿宋_GB2312"/>
          <w:sz w:val="24"/>
          <w:lang w:val="en-US" w:eastAsia="zh-CN"/>
        </w:rPr>
        <w:t>3131047</w:t>
      </w:r>
    </w:p>
    <w:p>
      <w:pPr>
        <w:pStyle w:val="29"/>
        <w:keepNext w:val="0"/>
        <w:keepLines w:val="0"/>
        <w:pageBreakBefore w:val="0"/>
        <w:kinsoku/>
        <w:wordWrap/>
        <w:overflowPunct/>
        <w:topLinePunct w:val="0"/>
        <w:autoSpaceDE/>
        <w:autoSpaceDN/>
        <w:bidi w:val="0"/>
        <w:adjustRightInd w:val="0"/>
        <w:spacing w:before="0" w:line="400" w:lineRule="exact"/>
        <w:ind w:left="0" w:leftChars="0" w:firstLine="420" w:firstLineChars="200"/>
        <w:jc w:val="left"/>
        <w:textAlignment w:val="auto"/>
        <w:outlineLvl w:val="2"/>
        <w:rPr>
          <w:rFonts w:hint="eastAsia" w:ascii="宋体" w:hAnsi="宋体" w:cs="宋体"/>
          <w:color w:val="auto"/>
          <w:sz w:val="21"/>
          <w:szCs w:val="21"/>
          <w:highlight w:val="none"/>
          <w:lang w:eastAsia="zh-CN" w:bidi="ar"/>
        </w:rPr>
      </w:pPr>
      <w:r>
        <w:rPr>
          <w:rFonts w:hint="eastAsia" w:ascii="宋体" w:hAnsi="宋体" w:eastAsia="宋体" w:cs="宋体"/>
          <w:color w:val="auto"/>
          <w:sz w:val="21"/>
          <w:szCs w:val="21"/>
        </w:rPr>
        <w:t xml:space="preserve">单位：项 </w:t>
      </w:r>
    </w:p>
    <w:p>
      <w:pPr>
        <w:pStyle w:val="29"/>
        <w:keepNext w:val="0"/>
        <w:keepLines w:val="0"/>
        <w:pageBreakBefore w:val="0"/>
        <w:kinsoku/>
        <w:wordWrap/>
        <w:overflowPunct/>
        <w:topLinePunct w:val="0"/>
        <w:autoSpaceDE/>
        <w:autoSpaceDN/>
        <w:bidi w:val="0"/>
        <w:adjustRightInd w:val="0"/>
        <w:spacing w:before="0" w:line="400" w:lineRule="exact"/>
        <w:ind w:left="0" w:leftChars="0" w:firstLine="422" w:firstLineChars="200"/>
        <w:jc w:val="left"/>
        <w:textAlignment w:val="auto"/>
        <w:outlineLvl w:val="2"/>
        <w:rPr>
          <w:rFonts w:hint="eastAsia" w:ascii="宋体" w:hAnsi="宋体" w:eastAsia="宋体" w:cs="宋体"/>
          <w:bCs/>
          <w:i/>
          <w:iCs/>
          <w:color w:val="auto"/>
          <w:kern w:val="2"/>
          <w:sz w:val="21"/>
          <w:szCs w:val="21"/>
          <w:highlight w:val="none"/>
          <w:lang w:eastAsia="zh-CN"/>
        </w:rPr>
      </w:pPr>
      <w:r>
        <w:rPr>
          <w:rFonts w:hint="eastAsia" w:ascii="宋体" w:hAnsi="宋体" w:eastAsia="宋体" w:cs="宋体"/>
          <w:b/>
          <w:color w:val="auto"/>
          <w:sz w:val="21"/>
          <w:szCs w:val="21"/>
          <w:highlight w:val="none"/>
        </w:rPr>
        <w:t>简要规格描述：</w:t>
      </w:r>
      <w:r>
        <w:rPr>
          <w:rFonts w:hint="eastAsia" w:ascii="宋体" w:hAnsi="宋体" w:cs="仿宋_GB2312"/>
          <w:sz w:val="21"/>
          <w:szCs w:val="21"/>
          <w:lang w:val="en-US" w:eastAsia="zh-CN"/>
        </w:rPr>
        <w:t>瑞安市安阳街道望江菜市场周边环境整治提升工程</w:t>
      </w:r>
      <w:r>
        <w:rPr>
          <w:rFonts w:hint="eastAsia" w:ascii="宋体" w:hAnsi="宋体" w:eastAsia="宋体" w:cs="宋体"/>
          <w:color w:val="auto"/>
          <w:sz w:val="21"/>
          <w:szCs w:val="21"/>
        </w:rPr>
        <w:t>（详见磋商文件相关部分、工程量清单及施工图）；质量：合格。</w:t>
      </w:r>
    </w:p>
    <w:p>
      <w:pPr>
        <w:pStyle w:val="29"/>
        <w:keepNext w:val="0"/>
        <w:keepLines w:val="0"/>
        <w:pageBreakBefore w:val="0"/>
        <w:kinsoku/>
        <w:wordWrap/>
        <w:overflowPunct/>
        <w:topLinePunct w:val="0"/>
        <w:autoSpaceDE/>
        <w:autoSpaceDN/>
        <w:bidi w:val="0"/>
        <w:adjustRightInd w:val="0"/>
        <w:spacing w:before="0" w:line="400" w:lineRule="exact"/>
        <w:ind w:left="0" w:leftChars="0" w:firstLine="420" w:firstLineChars="200"/>
        <w:jc w:val="left"/>
        <w:textAlignment w:val="auto"/>
        <w:outlineLvl w:val="2"/>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备注：</w:t>
      </w:r>
    </w:p>
    <w:p>
      <w:pPr>
        <w:pStyle w:val="29"/>
        <w:keepNext w:val="0"/>
        <w:keepLines w:val="0"/>
        <w:pageBreakBefore w:val="0"/>
        <w:kinsoku/>
        <w:wordWrap/>
        <w:overflowPunct/>
        <w:topLinePunct w:val="0"/>
        <w:autoSpaceDE/>
        <w:autoSpaceDN/>
        <w:bidi w:val="0"/>
        <w:adjustRightInd w:val="0"/>
        <w:spacing w:before="0" w:line="400" w:lineRule="exact"/>
        <w:ind w:left="0" w:leftChars="0" w:firstLine="422" w:firstLineChars="200"/>
        <w:jc w:val="left"/>
        <w:textAlignment w:val="auto"/>
        <w:outlineLvl w:val="2"/>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合同履</w:t>
      </w:r>
      <w:r>
        <w:rPr>
          <w:rFonts w:hint="eastAsia" w:ascii="宋体" w:hAnsi="宋体" w:eastAsia="宋体" w:cs="宋体"/>
          <w:b/>
          <w:color w:val="000000"/>
          <w:sz w:val="21"/>
          <w:szCs w:val="21"/>
          <w:highlight w:val="none"/>
          <w:lang w:eastAsia="zh-CN"/>
        </w:rPr>
        <w:t>约</w:t>
      </w:r>
      <w:r>
        <w:rPr>
          <w:rFonts w:hint="eastAsia" w:ascii="宋体" w:hAnsi="宋体" w:eastAsia="宋体" w:cs="宋体"/>
          <w:b/>
          <w:color w:val="000000"/>
          <w:sz w:val="21"/>
          <w:szCs w:val="21"/>
          <w:highlight w:val="none"/>
        </w:rPr>
        <w:t>期限：</w:t>
      </w:r>
      <w:r>
        <w:rPr>
          <w:rFonts w:hint="eastAsia" w:ascii="宋体" w:hAnsi="宋体" w:eastAsia="宋体" w:cs="宋体"/>
          <w:color w:val="000000"/>
          <w:sz w:val="21"/>
          <w:szCs w:val="21"/>
        </w:rPr>
        <w:t>标项 1，</w:t>
      </w:r>
      <w:r>
        <w:rPr>
          <w:rFonts w:hint="eastAsia" w:ascii="宋体" w:hAnsi="宋体" w:cs="宋体"/>
          <w:color w:val="000000"/>
          <w:sz w:val="21"/>
          <w:szCs w:val="21"/>
          <w:highlight w:val="none"/>
          <w:lang w:eastAsia="zh-CN" w:bidi="ar"/>
        </w:rPr>
        <w:t>自合同签订之日起</w:t>
      </w:r>
      <w:r>
        <w:rPr>
          <w:rFonts w:hint="eastAsia" w:ascii="宋体" w:hAnsi="宋体" w:cs="宋体"/>
          <w:color w:val="000000"/>
          <w:sz w:val="21"/>
          <w:szCs w:val="21"/>
          <w:highlight w:val="none"/>
          <w:lang w:val="en-US" w:eastAsia="zh-CN" w:bidi="ar"/>
        </w:rPr>
        <w:t>150</w:t>
      </w:r>
      <w:r>
        <w:rPr>
          <w:rFonts w:hint="eastAsia" w:ascii="宋体" w:hAnsi="宋体" w:cs="宋体"/>
          <w:color w:val="000000"/>
          <w:sz w:val="21"/>
          <w:szCs w:val="21"/>
          <w:highlight w:val="none"/>
          <w:lang w:eastAsia="zh-CN" w:bidi="ar"/>
        </w:rPr>
        <w:t>日历天</w:t>
      </w:r>
      <w:r>
        <w:rPr>
          <w:rFonts w:hint="eastAsia" w:ascii="宋体" w:hAnsi="宋体" w:eastAsia="宋体" w:cs="宋体"/>
          <w:color w:val="000000"/>
          <w:sz w:val="21"/>
          <w:szCs w:val="21"/>
          <w:highlight w:val="none"/>
          <w:lang w:bidi="ar"/>
        </w:rPr>
        <w:t>。</w:t>
      </w:r>
    </w:p>
    <w:p>
      <w:pPr>
        <w:pStyle w:val="29"/>
        <w:keepNext w:val="0"/>
        <w:keepLines w:val="0"/>
        <w:pageBreakBefore w:val="0"/>
        <w:kinsoku/>
        <w:wordWrap/>
        <w:overflowPunct/>
        <w:topLinePunct w:val="0"/>
        <w:autoSpaceDE/>
        <w:autoSpaceDN/>
        <w:bidi w:val="0"/>
        <w:adjustRightInd w:val="0"/>
        <w:spacing w:before="0" w:line="400" w:lineRule="exact"/>
        <w:ind w:left="0" w:leftChars="0" w:firstLine="422" w:firstLineChars="200"/>
        <w:jc w:val="left"/>
        <w:textAlignment w:val="auto"/>
        <w:outlineLvl w:val="2"/>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本项目（ 否 ）接受联合体投标。</w:t>
      </w:r>
    </w:p>
    <w:p>
      <w:pPr>
        <w:keepNext w:val="0"/>
        <w:keepLines w:val="0"/>
        <w:pageBreakBefore w:val="0"/>
        <w:kinsoku/>
        <w:overflowPunct/>
        <w:topLinePunct w:val="0"/>
        <w:autoSpaceDE/>
        <w:autoSpaceDN/>
        <w:bidi w:val="0"/>
        <w:adjustRightInd w:val="0"/>
        <w:spacing w:line="40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二、申请人的资格要求：</w:t>
      </w:r>
    </w:p>
    <w:p>
      <w:pPr>
        <w:keepNext w:val="0"/>
        <w:keepLines w:val="0"/>
        <w:pageBreakBefore w:val="0"/>
        <w:widowControl w:val="0"/>
        <w:kinsoku/>
        <w:wordWrap/>
        <w:overflowPunct/>
        <w:topLinePunct w:val="0"/>
        <w:autoSpaceDE/>
        <w:autoSpaceDN/>
        <w:bidi w:val="0"/>
        <w:adjustRightInd w:val="0"/>
        <w:snapToGrid/>
        <w:spacing w:line="400" w:lineRule="exact"/>
        <w:ind w:left="0" w:leftChars="0" w:firstLine="420" w:firstLineChars="200"/>
        <w:textAlignment w:val="auto"/>
        <w:rPr>
          <w:rFonts w:hint="eastAsia" w:ascii="宋体" w:hAnsi="宋体" w:eastAsia="宋体" w:cs="宋体"/>
          <w:snapToGrid w:val="0"/>
          <w:color w:val="auto"/>
          <w:kern w:val="28"/>
          <w:sz w:val="21"/>
          <w:szCs w:val="21"/>
          <w:highlight w:val="none"/>
          <w:lang w:eastAsia="zh-CN"/>
        </w:rPr>
      </w:pPr>
      <w:r>
        <w:rPr>
          <w:rFonts w:hint="eastAsia" w:ascii="宋体" w:hAnsi="宋体" w:eastAsia="宋体" w:cs="宋体"/>
          <w:snapToGrid w:val="0"/>
          <w:color w:val="auto"/>
          <w:kern w:val="28"/>
          <w:sz w:val="21"/>
          <w:szCs w:val="21"/>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r>
        <w:rPr>
          <w:rFonts w:hint="eastAsia" w:ascii="宋体" w:hAnsi="宋体" w:eastAsia="宋体" w:cs="宋体"/>
          <w:snapToGrid w:val="0"/>
          <w:color w:val="auto"/>
          <w:kern w:val="28"/>
          <w:sz w:val="21"/>
          <w:szCs w:val="21"/>
          <w:highlight w:val="none"/>
          <w:lang w:eastAsia="zh-CN"/>
        </w:rPr>
        <w:t>。</w:t>
      </w:r>
    </w:p>
    <w:p>
      <w:pPr>
        <w:keepNext w:val="0"/>
        <w:keepLines w:val="0"/>
        <w:pageBreakBefore w:val="0"/>
        <w:kinsoku/>
        <w:overflowPunct/>
        <w:topLinePunct w:val="0"/>
        <w:autoSpaceDE/>
        <w:autoSpaceDN/>
        <w:bidi w:val="0"/>
        <w:adjustRightInd w:val="0"/>
        <w:spacing w:line="400" w:lineRule="exact"/>
        <w:ind w:firstLine="420" w:firstLineChars="200"/>
        <w:textAlignment w:val="auto"/>
        <w:rPr>
          <w:rFonts w:hint="eastAsia" w:ascii="宋体" w:hAnsi="宋体" w:eastAsia="宋体" w:cs="宋体"/>
          <w:b w:val="0"/>
          <w:bCs w:val="0"/>
          <w:snapToGrid w:val="0"/>
          <w:color w:val="auto"/>
          <w:kern w:val="28"/>
          <w:sz w:val="21"/>
          <w:szCs w:val="21"/>
          <w:highlight w:val="none"/>
          <w:lang w:val="en-US" w:eastAsia="zh-CN"/>
        </w:rPr>
      </w:pPr>
      <w:r>
        <w:rPr>
          <w:rFonts w:hint="eastAsia" w:ascii="宋体" w:hAnsi="宋体" w:eastAsia="宋体" w:cs="宋体"/>
          <w:b w:val="0"/>
          <w:bCs w:val="0"/>
          <w:snapToGrid w:val="0"/>
          <w:color w:val="auto"/>
          <w:kern w:val="28"/>
          <w:sz w:val="21"/>
          <w:szCs w:val="21"/>
          <w:highlight w:val="none"/>
          <w:lang w:val="en-US" w:eastAsia="zh-CN"/>
        </w:rPr>
        <w:t>2.</w:t>
      </w:r>
      <w:r>
        <w:rPr>
          <w:rFonts w:hint="eastAsia" w:ascii="宋体" w:hAnsi="宋体" w:eastAsia="宋体" w:cs="宋体"/>
          <w:b w:val="0"/>
          <w:bCs w:val="0"/>
          <w:snapToGrid w:val="0"/>
          <w:color w:val="auto"/>
          <w:kern w:val="28"/>
          <w:sz w:val="21"/>
          <w:szCs w:val="21"/>
          <w:highlight w:val="none"/>
        </w:rPr>
        <w:t>落实政府采购政策需满足的资格要求：</w:t>
      </w:r>
      <w:r>
        <w:rPr>
          <w:rFonts w:hint="eastAsia" w:ascii="宋体" w:hAnsi="宋体" w:eastAsia="宋体" w:cs="宋体"/>
          <w:b w:val="0"/>
          <w:bCs w:val="0"/>
          <w:snapToGrid w:val="0"/>
          <w:color w:val="auto"/>
          <w:kern w:val="28"/>
          <w:sz w:val="21"/>
          <w:szCs w:val="21"/>
          <w:highlight w:val="none"/>
          <w:lang w:val="en-US"/>
        </w:rPr>
        <w:t>全部由符合政策要求的中小企业承接，提供中小企业声明函；</w:t>
      </w:r>
      <w:r>
        <w:rPr>
          <w:rFonts w:hint="eastAsia" w:ascii="宋体" w:hAnsi="宋体" w:eastAsia="宋体" w:cs="宋体"/>
          <w:snapToGrid w:val="0"/>
          <w:color w:val="auto"/>
          <w:kern w:val="28"/>
          <w:sz w:val="21"/>
          <w:szCs w:val="21"/>
          <w:highlight w:val="none"/>
        </w:rPr>
        <w:t>残疾人福利性单位、监狱企业视同小型、微型企业</w:t>
      </w:r>
      <w:r>
        <w:rPr>
          <w:rFonts w:hint="eastAsia" w:ascii="宋体" w:hAnsi="宋体" w:eastAsia="宋体" w:cs="宋体"/>
          <w:snapToGrid w:val="0"/>
          <w:color w:val="auto"/>
          <w:kern w:val="28"/>
          <w:sz w:val="21"/>
          <w:szCs w:val="21"/>
          <w:highlight w:val="none"/>
          <w:lang w:eastAsia="zh-CN"/>
        </w:rPr>
        <w:t>。</w:t>
      </w:r>
    </w:p>
    <w:p>
      <w:pPr>
        <w:keepNext w:val="0"/>
        <w:keepLines w:val="0"/>
        <w:pageBreakBefore w:val="0"/>
        <w:kinsoku/>
        <w:overflowPunct/>
        <w:topLinePunct w:val="0"/>
        <w:autoSpaceDE/>
        <w:autoSpaceDN/>
        <w:bidi w:val="0"/>
        <w:adjustRightInd w:val="0"/>
        <w:spacing w:line="400" w:lineRule="exact"/>
        <w:ind w:left="0" w:firstLine="420" w:firstLineChars="200"/>
        <w:textAlignment w:val="auto"/>
        <w:rPr>
          <w:rFonts w:hint="eastAsia" w:ascii="宋体" w:hAnsi="宋体" w:eastAsia="宋体" w:cs="宋体"/>
          <w:snapToGrid w:val="0"/>
          <w:color w:val="auto"/>
          <w:kern w:val="28"/>
          <w:sz w:val="21"/>
          <w:szCs w:val="21"/>
          <w:highlight w:val="none"/>
          <w:lang w:val="en-US" w:eastAsia="zh-CN"/>
        </w:rPr>
      </w:pPr>
      <w:r>
        <w:rPr>
          <w:rFonts w:hint="eastAsia" w:ascii="宋体" w:hAnsi="宋体" w:eastAsia="宋体" w:cs="宋体"/>
          <w:snapToGrid w:val="0"/>
          <w:color w:val="auto"/>
          <w:kern w:val="28"/>
          <w:sz w:val="21"/>
          <w:szCs w:val="21"/>
          <w:highlight w:val="none"/>
          <w:lang w:val="en-US" w:eastAsia="zh-CN"/>
        </w:rPr>
        <w:t>3.</w:t>
      </w:r>
      <w:r>
        <w:rPr>
          <w:rFonts w:hint="eastAsia" w:ascii="宋体" w:hAnsi="宋体" w:eastAsia="宋体" w:cs="宋体"/>
          <w:b w:val="0"/>
          <w:bCs w:val="0"/>
          <w:snapToGrid w:val="0"/>
          <w:color w:val="auto"/>
          <w:kern w:val="28"/>
          <w:sz w:val="21"/>
          <w:szCs w:val="21"/>
          <w:highlight w:val="none"/>
          <w:lang w:val="en-US" w:eastAsia="zh-CN"/>
        </w:rPr>
        <w:t>本项目的特定资格条件：</w:t>
      </w:r>
      <w:r>
        <w:rPr>
          <w:rFonts w:hint="eastAsia" w:ascii="宋体" w:hAnsi="宋体" w:cs="宋体"/>
          <w:snapToGrid w:val="0"/>
          <w:color w:val="auto"/>
          <w:kern w:val="28"/>
          <w:sz w:val="21"/>
          <w:szCs w:val="21"/>
          <w:highlight w:val="none"/>
          <w:lang w:eastAsia="zh-CN"/>
        </w:rPr>
        <w:t>标项1：（1）企业资质要求：具备专业承包（2014版）建筑装修装饰工程二级(含)以上资质；（2）项目负责人：必须具备[注册建造师建筑工程二级](含)以上资格；（3）具备有效的安全生产许可证。</w:t>
      </w:r>
    </w:p>
    <w:p>
      <w:pPr>
        <w:keepNext w:val="0"/>
        <w:keepLines w:val="0"/>
        <w:pageBreakBefore w:val="0"/>
        <w:kinsoku/>
        <w:overflowPunct/>
        <w:topLinePunct w:val="0"/>
        <w:autoSpaceDE/>
        <w:autoSpaceDN/>
        <w:bidi w:val="0"/>
        <w:adjustRightInd w:val="0"/>
        <w:spacing w:line="40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三、获取</w:t>
      </w:r>
      <w:r>
        <w:rPr>
          <w:rFonts w:hint="eastAsia" w:ascii="宋体" w:hAnsi="宋体" w:eastAsia="宋体" w:cs="宋体"/>
          <w:b/>
          <w:color w:val="auto"/>
          <w:sz w:val="21"/>
          <w:szCs w:val="21"/>
          <w:highlight w:val="none"/>
          <w:lang w:eastAsia="zh-CN"/>
        </w:rPr>
        <w:t>磋商文件</w:t>
      </w:r>
      <w:r>
        <w:rPr>
          <w:rFonts w:hint="eastAsia" w:ascii="宋体" w:hAnsi="宋体" w:eastAsia="宋体" w:cs="宋体"/>
          <w:b/>
          <w:color w:val="auto"/>
          <w:sz w:val="21"/>
          <w:szCs w:val="21"/>
          <w:highlight w:val="none"/>
        </w:rPr>
        <w:t xml:space="preserve"> </w:t>
      </w:r>
    </w:p>
    <w:p>
      <w:pPr>
        <w:keepNext w:val="0"/>
        <w:keepLines w:val="0"/>
        <w:pageBreakBefore w:val="0"/>
        <w:kinsoku/>
        <w:overflowPunct/>
        <w:topLinePunct w:val="0"/>
        <w:autoSpaceDE/>
        <w:autoSpaceDN/>
        <w:bidi w:val="0"/>
        <w:adjustRightInd w:val="0"/>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时间：</w:t>
      </w:r>
      <w:r>
        <w:rPr>
          <w:rFonts w:hint="eastAsia" w:ascii="宋体" w:hAnsi="宋体" w:eastAsia="宋体" w:cs="宋体"/>
          <w:color w:val="auto"/>
          <w:sz w:val="21"/>
          <w:szCs w:val="21"/>
          <w:highlight w:val="none"/>
        </w:rPr>
        <w:t>/至</w:t>
      </w:r>
      <w:r>
        <w:rPr>
          <w:rFonts w:hint="eastAsia" w:ascii="宋体" w:hAnsi="宋体" w:eastAsia="宋体" w:cs="宋体"/>
          <w:color w:val="auto"/>
          <w:sz w:val="21"/>
          <w:szCs w:val="21"/>
          <w:highlight w:val="none"/>
          <w:u w:val="single"/>
          <w:lang w:eastAsia="zh-CN"/>
        </w:rPr>
        <w:t>2024年</w:t>
      </w:r>
      <w:r>
        <w:rPr>
          <w:rFonts w:hint="eastAsia" w:ascii="宋体" w:hAnsi="宋体" w:cs="宋体"/>
          <w:color w:val="auto"/>
          <w:sz w:val="21"/>
          <w:szCs w:val="21"/>
          <w:highlight w:val="none"/>
          <w:u w:val="single"/>
          <w:lang w:val="en-US" w:eastAsia="zh-CN"/>
        </w:rPr>
        <w:t>7</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30</w:t>
      </w:r>
      <w:r>
        <w:rPr>
          <w:rFonts w:hint="eastAsia" w:ascii="宋体" w:hAnsi="宋体" w:eastAsia="宋体" w:cs="宋体"/>
          <w:color w:val="auto"/>
          <w:sz w:val="21"/>
          <w:szCs w:val="21"/>
          <w:highlight w:val="none"/>
          <w:u w:val="single"/>
          <w:lang w:eastAsia="zh-CN"/>
        </w:rPr>
        <w:t>日</w:t>
      </w:r>
      <w:r>
        <w:rPr>
          <w:rFonts w:hint="eastAsia" w:ascii="宋体" w:hAnsi="宋体" w:eastAsia="宋体" w:cs="宋体"/>
          <w:color w:val="auto"/>
          <w:sz w:val="21"/>
          <w:szCs w:val="21"/>
          <w:highlight w:val="none"/>
        </w:rPr>
        <w:t>，每天上午00:00至12:00 ，下午12:00至23:59（北京时间，线上获取法定节假日均可，线下获取文件法定节假日除外）</w:t>
      </w:r>
    </w:p>
    <w:p>
      <w:pPr>
        <w:keepNext w:val="0"/>
        <w:keepLines w:val="0"/>
        <w:pageBreakBefore w:val="0"/>
        <w:kinsoku/>
        <w:overflowPunct/>
        <w:topLinePunct w:val="0"/>
        <w:autoSpaceDE/>
        <w:autoSpaceDN/>
        <w:bidi w:val="0"/>
        <w:adjustRightInd w:val="0"/>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地点（网址）：</w:t>
      </w:r>
      <w:r>
        <w:rPr>
          <w:rFonts w:hint="eastAsia" w:ascii="宋体" w:hAnsi="宋体" w:eastAsia="宋体" w:cs="宋体"/>
          <w:color w:val="auto"/>
          <w:sz w:val="21"/>
          <w:szCs w:val="21"/>
          <w:highlight w:val="none"/>
          <w:lang w:eastAsia="zh-CN"/>
        </w:rPr>
        <w:t>政采云平台线上获取</w:t>
      </w:r>
      <w:r>
        <w:rPr>
          <w:rFonts w:hint="eastAsia" w:ascii="宋体" w:hAnsi="宋体" w:eastAsia="宋体" w:cs="宋体"/>
          <w:color w:val="auto"/>
          <w:sz w:val="21"/>
          <w:szCs w:val="21"/>
          <w:highlight w:val="none"/>
        </w:rPr>
        <w:t xml:space="preserve"> </w:t>
      </w:r>
    </w:p>
    <w:p>
      <w:pPr>
        <w:keepNext w:val="0"/>
        <w:keepLines w:val="0"/>
        <w:pageBreakBefore w:val="0"/>
        <w:kinsoku/>
        <w:overflowPunct/>
        <w:topLinePunct w:val="0"/>
        <w:autoSpaceDE/>
        <w:autoSpaceDN/>
        <w:bidi w:val="0"/>
        <w:adjustRightInd w:val="0"/>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方式：</w:t>
      </w:r>
      <w:r>
        <w:rPr>
          <w:rFonts w:hint="eastAsia" w:ascii="宋体" w:hAnsi="宋体" w:eastAsia="宋体" w:cs="宋体"/>
          <w:color w:val="auto"/>
          <w:sz w:val="21"/>
          <w:szCs w:val="21"/>
          <w:highlight w:val="none"/>
        </w:rPr>
        <w:t>供应商登录</w:t>
      </w:r>
      <w:r>
        <w:rPr>
          <w:rFonts w:hint="eastAsia" w:ascii="宋体" w:hAnsi="宋体" w:eastAsia="宋体" w:cs="宋体"/>
          <w:color w:val="auto"/>
          <w:sz w:val="21"/>
          <w:szCs w:val="21"/>
          <w:highlight w:val="none"/>
          <w:lang w:eastAsia="zh-CN"/>
        </w:rPr>
        <w:t>政府采购云平台</w:t>
      </w:r>
      <w:r>
        <w:rPr>
          <w:rFonts w:hint="eastAsia" w:ascii="宋体" w:hAnsi="宋体" w:eastAsia="宋体" w:cs="宋体"/>
          <w:color w:val="auto"/>
          <w:sz w:val="21"/>
          <w:szCs w:val="21"/>
          <w:highlight w:val="none"/>
        </w:rPr>
        <w:t xml:space="preserve">https://www.zcygov.cn/在线申请获取采购文件（进入“项目采购”应用，在获取采购文件菜单中选择项目，申请获取采购文件）。 </w:t>
      </w:r>
    </w:p>
    <w:p>
      <w:pPr>
        <w:keepNext w:val="0"/>
        <w:keepLines w:val="0"/>
        <w:pageBreakBefore w:val="0"/>
        <w:kinsoku/>
        <w:overflowPunct/>
        <w:topLinePunct w:val="0"/>
        <w:autoSpaceDE/>
        <w:autoSpaceDN/>
        <w:bidi w:val="0"/>
        <w:adjustRightInd w:val="0"/>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售价（元）：</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rPr>
        <w:tab/>
      </w:r>
    </w:p>
    <w:p>
      <w:pPr>
        <w:keepNext w:val="0"/>
        <w:keepLines w:val="0"/>
        <w:pageBreakBefore w:val="0"/>
        <w:kinsoku/>
        <w:overflowPunct/>
        <w:topLinePunct w:val="0"/>
        <w:autoSpaceDE/>
        <w:autoSpaceDN/>
        <w:bidi w:val="0"/>
        <w:adjustRightInd w:val="0"/>
        <w:spacing w:line="40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四、响应文件提交（上传）</w:t>
      </w:r>
    </w:p>
    <w:p>
      <w:pPr>
        <w:keepNext w:val="0"/>
        <w:keepLines w:val="0"/>
        <w:pageBreakBefore w:val="0"/>
        <w:kinsoku/>
        <w:overflowPunct/>
        <w:topLinePunct w:val="0"/>
        <w:autoSpaceDE/>
        <w:autoSpaceDN/>
        <w:bidi w:val="0"/>
        <w:adjustRightInd w:val="0"/>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截止时间：</w:t>
      </w:r>
      <w:r>
        <w:rPr>
          <w:rFonts w:hint="eastAsia" w:ascii="宋体" w:hAnsi="宋体" w:eastAsia="宋体" w:cs="宋体"/>
          <w:color w:val="auto"/>
          <w:sz w:val="21"/>
          <w:szCs w:val="21"/>
          <w:highlight w:val="none"/>
          <w:u w:val="single"/>
        </w:rPr>
        <w:t>2024年</w:t>
      </w:r>
      <w:r>
        <w:rPr>
          <w:rFonts w:hint="eastAsia" w:ascii="宋体" w:hAnsi="宋体" w:cs="宋体"/>
          <w:color w:val="auto"/>
          <w:sz w:val="21"/>
          <w:szCs w:val="21"/>
          <w:highlight w:val="none"/>
          <w:u w:val="single"/>
          <w:lang w:val="en-US" w:eastAsia="zh-CN"/>
        </w:rPr>
        <w:t>7</w:t>
      </w:r>
      <w:r>
        <w:rPr>
          <w:rFonts w:hint="eastAsia" w:ascii="宋体" w:hAnsi="宋体" w:eastAsia="宋体" w:cs="宋体"/>
          <w:color w:val="auto"/>
          <w:sz w:val="21"/>
          <w:szCs w:val="21"/>
          <w:highlight w:val="none"/>
          <w:u w:val="single"/>
        </w:rPr>
        <w:t>月</w:t>
      </w:r>
      <w:r>
        <w:rPr>
          <w:rFonts w:hint="eastAsia" w:ascii="宋体" w:hAnsi="宋体" w:cs="宋体"/>
          <w:color w:val="auto"/>
          <w:sz w:val="21"/>
          <w:szCs w:val="21"/>
          <w:highlight w:val="none"/>
          <w:u w:val="single"/>
          <w:lang w:val="en-US" w:eastAsia="zh-CN"/>
        </w:rPr>
        <w:t>30</w:t>
      </w:r>
      <w:r>
        <w:rPr>
          <w:rFonts w:hint="eastAsia" w:ascii="宋体" w:hAnsi="宋体" w:eastAsia="宋体" w:cs="宋体"/>
          <w:color w:val="auto"/>
          <w:sz w:val="21"/>
          <w:szCs w:val="21"/>
          <w:highlight w:val="none"/>
          <w:u w:val="single"/>
        </w:rPr>
        <w:t xml:space="preserve">日 </w:t>
      </w:r>
      <w:r>
        <w:rPr>
          <w:rFonts w:hint="eastAsia" w:ascii="宋体" w:hAnsi="宋体" w:eastAsia="宋体" w:cs="宋体"/>
          <w:color w:val="auto"/>
          <w:sz w:val="21"/>
          <w:szCs w:val="21"/>
          <w:highlight w:val="none"/>
          <w:u w:val="single"/>
          <w:lang w:eastAsia="zh-CN"/>
        </w:rPr>
        <w:t>09:00</w:t>
      </w:r>
      <w:r>
        <w:rPr>
          <w:rFonts w:hint="eastAsia" w:ascii="宋体" w:hAnsi="宋体" w:eastAsia="宋体" w:cs="宋体"/>
          <w:color w:val="auto"/>
          <w:sz w:val="21"/>
          <w:szCs w:val="21"/>
          <w:highlight w:val="none"/>
        </w:rPr>
        <w:t>（北京时间）</w:t>
      </w:r>
    </w:p>
    <w:p>
      <w:pPr>
        <w:keepNext w:val="0"/>
        <w:keepLines w:val="0"/>
        <w:pageBreakBefore w:val="0"/>
        <w:kinsoku/>
        <w:overflowPunct/>
        <w:topLinePunct w:val="0"/>
        <w:autoSpaceDE/>
        <w:autoSpaceDN/>
        <w:bidi w:val="0"/>
        <w:adjustRightInd w:val="0"/>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投标地点（网址）：</w:t>
      </w:r>
      <w:r>
        <w:rPr>
          <w:rFonts w:hint="eastAsia" w:ascii="宋体" w:hAnsi="宋体" w:eastAsia="宋体" w:cs="宋体"/>
          <w:i w:val="0"/>
          <w:iCs w:val="0"/>
          <w:caps w:val="0"/>
          <w:color w:val="auto"/>
          <w:spacing w:val="0"/>
          <w:sz w:val="21"/>
          <w:szCs w:val="21"/>
          <w:highlight w:val="none"/>
        </w:rPr>
        <w:t>请登录政采云投标客户端投标</w:t>
      </w:r>
      <w:r>
        <w:rPr>
          <w:rFonts w:hint="eastAsia" w:ascii="宋体" w:hAnsi="宋体" w:eastAsia="宋体" w:cs="宋体"/>
          <w:color w:val="auto"/>
          <w:sz w:val="21"/>
          <w:szCs w:val="21"/>
          <w:highlight w:val="none"/>
        </w:rPr>
        <w:t xml:space="preserve"> </w:t>
      </w:r>
    </w:p>
    <w:p>
      <w:pPr>
        <w:keepNext w:val="0"/>
        <w:keepLines w:val="0"/>
        <w:pageBreakBefore w:val="0"/>
        <w:kinsoku/>
        <w:overflowPunct/>
        <w:topLinePunct w:val="0"/>
        <w:autoSpaceDE/>
        <w:autoSpaceDN/>
        <w:bidi w:val="0"/>
        <w:adjustRightInd w:val="0"/>
        <w:spacing w:line="400" w:lineRule="exact"/>
        <w:textAlignment w:val="auto"/>
        <w:rPr>
          <w:rFonts w:hint="eastAsia" w:ascii="宋体" w:hAnsi="宋体" w:eastAsia="宋体" w:cs="宋体"/>
        </w:rPr>
      </w:pPr>
      <w:r>
        <w:rPr>
          <w:rFonts w:hint="eastAsia" w:ascii="宋体" w:hAnsi="宋体" w:eastAsia="宋体" w:cs="宋体"/>
          <w:b/>
          <w:color w:val="auto"/>
          <w:sz w:val="21"/>
          <w:szCs w:val="21"/>
          <w:highlight w:val="none"/>
          <w:lang w:eastAsia="zh-CN"/>
        </w:rPr>
        <w:t>五</w:t>
      </w:r>
      <w:r>
        <w:rPr>
          <w:rFonts w:hint="eastAsia" w:ascii="宋体" w:hAnsi="宋体" w:eastAsia="宋体" w:cs="宋体"/>
          <w:b/>
          <w:color w:val="auto"/>
          <w:sz w:val="21"/>
          <w:szCs w:val="21"/>
          <w:highlight w:val="none"/>
        </w:rPr>
        <w:t>、响应文件开启</w:t>
      </w:r>
    </w:p>
    <w:p>
      <w:pPr>
        <w:keepNext w:val="0"/>
        <w:keepLines w:val="0"/>
        <w:pageBreakBefore w:val="0"/>
        <w:kinsoku/>
        <w:overflowPunct/>
        <w:topLinePunct w:val="0"/>
        <w:autoSpaceDE/>
        <w:autoSpaceDN/>
        <w:bidi w:val="0"/>
        <w:adjustRightInd w:val="0"/>
        <w:spacing w:line="400" w:lineRule="exact"/>
        <w:ind w:firstLine="422" w:firstLineChars="200"/>
        <w:textAlignment w:val="auto"/>
        <w:rPr>
          <w:rFonts w:hint="eastAsia" w:ascii="宋体" w:hAnsi="宋体" w:eastAsia="宋体" w:cs="宋体"/>
          <w:bCs/>
          <w:color w:val="auto"/>
          <w:sz w:val="21"/>
          <w:szCs w:val="21"/>
          <w:highlight w:val="none"/>
          <w:u w:val="single"/>
        </w:rPr>
      </w:pPr>
      <w:r>
        <w:rPr>
          <w:rFonts w:hint="eastAsia" w:ascii="宋体" w:hAnsi="宋体" w:eastAsia="宋体" w:cs="宋体"/>
          <w:b/>
          <w:color w:val="auto"/>
          <w:sz w:val="21"/>
          <w:szCs w:val="21"/>
          <w:highlight w:val="none"/>
        </w:rPr>
        <w:t>开</w:t>
      </w:r>
      <w:r>
        <w:rPr>
          <w:rFonts w:hint="eastAsia" w:ascii="宋体" w:hAnsi="宋体" w:eastAsia="宋体" w:cs="宋体"/>
          <w:b/>
          <w:color w:val="auto"/>
          <w:sz w:val="21"/>
          <w:szCs w:val="21"/>
          <w:highlight w:val="none"/>
          <w:lang w:eastAsia="zh-CN"/>
        </w:rPr>
        <w:t>启</w:t>
      </w:r>
      <w:r>
        <w:rPr>
          <w:rFonts w:hint="eastAsia" w:ascii="宋体" w:hAnsi="宋体" w:eastAsia="宋体" w:cs="宋体"/>
          <w:b/>
          <w:color w:val="auto"/>
          <w:sz w:val="21"/>
          <w:szCs w:val="21"/>
          <w:highlight w:val="none"/>
        </w:rPr>
        <w:t>时间：</w:t>
      </w:r>
      <w:r>
        <w:rPr>
          <w:rFonts w:hint="eastAsia" w:ascii="宋体" w:hAnsi="宋体" w:eastAsia="宋体" w:cs="宋体"/>
          <w:color w:val="auto"/>
          <w:sz w:val="21"/>
          <w:szCs w:val="21"/>
          <w:highlight w:val="none"/>
          <w:u w:val="single"/>
        </w:rPr>
        <w:t>2024年</w:t>
      </w:r>
      <w:r>
        <w:rPr>
          <w:rFonts w:hint="eastAsia" w:ascii="宋体" w:hAnsi="宋体" w:cs="宋体"/>
          <w:color w:val="auto"/>
          <w:sz w:val="21"/>
          <w:szCs w:val="21"/>
          <w:highlight w:val="none"/>
          <w:u w:val="single"/>
          <w:lang w:val="en-US" w:eastAsia="zh-CN"/>
        </w:rPr>
        <w:t>7</w:t>
      </w:r>
      <w:r>
        <w:rPr>
          <w:rFonts w:hint="eastAsia" w:ascii="宋体" w:hAnsi="宋体" w:eastAsia="宋体" w:cs="宋体"/>
          <w:color w:val="auto"/>
          <w:sz w:val="21"/>
          <w:szCs w:val="21"/>
          <w:highlight w:val="none"/>
          <w:u w:val="single"/>
        </w:rPr>
        <w:t>月</w:t>
      </w:r>
      <w:r>
        <w:rPr>
          <w:rFonts w:hint="eastAsia" w:ascii="宋体" w:hAnsi="宋体" w:cs="宋体"/>
          <w:color w:val="auto"/>
          <w:sz w:val="21"/>
          <w:szCs w:val="21"/>
          <w:highlight w:val="none"/>
          <w:u w:val="single"/>
          <w:lang w:val="en-US" w:eastAsia="zh-CN"/>
        </w:rPr>
        <w:t>30</w:t>
      </w:r>
      <w:r>
        <w:rPr>
          <w:rFonts w:hint="eastAsia" w:ascii="宋体" w:hAnsi="宋体" w:eastAsia="宋体" w:cs="宋体"/>
          <w:color w:val="auto"/>
          <w:sz w:val="21"/>
          <w:szCs w:val="21"/>
          <w:highlight w:val="none"/>
          <w:u w:val="single"/>
        </w:rPr>
        <w:t xml:space="preserve">日 </w:t>
      </w:r>
      <w:r>
        <w:rPr>
          <w:rFonts w:hint="eastAsia" w:ascii="宋体" w:hAnsi="宋体" w:eastAsia="宋体" w:cs="宋体"/>
          <w:color w:val="auto"/>
          <w:sz w:val="21"/>
          <w:szCs w:val="21"/>
          <w:highlight w:val="none"/>
          <w:u w:val="single"/>
          <w:lang w:eastAsia="zh-CN"/>
        </w:rPr>
        <w:t>09:00</w:t>
      </w:r>
      <w:r>
        <w:rPr>
          <w:rFonts w:hint="eastAsia" w:ascii="宋体" w:hAnsi="宋体" w:eastAsia="宋体" w:cs="宋体"/>
          <w:color w:val="auto"/>
          <w:sz w:val="21"/>
          <w:szCs w:val="21"/>
          <w:highlight w:val="none"/>
        </w:rPr>
        <w:t>（北京时间）</w:t>
      </w:r>
    </w:p>
    <w:p>
      <w:pPr>
        <w:keepNext w:val="0"/>
        <w:keepLines w:val="0"/>
        <w:pageBreakBefore w:val="0"/>
        <w:kinsoku/>
        <w:overflowPunct/>
        <w:topLinePunct w:val="0"/>
        <w:autoSpaceDE/>
        <w:autoSpaceDN/>
        <w:bidi w:val="0"/>
        <w:adjustRightInd w:val="0"/>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地点（网址）：</w:t>
      </w:r>
      <w:r>
        <w:rPr>
          <w:rFonts w:hint="eastAsia" w:ascii="宋体" w:hAnsi="宋体" w:eastAsia="宋体" w:cs="宋体"/>
          <w:color w:val="auto"/>
          <w:sz w:val="21"/>
          <w:szCs w:val="21"/>
          <w:highlight w:val="none"/>
          <w:lang w:eastAsia="zh-CN"/>
        </w:rPr>
        <w:t>政府采购云平台</w:t>
      </w:r>
      <w:r>
        <w:rPr>
          <w:rFonts w:hint="eastAsia" w:ascii="宋体" w:hAnsi="宋体" w:eastAsia="宋体" w:cs="宋体"/>
          <w:color w:val="auto"/>
          <w:sz w:val="21"/>
          <w:szCs w:val="21"/>
          <w:highlight w:val="none"/>
        </w:rPr>
        <w:t>（https://www.zcygov.cn/）</w:t>
      </w:r>
    </w:p>
    <w:p>
      <w:pPr>
        <w:keepNext w:val="0"/>
        <w:keepLines w:val="0"/>
        <w:pageBreakBefore w:val="0"/>
        <w:kinsoku/>
        <w:overflowPunct/>
        <w:topLinePunct w:val="0"/>
        <w:autoSpaceDE/>
        <w:autoSpaceDN/>
        <w:bidi w:val="0"/>
        <w:adjustRightInd w:val="0"/>
        <w:spacing w:line="400" w:lineRule="exact"/>
        <w:textAlignment w:val="auto"/>
        <w:rPr>
          <w:rFonts w:hint="eastAsia" w:ascii="宋体" w:hAnsi="宋体" w:eastAsia="宋体" w:cs="宋体"/>
          <w:color w:val="auto"/>
          <w:sz w:val="21"/>
          <w:szCs w:val="21"/>
          <w:highlight w:val="none"/>
        </w:rPr>
      </w:pPr>
      <w:r>
        <w:rPr>
          <w:rFonts w:hint="eastAsia" w:ascii="宋体" w:hAnsi="宋体" w:cs="宋体"/>
          <w:b/>
          <w:color w:val="auto"/>
          <w:sz w:val="21"/>
          <w:szCs w:val="21"/>
          <w:highlight w:val="none"/>
          <w:lang w:eastAsia="zh-CN"/>
        </w:rPr>
        <w:t>六</w:t>
      </w:r>
      <w:r>
        <w:rPr>
          <w:rFonts w:hint="eastAsia" w:ascii="宋体" w:hAnsi="宋体" w:eastAsia="宋体" w:cs="宋体"/>
          <w:b/>
          <w:color w:val="auto"/>
          <w:sz w:val="21"/>
          <w:szCs w:val="21"/>
          <w:highlight w:val="none"/>
        </w:rPr>
        <w:t xml:space="preserve">、公告期限 </w:t>
      </w:r>
    </w:p>
    <w:p>
      <w:pPr>
        <w:keepNext w:val="0"/>
        <w:keepLines w:val="0"/>
        <w:pageBreakBefore w:val="0"/>
        <w:kinsoku/>
        <w:overflowPunct/>
        <w:topLinePunct w:val="0"/>
        <w:autoSpaceDE/>
        <w:autoSpaceDN/>
        <w:bidi w:val="0"/>
        <w:adjustRightInd w:val="0"/>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自本公告发布之日起</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个工作日。</w:t>
      </w:r>
    </w:p>
    <w:p>
      <w:pPr>
        <w:keepNext w:val="0"/>
        <w:keepLines w:val="0"/>
        <w:pageBreakBefore w:val="0"/>
        <w:kinsoku/>
        <w:overflowPunct/>
        <w:topLinePunct w:val="0"/>
        <w:autoSpaceDE/>
        <w:autoSpaceDN/>
        <w:bidi w:val="0"/>
        <w:adjustRightInd w:val="0"/>
        <w:spacing w:line="400" w:lineRule="exact"/>
        <w:textAlignment w:val="auto"/>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eastAsia="zh-CN"/>
        </w:rPr>
        <w:t>七</w:t>
      </w:r>
      <w:r>
        <w:rPr>
          <w:rFonts w:hint="eastAsia" w:ascii="宋体" w:hAnsi="宋体" w:eastAsia="宋体" w:cs="宋体"/>
          <w:b/>
          <w:color w:val="auto"/>
          <w:sz w:val="21"/>
          <w:szCs w:val="21"/>
          <w:highlight w:val="none"/>
        </w:rPr>
        <w:t>、其他补充事宜</w:t>
      </w:r>
    </w:p>
    <w:p>
      <w:pPr>
        <w:keepNext w:val="0"/>
        <w:keepLines w:val="0"/>
        <w:pageBreakBefore w:val="0"/>
        <w:widowControl w:val="0"/>
        <w:kinsoku/>
        <w:overflowPunct/>
        <w:topLinePunct w:val="0"/>
        <w:autoSpaceDE/>
        <w:autoSpaceDN/>
        <w:bidi w:val="0"/>
        <w:adjustRightInd w:val="0"/>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1.《浙江省财政厅关于进一步发挥政府采购政策功能全力推动经济稳进提质的通知》 （浙财采监（2022）3号）、《浙江省财政厅关于进一步促进政府采购公平竞争打造最优营商环境的通知》（浙财采监（2021）22号）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浙江省财政厅关于进一步加大政府采购支持中小企业力度助力扎实稳住经济的通知》 （浙财采监（2022）8号已分别于2022年1月29日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2022年2月1日</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2022年7月1日开始实施，此前有关规定与上述文件内容不一致的，按上述文件要求执行。</w:t>
      </w:r>
    </w:p>
    <w:p>
      <w:pPr>
        <w:keepNext w:val="0"/>
        <w:keepLines w:val="0"/>
        <w:pageBreakBefore w:val="0"/>
        <w:widowControl w:val="0"/>
        <w:kinsoku/>
        <w:wordWrap w:val="0"/>
        <w:overflowPunct/>
        <w:topLinePunct w:val="0"/>
        <w:autoSpaceDE/>
        <w:autoSpaceDN/>
        <w:bidi w:val="0"/>
        <w:adjustRightInd w:val="0"/>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注意：需在线质疑后才可在线投诉，并电话告知相关采购人、代理机构、财政部门。</w:t>
      </w:r>
    </w:p>
    <w:p>
      <w:pPr>
        <w:keepNext w:val="0"/>
        <w:keepLines w:val="0"/>
        <w:pageBreakBefore w:val="0"/>
        <w:widowControl w:val="0"/>
        <w:kinsoku/>
        <w:overflowPunct/>
        <w:topLinePunct w:val="0"/>
        <w:autoSpaceDE/>
        <w:autoSpaceDN/>
        <w:bidi w:val="0"/>
        <w:adjustRightInd w:val="0"/>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其他事项：</w:t>
      </w:r>
    </w:p>
    <w:p>
      <w:pPr>
        <w:keepNext w:val="0"/>
        <w:keepLines w:val="0"/>
        <w:pageBreakBefore w:val="0"/>
        <w:widowControl w:val="0"/>
        <w:kinsoku/>
        <w:overflowPunct/>
        <w:topLinePunct w:val="0"/>
        <w:autoSpaceDE/>
        <w:autoSpaceDN/>
        <w:bidi w:val="0"/>
        <w:adjustRightInd w:val="0"/>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（1）需要落实的政府采购政策：包括节约资源、保护环境、支持创新、促进中小企业发展</w:t>
      </w:r>
      <w:r>
        <w:rPr>
          <w:rFonts w:hint="eastAsia" w:ascii="宋体" w:hAnsi="宋体" w:eastAsia="宋体" w:cs="宋体"/>
          <w:strike w:val="0"/>
          <w:color w:val="auto"/>
          <w:sz w:val="21"/>
          <w:szCs w:val="21"/>
          <w:highlight w:val="none"/>
          <w:lang w:eastAsia="zh-CN"/>
        </w:rPr>
        <w:t>、</w:t>
      </w:r>
      <w:r>
        <w:rPr>
          <w:rFonts w:hint="eastAsia" w:ascii="宋体" w:hAnsi="宋体" w:eastAsia="宋体" w:cs="宋体"/>
          <w:strike w:val="0"/>
          <w:color w:val="auto"/>
          <w:sz w:val="21"/>
          <w:szCs w:val="21"/>
          <w:highlight w:val="none"/>
        </w:rPr>
        <w:t>扶持不发达地区和少数民族地区</w:t>
      </w:r>
      <w:r>
        <w:rPr>
          <w:rFonts w:hint="eastAsia" w:ascii="宋体" w:hAnsi="宋体" w:eastAsia="宋体" w:cs="宋体"/>
          <w:color w:val="auto"/>
          <w:sz w:val="21"/>
          <w:szCs w:val="21"/>
          <w:highlight w:val="none"/>
        </w:rPr>
        <w:t>等。</w:t>
      </w:r>
    </w:p>
    <w:p>
      <w:pPr>
        <w:keepNext w:val="0"/>
        <w:keepLines w:val="0"/>
        <w:pageBreakBefore w:val="0"/>
        <w:widowControl w:val="0"/>
        <w:kinsoku/>
        <w:overflowPunct/>
        <w:topLinePunct w:val="0"/>
        <w:autoSpaceDE/>
        <w:autoSpaceDN/>
        <w:bidi w:val="0"/>
        <w:adjustRightInd w:val="0"/>
        <w:snapToGrid/>
        <w:spacing w:line="38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电子招投标的说明：①</w:t>
      </w:r>
      <w:r>
        <w:rPr>
          <w:rFonts w:hint="eastAsia" w:ascii="宋体" w:hAnsi="宋体" w:eastAsia="宋体" w:cs="宋体"/>
          <w:b/>
          <w:bCs/>
          <w:color w:val="auto"/>
          <w:sz w:val="21"/>
          <w:szCs w:val="21"/>
          <w:highlight w:val="none"/>
        </w:rPr>
        <w:t>本项目</w:t>
      </w:r>
      <w:r>
        <w:rPr>
          <w:rFonts w:hint="eastAsia" w:ascii="宋体" w:hAnsi="宋体" w:eastAsia="宋体" w:cs="宋体"/>
          <w:b/>
          <w:bCs/>
          <w:color w:val="auto"/>
          <w:sz w:val="21"/>
          <w:szCs w:val="21"/>
          <w:highlight w:val="none"/>
          <w:lang w:eastAsia="zh-CN"/>
        </w:rPr>
        <w:t>采用全流程电子化交易</w:t>
      </w:r>
      <w:r>
        <w:rPr>
          <w:rFonts w:hint="eastAsia" w:ascii="宋体" w:hAnsi="宋体" w:eastAsia="宋体" w:cs="宋体"/>
          <w:color w:val="auto"/>
          <w:sz w:val="21"/>
          <w:szCs w:val="21"/>
          <w:highlight w:val="none"/>
        </w:rPr>
        <w:t>，依托“政府采购云平台（www.zcygov.cn）”进行招投标活动，不接受纸质</w:t>
      </w:r>
      <w:r>
        <w:rPr>
          <w:rFonts w:hint="eastAsia" w:ascii="宋体" w:hAnsi="宋体" w:eastAsia="宋体" w:cs="宋体"/>
          <w:color w:val="auto"/>
          <w:sz w:val="21"/>
          <w:szCs w:val="21"/>
          <w:highlight w:val="none"/>
          <w:lang w:eastAsia="zh-CN"/>
        </w:rPr>
        <w:t>磋商响应文件</w:t>
      </w:r>
      <w:r>
        <w:rPr>
          <w:rFonts w:hint="eastAsia" w:ascii="宋体" w:hAnsi="宋体" w:eastAsia="宋体" w:cs="宋体"/>
          <w:color w:val="auto"/>
          <w:sz w:val="21"/>
          <w:szCs w:val="21"/>
          <w:highlight w:val="none"/>
        </w:rPr>
        <w:t>；②</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须在投标前申领CA数字证书、下载政采云电子交易客户端。申领CA数字证书</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申领流程详见“浙江政府采购网-下载专区-电子交易客户端-CA驱动和申领流程”；安装“政采云电子交易客户端”</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前往“浙江政府采购网-下载专区-电子交易客户端”进行下载并安装；③电子投标具体操作流程详见浙江省“项目采购电子交易系统/不见面开评标”学习专题（网址https://edu.zcygov.cn/luban/e-biding）</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④</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的获取：使用账号登录或者使用CA登录政采云平台；进入“项目采购”应用，在获取采购文件菜单中选择项目，获取</w:t>
      </w:r>
      <w:r>
        <w:rPr>
          <w:rFonts w:hint="eastAsia" w:ascii="宋体" w:hAnsi="宋体" w:eastAsia="宋体" w:cs="宋体"/>
          <w:color w:val="auto"/>
          <w:sz w:val="21"/>
          <w:szCs w:val="21"/>
          <w:highlight w:val="none"/>
          <w:lang w:eastAsia="zh-CN"/>
        </w:rPr>
        <w:t>磋商文件。⑤</w:t>
      </w:r>
      <w:r>
        <w:rPr>
          <w:rFonts w:hint="eastAsia" w:ascii="宋体" w:hAnsi="宋体" w:eastAsia="宋体" w:cs="宋体"/>
          <w:color w:val="auto"/>
          <w:sz w:val="21"/>
          <w:szCs w:val="21"/>
          <w:highlight w:val="none"/>
        </w:rPr>
        <w:t>若对项目采购电子交易系统操作有疑问，可登录政采云，点击右侧咨询小采，获取采小蜜智能服务管家帮助，或拨打政采云服务热线95763获取热线服务帮助。CA问题联系电话（人工）：汇信CA 400-888-4636；天谷CA 400-087-8198。注：</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在使用政采云投标客户端时，建议使用WIN7及以上操作系统。</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需自行准备好摄像头和耳麦，保持网络稳定通畅，并在</w:t>
      </w:r>
      <w:r>
        <w:rPr>
          <w:rFonts w:hint="eastAsia" w:ascii="宋体" w:hAnsi="宋体" w:eastAsia="宋体" w:cs="宋体"/>
          <w:color w:val="auto"/>
          <w:sz w:val="21"/>
          <w:szCs w:val="21"/>
          <w:highlight w:val="none"/>
          <w:lang w:eastAsia="zh-CN"/>
        </w:rPr>
        <w:t>磋商响应文件</w:t>
      </w:r>
      <w:r>
        <w:rPr>
          <w:rFonts w:hint="eastAsia" w:ascii="宋体" w:hAnsi="宋体" w:eastAsia="宋体" w:cs="宋体"/>
          <w:color w:val="auto"/>
          <w:sz w:val="21"/>
          <w:szCs w:val="21"/>
          <w:highlight w:val="none"/>
        </w:rPr>
        <w:t xml:space="preserve">开启时间前自测硬件能否正常使用，如因自身硬件或网络原因导致询标讲解失败，相关后果自行负责。  </w:t>
      </w:r>
    </w:p>
    <w:p>
      <w:pPr>
        <w:keepNext w:val="0"/>
        <w:keepLines w:val="0"/>
        <w:pageBreakBefore w:val="0"/>
        <w:widowControl w:val="0"/>
        <w:numPr>
          <w:ilvl w:val="0"/>
          <w:numId w:val="2"/>
        </w:numPr>
        <w:kinsoku/>
        <w:overflowPunct/>
        <w:topLinePunct w:val="0"/>
        <w:autoSpaceDE/>
        <w:autoSpaceDN/>
        <w:bidi w:val="0"/>
        <w:adjustRightInd w:val="0"/>
        <w:snapToGrid/>
        <w:spacing w:line="38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磋商文件</w:t>
      </w:r>
      <w:r>
        <w:rPr>
          <w:rFonts w:hint="eastAsia" w:ascii="宋体" w:hAnsi="宋体" w:eastAsia="宋体" w:cs="宋体"/>
          <w:color w:val="auto"/>
          <w:sz w:val="21"/>
          <w:szCs w:val="21"/>
          <w:highlight w:val="none"/>
          <w:lang w:val="en-US"/>
        </w:rPr>
        <w:t>公告期限与</w:t>
      </w:r>
      <w:r>
        <w:rPr>
          <w:rFonts w:hint="eastAsia" w:ascii="宋体" w:hAnsi="宋体" w:eastAsia="宋体" w:cs="宋体"/>
          <w:color w:val="auto"/>
          <w:sz w:val="21"/>
          <w:szCs w:val="21"/>
          <w:highlight w:val="none"/>
          <w:lang w:val="en-US" w:eastAsia="zh-CN"/>
        </w:rPr>
        <w:t>竞争性磋商公告</w:t>
      </w:r>
      <w:r>
        <w:rPr>
          <w:rFonts w:hint="eastAsia" w:ascii="宋体" w:hAnsi="宋体" w:eastAsia="宋体" w:cs="宋体"/>
          <w:color w:val="auto"/>
          <w:sz w:val="21"/>
          <w:szCs w:val="21"/>
          <w:highlight w:val="none"/>
          <w:lang w:val="en-US"/>
        </w:rPr>
        <w:t>公告期限一致</w:t>
      </w:r>
      <w:r>
        <w:rPr>
          <w:rFonts w:hint="eastAsia" w:ascii="宋体" w:hAnsi="宋体" w:eastAsia="宋体" w:cs="宋体"/>
          <w:color w:val="auto"/>
          <w:sz w:val="21"/>
          <w:szCs w:val="21"/>
          <w:highlight w:val="none"/>
          <w:lang w:val="en-US" w:eastAsia="zh-CN"/>
        </w:rPr>
        <w:t>。</w:t>
      </w:r>
    </w:p>
    <w:p>
      <w:pPr>
        <w:keepNext w:val="0"/>
        <w:keepLines w:val="0"/>
        <w:pageBreakBefore w:val="0"/>
        <w:widowControl w:val="0"/>
        <w:numPr>
          <w:ilvl w:val="0"/>
          <w:numId w:val="2"/>
        </w:numPr>
        <w:kinsoku/>
        <w:wordWrap w:val="0"/>
        <w:overflowPunct/>
        <w:topLinePunct w:val="0"/>
        <w:autoSpaceDE/>
        <w:autoSpaceDN/>
        <w:bidi w:val="0"/>
        <w:adjustRightInd w:val="0"/>
        <w:snapToGrid/>
        <w:spacing w:line="38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潜在供应商已依法获取</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，认为</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使自己的权益受到损害的，可以自获取</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之日或者</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公告期限届满之日（公告期限届满后获取</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的，以公告期限届满之日为准）起7个工作日内，以书面形式向采购人、采购代理机构提出质疑。质疑供应商对采购人、采购代理机构的答复不满意，或者采购人、采购代理机构未在规定时间内作出答复的，可以在答复期满后15个工作日内向同级政府采购监督管理部门投诉。质疑函范本、投诉书范本请到浙江政府采购网（https://zfcg.czt.zj.gov.cn/）下载专区下载。</w:t>
      </w:r>
      <w:r>
        <w:rPr>
          <w:rFonts w:hint="eastAsia" w:ascii="宋体" w:hAnsi="宋体" w:eastAsia="宋体" w:cs="宋体"/>
          <w:b/>
          <w:bCs/>
          <w:color w:val="auto"/>
          <w:sz w:val="21"/>
          <w:szCs w:val="21"/>
          <w:highlight w:val="none"/>
        </w:rPr>
        <w:t>注意：游客通道获取的</w:t>
      </w:r>
      <w:r>
        <w:rPr>
          <w:rFonts w:hint="eastAsia" w:ascii="宋体" w:hAnsi="宋体" w:eastAsia="宋体" w:cs="宋体"/>
          <w:b/>
          <w:bCs/>
          <w:color w:val="auto"/>
          <w:sz w:val="21"/>
          <w:szCs w:val="21"/>
          <w:highlight w:val="none"/>
          <w:lang w:eastAsia="zh-CN"/>
        </w:rPr>
        <w:t>磋商文件</w:t>
      </w:r>
      <w:r>
        <w:rPr>
          <w:rFonts w:hint="eastAsia" w:ascii="宋体" w:hAnsi="宋体" w:eastAsia="宋体" w:cs="宋体"/>
          <w:b/>
          <w:bCs/>
          <w:color w:val="auto"/>
          <w:sz w:val="21"/>
          <w:szCs w:val="21"/>
          <w:highlight w:val="none"/>
        </w:rPr>
        <w:t>仅供浏览使用，潜在供应商请通过规定方式依法获取</w:t>
      </w:r>
      <w:r>
        <w:rPr>
          <w:rFonts w:hint="eastAsia" w:ascii="宋体" w:hAnsi="宋体" w:eastAsia="宋体" w:cs="宋体"/>
          <w:b/>
          <w:bCs/>
          <w:color w:val="auto"/>
          <w:sz w:val="21"/>
          <w:szCs w:val="21"/>
          <w:highlight w:val="none"/>
          <w:lang w:eastAsia="zh-CN"/>
        </w:rPr>
        <w:t>磋商文件</w:t>
      </w:r>
      <w:r>
        <w:rPr>
          <w:rFonts w:hint="eastAsia" w:ascii="宋体" w:hAnsi="宋体" w:eastAsia="宋体" w:cs="宋体"/>
          <w:b/>
          <w:bCs/>
          <w:color w:val="auto"/>
          <w:sz w:val="21"/>
          <w:szCs w:val="21"/>
          <w:highlight w:val="none"/>
        </w:rPr>
        <w:t>。</w:t>
      </w:r>
    </w:p>
    <w:p>
      <w:pPr>
        <w:keepNext w:val="0"/>
        <w:keepLines w:val="0"/>
        <w:pageBreakBefore w:val="0"/>
        <w:kinsoku/>
        <w:overflowPunct/>
        <w:topLinePunct w:val="0"/>
        <w:autoSpaceDE/>
        <w:autoSpaceDN/>
        <w:bidi w:val="0"/>
        <w:adjustRightInd w:val="0"/>
        <w:spacing w:line="400" w:lineRule="exact"/>
        <w:textAlignment w:val="auto"/>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eastAsia="zh-CN"/>
        </w:rPr>
        <w:t>八</w:t>
      </w:r>
      <w:r>
        <w:rPr>
          <w:rFonts w:hint="eastAsia" w:ascii="宋体" w:hAnsi="宋体" w:eastAsia="宋体" w:cs="宋体"/>
          <w:b/>
          <w:color w:val="auto"/>
          <w:sz w:val="21"/>
          <w:szCs w:val="21"/>
          <w:highlight w:val="none"/>
        </w:rPr>
        <w:t>、对本次采购提出询问、质疑、投诉，请按以下方式联系</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1.采购人信息</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    称：</w:t>
      </w:r>
      <w:r>
        <w:rPr>
          <w:rFonts w:hint="eastAsia" w:ascii="宋体" w:hAnsi="宋体" w:eastAsia="宋体" w:cs="宋体"/>
          <w:color w:val="auto"/>
          <w:szCs w:val="21"/>
          <w:highlight w:val="none"/>
          <w:lang w:val="en-US" w:eastAsia="zh-CN"/>
        </w:rPr>
        <w:t>瑞安市安阳街道办事处</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rPr>
        <w:t>地    址：</w:t>
      </w:r>
      <w:r>
        <w:rPr>
          <w:rFonts w:hint="eastAsia" w:ascii="宋体" w:hAnsi="宋体" w:eastAsia="宋体" w:cs="宋体"/>
          <w:color w:val="auto"/>
          <w:szCs w:val="21"/>
          <w:highlight w:val="none"/>
          <w:lang w:eastAsia="zh-CN"/>
        </w:rPr>
        <w:t>瑞安市</w:t>
      </w:r>
      <w:r>
        <w:rPr>
          <w:rFonts w:hint="eastAsia" w:ascii="宋体" w:hAnsi="宋体" w:eastAsia="宋体" w:cs="宋体"/>
          <w:color w:val="auto"/>
          <w:szCs w:val="21"/>
          <w:highlight w:val="none"/>
          <w:lang w:val="en-US" w:eastAsia="zh-CN"/>
        </w:rPr>
        <w:t>商城大道150号</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传    真： /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项目联系人（询问）：</w:t>
      </w:r>
      <w:r>
        <w:rPr>
          <w:rFonts w:hint="eastAsia" w:ascii="宋体" w:hAnsi="宋体" w:eastAsia="宋体" w:cs="宋体"/>
          <w:color w:val="auto"/>
          <w:szCs w:val="21"/>
          <w:highlight w:val="none"/>
          <w:lang w:val="en-US" w:eastAsia="zh-CN"/>
        </w:rPr>
        <w:t>李先生</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项目联系方式（询问）：</w:t>
      </w:r>
      <w:r>
        <w:rPr>
          <w:rFonts w:hint="eastAsia" w:ascii="宋体" w:hAnsi="宋体" w:eastAsia="宋体" w:cs="宋体"/>
          <w:color w:val="auto"/>
          <w:szCs w:val="21"/>
          <w:highlight w:val="none"/>
          <w:lang w:val="en-US" w:eastAsia="zh-CN"/>
        </w:rPr>
        <w:t>0577-65876077</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质疑联系人：</w:t>
      </w:r>
      <w:r>
        <w:rPr>
          <w:rFonts w:hint="eastAsia" w:ascii="宋体" w:hAnsi="宋体" w:eastAsia="宋体" w:cs="宋体"/>
          <w:color w:val="auto"/>
          <w:szCs w:val="21"/>
          <w:highlight w:val="none"/>
          <w:lang w:val="en-US" w:eastAsia="zh-CN"/>
        </w:rPr>
        <w:t>李先生</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质疑联系方式：</w:t>
      </w:r>
      <w:r>
        <w:rPr>
          <w:rFonts w:hint="eastAsia" w:ascii="宋体" w:hAnsi="宋体" w:eastAsia="宋体" w:cs="宋体"/>
          <w:color w:val="auto"/>
          <w:szCs w:val="21"/>
          <w:highlight w:val="none"/>
          <w:lang w:val="en-US" w:eastAsia="zh-CN"/>
        </w:rPr>
        <w:t>0577-65876077</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2.采购代理机构信息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名    称：</w:t>
      </w:r>
      <w:r>
        <w:rPr>
          <w:rFonts w:hint="eastAsia" w:ascii="宋体" w:hAnsi="宋体" w:cs="宋体"/>
          <w:color w:val="auto"/>
          <w:szCs w:val="21"/>
          <w:highlight w:val="none"/>
          <w:lang w:eastAsia="zh-CN"/>
        </w:rPr>
        <w:t>浙江凯宝工程项目管理有限公司</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    址：</w:t>
      </w:r>
      <w:r>
        <w:rPr>
          <w:rFonts w:hint="eastAsia" w:ascii="宋体" w:hAnsi="宋体" w:cs="宋体"/>
          <w:color w:val="auto"/>
          <w:szCs w:val="21"/>
          <w:highlight w:val="none"/>
          <w:lang w:eastAsia="zh-CN"/>
        </w:rPr>
        <w:t>浙江省温州市瑞安市高尔大厦1幢902室</w:t>
      </w:r>
      <w:r>
        <w:rPr>
          <w:rFonts w:hint="eastAsia" w:ascii="宋体" w:hAnsi="宋体" w:eastAsia="宋体" w:cs="宋体"/>
          <w:color w:val="auto"/>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传    真： /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项目联系人（询问）：</w:t>
      </w:r>
      <w:r>
        <w:rPr>
          <w:rFonts w:hint="eastAsia" w:ascii="宋体" w:hAnsi="宋体" w:cs="宋体"/>
          <w:b w:val="0"/>
          <w:bCs w:val="0"/>
          <w:color w:val="auto"/>
          <w:szCs w:val="21"/>
          <w:highlight w:val="none"/>
          <w:lang w:val="en-US" w:eastAsia="zh-CN"/>
        </w:rPr>
        <w:t>王建利</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项目联系方式（询问）：</w:t>
      </w:r>
      <w:r>
        <w:rPr>
          <w:rFonts w:hint="eastAsia" w:ascii="宋体" w:hAnsi="宋体" w:cs="宋体"/>
          <w:b w:val="0"/>
          <w:bCs w:val="0"/>
          <w:color w:val="auto"/>
          <w:szCs w:val="21"/>
          <w:highlight w:val="none"/>
          <w:lang w:val="en-US" w:eastAsia="zh-CN"/>
        </w:rPr>
        <w:t>17757750625</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质疑联系人：</w:t>
      </w:r>
      <w:r>
        <w:rPr>
          <w:rFonts w:hint="eastAsia" w:ascii="宋体" w:hAnsi="宋体" w:cs="宋体"/>
          <w:color w:val="auto"/>
          <w:szCs w:val="21"/>
          <w:highlight w:val="none"/>
          <w:lang w:val="en-US" w:eastAsia="zh-CN"/>
        </w:rPr>
        <w:t>吴成德</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rPr>
        <w:t>质疑联系方式：</w:t>
      </w:r>
      <w:r>
        <w:rPr>
          <w:rFonts w:hint="eastAsia" w:ascii="宋体" w:hAnsi="宋体" w:cs="宋体"/>
          <w:b w:val="0"/>
          <w:bCs w:val="0"/>
          <w:color w:val="auto"/>
          <w:szCs w:val="21"/>
          <w:highlight w:val="none"/>
          <w:lang w:val="en-US" w:eastAsia="zh-CN"/>
        </w:rPr>
        <w:t>18312932529</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3.同级政府采购监督管理部门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 xml:space="preserve">名    称： </w:t>
      </w:r>
      <w:r>
        <w:rPr>
          <w:rFonts w:hint="eastAsia" w:ascii="宋体" w:hAnsi="宋体" w:eastAsia="宋体" w:cs="宋体"/>
          <w:color w:val="auto"/>
          <w:szCs w:val="21"/>
          <w:highlight w:val="none"/>
          <w:lang w:eastAsia="zh-CN"/>
        </w:rPr>
        <w:t>瑞安市财政局政府采购监管科</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地    址： 瑞安市万松东路379号瑞安财税大楼1505室</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传    真：</w:t>
      </w: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0577-65822153</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系</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人 ：</w:t>
      </w:r>
      <w:r>
        <w:rPr>
          <w:rFonts w:hint="eastAsia" w:ascii="宋体" w:hAnsi="宋体" w:cs="宋体"/>
          <w:color w:val="auto"/>
          <w:szCs w:val="21"/>
          <w:highlight w:val="none"/>
          <w:lang w:eastAsia="zh-CN"/>
        </w:rPr>
        <w:t>施女士</w:t>
      </w:r>
      <w:r>
        <w:rPr>
          <w:rFonts w:hint="eastAsia" w:ascii="宋体" w:hAnsi="宋体" w:eastAsia="宋体" w:cs="宋体"/>
          <w:color w:val="auto"/>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监督投诉电话：</w:t>
      </w:r>
      <w:r>
        <w:rPr>
          <w:rFonts w:hint="eastAsia" w:ascii="宋体" w:hAnsi="宋体" w:cs="宋体"/>
          <w:color w:val="auto"/>
          <w:szCs w:val="21"/>
          <w:highlight w:val="none"/>
          <w:lang w:val="en-US" w:eastAsia="zh-CN"/>
        </w:rPr>
        <w:t xml:space="preserve">0577-65827567 </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rPr>
        <w:t xml:space="preserve">     </w:t>
      </w:r>
    </w:p>
    <w:p>
      <w:pPr>
        <w:pStyle w:val="14"/>
        <w:spacing w:line="360" w:lineRule="auto"/>
        <w:ind w:firstLine="723" w:firstLineChars="200"/>
        <w:jc w:val="center"/>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br w:type="page"/>
      </w:r>
      <w:bookmarkStart w:id="12" w:name="_Toc14250"/>
      <w:bookmarkStart w:id="13" w:name="_Toc650"/>
      <w:r>
        <w:rPr>
          <w:rFonts w:hint="eastAsia" w:ascii="Times New Roman" w:hAnsi="宋体" w:eastAsia="宋体" w:cs="宋体"/>
          <w:b/>
          <w:bCs/>
          <w:color w:val="auto"/>
          <w:kern w:val="44"/>
          <w:sz w:val="36"/>
          <w:szCs w:val="36"/>
          <w:highlight w:val="none"/>
          <w:lang w:val="en-US" w:eastAsia="zh-CN" w:bidi="ar-SA"/>
        </w:rPr>
        <w:t>第二部分</w:t>
      </w:r>
      <w:bookmarkEnd w:id="7"/>
      <w:r>
        <w:rPr>
          <w:rFonts w:hint="eastAsia" w:ascii="Times New Roman" w:hAnsi="宋体" w:eastAsia="宋体" w:cs="宋体"/>
          <w:b/>
          <w:bCs/>
          <w:color w:val="auto"/>
          <w:kern w:val="44"/>
          <w:sz w:val="36"/>
          <w:szCs w:val="36"/>
          <w:highlight w:val="none"/>
          <w:lang w:val="en-US" w:eastAsia="zh-CN" w:bidi="ar-SA"/>
        </w:rPr>
        <w:t xml:space="preserve"> 磋商供应商须知</w:t>
      </w:r>
      <w:bookmarkEnd w:id="8"/>
      <w:bookmarkEnd w:id="12"/>
      <w:bookmarkEnd w:id="13"/>
    </w:p>
    <w:p>
      <w:pPr>
        <w:snapToGrid w:val="0"/>
        <w:spacing w:line="360" w:lineRule="auto"/>
        <w:jc w:val="center"/>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前附表</w:t>
      </w:r>
    </w:p>
    <w:tbl>
      <w:tblPr>
        <w:tblStyle w:val="21"/>
        <w:tblW w:w="0" w:type="auto"/>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57" w:type="dxa"/>
          <w:left w:w="108" w:type="dxa"/>
          <w:bottom w:w="57" w:type="dxa"/>
          <w:right w:w="108" w:type="dxa"/>
        </w:tblCellMar>
      </w:tblPr>
      <w:tblGrid>
        <w:gridCol w:w="748"/>
        <w:gridCol w:w="1890"/>
        <w:gridCol w:w="609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330" w:hRule="atLeast"/>
          <w:jc w:val="center"/>
        </w:trPr>
        <w:tc>
          <w:tcPr>
            <w:tcW w:w="748" w:type="dxa"/>
            <w:vAlign w:val="center"/>
          </w:tcPr>
          <w:p>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项号</w:t>
            </w:r>
          </w:p>
        </w:tc>
        <w:tc>
          <w:tcPr>
            <w:tcW w:w="1890" w:type="dxa"/>
            <w:vAlign w:val="center"/>
          </w:tcPr>
          <w:p>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内容</w:t>
            </w:r>
          </w:p>
        </w:tc>
        <w:tc>
          <w:tcPr>
            <w:tcW w:w="6091" w:type="dxa"/>
            <w:vAlign w:val="center"/>
          </w:tcPr>
          <w:p>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说明与要求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330" w:hRule="atLeast"/>
          <w:jc w:val="center"/>
        </w:trPr>
        <w:tc>
          <w:tcPr>
            <w:tcW w:w="748" w:type="dxa"/>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890" w:type="dxa"/>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6091" w:type="dxa"/>
            <w:vAlign w:val="center"/>
          </w:tcPr>
          <w:p>
            <w:pPr>
              <w:spacing w:line="360" w:lineRule="auto"/>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瑞安市安阳街道望江菜市场周边环境整治提升工程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330" w:hRule="atLeast"/>
          <w:jc w:val="center"/>
        </w:trPr>
        <w:tc>
          <w:tcPr>
            <w:tcW w:w="748" w:type="dxa"/>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890" w:type="dxa"/>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w:t>
            </w:r>
          </w:p>
        </w:tc>
        <w:tc>
          <w:tcPr>
            <w:tcW w:w="6091" w:type="dxa"/>
            <w:vAlign w:val="center"/>
          </w:tcPr>
          <w:p>
            <w:pPr>
              <w:spacing w:line="360" w:lineRule="auto"/>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KBCG20240713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820" w:hRule="atLeast"/>
          <w:jc w:val="center"/>
        </w:trPr>
        <w:tc>
          <w:tcPr>
            <w:tcW w:w="748" w:type="dxa"/>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890" w:type="dxa"/>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采购方式</w:t>
            </w:r>
            <w:r>
              <w:rPr>
                <w:rFonts w:hint="eastAsia" w:ascii="宋体" w:hAnsi="宋体" w:eastAsia="宋体" w:cs="宋体"/>
                <w:color w:val="auto"/>
                <w:sz w:val="21"/>
                <w:szCs w:val="21"/>
                <w:highlight w:val="none"/>
                <w:lang w:eastAsia="zh-CN"/>
              </w:rPr>
              <w:t>及评标方法</w:t>
            </w:r>
          </w:p>
        </w:tc>
        <w:tc>
          <w:tcPr>
            <w:tcW w:w="6091" w:type="dxa"/>
            <w:vAlign w:val="center"/>
          </w:tcPr>
          <w:p>
            <w:pPr>
              <w:spacing w:line="360" w:lineRule="auto"/>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eastAsia="zh-CN"/>
              </w:rPr>
              <w:t>竞争性磋商；综合评分法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90" w:hRule="atLeast"/>
          <w:jc w:val="center"/>
        </w:trPr>
        <w:tc>
          <w:tcPr>
            <w:tcW w:w="748" w:type="dxa"/>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890" w:type="dxa"/>
            <w:vAlign w:val="center"/>
          </w:tcPr>
          <w:p>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预算</w:t>
            </w:r>
            <w:r>
              <w:rPr>
                <w:rFonts w:hint="eastAsia" w:ascii="宋体" w:hAnsi="宋体" w:eastAsia="宋体" w:cs="宋体"/>
                <w:color w:val="000000"/>
                <w:sz w:val="21"/>
                <w:szCs w:val="21"/>
                <w:highlight w:val="none"/>
                <w:lang w:eastAsia="zh-CN"/>
              </w:rPr>
              <w:t>金额</w:t>
            </w:r>
            <w:r>
              <w:rPr>
                <w:rFonts w:hint="eastAsia" w:ascii="宋体" w:hAnsi="宋体" w:eastAsia="宋体" w:cs="宋体"/>
                <w:color w:val="000000"/>
                <w:sz w:val="21"/>
                <w:szCs w:val="21"/>
                <w:highlight w:val="none"/>
              </w:rPr>
              <w:t>及最高限价</w:t>
            </w:r>
          </w:p>
        </w:tc>
        <w:tc>
          <w:tcPr>
            <w:tcW w:w="6091" w:type="dxa"/>
            <w:vAlign w:val="center"/>
          </w:tcPr>
          <w:p>
            <w:pPr>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预算金额</w:t>
            </w:r>
            <w:r>
              <w:rPr>
                <w:rFonts w:hint="eastAsia" w:ascii="宋体" w:hAnsi="宋体" w:eastAsia="宋体" w:cs="宋体"/>
                <w:color w:val="000000"/>
                <w:sz w:val="21"/>
                <w:szCs w:val="21"/>
                <w:highlight w:val="none"/>
                <w:lang w:eastAsia="zh-CN"/>
              </w:rPr>
              <w:t>：</w:t>
            </w:r>
            <w:r>
              <w:rPr>
                <w:rFonts w:hint="eastAsia" w:ascii="宋体" w:hAnsi="宋体" w:cs="宋体"/>
                <w:color w:val="000000"/>
                <w:sz w:val="21"/>
                <w:szCs w:val="21"/>
                <w:highlight w:val="none"/>
                <w:lang w:val="en-US" w:eastAsia="zh-CN"/>
              </w:rPr>
              <w:t>3131047</w:t>
            </w:r>
          </w:p>
          <w:p>
            <w:pPr>
              <w:spacing w:line="360" w:lineRule="auto"/>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最高限价：</w:t>
            </w:r>
            <w:r>
              <w:rPr>
                <w:rFonts w:hint="eastAsia" w:ascii="宋体" w:hAnsi="宋体" w:cs="宋体"/>
                <w:color w:val="000000"/>
                <w:sz w:val="21"/>
                <w:szCs w:val="21"/>
                <w:highlight w:val="none"/>
                <w:lang w:val="en-US" w:eastAsia="zh-CN"/>
              </w:rPr>
              <w:t>3131047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330" w:hRule="atLeast"/>
          <w:jc w:val="center"/>
        </w:trPr>
        <w:tc>
          <w:tcPr>
            <w:tcW w:w="748" w:type="dxa"/>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890" w:type="dxa"/>
            <w:vAlign w:val="center"/>
          </w:tcPr>
          <w:p>
            <w:pPr>
              <w:adjustRightIn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是否专门面向</w:t>
            </w:r>
          </w:p>
          <w:p>
            <w:pPr>
              <w:adjustRightIn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中小企业采购</w:t>
            </w:r>
          </w:p>
        </w:tc>
        <w:tc>
          <w:tcPr>
            <w:tcW w:w="6091" w:type="dxa"/>
            <w:vAlign w:val="top"/>
          </w:tcPr>
          <w:p>
            <w:pPr>
              <w:widowControl/>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根据《政府采购促进中小企业发展管理办法》（财库[2020]46号）规定，本项目属于</w:t>
            </w:r>
            <w:r>
              <w:rPr>
                <w:rFonts w:hint="eastAsia" w:ascii="宋体" w:hAnsi="宋体" w:eastAsia="宋体" w:cs="宋体"/>
                <w:color w:val="auto"/>
                <w:sz w:val="21"/>
                <w:szCs w:val="21"/>
                <w:highlight w:val="none"/>
                <w:lang w:eastAsia="zh-CN"/>
              </w:rPr>
              <w:t>：</w:t>
            </w:r>
          </w:p>
          <w:p>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eq \o\ac(</w:instrText>
            </w:r>
            <w:r>
              <w:rPr>
                <w:rFonts w:hint="eastAsia" w:ascii="宋体" w:hAnsi="宋体" w:eastAsia="宋体" w:cs="宋体"/>
                <w:color w:val="auto"/>
                <w:position w:val="-4"/>
                <w:sz w:val="31"/>
                <w:szCs w:val="21"/>
                <w:highlight w:val="none"/>
              </w:rPr>
              <w:instrText xml:space="preserve">□</w:instrText>
            </w:r>
            <w:r>
              <w:rPr>
                <w:rFonts w:hint="eastAsia" w:ascii="宋体" w:hAnsi="宋体" w:eastAsia="宋体" w:cs="宋体"/>
                <w:color w:val="auto"/>
                <w:position w:val="0"/>
                <w:sz w:val="21"/>
                <w:szCs w:val="21"/>
                <w:highlight w:val="none"/>
                <w:lang w:eastAsia="zh-CN"/>
              </w:rPr>
              <w:instrText xml:space="preserve">,√</w:instrText>
            </w:r>
            <w:r>
              <w:rPr>
                <w:rFonts w:hint="eastAsia" w:ascii="宋体" w:hAnsi="宋体" w:eastAsia="宋体" w:cs="宋体"/>
                <w:color w:val="auto"/>
                <w:position w:val="0"/>
                <w:sz w:val="21"/>
                <w:szCs w:val="21"/>
                <w:highlight w:val="none"/>
              </w:rPr>
              <w:instrText xml:space="preserve">)</w:instrTex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预留份额专门面向中小企业采购</w:t>
            </w:r>
          </w:p>
          <w:p>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eq \o\ac(</w:instrText>
            </w:r>
            <w:r>
              <w:rPr>
                <w:rFonts w:hint="eastAsia" w:ascii="宋体" w:hAnsi="宋体" w:eastAsia="宋体" w:cs="宋体"/>
                <w:color w:val="auto"/>
                <w:position w:val="-4"/>
                <w:sz w:val="31"/>
                <w:szCs w:val="21"/>
                <w:highlight w:val="none"/>
              </w:rPr>
              <w:instrText xml:space="preserve">□</w:instrText>
            </w:r>
            <w:r>
              <w:rPr>
                <w:rFonts w:hint="eastAsia" w:ascii="宋体" w:hAnsi="宋体" w:eastAsia="宋体" w:cs="宋体"/>
                <w:color w:val="auto"/>
                <w:position w:val="0"/>
                <w:sz w:val="21"/>
                <w:szCs w:val="21"/>
                <w:highlight w:val="none"/>
              </w:rPr>
              <w:instrText xml:space="preserve">)</w:instrTex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部分预留份额项目面向中小企业采购</w:t>
            </w:r>
          </w:p>
          <w:p>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eq \o\ac(</w:instrText>
            </w:r>
            <w:r>
              <w:rPr>
                <w:rFonts w:hint="eastAsia" w:ascii="宋体" w:hAnsi="宋体" w:eastAsia="宋体" w:cs="宋体"/>
                <w:color w:val="auto"/>
                <w:position w:val="-4"/>
                <w:sz w:val="31"/>
                <w:szCs w:val="21"/>
                <w:highlight w:val="none"/>
              </w:rPr>
              <w:instrText xml:space="preserve">□</w:instrText>
            </w:r>
            <w:r>
              <w:rPr>
                <w:rFonts w:hint="eastAsia" w:ascii="宋体" w:hAnsi="宋体" w:eastAsia="宋体" w:cs="宋体"/>
                <w:color w:val="auto"/>
                <w:position w:val="0"/>
                <w:sz w:val="21"/>
                <w:szCs w:val="21"/>
                <w:highlight w:val="none"/>
              </w:rPr>
              <w:instrText xml:space="preserve">)</w:instrTex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未预留份额专门面向中小企业采购</w:t>
            </w:r>
          </w:p>
          <w:p>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针对本项目的相关规定：</w:t>
            </w:r>
          </w:p>
          <w:p>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本项目对符合《政府采购促进中小企业发展管理办法》（财库〔20</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〕46号）规定的小微企业报价给予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
                <w:iCs/>
                <w:color w:val="auto"/>
                <w:sz w:val="21"/>
                <w:szCs w:val="21"/>
                <w:highlight w:val="none"/>
                <w:lang w:eastAsia="zh-CN"/>
              </w:rPr>
              <w:t>（</w:t>
            </w:r>
            <w:r>
              <w:rPr>
                <w:rFonts w:hint="eastAsia" w:ascii="宋体" w:hAnsi="宋体" w:cs="宋体"/>
                <w:i/>
                <w:iCs/>
                <w:color w:val="auto"/>
                <w:sz w:val="21"/>
                <w:szCs w:val="21"/>
                <w:highlight w:val="none"/>
                <w:lang w:val="en-US" w:eastAsia="zh-CN"/>
              </w:rPr>
              <w:t>3</w:t>
            </w:r>
            <w:r>
              <w:rPr>
                <w:rFonts w:hint="eastAsia" w:ascii="宋体" w:hAnsi="宋体" w:eastAsia="宋体" w:cs="宋体"/>
                <w:i/>
                <w:iCs/>
                <w:color w:val="auto"/>
                <w:sz w:val="21"/>
                <w:szCs w:val="21"/>
                <w:highlight w:val="none"/>
              </w:rPr>
              <w:t>%</w:t>
            </w:r>
            <w:r>
              <w:rPr>
                <w:rFonts w:hint="eastAsia" w:ascii="宋体" w:hAnsi="宋体" w:eastAsia="宋体" w:cs="宋体"/>
                <w:i/>
                <w:iCs/>
                <w:color w:val="auto"/>
                <w:sz w:val="21"/>
                <w:szCs w:val="21"/>
                <w:highlight w:val="none"/>
                <w:lang w:eastAsia="zh-CN"/>
              </w:rPr>
              <w:t>—</w:t>
            </w:r>
            <w:r>
              <w:rPr>
                <w:rFonts w:hint="eastAsia" w:ascii="宋体" w:hAnsi="宋体" w:cs="宋体"/>
                <w:i/>
                <w:iCs/>
                <w:color w:val="auto"/>
                <w:sz w:val="21"/>
                <w:szCs w:val="21"/>
                <w:highlight w:val="none"/>
                <w:lang w:val="en-US" w:eastAsia="zh-CN"/>
              </w:rPr>
              <w:t>5</w:t>
            </w:r>
            <w:r>
              <w:rPr>
                <w:rFonts w:hint="eastAsia" w:ascii="宋体" w:hAnsi="宋体" w:eastAsia="宋体" w:cs="宋体"/>
                <w:i/>
                <w:iCs/>
                <w:color w:val="auto"/>
                <w:sz w:val="21"/>
                <w:szCs w:val="21"/>
                <w:highlight w:val="none"/>
                <w:lang w:val="en-US" w:eastAsia="zh-CN"/>
              </w:rPr>
              <w:t>%</w:t>
            </w:r>
            <w:r>
              <w:rPr>
                <w:rFonts w:hint="eastAsia" w:ascii="宋体" w:hAnsi="宋体" w:eastAsia="宋体" w:cs="宋体"/>
                <w:i/>
                <w:iCs/>
                <w:color w:val="auto"/>
                <w:sz w:val="21"/>
                <w:szCs w:val="21"/>
                <w:highlight w:val="none"/>
                <w:lang w:eastAsia="zh-CN"/>
              </w:rPr>
              <w:t>）</w:t>
            </w:r>
            <w:r>
              <w:rPr>
                <w:rFonts w:hint="eastAsia" w:ascii="宋体" w:hAnsi="宋体" w:eastAsia="宋体" w:cs="宋体"/>
                <w:color w:val="auto"/>
                <w:sz w:val="21"/>
                <w:szCs w:val="21"/>
                <w:highlight w:val="none"/>
              </w:rPr>
              <w:t>的扣除，用扣除后的价格参加评审。接受大中型企业与小微企业组成联合体或者允许大中型企业向一家或者多家小微企业分包的采购项目，对于联合协议或者分包意向协议约定小微企业的合同份额占到合同总金额30%以上的，采购单位、采购代理机构应结合项目实际，对联合体或者大中型企业的报价</w:t>
            </w:r>
            <w:r>
              <w:rPr>
                <w:rFonts w:hint="eastAsia" w:ascii="宋体" w:hAnsi="宋体" w:eastAsia="宋体" w:cs="宋体"/>
                <w:color w:val="auto"/>
                <w:sz w:val="21"/>
                <w:szCs w:val="21"/>
                <w:highlight w:val="none"/>
                <w:lang w:eastAsia="zh-CN"/>
              </w:rPr>
              <w:t>给予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
                <w:iCs/>
                <w:color w:val="auto"/>
                <w:sz w:val="21"/>
                <w:szCs w:val="21"/>
                <w:highlight w:val="none"/>
                <w:lang w:eastAsia="zh-CN"/>
              </w:rPr>
              <w:t>（</w:t>
            </w:r>
            <w:r>
              <w:rPr>
                <w:rFonts w:hint="eastAsia" w:ascii="宋体" w:hAnsi="宋体" w:cs="宋体"/>
                <w:i/>
                <w:iCs/>
                <w:color w:val="auto"/>
                <w:sz w:val="21"/>
                <w:szCs w:val="21"/>
                <w:highlight w:val="none"/>
                <w:lang w:val="en-US" w:eastAsia="zh-CN"/>
              </w:rPr>
              <w:t>1</w:t>
            </w:r>
            <w:r>
              <w:rPr>
                <w:rFonts w:hint="eastAsia" w:ascii="宋体" w:hAnsi="宋体" w:eastAsia="宋体" w:cs="宋体"/>
                <w:i/>
                <w:iCs/>
                <w:color w:val="auto"/>
                <w:sz w:val="21"/>
                <w:szCs w:val="21"/>
                <w:highlight w:val="none"/>
                <w:lang w:val="en-US" w:eastAsia="zh-CN"/>
              </w:rPr>
              <w:t>%-</w:t>
            </w:r>
            <w:r>
              <w:rPr>
                <w:rFonts w:hint="eastAsia" w:ascii="宋体" w:hAnsi="宋体" w:cs="宋体"/>
                <w:i/>
                <w:iCs/>
                <w:color w:val="auto"/>
                <w:sz w:val="21"/>
                <w:szCs w:val="21"/>
                <w:highlight w:val="none"/>
                <w:lang w:val="en-US" w:eastAsia="zh-CN"/>
              </w:rPr>
              <w:t>2</w:t>
            </w:r>
            <w:r>
              <w:rPr>
                <w:rFonts w:hint="eastAsia" w:ascii="宋体" w:hAnsi="宋体" w:eastAsia="宋体" w:cs="宋体"/>
                <w:i/>
                <w:iCs/>
                <w:color w:val="auto"/>
                <w:sz w:val="21"/>
                <w:szCs w:val="21"/>
                <w:highlight w:val="none"/>
                <w:lang w:val="en-US" w:eastAsia="zh-CN"/>
              </w:rPr>
              <w:t>%</w:t>
            </w:r>
            <w:r>
              <w:rPr>
                <w:rFonts w:hint="eastAsia" w:ascii="宋体" w:hAnsi="宋体" w:eastAsia="宋体" w:cs="宋体"/>
                <w:i/>
                <w:iCs/>
                <w:color w:val="auto"/>
                <w:sz w:val="21"/>
                <w:szCs w:val="21"/>
                <w:highlight w:val="none"/>
                <w:lang w:eastAsia="zh-CN"/>
              </w:rPr>
              <w:t>）</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 xml:space="preserve">扣除，用扣除后的价格参加评审。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330" w:hRule="atLeast"/>
          <w:jc w:val="center"/>
        </w:trPr>
        <w:tc>
          <w:tcPr>
            <w:tcW w:w="748" w:type="dxa"/>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890" w:type="dxa"/>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项目属性</w:t>
            </w:r>
          </w:p>
        </w:tc>
        <w:tc>
          <w:tcPr>
            <w:tcW w:w="6091" w:type="dxa"/>
            <w:vAlign w:val="center"/>
          </w:tcPr>
          <w:p>
            <w:pPr>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SA"/>
              </w:rPr>
              <w:sym w:font="Wingdings" w:char="00A8"/>
            </w:r>
            <w:r>
              <w:rPr>
                <w:rFonts w:hint="eastAsia" w:ascii="宋体" w:hAnsi="宋体" w:eastAsia="宋体" w:cs="宋体"/>
                <w:color w:val="auto"/>
                <w:kern w:val="0"/>
                <w:sz w:val="21"/>
                <w:szCs w:val="21"/>
                <w:highlight w:val="none"/>
              </w:rPr>
              <w:t>A货物类，单一产品或核心产品为：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SA"/>
              </w:rPr>
              <w:sym w:font="Wingdings" w:char="00A8"/>
            </w:r>
            <w:r>
              <w:rPr>
                <w:rFonts w:hint="eastAsia" w:ascii="宋体" w:hAnsi="宋体" w:eastAsia="宋体" w:cs="宋体"/>
                <w:color w:val="auto"/>
                <w:kern w:val="0"/>
                <w:sz w:val="21"/>
                <w:szCs w:val="21"/>
                <w:highlight w:val="none"/>
              </w:rPr>
              <w:t>B服务类。</w:t>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SA"/>
              </w:rPr>
              <w:sym w:font="Wingdings" w:char="00FE"/>
            </w:r>
            <w:r>
              <w:rPr>
                <w:rFonts w:hint="eastAsia" w:ascii="宋体" w:hAnsi="宋体" w:eastAsia="宋体" w:cs="宋体"/>
                <w:color w:val="auto"/>
                <w:kern w:val="0"/>
                <w:sz w:val="21"/>
                <w:szCs w:val="21"/>
                <w:highlight w:val="none"/>
                <w:lang w:val="en-US" w:eastAsia="zh-CN"/>
              </w:rPr>
              <w:t>C工程</w:t>
            </w:r>
            <w:r>
              <w:rPr>
                <w:rFonts w:hint="eastAsia" w:ascii="宋体" w:hAnsi="宋体" w:eastAsia="宋体" w:cs="宋体"/>
                <w:color w:val="auto"/>
                <w:kern w:val="0"/>
                <w:sz w:val="21"/>
                <w:szCs w:val="21"/>
                <w:highlight w:val="none"/>
              </w:rPr>
              <w:t>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330" w:hRule="atLeast"/>
          <w:jc w:val="center"/>
        </w:trPr>
        <w:tc>
          <w:tcPr>
            <w:tcW w:w="748" w:type="dxa"/>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890" w:type="dxa"/>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采购标的及其对应的中小企业划分标准所属行业</w:t>
            </w:r>
          </w:p>
        </w:tc>
        <w:tc>
          <w:tcPr>
            <w:tcW w:w="6091" w:type="dxa"/>
            <w:vAlign w:val="center"/>
          </w:tcPr>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（1）标的：</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仿宋_GB2312"/>
                <w:sz w:val="21"/>
                <w:szCs w:val="21"/>
                <w:u w:val="single"/>
                <w:lang w:val="en-US" w:eastAsia="zh-CN"/>
              </w:rPr>
              <w:t>瑞安市安阳街道望江菜市场周边环境整治提升工程</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；属于</w:t>
            </w:r>
            <w:r>
              <w:rPr>
                <w:rFonts w:hint="eastAsia" w:ascii="宋体" w:hAnsi="宋体" w:eastAsia="宋体" w:cs="宋体"/>
                <w:color w:val="auto"/>
                <w:sz w:val="21"/>
                <w:szCs w:val="21"/>
                <w:highlight w:val="none"/>
                <w:u w:val="single"/>
                <w:lang w:val="en-US" w:eastAsia="zh-CN"/>
              </w:rPr>
              <w:t xml:space="preserve"> 建筑业 </w:t>
            </w:r>
            <w:r>
              <w:rPr>
                <w:rFonts w:hint="eastAsia" w:ascii="宋体" w:hAnsi="宋体" w:eastAsia="宋体" w:cs="宋体"/>
                <w:color w:val="auto"/>
                <w:sz w:val="21"/>
                <w:szCs w:val="21"/>
                <w:highlight w:val="none"/>
                <w:lang w:val="en-US" w:eastAsia="zh-CN"/>
              </w:rPr>
              <w:t>。</w:t>
            </w:r>
          </w:p>
          <w:p>
            <w:pPr>
              <w:pStyle w:val="13"/>
              <w:ind w:left="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SA"/>
              </w:rPr>
              <w:t>注：中小企业的划分标准依据《关于印发中小企业划型标准规定的通知》（工信部联企业〔2011〕300号）文件执行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521" w:hRule="atLeast"/>
          <w:jc w:val="center"/>
        </w:trPr>
        <w:tc>
          <w:tcPr>
            <w:tcW w:w="748" w:type="dxa"/>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1890" w:type="dxa"/>
            <w:vAlign w:val="center"/>
          </w:tcPr>
          <w:p>
            <w:pPr>
              <w:adjustRightIn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是否允许</w:t>
            </w:r>
          </w:p>
          <w:p>
            <w:pPr>
              <w:adjustRightIn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采购进口产品</w:t>
            </w:r>
          </w:p>
        </w:tc>
        <w:tc>
          <w:tcPr>
            <w:tcW w:w="6091" w:type="dxa"/>
            <w:vAlign w:val="center"/>
          </w:tcPr>
          <w:p>
            <w:pPr>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sym w:font="Wingdings" w:char="00FE"/>
            </w:r>
            <w:r>
              <w:rPr>
                <w:rFonts w:hint="eastAsia" w:ascii="宋体" w:hAnsi="宋体" w:eastAsia="宋体" w:cs="宋体"/>
                <w:color w:val="auto"/>
                <w:kern w:val="0"/>
                <w:sz w:val="21"/>
                <w:szCs w:val="21"/>
                <w:highlight w:val="none"/>
              </w:rPr>
              <w:t>本项目不允许采购进口产品。</w:t>
            </w:r>
          </w:p>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sym w:font="Wingdings" w:char="00A8"/>
            </w:r>
            <w:r>
              <w:rPr>
                <w:rFonts w:hint="eastAsia" w:ascii="宋体" w:hAnsi="宋体" w:eastAsia="宋体" w:cs="宋体"/>
                <w:color w:val="auto"/>
                <w:kern w:val="0"/>
                <w:sz w:val="21"/>
                <w:szCs w:val="21"/>
                <w:highlight w:val="none"/>
              </w:rPr>
              <w:t>可以采购进口产品，优先采购向我国企业转让技术、与我国企业签订消化吸收再创新方案的供应商的进口产品；如果因信息不对称等原因，仍有满足需求的国内产品要求参与采购竞争的，采购人及其委托的采购代理机构不</w:t>
            </w:r>
            <w:r>
              <w:rPr>
                <w:rFonts w:hint="eastAsia" w:ascii="宋体" w:hAnsi="宋体" w:eastAsia="宋体" w:cs="宋体"/>
                <w:color w:val="auto"/>
                <w:kern w:val="0"/>
                <w:sz w:val="21"/>
                <w:szCs w:val="21"/>
                <w:highlight w:val="none"/>
                <w:lang w:eastAsia="zh-CN"/>
              </w:rPr>
              <w:t>会</w:t>
            </w:r>
            <w:r>
              <w:rPr>
                <w:rFonts w:hint="eastAsia" w:ascii="宋体" w:hAnsi="宋体" w:eastAsia="宋体" w:cs="宋体"/>
                <w:color w:val="auto"/>
                <w:kern w:val="0"/>
                <w:sz w:val="21"/>
                <w:szCs w:val="21"/>
                <w:highlight w:val="none"/>
              </w:rPr>
              <w:t>对其加以限制，将按照公平竞争原则实施采购。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521" w:hRule="atLeast"/>
          <w:jc w:val="center"/>
        </w:trPr>
        <w:tc>
          <w:tcPr>
            <w:tcW w:w="748" w:type="dxa"/>
            <w:vAlign w:val="center"/>
          </w:tcPr>
          <w:p>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9</w:t>
            </w:r>
          </w:p>
        </w:tc>
        <w:tc>
          <w:tcPr>
            <w:tcW w:w="1890" w:type="dxa"/>
            <w:vAlign w:val="center"/>
          </w:tcPr>
          <w:p>
            <w:pPr>
              <w:adjustRightIn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是否允许分包</w:t>
            </w:r>
          </w:p>
        </w:tc>
        <w:tc>
          <w:tcPr>
            <w:tcW w:w="6091" w:type="dxa"/>
            <w:vAlign w:val="center"/>
          </w:tcPr>
          <w:p>
            <w:pPr>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eq \o\ac(</w:instrText>
            </w:r>
            <w:r>
              <w:rPr>
                <w:rFonts w:hint="eastAsia" w:ascii="宋体" w:hAnsi="宋体" w:eastAsia="宋体" w:cs="宋体"/>
                <w:color w:val="auto"/>
                <w:position w:val="-4"/>
                <w:sz w:val="31"/>
                <w:szCs w:val="21"/>
                <w:highlight w:val="none"/>
              </w:rPr>
              <w:instrText xml:space="preserve">□</w:instrText>
            </w:r>
            <w:r>
              <w:rPr>
                <w:rFonts w:hint="eastAsia" w:ascii="宋体" w:hAnsi="宋体" w:eastAsia="宋体" w:cs="宋体"/>
                <w:color w:val="auto"/>
                <w:position w:val="0"/>
                <w:sz w:val="21"/>
                <w:szCs w:val="21"/>
                <w:highlight w:val="none"/>
              </w:rPr>
              <w:instrText xml:space="preserve">,√)</w:instrTex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不</w:t>
            </w:r>
            <w:r>
              <w:rPr>
                <w:rFonts w:hint="eastAsia" w:ascii="宋体" w:hAnsi="宋体" w:eastAsia="宋体" w:cs="宋体"/>
                <w:color w:val="auto"/>
                <w:sz w:val="21"/>
                <w:szCs w:val="21"/>
                <w:highlight w:val="none"/>
                <w:lang w:eastAsia="zh-CN"/>
              </w:rPr>
              <w:t>允许</w:t>
            </w:r>
            <w:r>
              <w:rPr>
                <w:rFonts w:hint="eastAsia" w:ascii="宋体" w:hAnsi="宋体" w:eastAsia="宋体" w:cs="宋体"/>
                <w:color w:val="auto"/>
                <w:sz w:val="21"/>
                <w:szCs w:val="21"/>
                <w:highlight w:val="none"/>
              </w:rPr>
              <w:t>分包。</w:t>
            </w:r>
          </w:p>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eq \o\ac(</w:instrText>
            </w:r>
            <w:r>
              <w:rPr>
                <w:rFonts w:hint="eastAsia" w:ascii="宋体" w:hAnsi="宋体" w:eastAsia="宋体" w:cs="宋体"/>
                <w:color w:val="auto"/>
                <w:position w:val="-4"/>
                <w:sz w:val="31"/>
                <w:szCs w:val="21"/>
                <w:highlight w:val="none"/>
              </w:rPr>
              <w:instrText xml:space="preserve">□</w:instrText>
            </w:r>
            <w:r>
              <w:rPr>
                <w:rFonts w:hint="eastAsia" w:ascii="宋体" w:hAnsi="宋体" w:eastAsia="宋体" w:cs="宋体"/>
                <w:color w:val="auto"/>
                <w:position w:val="0"/>
                <w:sz w:val="21"/>
                <w:szCs w:val="21"/>
                <w:highlight w:val="none"/>
              </w:rPr>
              <w:instrText xml:space="preserve">)</w:instrText>
            </w:r>
            <w:r>
              <w:rPr>
                <w:rFonts w:hint="eastAsia" w:ascii="宋体" w:hAnsi="宋体" w:eastAsia="宋体" w:cs="宋体"/>
                <w:color w:val="auto"/>
                <w:sz w:val="21"/>
                <w:szCs w:val="21"/>
                <w:highlight w:val="none"/>
              </w:rPr>
              <w:fldChar w:fldCharType="end"/>
            </w:r>
            <w:r>
              <w:rPr>
                <w:rFonts w:hint="eastAsia" w:ascii="宋体" w:hAnsi="宋体" w:eastAsia="宋体" w:cs="宋体"/>
                <w:color w:val="auto"/>
                <w:kern w:val="0"/>
                <w:sz w:val="21"/>
                <w:szCs w:val="21"/>
                <w:highlight w:val="none"/>
                <w:lang w:eastAsia="zh-CN"/>
              </w:rPr>
              <w:t>允许</w:t>
            </w:r>
            <w:r>
              <w:rPr>
                <w:rFonts w:hint="eastAsia" w:ascii="宋体" w:hAnsi="宋体" w:eastAsia="宋体" w:cs="宋体"/>
                <w:color w:val="auto"/>
                <w:kern w:val="0"/>
                <w:sz w:val="21"/>
                <w:szCs w:val="21"/>
                <w:highlight w:val="none"/>
              </w:rPr>
              <w:t>将非主体、非关键性的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工作分包。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330" w:hRule="atLeast"/>
          <w:jc w:val="center"/>
        </w:trPr>
        <w:tc>
          <w:tcPr>
            <w:tcW w:w="748" w:type="dxa"/>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1890" w:type="dxa"/>
            <w:vAlign w:val="center"/>
          </w:tcPr>
          <w:p>
            <w:pPr>
              <w:adjustRightIn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是否接受</w:t>
            </w:r>
          </w:p>
          <w:p>
            <w:pPr>
              <w:adjustRightIn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联合体投标</w:t>
            </w:r>
          </w:p>
        </w:tc>
        <w:tc>
          <w:tcPr>
            <w:tcW w:w="6091" w:type="dxa"/>
            <w:vAlign w:val="center"/>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eq \o\ac(</w:instrText>
            </w:r>
            <w:r>
              <w:rPr>
                <w:rFonts w:hint="eastAsia" w:ascii="宋体" w:hAnsi="宋体" w:eastAsia="宋体" w:cs="宋体"/>
                <w:color w:val="auto"/>
                <w:position w:val="-4"/>
                <w:sz w:val="31"/>
                <w:szCs w:val="21"/>
                <w:highlight w:val="none"/>
              </w:rPr>
              <w:instrText xml:space="preserve">□</w:instrText>
            </w:r>
            <w:r>
              <w:rPr>
                <w:rFonts w:hint="eastAsia" w:ascii="宋体" w:hAnsi="宋体" w:eastAsia="宋体" w:cs="宋体"/>
                <w:color w:val="auto"/>
                <w:position w:val="0"/>
                <w:sz w:val="21"/>
                <w:szCs w:val="21"/>
                <w:highlight w:val="none"/>
              </w:rPr>
              <w:instrText xml:space="preserve">,√)</w:instrTex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不接受</w:t>
            </w:r>
          </w:p>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eq \o\ac(</w:instrText>
            </w:r>
            <w:r>
              <w:rPr>
                <w:rFonts w:hint="eastAsia" w:ascii="宋体" w:hAnsi="宋体" w:eastAsia="宋体" w:cs="宋体"/>
                <w:color w:val="auto"/>
                <w:position w:val="-4"/>
                <w:sz w:val="31"/>
                <w:szCs w:val="21"/>
                <w:highlight w:val="none"/>
              </w:rPr>
              <w:instrText xml:space="preserve">□</w:instrText>
            </w:r>
            <w:r>
              <w:rPr>
                <w:rFonts w:hint="eastAsia" w:ascii="宋体" w:hAnsi="宋体" w:eastAsia="宋体" w:cs="宋体"/>
                <w:color w:val="auto"/>
                <w:position w:val="0"/>
                <w:sz w:val="21"/>
                <w:szCs w:val="21"/>
                <w:highlight w:val="none"/>
              </w:rPr>
              <w:instrText xml:space="preserve">)</w:instrTex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 xml:space="preserve">接受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330" w:hRule="atLeast"/>
          <w:jc w:val="center"/>
        </w:trPr>
        <w:tc>
          <w:tcPr>
            <w:tcW w:w="748" w:type="dxa"/>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1890" w:type="dxa"/>
            <w:vAlign w:val="center"/>
          </w:tcPr>
          <w:p>
            <w:pPr>
              <w:adjustRightInd w:val="0"/>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投标保证金</w:t>
            </w:r>
          </w:p>
        </w:tc>
        <w:tc>
          <w:tcPr>
            <w:tcW w:w="6091" w:type="dxa"/>
            <w:vAlign w:val="center"/>
          </w:tcPr>
          <w:p>
            <w:pPr>
              <w:spacing w:line="36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不需要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330" w:hRule="atLeast"/>
          <w:jc w:val="center"/>
        </w:trPr>
        <w:tc>
          <w:tcPr>
            <w:tcW w:w="748" w:type="dxa"/>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1890" w:type="dxa"/>
            <w:vAlign w:val="center"/>
          </w:tcPr>
          <w:p>
            <w:pPr>
              <w:adjustRightIn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是否需要缴纳</w:t>
            </w:r>
          </w:p>
          <w:p>
            <w:pPr>
              <w:adjustRightInd w:val="0"/>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履约保证金</w:t>
            </w:r>
          </w:p>
        </w:tc>
        <w:tc>
          <w:tcPr>
            <w:tcW w:w="6091" w:type="dxa"/>
            <w:vAlign w:val="center"/>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eq \o\ac(</w:instrText>
            </w:r>
            <w:r>
              <w:rPr>
                <w:rFonts w:hint="eastAsia" w:ascii="宋体" w:hAnsi="宋体" w:eastAsia="宋体" w:cs="宋体"/>
                <w:color w:val="auto"/>
                <w:position w:val="-4"/>
                <w:sz w:val="31"/>
                <w:szCs w:val="21"/>
                <w:highlight w:val="none"/>
              </w:rPr>
              <w:instrText xml:space="preserve">□</w:instrText>
            </w:r>
            <w:r>
              <w:rPr>
                <w:rFonts w:hint="eastAsia" w:ascii="宋体" w:hAnsi="宋体" w:eastAsia="宋体" w:cs="宋体"/>
                <w:color w:val="auto"/>
                <w:position w:val="0"/>
                <w:sz w:val="21"/>
                <w:szCs w:val="21"/>
                <w:highlight w:val="none"/>
              </w:rPr>
              <w:instrText xml:space="preserve">)</w:instrTex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不需要</w:t>
            </w:r>
          </w:p>
          <w:p>
            <w:pPr>
              <w:spacing w:line="36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eq \o\ac(</w:instrText>
            </w:r>
            <w:r>
              <w:rPr>
                <w:rFonts w:hint="eastAsia" w:ascii="宋体" w:hAnsi="宋体" w:eastAsia="宋体" w:cs="宋体"/>
                <w:color w:val="auto"/>
                <w:position w:val="-4"/>
                <w:sz w:val="31"/>
                <w:szCs w:val="21"/>
                <w:highlight w:val="none"/>
              </w:rPr>
              <w:instrText xml:space="preserve">□</w:instrText>
            </w:r>
            <w:r>
              <w:rPr>
                <w:rFonts w:hint="eastAsia" w:ascii="宋体" w:hAnsi="宋体" w:eastAsia="宋体" w:cs="宋体"/>
                <w:color w:val="auto"/>
                <w:position w:val="0"/>
                <w:sz w:val="21"/>
                <w:szCs w:val="21"/>
                <w:highlight w:val="none"/>
                <w:lang w:eastAsia="zh-CN"/>
              </w:rPr>
              <w:instrText xml:space="preserve">,√</w:instrText>
            </w:r>
            <w:r>
              <w:rPr>
                <w:rFonts w:hint="eastAsia" w:ascii="宋体" w:hAnsi="宋体" w:eastAsia="宋体" w:cs="宋体"/>
                <w:color w:val="auto"/>
                <w:position w:val="0"/>
                <w:sz w:val="21"/>
                <w:szCs w:val="21"/>
                <w:highlight w:val="none"/>
              </w:rPr>
              <w:instrText xml:space="preserve">)</w:instrTex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需要</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本项目合同金额的</w:t>
            </w:r>
            <w:r>
              <w:rPr>
                <w:rFonts w:hint="eastAsia" w:ascii="宋体" w:hAnsi="宋体" w:eastAsia="宋体" w:cs="宋体"/>
                <w:color w:val="auto"/>
                <w:sz w:val="21"/>
                <w:szCs w:val="21"/>
                <w:highlight w:val="none"/>
                <w:u w:val="single"/>
                <w:lang w:val="en-US" w:eastAsia="zh-CN"/>
              </w:rPr>
              <w:t xml:space="preserve"> 1 </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rPr>
              <w:t xml:space="preserve"> </w:t>
            </w:r>
            <w:r>
              <w:rPr>
                <w:rFonts w:hint="eastAsia" w:ascii="宋体" w:hAnsi="宋体" w:eastAsia="宋体" w:cs="宋体"/>
                <w:b w:val="0"/>
                <w:bCs w:val="0"/>
                <w:color w:val="auto"/>
                <w:sz w:val="21"/>
                <w:szCs w:val="21"/>
                <w:highlight w:val="none"/>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90" w:hRule="atLeast"/>
          <w:jc w:val="center"/>
        </w:trPr>
        <w:tc>
          <w:tcPr>
            <w:tcW w:w="748" w:type="dxa"/>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1890" w:type="dxa"/>
            <w:vAlign w:val="center"/>
          </w:tcPr>
          <w:p>
            <w:pPr>
              <w:adjustRightIn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预付款</w:t>
            </w:r>
          </w:p>
        </w:tc>
        <w:tc>
          <w:tcPr>
            <w:tcW w:w="6091" w:type="dxa"/>
            <w:vAlign w:val="center"/>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eq \o\ac(</w:instrText>
            </w:r>
            <w:r>
              <w:rPr>
                <w:rFonts w:hint="eastAsia" w:ascii="宋体" w:hAnsi="宋体" w:eastAsia="宋体" w:cs="宋体"/>
                <w:color w:val="auto"/>
                <w:position w:val="-4"/>
                <w:sz w:val="31"/>
                <w:szCs w:val="21"/>
                <w:highlight w:val="none"/>
              </w:rPr>
              <w:instrText xml:space="preserve">□</w:instrText>
            </w:r>
            <w:r>
              <w:rPr>
                <w:rFonts w:hint="eastAsia" w:ascii="宋体" w:hAnsi="宋体" w:eastAsia="宋体" w:cs="宋体"/>
                <w:color w:val="auto"/>
                <w:position w:val="0"/>
                <w:sz w:val="21"/>
                <w:szCs w:val="21"/>
                <w:highlight w:val="none"/>
              </w:rPr>
              <w:instrText xml:space="preserve">,√)</w:instrTex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lang w:val="en-US" w:eastAsia="zh-CN"/>
              </w:rPr>
              <w:t>预付款为本项目采购</w:t>
            </w:r>
            <w:r>
              <w:rPr>
                <w:rFonts w:hint="eastAsia" w:ascii="宋体" w:hAnsi="宋体" w:eastAsia="宋体" w:cs="宋体"/>
                <w:color w:val="auto"/>
                <w:sz w:val="21"/>
                <w:szCs w:val="21"/>
                <w:highlight w:val="none"/>
              </w:rPr>
              <w:t>合同金额的</w:t>
            </w:r>
            <w:r>
              <w:rPr>
                <w:rFonts w:hint="eastAsia" w:ascii="宋体" w:hAnsi="宋体" w:eastAsia="宋体" w:cs="宋体"/>
                <w:color w:val="auto"/>
                <w:sz w:val="21"/>
                <w:szCs w:val="21"/>
                <w:highlight w:val="none"/>
                <w:u w:val="single"/>
                <w:lang w:val="en-US" w:eastAsia="zh-CN"/>
              </w:rPr>
              <w:t xml:space="preserve"> 40 </w:t>
            </w:r>
            <w:r>
              <w:rPr>
                <w:rFonts w:hint="eastAsia" w:ascii="宋体" w:hAnsi="宋体" w:eastAsia="宋体" w:cs="宋体"/>
                <w:color w:val="auto"/>
                <w:sz w:val="21"/>
                <w:szCs w:val="21"/>
                <w:highlight w:val="none"/>
              </w:rPr>
              <w:t>％；</w:t>
            </w:r>
          </w:p>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eq \o\ac(</w:instrText>
            </w:r>
            <w:r>
              <w:rPr>
                <w:rFonts w:hint="eastAsia" w:ascii="宋体" w:hAnsi="宋体" w:eastAsia="宋体" w:cs="宋体"/>
                <w:color w:val="auto"/>
                <w:position w:val="-4"/>
                <w:sz w:val="31"/>
                <w:szCs w:val="21"/>
                <w:highlight w:val="none"/>
              </w:rPr>
              <w:instrText xml:space="preserve">□</w:instrText>
            </w:r>
            <w:r>
              <w:rPr>
                <w:rFonts w:hint="eastAsia" w:ascii="宋体" w:hAnsi="宋体" w:eastAsia="宋体" w:cs="宋体"/>
                <w:color w:val="auto"/>
                <w:position w:val="0"/>
                <w:sz w:val="21"/>
                <w:szCs w:val="21"/>
                <w:highlight w:val="none"/>
              </w:rPr>
              <w:instrText xml:space="preserve">)</w:instrTex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lang w:val="en-US" w:eastAsia="zh-CN"/>
              </w:rPr>
              <w:t>本</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为</w:t>
            </w:r>
            <w:r>
              <w:rPr>
                <w:rFonts w:hint="eastAsia" w:ascii="宋体" w:hAnsi="宋体" w:eastAsia="宋体" w:cs="宋体"/>
                <w:color w:val="auto"/>
                <w:sz w:val="21"/>
                <w:szCs w:val="21"/>
                <w:highlight w:val="none"/>
              </w:rPr>
              <w:t>分年</w:t>
            </w:r>
            <w:r>
              <w:rPr>
                <w:rFonts w:hint="eastAsia" w:ascii="宋体" w:hAnsi="宋体" w:eastAsia="宋体" w:cs="宋体"/>
                <w:color w:val="auto"/>
                <w:sz w:val="21"/>
                <w:szCs w:val="21"/>
                <w:highlight w:val="none"/>
                <w:lang w:val="en-US" w:eastAsia="zh-CN"/>
              </w:rPr>
              <w:t>度</w:t>
            </w:r>
            <w:r>
              <w:rPr>
                <w:rFonts w:hint="eastAsia" w:ascii="宋体" w:hAnsi="宋体" w:eastAsia="宋体" w:cs="宋体"/>
                <w:color w:val="auto"/>
                <w:sz w:val="21"/>
                <w:szCs w:val="21"/>
                <w:highlight w:val="none"/>
              </w:rPr>
              <w:t>安排预算，每年预付款为项目年度计划支付资金额的</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pPr>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eq \o\ac(</w:instrText>
            </w:r>
            <w:r>
              <w:rPr>
                <w:rFonts w:hint="eastAsia" w:ascii="宋体" w:hAnsi="宋体" w:eastAsia="宋体" w:cs="宋体"/>
                <w:color w:val="auto"/>
                <w:position w:val="-4"/>
                <w:sz w:val="31"/>
                <w:szCs w:val="21"/>
                <w:highlight w:val="none"/>
              </w:rPr>
              <w:instrText xml:space="preserve">□</w:instrText>
            </w:r>
            <w:r>
              <w:rPr>
                <w:rFonts w:hint="eastAsia" w:ascii="宋体" w:hAnsi="宋体" w:eastAsia="宋体" w:cs="宋体"/>
                <w:color w:val="auto"/>
                <w:position w:val="0"/>
                <w:sz w:val="21"/>
                <w:szCs w:val="21"/>
                <w:highlight w:val="none"/>
              </w:rPr>
              <w:instrText xml:space="preserve">)</w:instrTex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lang w:val="en-US" w:eastAsia="zh-CN"/>
              </w:rPr>
              <w:t>本</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为</w:t>
            </w:r>
            <w:r>
              <w:rPr>
                <w:rFonts w:hint="eastAsia" w:ascii="宋体" w:hAnsi="宋体" w:eastAsia="宋体" w:cs="宋体"/>
                <w:color w:val="auto"/>
                <w:sz w:val="21"/>
                <w:szCs w:val="21"/>
                <w:highlight w:val="none"/>
              </w:rPr>
              <w:t>实施以人工投入为主</w:t>
            </w:r>
            <w:r>
              <w:rPr>
                <w:rFonts w:hint="eastAsia" w:ascii="宋体" w:hAnsi="宋体" w:eastAsia="宋体" w:cs="宋体"/>
                <w:color w:val="auto"/>
                <w:sz w:val="21"/>
                <w:szCs w:val="21"/>
                <w:highlight w:val="none"/>
                <w:lang w:val="en-US" w:eastAsia="zh-CN"/>
              </w:rPr>
              <w:t>且按月支付，不约定预付款。</w:t>
            </w:r>
          </w:p>
          <w:p>
            <w:pPr>
              <w:pStyle w:val="9"/>
              <w:ind w:left="0" w:left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eq \o\ac(</w:instrText>
            </w:r>
            <w:r>
              <w:rPr>
                <w:rFonts w:hint="eastAsia" w:ascii="宋体" w:hAnsi="宋体" w:eastAsia="宋体" w:cs="宋体"/>
                <w:color w:val="auto"/>
                <w:position w:val="-4"/>
                <w:sz w:val="31"/>
                <w:szCs w:val="21"/>
                <w:highlight w:val="none"/>
              </w:rPr>
              <w:instrText xml:space="preserve">□</w:instrText>
            </w:r>
            <w:r>
              <w:rPr>
                <w:rFonts w:hint="eastAsia" w:ascii="宋体" w:hAnsi="宋体" w:eastAsia="宋体" w:cs="宋体"/>
                <w:color w:val="auto"/>
                <w:position w:val="0"/>
                <w:sz w:val="21"/>
                <w:szCs w:val="21"/>
                <w:highlight w:val="none"/>
              </w:rPr>
              <w:instrText xml:space="preserve">)</w:instrTex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lang w:val="en-US" w:eastAsia="zh-CN"/>
              </w:rPr>
              <w:t>成交供应商如为大型企业，采购人可不约定预付款。</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330" w:hRule="atLeast"/>
          <w:jc w:val="center"/>
        </w:trPr>
        <w:tc>
          <w:tcPr>
            <w:tcW w:w="748" w:type="dxa"/>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1890" w:type="dxa"/>
            <w:vAlign w:val="center"/>
          </w:tcPr>
          <w:p>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投标有效期</w:t>
            </w:r>
          </w:p>
        </w:tc>
        <w:tc>
          <w:tcPr>
            <w:tcW w:w="6091" w:type="dxa"/>
            <w:vAlign w:val="center"/>
          </w:tcPr>
          <w:p>
            <w:pPr>
              <w:spacing w:line="36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提交</w:t>
            </w:r>
            <w:r>
              <w:rPr>
                <w:rFonts w:hint="eastAsia" w:ascii="宋体" w:hAnsi="宋体" w:eastAsia="宋体" w:cs="宋体"/>
                <w:color w:val="auto"/>
                <w:sz w:val="21"/>
                <w:szCs w:val="21"/>
                <w:highlight w:val="none"/>
                <w:lang w:eastAsia="zh-CN"/>
              </w:rPr>
              <w:t>磋商响应文件</w:t>
            </w:r>
            <w:r>
              <w:rPr>
                <w:rFonts w:hint="eastAsia" w:ascii="宋体" w:hAnsi="宋体" w:eastAsia="宋体" w:cs="宋体"/>
                <w:color w:val="auto"/>
                <w:sz w:val="21"/>
                <w:szCs w:val="21"/>
                <w:highlight w:val="none"/>
              </w:rPr>
              <w:t>截止之日起</w:t>
            </w:r>
            <w:r>
              <w:rPr>
                <w:rFonts w:hint="eastAsia" w:ascii="宋体" w:hAnsi="宋体" w:eastAsia="宋体" w:cs="宋体"/>
                <w:color w:val="auto"/>
                <w:sz w:val="21"/>
                <w:szCs w:val="21"/>
                <w:highlight w:val="none"/>
                <w:u w:val="single"/>
                <w:lang w:val="en-US" w:eastAsia="zh-CN"/>
              </w:rPr>
              <w:t xml:space="preserve"> 60 </w:t>
            </w:r>
            <w:r>
              <w:rPr>
                <w:rFonts w:hint="eastAsia" w:ascii="宋体" w:hAnsi="宋体" w:eastAsia="宋体" w:cs="宋体"/>
                <w:color w:val="auto"/>
                <w:sz w:val="21"/>
                <w:szCs w:val="21"/>
                <w:highlight w:val="none"/>
                <w:u w:val="none"/>
                <w:lang w:eastAsia="zh-CN"/>
              </w:rPr>
              <w:t>日</w:t>
            </w:r>
            <w:r>
              <w:rPr>
                <w:rFonts w:hint="eastAsia" w:ascii="宋体" w:hAnsi="宋体" w:eastAsia="宋体" w:cs="宋体"/>
                <w:color w:val="auto"/>
                <w:sz w:val="21"/>
                <w:szCs w:val="21"/>
                <w:highlight w:val="none"/>
              </w:rPr>
              <w:t>内有效。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521" w:hRule="atLeast"/>
          <w:jc w:val="center"/>
        </w:trPr>
        <w:tc>
          <w:tcPr>
            <w:tcW w:w="748" w:type="dxa"/>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w:t>
            </w:r>
          </w:p>
        </w:tc>
        <w:tc>
          <w:tcPr>
            <w:tcW w:w="1890" w:type="dxa"/>
            <w:vAlign w:val="center"/>
          </w:tcPr>
          <w:p>
            <w:pPr>
              <w:snapToGrid w:val="0"/>
              <w:spacing w:line="360" w:lineRule="auto"/>
              <w:jc w:val="center"/>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val="0"/>
                <w:bCs/>
                <w:color w:val="auto"/>
                <w:sz w:val="21"/>
                <w:szCs w:val="21"/>
                <w:highlight w:val="none"/>
              </w:rPr>
              <w:t>开标前答疑会或现场考察</w:t>
            </w:r>
          </w:p>
        </w:tc>
        <w:tc>
          <w:tcPr>
            <w:tcW w:w="6091" w:type="dxa"/>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eq \o\ac(</w:instrText>
            </w:r>
            <w:r>
              <w:rPr>
                <w:rFonts w:hint="eastAsia" w:ascii="宋体" w:hAnsi="宋体" w:eastAsia="宋体" w:cs="宋体"/>
                <w:color w:val="auto"/>
                <w:position w:val="-4"/>
                <w:sz w:val="31"/>
                <w:szCs w:val="21"/>
                <w:highlight w:val="none"/>
              </w:rPr>
              <w:instrText xml:space="preserve">□</w:instrText>
            </w:r>
            <w:r>
              <w:rPr>
                <w:rFonts w:hint="eastAsia" w:ascii="宋体" w:hAnsi="宋体" w:eastAsia="宋体" w:cs="宋体"/>
                <w:color w:val="auto"/>
                <w:position w:val="0"/>
                <w:sz w:val="21"/>
                <w:szCs w:val="21"/>
                <w:highlight w:val="none"/>
                <w:lang w:eastAsia="zh-CN"/>
              </w:rPr>
              <w:instrText xml:space="preserve">,√</w:instrText>
            </w:r>
            <w:r>
              <w:rPr>
                <w:rFonts w:hint="eastAsia" w:ascii="宋体" w:hAnsi="宋体" w:eastAsia="宋体" w:cs="宋体"/>
                <w:color w:val="auto"/>
                <w:position w:val="0"/>
                <w:sz w:val="21"/>
                <w:szCs w:val="21"/>
                <w:highlight w:val="none"/>
              </w:rPr>
              <w:instrText xml:space="preserve">)</w:instrText>
            </w:r>
            <w:r>
              <w:rPr>
                <w:rFonts w:hint="eastAsia" w:ascii="宋体" w:hAnsi="宋体" w:eastAsia="宋体" w:cs="宋体"/>
                <w:color w:val="auto"/>
                <w:sz w:val="21"/>
                <w:szCs w:val="21"/>
                <w:highlight w:val="none"/>
              </w:rPr>
              <w:fldChar w:fldCharType="end"/>
            </w:r>
            <w:r>
              <w:rPr>
                <w:rFonts w:hint="eastAsia" w:ascii="宋体" w:hAnsi="宋体" w:eastAsia="宋体" w:cs="宋体"/>
                <w:color w:val="auto"/>
                <w:kern w:val="0"/>
                <w:sz w:val="21"/>
                <w:szCs w:val="21"/>
                <w:highlight w:val="none"/>
              </w:rPr>
              <w:t>A</w:t>
            </w:r>
            <w:r>
              <w:rPr>
                <w:rFonts w:hint="eastAsia" w:ascii="宋体" w:hAnsi="宋体" w:eastAsia="宋体" w:cs="宋体"/>
                <w:color w:val="auto"/>
                <w:sz w:val="21"/>
                <w:szCs w:val="21"/>
                <w:highlight w:val="none"/>
              </w:rPr>
              <w:t>不组织。</w:t>
            </w:r>
          </w:p>
          <w:p>
            <w:pPr>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eq \o\ac(</w:instrText>
            </w:r>
            <w:r>
              <w:rPr>
                <w:rFonts w:hint="eastAsia" w:ascii="宋体" w:hAnsi="宋体" w:eastAsia="宋体" w:cs="宋体"/>
                <w:color w:val="auto"/>
                <w:position w:val="-4"/>
                <w:sz w:val="31"/>
                <w:szCs w:val="21"/>
                <w:highlight w:val="none"/>
              </w:rPr>
              <w:instrText xml:space="preserve">□</w:instrText>
            </w:r>
            <w:r>
              <w:rPr>
                <w:rFonts w:hint="eastAsia" w:ascii="宋体" w:hAnsi="宋体" w:eastAsia="宋体" w:cs="宋体"/>
                <w:color w:val="auto"/>
                <w:position w:val="0"/>
                <w:sz w:val="21"/>
                <w:szCs w:val="21"/>
                <w:highlight w:val="none"/>
              </w:rPr>
              <w:instrText xml:space="preserve">)</w:instrText>
            </w:r>
            <w:r>
              <w:rPr>
                <w:rFonts w:hint="eastAsia" w:ascii="宋体" w:hAnsi="宋体" w:eastAsia="宋体" w:cs="宋体"/>
                <w:color w:val="auto"/>
                <w:sz w:val="21"/>
                <w:szCs w:val="21"/>
                <w:highlight w:val="none"/>
              </w:rPr>
              <w:fldChar w:fldCharType="end"/>
            </w:r>
            <w:r>
              <w:rPr>
                <w:rFonts w:hint="eastAsia" w:ascii="宋体" w:hAnsi="宋体" w:eastAsia="宋体" w:cs="宋体"/>
                <w:color w:val="auto"/>
                <w:kern w:val="0"/>
                <w:sz w:val="21"/>
                <w:szCs w:val="21"/>
                <w:highlight w:val="none"/>
              </w:rPr>
              <w:t>B组织，</w:t>
            </w:r>
            <w:r>
              <w:rPr>
                <w:rFonts w:hint="eastAsia" w:ascii="宋体" w:hAnsi="宋体" w:eastAsia="宋体" w:cs="宋体"/>
                <w:color w:val="auto"/>
                <w:sz w:val="21"/>
                <w:szCs w:val="21"/>
                <w:highlight w:val="none"/>
              </w:rPr>
              <w:t>时间：</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，联系方式：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521" w:hRule="atLeast"/>
          <w:jc w:val="center"/>
        </w:trPr>
        <w:tc>
          <w:tcPr>
            <w:tcW w:w="748" w:type="dxa"/>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1890" w:type="dxa"/>
            <w:vAlign w:val="center"/>
          </w:tcPr>
          <w:p>
            <w:pPr>
              <w:snapToGrid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节能产品、环境标志产品</w:t>
            </w:r>
          </w:p>
        </w:tc>
        <w:tc>
          <w:tcPr>
            <w:tcW w:w="6091" w:type="dxa"/>
            <w:vAlign w:val="center"/>
          </w:tcPr>
          <w:p>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pPr>
              <w:snapToGrid w:val="0"/>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属于强制采购节能产品的，必须提供节能产品认证证书。</w:t>
            </w:r>
          </w:p>
          <w:p>
            <w:pPr>
              <w:spacing w:line="360" w:lineRule="auto"/>
              <w:ind w:firstLine="420" w:firstLineChars="200"/>
              <w:rPr>
                <w:rFonts w:hint="eastAsia" w:ascii="宋体" w:hAnsi="宋体" w:eastAsia="宋体" w:cs="宋体"/>
                <w:color w:val="auto"/>
                <w:kern w:val="0"/>
                <w:sz w:val="21"/>
                <w:szCs w:val="21"/>
                <w:highlight w:val="none"/>
                <w:lang w:val="en-US"/>
              </w:rPr>
            </w:pPr>
            <w:r>
              <w:rPr>
                <w:rFonts w:hint="eastAsia" w:ascii="宋体" w:hAnsi="宋体" w:eastAsia="宋体" w:cs="宋体"/>
                <w:color w:val="auto"/>
                <w:sz w:val="21"/>
                <w:szCs w:val="21"/>
                <w:highlight w:val="none"/>
                <w:lang w:val="en-US" w:eastAsia="zh-CN"/>
              </w:rPr>
              <w:t>产品清单：</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lang w:val="en-US" w:eastAsia="zh-CN"/>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521" w:hRule="atLeast"/>
          <w:jc w:val="center"/>
        </w:trPr>
        <w:tc>
          <w:tcPr>
            <w:tcW w:w="748" w:type="dxa"/>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1890" w:type="dxa"/>
            <w:vAlign w:val="center"/>
          </w:tcPr>
          <w:p>
            <w:pPr>
              <w:snapToGrid w:val="0"/>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提交</w:t>
            </w:r>
            <w:r>
              <w:rPr>
                <w:rFonts w:hint="eastAsia" w:ascii="宋体" w:hAnsi="宋体" w:eastAsia="宋体" w:cs="宋体"/>
                <w:bCs/>
                <w:color w:val="auto"/>
                <w:sz w:val="21"/>
                <w:szCs w:val="21"/>
                <w:highlight w:val="none"/>
                <w:lang w:eastAsia="zh-CN"/>
              </w:rPr>
              <w:t>磋商响应文件</w:t>
            </w:r>
            <w:r>
              <w:rPr>
                <w:rFonts w:hint="eastAsia" w:ascii="宋体" w:hAnsi="宋体" w:eastAsia="宋体" w:cs="宋体"/>
                <w:bCs/>
                <w:color w:val="auto"/>
                <w:sz w:val="21"/>
                <w:szCs w:val="21"/>
                <w:highlight w:val="none"/>
              </w:rPr>
              <w:t>截止时间及</w:t>
            </w:r>
          </w:p>
          <w:p>
            <w:pPr>
              <w:snapToGrid w:val="0"/>
              <w:spacing w:line="360" w:lineRule="auto"/>
              <w:jc w:val="center"/>
              <w:rPr>
                <w:rFonts w:hint="eastAsia" w:ascii="宋体" w:hAnsi="宋体" w:eastAsia="宋体" w:cs="宋体"/>
                <w:b w:val="0"/>
                <w:bCs/>
                <w:color w:val="auto"/>
                <w:sz w:val="21"/>
                <w:szCs w:val="21"/>
                <w:highlight w:val="none"/>
              </w:rPr>
            </w:pPr>
            <w:r>
              <w:rPr>
                <w:rFonts w:hint="eastAsia" w:ascii="宋体" w:hAnsi="宋体" w:eastAsia="宋体" w:cs="宋体"/>
                <w:bCs/>
                <w:color w:val="auto"/>
                <w:sz w:val="21"/>
                <w:szCs w:val="21"/>
                <w:highlight w:val="none"/>
              </w:rPr>
              <w:t>开标时间</w:t>
            </w:r>
          </w:p>
        </w:tc>
        <w:tc>
          <w:tcPr>
            <w:tcW w:w="6091" w:type="dxa"/>
            <w:vAlign w:val="center"/>
          </w:tcPr>
          <w:p>
            <w:pPr>
              <w:spacing w:line="360" w:lineRule="auto"/>
              <w:rPr>
                <w:rFonts w:hint="eastAsia" w:ascii="宋体" w:hAnsi="宋体" w:eastAsia="宋体" w:cs="宋体"/>
                <w:i/>
                <w:iCs/>
                <w:color w:val="auto"/>
                <w:sz w:val="21"/>
                <w:szCs w:val="21"/>
                <w:highlight w:val="none"/>
                <w:lang w:val="en-US" w:eastAsia="zh-CN"/>
              </w:rPr>
            </w:pPr>
            <w:r>
              <w:rPr>
                <w:rFonts w:hint="eastAsia" w:ascii="宋体" w:hAnsi="宋体" w:eastAsia="宋体" w:cs="宋体"/>
                <w:color w:val="auto"/>
                <w:sz w:val="21"/>
                <w:szCs w:val="21"/>
                <w:highlight w:val="none"/>
                <w:u w:val="none"/>
                <w:lang w:eastAsia="zh-CN"/>
              </w:rPr>
              <w:t>2024年</w:t>
            </w:r>
            <w:r>
              <w:rPr>
                <w:rFonts w:hint="eastAsia" w:ascii="宋体" w:hAnsi="宋体" w:cs="宋体"/>
                <w:color w:val="auto"/>
                <w:sz w:val="21"/>
                <w:szCs w:val="21"/>
                <w:highlight w:val="none"/>
                <w:u w:val="none"/>
                <w:lang w:val="en-US" w:eastAsia="zh-CN"/>
              </w:rPr>
              <w:t>7</w:t>
            </w:r>
            <w:r>
              <w:rPr>
                <w:rFonts w:hint="eastAsia" w:ascii="宋体" w:hAnsi="宋体" w:eastAsia="宋体" w:cs="宋体"/>
                <w:color w:val="auto"/>
                <w:sz w:val="21"/>
                <w:szCs w:val="21"/>
                <w:highlight w:val="none"/>
                <w:u w:val="none"/>
                <w:lang w:eastAsia="zh-CN"/>
              </w:rPr>
              <w:t>月</w:t>
            </w:r>
            <w:r>
              <w:rPr>
                <w:rFonts w:hint="eastAsia" w:ascii="宋体" w:hAnsi="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lang w:eastAsia="zh-CN"/>
              </w:rPr>
              <w:t>日</w:t>
            </w:r>
            <w:r>
              <w:rPr>
                <w:rFonts w:hint="eastAsia" w:ascii="宋体" w:hAnsi="宋体" w:cs="宋体"/>
                <w:color w:val="auto"/>
                <w:sz w:val="21"/>
                <w:szCs w:val="21"/>
                <w:highlight w:val="none"/>
                <w:u w:val="none"/>
                <w:lang w:val="en-US" w:eastAsia="zh-CN"/>
              </w:rPr>
              <w:t>09</w:t>
            </w:r>
            <w:r>
              <w:rPr>
                <w:rFonts w:hint="eastAsia" w:ascii="宋体" w:hAnsi="宋体" w:eastAsia="宋体" w:cs="宋体"/>
                <w:color w:val="auto"/>
                <w:sz w:val="21"/>
                <w:szCs w:val="21"/>
                <w:highlight w:val="none"/>
                <w:u w:val="none"/>
              </w:rPr>
              <w:t>点</w:t>
            </w:r>
            <w:r>
              <w:rPr>
                <w:rFonts w:hint="eastAsia" w:ascii="宋体" w:hAnsi="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bCs/>
                <w:color w:val="auto"/>
                <w:sz w:val="21"/>
                <w:szCs w:val="21"/>
                <w:highlight w:val="none"/>
              </w:rPr>
              <w:t>（北京时间）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521" w:hRule="atLeast"/>
          <w:jc w:val="center"/>
        </w:trPr>
        <w:tc>
          <w:tcPr>
            <w:tcW w:w="748" w:type="dxa"/>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1890" w:type="dxa"/>
            <w:vAlign w:val="center"/>
          </w:tcPr>
          <w:p>
            <w:pPr>
              <w:snapToGrid w:val="0"/>
              <w:spacing w:line="36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特别说明</w:t>
            </w:r>
          </w:p>
        </w:tc>
        <w:tc>
          <w:tcPr>
            <w:tcW w:w="6091" w:type="dxa"/>
            <w:vAlign w:val="center"/>
          </w:tcPr>
          <w:p>
            <w:pPr>
              <w:numPr>
                <w:ilvl w:val="0"/>
                <w:numId w:val="0"/>
              </w:numPr>
              <w:snapToGrid w:val="0"/>
              <w:spacing w:line="360" w:lineRule="auto"/>
              <w:jc w:val="left"/>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b/>
                <w:bCs/>
                <w:color w:val="auto"/>
                <w:szCs w:val="21"/>
                <w:lang w:val="zh-CN"/>
              </w:rPr>
              <w:t>中标（成交）后，成交供应商需提供纸质响应文件一式</w:t>
            </w:r>
            <w:r>
              <w:rPr>
                <w:rFonts w:hint="eastAsia" w:ascii="宋体" w:hAnsi="宋体" w:cs="宋体"/>
                <w:b/>
                <w:bCs/>
                <w:color w:val="auto"/>
                <w:szCs w:val="21"/>
                <w:lang w:val="en-US" w:eastAsia="zh-CN"/>
              </w:rPr>
              <w:t>叁</w:t>
            </w:r>
            <w:r>
              <w:rPr>
                <w:rFonts w:hint="eastAsia" w:ascii="宋体" w:hAnsi="宋体" w:eastAsia="宋体" w:cs="宋体"/>
                <w:b/>
                <w:bCs/>
                <w:color w:val="auto"/>
                <w:szCs w:val="21"/>
                <w:lang w:val="zh-CN"/>
              </w:rPr>
              <w:t>份</w:t>
            </w:r>
            <w:r>
              <w:rPr>
                <w:rFonts w:hint="eastAsia" w:ascii="宋体" w:hAnsi="宋体" w:cs="宋体"/>
                <w:b/>
                <w:bCs/>
                <w:color w:val="auto"/>
                <w:szCs w:val="21"/>
                <w:lang w:val="zh-CN"/>
              </w:rPr>
              <w:t>（一正二副）</w:t>
            </w:r>
            <w:r>
              <w:rPr>
                <w:rFonts w:hint="eastAsia" w:ascii="宋体" w:hAnsi="宋体" w:eastAsia="宋体" w:cs="宋体"/>
                <w:b/>
                <w:bCs/>
                <w:color w:val="auto"/>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57" w:type="dxa"/>
            <w:left w:w="108" w:type="dxa"/>
            <w:bottom w:w="57" w:type="dxa"/>
            <w:right w:w="108" w:type="dxa"/>
          </w:tblCellMar>
        </w:tblPrEx>
        <w:trPr>
          <w:trHeight w:val="521" w:hRule="atLeast"/>
          <w:jc w:val="center"/>
        </w:trPr>
        <w:tc>
          <w:tcPr>
            <w:tcW w:w="748" w:type="dxa"/>
            <w:vAlign w:val="center"/>
          </w:tcPr>
          <w:p>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1890" w:type="dxa"/>
            <w:vAlign w:val="center"/>
          </w:tcPr>
          <w:p>
            <w:pPr>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解释权</w:t>
            </w:r>
          </w:p>
        </w:tc>
        <w:tc>
          <w:tcPr>
            <w:tcW w:w="6091" w:type="dxa"/>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的解释权属于</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采购单位。</w:t>
            </w:r>
          </w:p>
        </w:tc>
      </w:tr>
    </w:tbl>
    <w:p>
      <w:pPr>
        <w:pStyle w:val="2"/>
        <w:rPr>
          <w:rFonts w:hint="eastAsia" w:ascii="宋体" w:hAnsi="宋体" w:eastAsia="宋体" w:cs="宋体"/>
          <w:color w:val="auto"/>
          <w:highlight w:val="none"/>
        </w:rPr>
      </w:pPr>
    </w:p>
    <w:p>
      <w:pPr>
        <w:pStyle w:val="3"/>
        <w:rPr>
          <w:rFonts w:hint="eastAsia" w:ascii="宋体" w:hAnsi="宋体" w:eastAsia="宋体" w:cs="宋体"/>
          <w:color w:val="auto"/>
          <w:highlight w:val="none"/>
        </w:rPr>
      </w:pPr>
    </w:p>
    <w:p>
      <w:pPr>
        <w:pStyle w:val="4"/>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
        <w:rPr>
          <w:rFonts w:hint="eastAsia" w:ascii="宋体" w:hAnsi="宋体" w:eastAsia="宋体" w:cs="宋体"/>
          <w:color w:val="auto"/>
          <w:highlight w:val="none"/>
        </w:rPr>
      </w:pPr>
    </w:p>
    <w:p>
      <w:pPr>
        <w:pStyle w:val="4"/>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
        <w:rPr>
          <w:rFonts w:hint="eastAsia" w:ascii="宋体" w:hAnsi="宋体" w:eastAsia="宋体" w:cs="宋体"/>
          <w:color w:val="auto"/>
          <w:highlight w:val="none"/>
        </w:rPr>
      </w:pPr>
    </w:p>
    <w:p>
      <w:pPr>
        <w:pStyle w:val="4"/>
        <w:rPr>
          <w:rFonts w:hint="eastAsia" w:ascii="宋体" w:hAnsi="宋体" w:eastAsia="宋体" w:cs="宋体"/>
          <w:color w:val="auto"/>
          <w:highlight w:val="none"/>
        </w:rPr>
      </w:pPr>
    </w:p>
    <w:p>
      <w:pPr>
        <w:pStyle w:val="4"/>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
        <w:rPr>
          <w:rFonts w:hint="eastAsia" w:ascii="宋体" w:hAnsi="宋体" w:eastAsia="宋体" w:cs="宋体"/>
          <w:color w:val="auto"/>
          <w:highlight w:val="none"/>
        </w:rPr>
      </w:pPr>
    </w:p>
    <w:p>
      <w:pPr>
        <w:pStyle w:val="4"/>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rPr>
      </w:pPr>
    </w:p>
    <w:p>
      <w:pPr>
        <w:rPr>
          <w:rFonts w:hint="eastAsia" w:ascii="宋体" w:hAnsi="宋体" w:eastAsia="宋体" w:cs="宋体"/>
          <w:color w:val="auto"/>
          <w:highlight w:val="none"/>
        </w:rPr>
      </w:pPr>
    </w:p>
    <w:p>
      <w:pPr>
        <w:pStyle w:val="3"/>
        <w:rPr>
          <w:rFonts w:hint="eastAsia" w:ascii="宋体" w:hAnsi="宋体" w:eastAsia="宋体" w:cs="宋体"/>
          <w:color w:val="auto"/>
          <w:highlight w:val="none"/>
        </w:rPr>
      </w:pPr>
    </w:p>
    <w:p>
      <w:pPr>
        <w:pStyle w:val="4"/>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3"/>
        <w:rPr>
          <w:rFonts w:hint="eastAsia" w:ascii="宋体" w:hAnsi="宋体" w:eastAsia="宋体" w:cs="宋体"/>
          <w:color w:val="auto"/>
          <w:highlight w:val="none"/>
        </w:rPr>
      </w:pPr>
    </w:p>
    <w:p>
      <w:pPr>
        <w:pStyle w:val="4"/>
        <w:rPr>
          <w:rFonts w:hint="eastAsia" w:ascii="宋体" w:hAnsi="宋体" w:eastAsia="宋体" w:cs="宋体"/>
          <w:color w:val="auto"/>
          <w:highlight w:val="none"/>
        </w:rPr>
      </w:pPr>
    </w:p>
    <w:p>
      <w:pPr>
        <w:rPr>
          <w:rFonts w:hint="eastAsia"/>
        </w:rPr>
      </w:pPr>
    </w:p>
    <w:p>
      <w:pPr>
        <w:pStyle w:val="3"/>
        <w:rPr>
          <w:rFonts w:hint="eastAsia" w:ascii="宋体" w:hAnsi="宋体" w:eastAsia="宋体" w:cs="宋体"/>
          <w:color w:val="auto"/>
          <w:highlight w:val="none"/>
        </w:rPr>
      </w:pPr>
    </w:p>
    <w:p>
      <w:pPr>
        <w:pStyle w:val="4"/>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
        <w:rPr>
          <w:rFonts w:hint="eastAsia"/>
          <w:color w:val="auto"/>
          <w:highlight w:val="none"/>
        </w:rPr>
      </w:pPr>
    </w:p>
    <w:p>
      <w:pPr>
        <w:pStyle w:val="3"/>
        <w:rPr>
          <w:rFonts w:hint="eastAsia" w:ascii="宋体" w:hAnsi="宋体" w:eastAsia="宋体" w:cs="宋体"/>
          <w:color w:val="auto"/>
          <w:highlight w:val="none"/>
        </w:rPr>
      </w:pPr>
    </w:p>
    <w:bookmarkEnd w:id="9"/>
    <w:p>
      <w:pPr>
        <w:adjustRightInd/>
        <w:spacing w:line="360" w:lineRule="auto"/>
        <w:jc w:val="center"/>
        <w:outlineLvl w:val="0"/>
        <w:rPr>
          <w:rFonts w:hint="eastAsia" w:ascii="宋体" w:hAnsi="宋体" w:eastAsia="宋体" w:cs="宋体"/>
          <w:b/>
          <w:color w:val="auto"/>
          <w:sz w:val="32"/>
          <w:szCs w:val="20"/>
          <w:highlight w:val="none"/>
        </w:rPr>
      </w:pPr>
      <w:bookmarkStart w:id="14" w:name="_Toc29602"/>
      <w:bookmarkStart w:id="15" w:name="_Toc10212"/>
      <w:bookmarkStart w:id="16" w:name="_Toc164416483"/>
      <w:bookmarkStart w:id="17" w:name="第三部分"/>
      <w:r>
        <w:rPr>
          <w:rFonts w:hint="eastAsia" w:ascii="宋体" w:hAnsi="宋体" w:eastAsia="宋体" w:cs="宋体"/>
          <w:b/>
          <w:color w:val="auto"/>
          <w:sz w:val="32"/>
          <w:szCs w:val="20"/>
          <w:highlight w:val="none"/>
        </w:rPr>
        <w:t>一、总则</w:t>
      </w:r>
      <w:bookmarkEnd w:id="14"/>
      <w:bookmarkEnd w:id="15"/>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cs="宋体"/>
          <w:b/>
          <w:color w:val="auto"/>
          <w:sz w:val="21"/>
          <w:szCs w:val="21"/>
          <w:highlight w:val="none"/>
        </w:rPr>
      </w:pPr>
      <w:r>
        <w:rPr>
          <w:rFonts w:hint="eastAsia" w:ascii="宋体" w:hAnsi="宋体" w:cs="宋体"/>
          <w:b/>
          <w:color w:val="auto"/>
          <w:sz w:val="21"/>
          <w:szCs w:val="21"/>
          <w:highlight w:val="none"/>
        </w:rPr>
        <w:t>适用范围</w:t>
      </w:r>
    </w:p>
    <w:p>
      <w:pPr>
        <w:pageBreakBefore w:val="0"/>
        <w:kinsoku/>
        <w:wordWrap/>
        <w:overflowPunct/>
        <w:topLinePunct w:val="0"/>
        <w:bidi w:val="0"/>
        <w:snapToGrid w:val="0"/>
        <w:spacing w:beforeAutospacing="0" w:line="400" w:lineRule="atLeast"/>
        <w:ind w:left="840" w:leftChars="40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本</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适用于该项目的</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、投标、开标、资格审查及信用信息查询、评标、定标、合同、验收等行为（法律、法规另有规定的，从其规定）。</w:t>
      </w:r>
      <w:r>
        <w:rPr>
          <w:rFonts w:hint="eastAsia" w:ascii="宋体" w:hAnsi="宋体" w:cs="宋体"/>
          <w:color w:val="auto"/>
          <w:sz w:val="21"/>
          <w:szCs w:val="21"/>
          <w:highlight w:val="none"/>
          <w:lang w:val="en-US" w:eastAsia="zh-CN"/>
        </w:rPr>
        <w:t>1</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cs="宋体"/>
          <w:b/>
          <w:color w:val="auto"/>
          <w:sz w:val="21"/>
          <w:szCs w:val="21"/>
          <w:highlight w:val="none"/>
        </w:rPr>
      </w:pPr>
      <w:r>
        <w:rPr>
          <w:rFonts w:hint="eastAsia" w:ascii="宋体" w:hAnsi="宋体" w:cs="宋体"/>
          <w:b/>
          <w:color w:val="auto"/>
          <w:sz w:val="21"/>
          <w:szCs w:val="21"/>
          <w:highlight w:val="none"/>
        </w:rPr>
        <w:t>定义</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“采购人”系指</w:t>
      </w:r>
      <w:r>
        <w:rPr>
          <w:rFonts w:hint="eastAsia" w:ascii="宋体" w:hAnsi="宋体" w:cs="宋体"/>
          <w:color w:val="auto"/>
          <w:sz w:val="21"/>
          <w:szCs w:val="21"/>
          <w:highlight w:val="none"/>
          <w:lang w:val="zh-CN" w:eastAsia="zh-CN"/>
        </w:rPr>
        <w:t>竞争性磋商公告</w:t>
      </w:r>
      <w:r>
        <w:rPr>
          <w:rFonts w:hint="eastAsia" w:ascii="宋体" w:hAnsi="宋体" w:cs="宋体"/>
          <w:color w:val="auto"/>
          <w:sz w:val="21"/>
          <w:szCs w:val="21"/>
          <w:highlight w:val="none"/>
          <w:lang w:val="zh-CN"/>
        </w:rPr>
        <w:t>中载明的本项目的采购人。</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w:t>
      </w:r>
      <w:r>
        <w:rPr>
          <w:rFonts w:hint="eastAsia" w:ascii="宋体" w:hAnsi="宋体" w:cs="宋体"/>
          <w:color w:val="auto"/>
          <w:sz w:val="21"/>
          <w:szCs w:val="21"/>
          <w:highlight w:val="none"/>
          <w:lang w:val="zh-CN" w:eastAsia="zh-CN"/>
        </w:rPr>
        <w:t>采购代理机构</w:t>
      </w:r>
      <w:r>
        <w:rPr>
          <w:rFonts w:hint="eastAsia" w:ascii="宋体" w:hAnsi="宋体" w:cs="宋体"/>
          <w:color w:val="auto"/>
          <w:sz w:val="21"/>
          <w:szCs w:val="21"/>
          <w:highlight w:val="none"/>
          <w:lang w:val="zh-CN"/>
        </w:rPr>
        <w:t>”系指</w:t>
      </w:r>
      <w:r>
        <w:rPr>
          <w:rFonts w:hint="eastAsia" w:ascii="宋体" w:hAnsi="宋体" w:cs="宋体"/>
          <w:color w:val="auto"/>
          <w:sz w:val="21"/>
          <w:szCs w:val="21"/>
          <w:highlight w:val="none"/>
          <w:lang w:val="zh-CN" w:eastAsia="zh-CN"/>
        </w:rPr>
        <w:t>竞争性磋商公告</w:t>
      </w:r>
      <w:r>
        <w:rPr>
          <w:rFonts w:hint="eastAsia" w:ascii="宋体" w:hAnsi="宋体" w:cs="宋体"/>
          <w:color w:val="auto"/>
          <w:sz w:val="21"/>
          <w:szCs w:val="21"/>
          <w:highlight w:val="none"/>
          <w:lang w:val="zh-CN"/>
        </w:rPr>
        <w:t>中载明的本项目的采购</w:t>
      </w:r>
      <w:r>
        <w:rPr>
          <w:rFonts w:hint="eastAsia" w:ascii="宋体" w:hAnsi="宋体" w:cs="宋体"/>
          <w:color w:val="auto"/>
          <w:sz w:val="21"/>
          <w:szCs w:val="21"/>
          <w:highlight w:val="none"/>
          <w:lang w:val="en-US" w:eastAsia="zh-CN"/>
        </w:rPr>
        <w:t>代理</w:t>
      </w:r>
      <w:r>
        <w:rPr>
          <w:rFonts w:hint="eastAsia" w:ascii="宋体" w:hAnsi="宋体" w:cs="宋体"/>
          <w:color w:val="auto"/>
          <w:sz w:val="21"/>
          <w:szCs w:val="21"/>
          <w:highlight w:val="none"/>
          <w:lang w:val="zh-CN"/>
        </w:rPr>
        <w:t>机构。</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w:t>
      </w:r>
      <w:r>
        <w:rPr>
          <w:rFonts w:hint="eastAsia" w:ascii="宋体" w:hAnsi="宋体" w:cs="宋体"/>
          <w:color w:val="auto"/>
          <w:sz w:val="21"/>
          <w:szCs w:val="21"/>
          <w:highlight w:val="none"/>
          <w:lang w:val="zh-CN" w:eastAsia="zh-CN"/>
        </w:rPr>
        <w:t>磋商供应商</w:t>
      </w:r>
      <w:r>
        <w:rPr>
          <w:rFonts w:hint="eastAsia" w:ascii="宋体" w:hAnsi="宋体" w:cs="宋体"/>
          <w:color w:val="auto"/>
          <w:sz w:val="21"/>
          <w:szCs w:val="21"/>
          <w:highlight w:val="none"/>
          <w:lang w:val="zh-CN"/>
        </w:rPr>
        <w:t>”系指是指响应磋商、参加投标竞争的法人、其他组织或者自然人。</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“成交候选供应商”指磋商小组按磋商文件规定的评审办法与规则推荐的成交候选供应商。</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“成交供应商”指在本次竞争性磋商中成交的供应商。</w:t>
      </w:r>
    </w:p>
    <w:p>
      <w:pPr>
        <w:numPr>
          <w:ilvl w:val="1"/>
          <w:numId w:val="3"/>
        </w:numPr>
        <w:snapToGrid w:val="0"/>
        <w:spacing w:line="440" w:lineRule="exact"/>
        <w:jc w:val="both"/>
        <w:rPr>
          <w:rFonts w:hint="eastAsia" w:ascii="宋体" w:hAnsi="宋体" w:eastAsia="宋体" w:cs="宋体"/>
          <w:color w:val="auto"/>
          <w:highlight w:val="none"/>
        </w:rPr>
      </w:pPr>
      <w:r>
        <w:rPr>
          <w:rFonts w:hint="eastAsia" w:ascii="宋体" w:hAnsi="宋体" w:eastAsia="宋体" w:cs="宋体"/>
          <w:color w:val="auto"/>
          <w:highlight w:val="none"/>
        </w:rPr>
        <w:t>磋商小组：磋商小组是依《政府采购法》、《政府采购竞争性磋商采购方式管理暂行办法》组建的专门负责采购评审工作的临时性机构；</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“负责人”系指法人企业的法定负责人，或其他组织为法律、行政法规规定代表单位行使职权的主要负责人，或自然人本人。</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“电子签名”系指数据电文中以电子形式所含、所附用于识别签名人身份并表明签名人认可其中内容的数据；</w:t>
      </w:r>
      <w:r>
        <w:rPr>
          <w:rFonts w:hint="eastAsia" w:ascii="宋体" w:hAnsi="宋体" w:cs="宋体"/>
          <w:color w:val="auto"/>
          <w:sz w:val="21"/>
          <w:szCs w:val="21"/>
          <w:highlight w:val="none"/>
          <w:lang w:val="zh-CN" w:eastAsia="zh-CN"/>
        </w:rPr>
        <w:t>“</w:t>
      </w:r>
      <w:r>
        <w:rPr>
          <w:rFonts w:hint="eastAsia" w:ascii="宋体" w:hAnsi="宋体" w:cs="宋体"/>
          <w:color w:val="auto"/>
          <w:sz w:val="21"/>
          <w:szCs w:val="21"/>
          <w:highlight w:val="none"/>
          <w:lang w:val="zh-CN"/>
        </w:rPr>
        <w:t>公章”系指单位法定名称章。</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“电子交易平台”是指本项目政府采购活动所依托的政府采购云平台（https://www.zcygov.cn/）。</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“▲”系指实质性要求条款，“★”系产品采购项目中单一产品或核心产品，“</w:t>
      </w:r>
      <w:r>
        <w:rPr>
          <w:rFonts w:ascii="Wingdings" w:hAnsi="Wingdings" w:eastAsia="仿宋_GB2312" w:cs="Arial"/>
          <w:color w:val="auto"/>
          <w:kern w:val="0"/>
          <w:sz w:val="21"/>
          <w:szCs w:val="21"/>
          <w:highlight w:val="none"/>
        </w:rPr>
        <w:t></w:t>
      </w:r>
      <w:r>
        <w:rPr>
          <w:rFonts w:hint="eastAsia" w:ascii="宋体" w:hAnsi="宋体" w:cs="宋体"/>
          <w:color w:val="auto"/>
          <w:sz w:val="21"/>
          <w:szCs w:val="21"/>
          <w:highlight w:val="none"/>
          <w:lang w:val="zh-CN" w:eastAsia="zh-CN"/>
        </w:rPr>
        <w:t>”</w:t>
      </w:r>
      <w:r>
        <w:rPr>
          <w:rFonts w:hint="eastAsia" w:ascii="宋体" w:hAnsi="宋体" w:cs="宋体"/>
          <w:color w:val="auto"/>
          <w:sz w:val="21"/>
          <w:szCs w:val="21"/>
          <w:highlight w:val="none"/>
          <w:lang w:val="zh-CN"/>
        </w:rPr>
        <w:t>系指适用本项目的要求，“☐”系指不适用本项目的要求。</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zh-CN" w:eastAsia="zh-CN"/>
        </w:rPr>
        <w:t>磋商供应商</w:t>
      </w:r>
      <w:r>
        <w:rPr>
          <w:rFonts w:hint="eastAsia" w:ascii="宋体" w:hAnsi="宋体" w:cs="宋体"/>
          <w:color w:val="auto"/>
          <w:sz w:val="21"/>
          <w:szCs w:val="21"/>
          <w:highlight w:val="none"/>
          <w:lang w:val="zh-CN"/>
        </w:rPr>
        <w:t>必须对</w:t>
      </w:r>
      <w:r>
        <w:rPr>
          <w:rFonts w:hint="eastAsia" w:ascii="宋体" w:hAnsi="宋体" w:cs="宋体"/>
          <w:color w:val="auto"/>
          <w:sz w:val="21"/>
          <w:szCs w:val="21"/>
          <w:highlight w:val="none"/>
          <w:lang w:val="zh-CN" w:eastAsia="zh-CN"/>
        </w:rPr>
        <w:t>磋商文件</w:t>
      </w:r>
      <w:r>
        <w:rPr>
          <w:rFonts w:hint="eastAsia" w:ascii="宋体" w:hAnsi="宋体" w:cs="宋体"/>
          <w:color w:val="auto"/>
          <w:sz w:val="21"/>
          <w:szCs w:val="21"/>
          <w:highlight w:val="none"/>
          <w:lang w:val="zh-CN"/>
        </w:rPr>
        <w:t>中以“▲”标识的有关技术和商务条款做出实质性响应，否则其响应无效。</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cs="宋体"/>
          <w:b/>
          <w:color w:val="auto"/>
          <w:sz w:val="21"/>
          <w:szCs w:val="21"/>
          <w:highlight w:val="none"/>
        </w:rPr>
      </w:pPr>
      <w:r>
        <w:rPr>
          <w:rFonts w:hint="eastAsia" w:ascii="宋体" w:hAnsi="宋体" w:cs="宋体"/>
          <w:b/>
          <w:color w:val="auto"/>
          <w:sz w:val="21"/>
          <w:szCs w:val="21"/>
          <w:highlight w:val="none"/>
        </w:rPr>
        <w:t>采购项目需要落实的政府采购政策</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本项目原则上采购本国生产的货物、工程和服务，不允许采购进口产品。除非采购人采购进口产品</w:t>
      </w:r>
      <w:r>
        <w:rPr>
          <w:rFonts w:hint="eastAsia" w:ascii="宋体" w:hAnsi="宋体" w:cs="宋体"/>
          <w:color w:val="auto"/>
          <w:sz w:val="21"/>
          <w:szCs w:val="21"/>
          <w:highlight w:val="none"/>
          <w:lang w:val="zh-CN" w:eastAsia="zh-CN"/>
        </w:rPr>
        <w:t>，</w:t>
      </w:r>
      <w:r>
        <w:rPr>
          <w:rFonts w:hint="eastAsia" w:ascii="宋体" w:hAnsi="宋体" w:cs="宋体"/>
          <w:color w:val="auto"/>
          <w:sz w:val="21"/>
          <w:szCs w:val="21"/>
          <w:highlight w:val="none"/>
          <w:lang w:val="zh-CN"/>
        </w:rPr>
        <w:t>已经在采购活动开始前向财政部门提出申请并获得财政部门审核同意，且在</w:t>
      </w:r>
      <w:r>
        <w:rPr>
          <w:rFonts w:hint="eastAsia" w:ascii="宋体" w:hAnsi="宋体" w:cs="宋体"/>
          <w:color w:val="auto"/>
          <w:sz w:val="21"/>
          <w:szCs w:val="21"/>
          <w:highlight w:val="none"/>
          <w:lang w:val="zh-CN" w:eastAsia="zh-CN"/>
        </w:rPr>
        <w:t>“磋商供应商须知”</w:t>
      </w:r>
      <w:r>
        <w:rPr>
          <w:rFonts w:hint="eastAsia" w:ascii="宋体" w:hAnsi="宋体" w:cs="宋体"/>
          <w:color w:val="auto"/>
          <w:sz w:val="21"/>
          <w:szCs w:val="21"/>
          <w:highlight w:val="none"/>
          <w:lang w:val="zh-CN"/>
        </w:rPr>
        <w:t>中明确规定可以采购进口产品</w:t>
      </w:r>
      <w:r>
        <w:rPr>
          <w:rFonts w:hint="eastAsia" w:ascii="宋体" w:hAnsi="宋体" w:cs="宋体"/>
          <w:color w:val="auto"/>
          <w:sz w:val="21"/>
          <w:szCs w:val="21"/>
          <w:highlight w:val="none"/>
          <w:lang w:val="zh-CN" w:eastAsia="zh-CN"/>
        </w:rPr>
        <w:t>，</w:t>
      </w:r>
      <w:r>
        <w:rPr>
          <w:rFonts w:hint="eastAsia" w:ascii="宋体" w:hAnsi="宋体" w:cs="宋体"/>
          <w:color w:val="auto"/>
          <w:sz w:val="21"/>
          <w:szCs w:val="21"/>
          <w:highlight w:val="none"/>
          <w:lang w:val="zh-CN"/>
        </w:rPr>
        <w:t>如果因信息不对称等原因，仍有满足需求的国内产品要求参与采购竞争的，采购人、</w:t>
      </w:r>
      <w:r>
        <w:rPr>
          <w:rFonts w:hint="eastAsia" w:ascii="宋体" w:hAnsi="宋体" w:cs="宋体"/>
          <w:color w:val="auto"/>
          <w:sz w:val="21"/>
          <w:szCs w:val="21"/>
          <w:highlight w:val="none"/>
          <w:lang w:val="zh-CN" w:eastAsia="zh-CN"/>
        </w:rPr>
        <w:t>采购代理机构</w:t>
      </w:r>
      <w:r>
        <w:rPr>
          <w:rFonts w:hint="eastAsia" w:ascii="宋体" w:hAnsi="宋体" w:cs="宋体"/>
          <w:color w:val="auto"/>
          <w:sz w:val="21"/>
          <w:szCs w:val="21"/>
          <w:highlight w:val="none"/>
          <w:lang w:val="zh-CN"/>
        </w:rPr>
        <w:t>不会对其加以限制，仍将按照公平竞争原则实施采购。</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支持绿色发展</w:t>
      </w:r>
    </w:p>
    <w:p>
      <w:pPr>
        <w:pageBreakBefore w:val="0"/>
        <w:numPr>
          <w:ilvl w:val="0"/>
          <w:numId w:val="4"/>
        </w:numPr>
        <w:tabs>
          <w:tab w:val="clear" w:pos="420"/>
        </w:tabs>
        <w:kinsoku/>
        <w:wordWrap/>
        <w:overflowPunct/>
        <w:topLinePunct w:val="0"/>
        <w:bidi w:val="0"/>
        <w:spacing w:beforeAutospacing="0" w:line="400" w:lineRule="atLeast"/>
        <w:ind w:left="825" w:leftChars="0" w:hanging="825" w:firstLineChars="0"/>
        <w:textAlignment w:val="auto"/>
        <w:rPr>
          <w:rFonts w:hint="default" w:ascii="Arial" w:hAnsi="Arial" w:eastAsia="宋体" w:cs="Arial"/>
          <w:b w:val="0"/>
          <w:bCs w:val="0"/>
          <w:color w:val="auto"/>
          <w:sz w:val="21"/>
          <w:szCs w:val="21"/>
          <w:highlight w:val="none"/>
        </w:rPr>
      </w:pPr>
      <w:r>
        <w:rPr>
          <w:rFonts w:hint="default" w:ascii="Arial" w:hAnsi="Arial" w:eastAsia="宋体" w:cs="Arial"/>
          <w:b w:val="0"/>
          <w:bCs w:val="0"/>
          <w:color w:val="auto"/>
          <w:sz w:val="21"/>
          <w:szCs w:val="21"/>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default" w:ascii="Arial" w:hAnsi="Arial" w:eastAsia="宋体" w:cs="Arial"/>
          <w:b w:val="0"/>
          <w:bCs w:val="0"/>
          <w:color w:val="auto"/>
          <w:sz w:val="21"/>
          <w:szCs w:val="21"/>
          <w:highlight w:val="none"/>
          <w:lang w:eastAsia="zh-CN"/>
        </w:rPr>
        <w:t>磋商供应商</w:t>
      </w:r>
      <w:r>
        <w:rPr>
          <w:rFonts w:hint="default" w:ascii="Arial" w:hAnsi="Arial" w:eastAsia="宋体" w:cs="Arial"/>
          <w:b w:val="0"/>
          <w:bCs w:val="0"/>
          <w:color w:val="auto"/>
          <w:sz w:val="21"/>
          <w:szCs w:val="21"/>
          <w:highlight w:val="none"/>
        </w:rPr>
        <w:t>须按</w:t>
      </w:r>
      <w:r>
        <w:rPr>
          <w:rFonts w:hint="default" w:ascii="Arial" w:hAnsi="Arial" w:eastAsia="宋体" w:cs="Arial"/>
          <w:b w:val="0"/>
          <w:bCs w:val="0"/>
          <w:color w:val="auto"/>
          <w:sz w:val="21"/>
          <w:szCs w:val="21"/>
          <w:highlight w:val="none"/>
          <w:lang w:eastAsia="zh-CN"/>
        </w:rPr>
        <w:t>磋商文件</w:t>
      </w:r>
      <w:r>
        <w:rPr>
          <w:rFonts w:hint="default" w:ascii="Arial" w:hAnsi="Arial" w:eastAsia="宋体" w:cs="Arial"/>
          <w:b w:val="0"/>
          <w:bCs w:val="0"/>
          <w:color w:val="auto"/>
          <w:sz w:val="21"/>
          <w:szCs w:val="21"/>
          <w:highlight w:val="none"/>
        </w:rPr>
        <w:t>要求提供相关产品认证证书。采购人拟采购的产品属于政府强制采购的节能产品品目清单范围的，</w:t>
      </w:r>
      <w:r>
        <w:rPr>
          <w:rFonts w:hint="default" w:ascii="Arial" w:hAnsi="Arial" w:eastAsia="宋体" w:cs="Arial"/>
          <w:b w:val="0"/>
          <w:bCs w:val="0"/>
          <w:color w:val="auto"/>
          <w:sz w:val="21"/>
          <w:szCs w:val="21"/>
          <w:highlight w:val="none"/>
          <w:lang w:eastAsia="zh-CN"/>
        </w:rPr>
        <w:t>磋商供应商</w:t>
      </w:r>
      <w:r>
        <w:rPr>
          <w:rFonts w:hint="default" w:ascii="Arial" w:hAnsi="Arial" w:eastAsia="宋体" w:cs="Arial"/>
          <w:b w:val="0"/>
          <w:bCs w:val="0"/>
          <w:color w:val="auto"/>
          <w:sz w:val="21"/>
          <w:szCs w:val="21"/>
          <w:highlight w:val="none"/>
        </w:rPr>
        <w:t>未按</w:t>
      </w:r>
      <w:r>
        <w:rPr>
          <w:rFonts w:hint="default" w:ascii="Arial" w:hAnsi="Arial" w:eastAsia="宋体" w:cs="Arial"/>
          <w:b w:val="0"/>
          <w:bCs w:val="0"/>
          <w:color w:val="auto"/>
          <w:sz w:val="21"/>
          <w:szCs w:val="21"/>
          <w:highlight w:val="none"/>
          <w:lang w:eastAsia="zh-CN"/>
        </w:rPr>
        <w:t>磋商文件</w:t>
      </w:r>
      <w:r>
        <w:rPr>
          <w:rFonts w:hint="default" w:ascii="Arial" w:hAnsi="Arial" w:eastAsia="宋体" w:cs="Arial"/>
          <w:b w:val="0"/>
          <w:bCs w:val="0"/>
          <w:color w:val="auto"/>
          <w:sz w:val="21"/>
          <w:szCs w:val="21"/>
          <w:highlight w:val="none"/>
        </w:rPr>
        <w:t>要求提供国家确定的认证机构出具的、处于有效期之内的节能产品认证证书的，</w:t>
      </w:r>
      <w:r>
        <w:rPr>
          <w:rFonts w:hint="default" w:ascii="Arial" w:hAnsi="Arial" w:eastAsia="宋体" w:cs="Arial"/>
          <w:b w:val="0"/>
          <w:bCs w:val="0"/>
          <w:color w:val="auto"/>
          <w:sz w:val="21"/>
          <w:szCs w:val="21"/>
          <w:highlight w:val="none"/>
          <w:lang w:val="en-US" w:eastAsia="zh-CN"/>
        </w:rPr>
        <w:t>其</w:t>
      </w:r>
      <w:r>
        <w:rPr>
          <w:rFonts w:hint="eastAsia" w:ascii="Arial" w:hAnsi="Arial" w:cs="Arial"/>
          <w:b w:val="0"/>
          <w:bCs w:val="0"/>
          <w:color w:val="auto"/>
          <w:sz w:val="21"/>
          <w:szCs w:val="21"/>
          <w:highlight w:val="none"/>
          <w:lang w:eastAsia="zh-CN"/>
        </w:rPr>
        <w:t>响应无效</w:t>
      </w:r>
      <w:r>
        <w:rPr>
          <w:rFonts w:hint="default" w:ascii="Arial" w:hAnsi="Arial" w:eastAsia="宋体" w:cs="Arial"/>
          <w:b w:val="0"/>
          <w:bCs w:val="0"/>
          <w:color w:val="auto"/>
          <w:sz w:val="21"/>
          <w:szCs w:val="21"/>
          <w:highlight w:val="none"/>
        </w:rPr>
        <w:t>。</w:t>
      </w:r>
    </w:p>
    <w:p>
      <w:pPr>
        <w:pageBreakBefore w:val="0"/>
        <w:numPr>
          <w:ilvl w:val="0"/>
          <w:numId w:val="4"/>
        </w:numPr>
        <w:tabs>
          <w:tab w:val="clear" w:pos="420"/>
        </w:tabs>
        <w:kinsoku/>
        <w:wordWrap/>
        <w:overflowPunct/>
        <w:topLinePunct w:val="0"/>
        <w:bidi w:val="0"/>
        <w:spacing w:beforeAutospacing="0" w:line="400" w:lineRule="atLeast"/>
        <w:ind w:left="825" w:leftChars="0" w:hanging="825"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纳入政府采购管理的修缮、装修类项目采购建材的，鼓励采购单位将绿色建材性能、指标等作为实质性条件纳入采购文件和合同，具体性能指标要求参考相关绿色建材政府采购需求标准。</w:t>
      </w:r>
    </w:p>
    <w:p>
      <w:pPr>
        <w:pageBreakBefore w:val="0"/>
        <w:numPr>
          <w:ilvl w:val="0"/>
          <w:numId w:val="4"/>
        </w:numPr>
        <w:tabs>
          <w:tab w:val="clear" w:pos="420"/>
        </w:tabs>
        <w:kinsoku/>
        <w:wordWrap/>
        <w:overflowPunct/>
        <w:topLinePunct w:val="0"/>
        <w:bidi w:val="0"/>
        <w:spacing w:beforeAutospacing="0" w:line="400" w:lineRule="atLeast"/>
        <w:ind w:left="825" w:leftChars="0" w:hanging="825"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为助力打好污染防治攻坚战，推广使用绿色包装，政府采购货物</w:t>
      </w:r>
      <w:r>
        <w:rPr>
          <w:rFonts w:hint="default" w:ascii="Arial" w:hAnsi="Arial" w:eastAsia="宋体" w:cs="Arial"/>
          <w:color w:val="auto"/>
          <w:sz w:val="21"/>
          <w:szCs w:val="21"/>
          <w:highlight w:val="none"/>
          <w:lang w:eastAsia="zh-CN"/>
        </w:rPr>
        <w:t>、</w:t>
      </w:r>
      <w:r>
        <w:rPr>
          <w:rFonts w:hint="default" w:ascii="Arial" w:hAnsi="Arial" w:eastAsia="宋体" w:cs="Arial"/>
          <w:color w:val="auto"/>
          <w:sz w:val="21"/>
          <w:szCs w:val="21"/>
          <w:highlight w:val="none"/>
        </w:rPr>
        <w:t>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支持中小企业发展</w:t>
      </w:r>
    </w:p>
    <w:p>
      <w:pPr>
        <w:pageBreakBefore w:val="0"/>
        <w:numPr>
          <w:ilvl w:val="0"/>
          <w:numId w:val="5"/>
        </w:numPr>
        <w:tabs>
          <w:tab w:val="left" w:pos="840"/>
          <w:tab w:val="clear" w:pos="420"/>
        </w:tabs>
        <w:kinsoku/>
        <w:wordWrap/>
        <w:overflowPunct/>
        <w:topLinePunct w:val="0"/>
        <w:bidi w:val="0"/>
        <w:spacing w:beforeAutospacing="0" w:line="400" w:lineRule="atLeast"/>
        <w:ind w:left="833" w:leftChars="0" w:hanging="833" w:hangingChars="397"/>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p>
    <w:p>
      <w:pPr>
        <w:pageBreakBefore w:val="0"/>
        <w:numPr>
          <w:ilvl w:val="0"/>
          <w:numId w:val="0"/>
        </w:numPr>
        <w:tabs>
          <w:tab w:val="left" w:pos="840"/>
        </w:tabs>
        <w:kinsoku/>
        <w:wordWrap/>
        <w:overflowPunct/>
        <w:topLinePunct w:val="0"/>
        <w:bidi w:val="0"/>
        <w:spacing w:beforeAutospacing="0" w:line="400" w:lineRule="atLeast"/>
        <w:ind w:left="832" w:leftChars="396" w:firstLine="7"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符合中小企业划分标准的个体工商户，在政府采购活动中视同中小企业。</w:t>
      </w:r>
    </w:p>
    <w:p>
      <w:pPr>
        <w:pageBreakBefore w:val="0"/>
        <w:widowControl/>
        <w:numPr>
          <w:ilvl w:val="0"/>
          <w:numId w:val="5"/>
        </w:numPr>
        <w:tabs>
          <w:tab w:val="left" w:pos="840"/>
          <w:tab w:val="clear" w:pos="420"/>
        </w:tabs>
        <w:kinsoku/>
        <w:wordWrap/>
        <w:overflowPunct/>
        <w:topLinePunct w:val="0"/>
        <w:bidi w:val="0"/>
        <w:spacing w:beforeAutospacing="0" w:line="400" w:lineRule="atLeast"/>
        <w:ind w:left="833" w:leftChars="0" w:hanging="833" w:hangingChars="397"/>
        <w:jc w:val="left"/>
        <w:textAlignment w:val="auto"/>
        <w:rPr>
          <w:rFonts w:hint="default" w:ascii="Arial" w:hAnsi="Arial" w:eastAsia="宋体" w:cs="Arial"/>
          <w:color w:val="auto"/>
          <w:kern w:val="0"/>
          <w:sz w:val="21"/>
          <w:szCs w:val="21"/>
          <w:highlight w:val="none"/>
        </w:rPr>
      </w:pPr>
      <w:r>
        <w:rPr>
          <w:rFonts w:hint="default" w:ascii="Arial" w:hAnsi="Arial" w:eastAsia="宋体" w:cs="Arial"/>
          <w:color w:val="auto"/>
          <w:kern w:val="0"/>
          <w:sz w:val="21"/>
          <w:szCs w:val="21"/>
          <w:highlight w:val="none"/>
        </w:rPr>
        <w:t>在政府采购活动中，</w:t>
      </w:r>
      <w:r>
        <w:rPr>
          <w:rFonts w:hint="default" w:ascii="Arial" w:hAnsi="Arial" w:eastAsia="宋体" w:cs="Arial"/>
          <w:color w:val="auto"/>
          <w:kern w:val="0"/>
          <w:sz w:val="21"/>
          <w:szCs w:val="21"/>
          <w:highlight w:val="none"/>
          <w:lang w:eastAsia="zh-CN"/>
        </w:rPr>
        <w:t>磋商供应商</w:t>
      </w:r>
      <w:r>
        <w:rPr>
          <w:rFonts w:hint="default" w:ascii="Arial" w:hAnsi="Arial" w:eastAsia="宋体" w:cs="Arial"/>
          <w:color w:val="auto"/>
          <w:kern w:val="0"/>
          <w:sz w:val="21"/>
          <w:szCs w:val="21"/>
          <w:highlight w:val="none"/>
        </w:rPr>
        <w:t>提供的货物、工程或者服务符合下列情形的，享受中小企业扶持政策：</w:t>
      </w:r>
    </w:p>
    <w:p>
      <w:pPr>
        <w:pageBreakBefore w:val="0"/>
        <w:widowControl/>
        <w:numPr>
          <w:ilvl w:val="0"/>
          <w:numId w:val="6"/>
        </w:numPr>
        <w:tabs>
          <w:tab w:val="left" w:pos="840"/>
          <w:tab w:val="clear" w:pos="420"/>
        </w:tabs>
        <w:kinsoku/>
        <w:wordWrap/>
        <w:overflowPunct/>
        <w:topLinePunct w:val="0"/>
        <w:bidi w:val="0"/>
        <w:spacing w:beforeAutospacing="0" w:line="400" w:lineRule="atLeast"/>
        <w:ind w:left="833" w:leftChars="0" w:hanging="833" w:hangingChars="397"/>
        <w:jc w:val="left"/>
        <w:textAlignment w:val="auto"/>
        <w:rPr>
          <w:rFonts w:hint="default" w:ascii="Arial" w:hAnsi="Arial" w:eastAsia="宋体" w:cs="Arial"/>
          <w:color w:val="auto"/>
          <w:kern w:val="0"/>
          <w:sz w:val="21"/>
          <w:szCs w:val="21"/>
          <w:highlight w:val="none"/>
        </w:rPr>
      </w:pPr>
      <w:r>
        <w:rPr>
          <w:rFonts w:hint="default" w:ascii="Arial" w:hAnsi="Arial" w:eastAsia="宋体" w:cs="Arial"/>
          <w:color w:val="auto"/>
          <w:kern w:val="0"/>
          <w:sz w:val="21"/>
          <w:szCs w:val="21"/>
          <w:highlight w:val="none"/>
        </w:rPr>
        <w:t>在货物采购项目中，货物由中小企业制造，即货物由中小企业生产且使用该中小企业商号或者注册商标；</w:t>
      </w:r>
    </w:p>
    <w:p>
      <w:pPr>
        <w:pageBreakBefore w:val="0"/>
        <w:widowControl/>
        <w:numPr>
          <w:ilvl w:val="0"/>
          <w:numId w:val="6"/>
        </w:numPr>
        <w:tabs>
          <w:tab w:val="left" w:pos="840"/>
          <w:tab w:val="clear" w:pos="420"/>
        </w:tabs>
        <w:kinsoku/>
        <w:wordWrap/>
        <w:overflowPunct/>
        <w:topLinePunct w:val="0"/>
        <w:bidi w:val="0"/>
        <w:spacing w:beforeAutospacing="0" w:line="400" w:lineRule="atLeast"/>
        <w:ind w:left="833" w:leftChars="0" w:hanging="833" w:hangingChars="397"/>
        <w:jc w:val="left"/>
        <w:textAlignment w:val="auto"/>
        <w:rPr>
          <w:rFonts w:hint="default" w:ascii="Arial" w:hAnsi="Arial" w:eastAsia="宋体" w:cs="Arial"/>
          <w:color w:val="auto"/>
          <w:kern w:val="0"/>
          <w:sz w:val="21"/>
          <w:szCs w:val="21"/>
          <w:highlight w:val="none"/>
        </w:rPr>
      </w:pPr>
      <w:r>
        <w:rPr>
          <w:rFonts w:hint="default" w:ascii="Arial" w:hAnsi="Arial" w:eastAsia="宋体" w:cs="Arial"/>
          <w:color w:val="auto"/>
          <w:kern w:val="0"/>
          <w:sz w:val="21"/>
          <w:szCs w:val="21"/>
          <w:highlight w:val="none"/>
        </w:rPr>
        <w:t>在服务采购项目中，服务由中小企业承接，即提供服务的人员为中小企业依照《中华人民共和国劳动合同法》订立劳动合同的从业人员。</w:t>
      </w:r>
    </w:p>
    <w:p>
      <w:pPr>
        <w:pageBreakBefore w:val="0"/>
        <w:widowControl/>
        <w:kinsoku/>
        <w:wordWrap/>
        <w:overflowPunct/>
        <w:topLinePunct w:val="0"/>
        <w:bidi w:val="0"/>
        <w:spacing w:beforeAutospacing="0" w:line="400" w:lineRule="atLeast"/>
        <w:ind w:left="840" w:leftChars="400" w:firstLine="0" w:firstLineChars="0"/>
        <w:jc w:val="left"/>
        <w:textAlignment w:val="auto"/>
        <w:rPr>
          <w:rFonts w:hint="default" w:ascii="Arial" w:hAnsi="Arial" w:eastAsia="宋体" w:cs="Arial"/>
          <w:color w:val="auto"/>
          <w:kern w:val="0"/>
          <w:sz w:val="21"/>
          <w:szCs w:val="21"/>
          <w:highlight w:val="none"/>
        </w:rPr>
      </w:pPr>
      <w:r>
        <w:rPr>
          <w:rFonts w:hint="default" w:ascii="Arial" w:hAnsi="Arial" w:eastAsia="宋体" w:cs="Arial"/>
          <w:color w:val="auto"/>
          <w:kern w:val="0"/>
          <w:sz w:val="21"/>
          <w:szCs w:val="21"/>
          <w:highlight w:val="none"/>
        </w:rPr>
        <w:t>在货物采购项目中，</w:t>
      </w:r>
      <w:r>
        <w:rPr>
          <w:rFonts w:hint="default" w:ascii="Arial" w:hAnsi="Arial" w:eastAsia="宋体" w:cs="Arial"/>
          <w:color w:val="auto"/>
          <w:kern w:val="0"/>
          <w:sz w:val="21"/>
          <w:szCs w:val="21"/>
          <w:highlight w:val="none"/>
          <w:lang w:eastAsia="zh-CN"/>
        </w:rPr>
        <w:t>磋商供应商</w:t>
      </w:r>
      <w:r>
        <w:rPr>
          <w:rFonts w:hint="default" w:ascii="Arial" w:hAnsi="Arial" w:eastAsia="宋体" w:cs="Arial"/>
          <w:color w:val="auto"/>
          <w:kern w:val="0"/>
          <w:sz w:val="21"/>
          <w:szCs w:val="21"/>
          <w:highlight w:val="none"/>
        </w:rPr>
        <w:t>提供的货物既有中小企业制造货物，也有大型企业制造货物的，不享受中小企业扶持政策。</w:t>
      </w:r>
    </w:p>
    <w:p>
      <w:pPr>
        <w:pageBreakBefore w:val="0"/>
        <w:widowControl/>
        <w:kinsoku/>
        <w:wordWrap/>
        <w:overflowPunct/>
        <w:topLinePunct w:val="0"/>
        <w:bidi w:val="0"/>
        <w:spacing w:beforeAutospacing="0" w:line="400" w:lineRule="atLeast"/>
        <w:ind w:left="840" w:leftChars="400" w:firstLine="0" w:firstLineChars="0"/>
        <w:jc w:val="left"/>
        <w:textAlignment w:val="auto"/>
        <w:rPr>
          <w:rFonts w:hint="default" w:ascii="Arial" w:hAnsi="Arial" w:eastAsia="宋体" w:cs="Arial"/>
          <w:color w:val="auto"/>
          <w:kern w:val="0"/>
          <w:sz w:val="21"/>
          <w:szCs w:val="21"/>
          <w:highlight w:val="none"/>
        </w:rPr>
      </w:pPr>
      <w:r>
        <w:rPr>
          <w:rFonts w:hint="default" w:ascii="Arial" w:hAnsi="Arial" w:eastAsia="宋体" w:cs="Arial"/>
          <w:color w:val="auto"/>
          <w:kern w:val="0"/>
          <w:sz w:val="21"/>
          <w:szCs w:val="21"/>
          <w:highlight w:val="none"/>
        </w:rPr>
        <w:t>以联合体形式参加政府采购活动，联合体各方均为中小企业的，联合体视同中小企业。其中，联合体各方均为小微企业的，联合体视同小微企业。</w:t>
      </w:r>
    </w:p>
    <w:p>
      <w:pPr>
        <w:pageBreakBefore w:val="0"/>
        <w:widowControl/>
        <w:numPr>
          <w:ilvl w:val="0"/>
          <w:numId w:val="5"/>
        </w:numPr>
        <w:tabs>
          <w:tab w:val="left" w:pos="840"/>
          <w:tab w:val="clear" w:pos="420"/>
        </w:tabs>
        <w:kinsoku/>
        <w:wordWrap/>
        <w:overflowPunct/>
        <w:topLinePunct w:val="0"/>
        <w:bidi w:val="0"/>
        <w:spacing w:beforeAutospacing="0" w:line="400" w:lineRule="atLeast"/>
        <w:ind w:left="825" w:leftChars="0" w:hanging="825" w:firstLineChars="0"/>
        <w:jc w:val="both"/>
        <w:textAlignment w:val="auto"/>
        <w:rPr>
          <w:rFonts w:hint="default" w:ascii="Arial" w:hAnsi="Arial" w:eastAsia="宋体" w:cs="Arial"/>
          <w:color w:val="auto"/>
          <w:kern w:val="0"/>
          <w:sz w:val="21"/>
          <w:szCs w:val="21"/>
          <w:highlight w:val="none"/>
        </w:rPr>
      </w:pPr>
      <w:r>
        <w:rPr>
          <w:rFonts w:hint="default" w:ascii="Arial" w:hAnsi="Arial" w:eastAsia="宋体" w:cs="Arial"/>
          <w:color w:val="auto"/>
          <w:kern w:val="0"/>
          <w:sz w:val="21"/>
          <w:szCs w:val="21"/>
          <w:highlight w:val="none"/>
        </w:rPr>
        <w:t>对于未预留份额专门面向中小企业的政府采购</w:t>
      </w:r>
      <w:r>
        <w:rPr>
          <w:rFonts w:hint="eastAsia" w:ascii="Arial" w:hAnsi="Arial" w:cs="Arial"/>
          <w:color w:val="auto"/>
          <w:kern w:val="0"/>
          <w:sz w:val="21"/>
          <w:szCs w:val="21"/>
          <w:highlight w:val="none"/>
          <w:lang w:eastAsia="zh-CN"/>
        </w:rPr>
        <w:t>工程</w:t>
      </w:r>
      <w:r>
        <w:rPr>
          <w:rFonts w:hint="default" w:ascii="Arial" w:hAnsi="Arial" w:eastAsia="宋体" w:cs="Arial"/>
          <w:color w:val="auto"/>
          <w:kern w:val="0"/>
          <w:sz w:val="21"/>
          <w:szCs w:val="21"/>
          <w:highlight w:val="none"/>
        </w:rPr>
        <w:t>项目，以及预留份额政府采购</w:t>
      </w:r>
      <w:r>
        <w:rPr>
          <w:rFonts w:hint="eastAsia" w:ascii="Arial" w:hAnsi="Arial" w:cs="Arial"/>
          <w:color w:val="auto"/>
          <w:kern w:val="0"/>
          <w:sz w:val="21"/>
          <w:szCs w:val="21"/>
          <w:highlight w:val="none"/>
          <w:lang w:eastAsia="zh-CN"/>
        </w:rPr>
        <w:t>工程</w:t>
      </w:r>
      <w:r>
        <w:rPr>
          <w:rFonts w:hint="default" w:ascii="Arial" w:hAnsi="Arial" w:eastAsia="宋体" w:cs="Arial"/>
          <w:color w:val="auto"/>
          <w:kern w:val="0"/>
          <w:sz w:val="21"/>
          <w:szCs w:val="21"/>
          <w:highlight w:val="none"/>
        </w:rPr>
        <w:t>项目中的非预留部分标项，对小型和微型企业的</w:t>
      </w:r>
      <w:r>
        <w:rPr>
          <w:rFonts w:hint="eastAsia" w:ascii="Arial" w:hAnsi="Arial" w:cs="Arial"/>
          <w:color w:val="auto"/>
          <w:kern w:val="0"/>
          <w:sz w:val="21"/>
          <w:szCs w:val="21"/>
          <w:highlight w:val="none"/>
          <w:lang w:eastAsia="zh-CN"/>
        </w:rPr>
        <w:t>报价</w:t>
      </w:r>
      <w:r>
        <w:rPr>
          <w:rFonts w:hint="default" w:ascii="Arial" w:hAnsi="Arial" w:eastAsia="宋体" w:cs="Arial"/>
          <w:color w:val="auto"/>
          <w:kern w:val="0"/>
          <w:sz w:val="21"/>
          <w:szCs w:val="21"/>
          <w:highlight w:val="none"/>
        </w:rPr>
        <w:t>给予</w:t>
      </w:r>
      <w:r>
        <w:rPr>
          <w:rFonts w:hint="eastAsia" w:ascii="Arial" w:hAnsi="Arial" w:cs="Arial"/>
          <w:color w:val="auto"/>
          <w:kern w:val="0"/>
          <w:sz w:val="21"/>
          <w:szCs w:val="21"/>
          <w:highlight w:val="none"/>
          <w:lang w:val="en-US" w:eastAsia="zh-CN"/>
        </w:rPr>
        <w:t>3</w:t>
      </w:r>
      <w:r>
        <w:rPr>
          <w:rFonts w:hint="default" w:ascii="Arial" w:hAnsi="Arial" w:eastAsia="宋体" w:cs="Arial"/>
          <w:color w:val="auto"/>
          <w:kern w:val="0"/>
          <w:sz w:val="21"/>
          <w:szCs w:val="21"/>
          <w:highlight w:val="none"/>
        </w:rPr>
        <w:t>%</w:t>
      </w:r>
      <w:r>
        <w:rPr>
          <w:rFonts w:hint="default" w:ascii="Arial" w:hAnsi="Arial" w:eastAsia="宋体" w:cs="Arial"/>
          <w:color w:val="auto"/>
          <w:kern w:val="0"/>
          <w:sz w:val="21"/>
          <w:szCs w:val="21"/>
          <w:highlight w:val="none"/>
          <w:lang w:val="en-US" w:eastAsia="zh-CN"/>
        </w:rPr>
        <w:t>-</w:t>
      </w:r>
      <w:r>
        <w:rPr>
          <w:rFonts w:hint="eastAsia" w:ascii="Arial" w:hAnsi="Arial" w:cs="Arial"/>
          <w:color w:val="auto"/>
          <w:kern w:val="0"/>
          <w:sz w:val="21"/>
          <w:szCs w:val="21"/>
          <w:highlight w:val="none"/>
          <w:lang w:val="en-US" w:eastAsia="zh-CN"/>
        </w:rPr>
        <w:t>5</w:t>
      </w:r>
      <w:r>
        <w:rPr>
          <w:rFonts w:hint="default" w:ascii="Arial" w:hAnsi="Arial" w:eastAsia="宋体" w:cs="Arial"/>
          <w:color w:val="auto"/>
          <w:kern w:val="0"/>
          <w:sz w:val="21"/>
          <w:szCs w:val="21"/>
          <w:highlight w:val="none"/>
          <w:lang w:val="en-US" w:eastAsia="zh-CN"/>
        </w:rPr>
        <w:t>%</w:t>
      </w:r>
      <w:r>
        <w:rPr>
          <w:rFonts w:hint="default" w:ascii="Arial" w:hAnsi="Arial" w:eastAsia="宋体" w:cs="Arial"/>
          <w:color w:val="auto"/>
          <w:kern w:val="0"/>
          <w:sz w:val="21"/>
          <w:szCs w:val="21"/>
          <w:highlight w:val="none"/>
        </w:rPr>
        <w:t>的扣除，用扣除后的价格参与评审。接受大中型企业与小微企业组成联合体或者允许大中型企业向一家或者多家小微企业分包的政府采购</w:t>
      </w:r>
      <w:r>
        <w:rPr>
          <w:rFonts w:hint="eastAsia" w:ascii="Arial" w:hAnsi="Arial" w:cs="Arial"/>
          <w:color w:val="auto"/>
          <w:kern w:val="0"/>
          <w:sz w:val="21"/>
          <w:szCs w:val="21"/>
          <w:highlight w:val="none"/>
          <w:lang w:eastAsia="zh-CN"/>
        </w:rPr>
        <w:t>工程</w:t>
      </w:r>
      <w:r>
        <w:rPr>
          <w:rFonts w:hint="default" w:ascii="Arial" w:hAnsi="Arial" w:eastAsia="宋体" w:cs="Arial"/>
          <w:color w:val="auto"/>
          <w:kern w:val="0"/>
          <w:sz w:val="21"/>
          <w:szCs w:val="21"/>
          <w:highlight w:val="none"/>
        </w:rPr>
        <w:t>项目，对于联合协议或者分包意向协议约定小微企业的合同份额占到合同总金额30%以上的，对联合体或者大中型企业的报价给予</w:t>
      </w:r>
      <w:r>
        <w:rPr>
          <w:rFonts w:hint="eastAsia" w:ascii="Arial" w:hAnsi="Arial" w:cs="Arial"/>
          <w:color w:val="auto"/>
          <w:kern w:val="0"/>
          <w:sz w:val="21"/>
          <w:szCs w:val="21"/>
          <w:highlight w:val="none"/>
          <w:lang w:val="en-US" w:eastAsia="zh-CN"/>
        </w:rPr>
        <w:t>1</w:t>
      </w:r>
      <w:r>
        <w:rPr>
          <w:rFonts w:hint="default" w:ascii="Arial" w:hAnsi="Arial" w:eastAsia="宋体" w:cs="Arial"/>
          <w:color w:val="auto"/>
          <w:kern w:val="0"/>
          <w:sz w:val="21"/>
          <w:szCs w:val="21"/>
          <w:highlight w:val="none"/>
          <w:lang w:val="en-US" w:eastAsia="zh-CN"/>
        </w:rPr>
        <w:t>%-</w:t>
      </w:r>
      <w:r>
        <w:rPr>
          <w:rFonts w:hint="eastAsia" w:ascii="Arial" w:hAnsi="Arial" w:cs="Arial"/>
          <w:color w:val="auto"/>
          <w:kern w:val="0"/>
          <w:sz w:val="21"/>
          <w:szCs w:val="21"/>
          <w:highlight w:val="none"/>
          <w:lang w:val="en-US" w:eastAsia="zh-CN"/>
        </w:rPr>
        <w:t>2</w:t>
      </w:r>
      <w:r>
        <w:rPr>
          <w:rFonts w:hint="default" w:ascii="Arial" w:hAnsi="Arial" w:eastAsia="宋体" w:cs="Arial"/>
          <w:color w:val="auto"/>
          <w:kern w:val="0"/>
          <w:sz w:val="21"/>
          <w:szCs w:val="21"/>
          <w:highlight w:val="none"/>
          <w:lang w:val="en-US" w:eastAsia="zh-CN"/>
        </w:rPr>
        <w:t>%</w:t>
      </w:r>
      <w:r>
        <w:rPr>
          <w:rFonts w:hint="default" w:ascii="Arial" w:hAnsi="Arial" w:eastAsia="宋体" w:cs="Arial"/>
          <w:color w:val="auto"/>
          <w:kern w:val="0"/>
          <w:sz w:val="21"/>
          <w:szCs w:val="21"/>
          <w:highlight w:val="none"/>
        </w:rPr>
        <w:t>的扣除，用扣除后的价格参加评审。组成联合体或者接受分包的小微企业与联合体内其他企业、分包企业之间存在直接控股、管理关系的，不享受价格扣除优惠政策。</w:t>
      </w:r>
    </w:p>
    <w:p>
      <w:pPr>
        <w:pageBreakBefore w:val="0"/>
        <w:widowControl/>
        <w:numPr>
          <w:ilvl w:val="0"/>
          <w:numId w:val="5"/>
        </w:numPr>
        <w:tabs>
          <w:tab w:val="left" w:pos="840"/>
          <w:tab w:val="clear" w:pos="420"/>
        </w:tabs>
        <w:kinsoku/>
        <w:wordWrap/>
        <w:overflowPunct/>
        <w:topLinePunct w:val="0"/>
        <w:bidi w:val="0"/>
        <w:spacing w:beforeAutospacing="0" w:line="400" w:lineRule="atLeast"/>
        <w:ind w:left="825" w:leftChars="0" w:hanging="825" w:firstLineChars="0"/>
        <w:jc w:val="both"/>
        <w:textAlignment w:val="auto"/>
        <w:rPr>
          <w:rFonts w:hint="default" w:ascii="Arial" w:hAnsi="Arial" w:eastAsia="宋体" w:cs="Arial"/>
          <w:color w:val="auto"/>
          <w:kern w:val="0"/>
          <w:sz w:val="21"/>
          <w:szCs w:val="21"/>
          <w:highlight w:val="none"/>
        </w:rPr>
      </w:pPr>
      <w:r>
        <w:rPr>
          <w:rFonts w:hint="default" w:ascii="Arial" w:hAnsi="Arial" w:eastAsia="宋体" w:cs="Arial"/>
          <w:color w:val="auto"/>
          <w:kern w:val="0"/>
          <w:sz w:val="21"/>
          <w:szCs w:val="21"/>
          <w:highlight w:val="none"/>
        </w:rPr>
        <w:t>符合《关于促进残疾人就业政府采购政策的通知》（财库〔2017〕141号）规定的条件并提供《残疾人福利性单位声明函》（附件1）的残疾人福利性单位视同小型、微型企业；</w:t>
      </w:r>
    </w:p>
    <w:p>
      <w:pPr>
        <w:pageBreakBefore w:val="0"/>
        <w:widowControl/>
        <w:numPr>
          <w:ilvl w:val="0"/>
          <w:numId w:val="5"/>
        </w:numPr>
        <w:tabs>
          <w:tab w:val="left" w:pos="840"/>
          <w:tab w:val="clear" w:pos="420"/>
        </w:tabs>
        <w:kinsoku/>
        <w:wordWrap/>
        <w:overflowPunct/>
        <w:topLinePunct w:val="0"/>
        <w:bidi w:val="0"/>
        <w:spacing w:beforeAutospacing="0" w:line="400" w:lineRule="atLeast"/>
        <w:ind w:left="825" w:leftChars="0" w:hanging="825" w:firstLineChars="0"/>
        <w:jc w:val="both"/>
        <w:textAlignment w:val="auto"/>
        <w:rPr>
          <w:rFonts w:hint="default" w:ascii="Arial" w:hAnsi="Arial" w:eastAsia="宋体" w:cs="Arial"/>
          <w:color w:val="auto"/>
          <w:kern w:val="0"/>
          <w:sz w:val="21"/>
          <w:szCs w:val="21"/>
          <w:highlight w:val="none"/>
        </w:rPr>
      </w:pPr>
      <w:r>
        <w:rPr>
          <w:rFonts w:hint="default" w:ascii="Arial" w:hAnsi="Arial" w:eastAsia="宋体" w:cs="Arial"/>
          <w:color w:val="auto"/>
          <w:kern w:val="0"/>
          <w:sz w:val="21"/>
          <w:szCs w:val="21"/>
          <w:highlight w:val="none"/>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pageBreakBefore w:val="0"/>
        <w:widowControl/>
        <w:numPr>
          <w:ilvl w:val="0"/>
          <w:numId w:val="5"/>
        </w:numPr>
        <w:tabs>
          <w:tab w:val="left" w:pos="840"/>
          <w:tab w:val="clear" w:pos="420"/>
        </w:tabs>
        <w:kinsoku/>
        <w:wordWrap/>
        <w:overflowPunct/>
        <w:topLinePunct w:val="0"/>
        <w:bidi w:val="0"/>
        <w:spacing w:beforeAutospacing="0" w:line="400" w:lineRule="atLeast"/>
        <w:ind w:left="825" w:leftChars="0" w:hanging="825" w:firstLineChars="0"/>
        <w:jc w:val="both"/>
        <w:textAlignment w:val="auto"/>
        <w:rPr>
          <w:rFonts w:hint="default" w:ascii="Arial" w:hAnsi="Arial" w:eastAsia="宋体" w:cs="Arial"/>
          <w:color w:val="auto"/>
          <w:kern w:val="0"/>
          <w:sz w:val="21"/>
          <w:szCs w:val="21"/>
          <w:highlight w:val="none"/>
          <w:lang w:val="en-US" w:eastAsia="zh-CN"/>
        </w:rPr>
      </w:pPr>
      <w:r>
        <w:rPr>
          <w:rFonts w:hint="default" w:ascii="Arial" w:hAnsi="Arial" w:eastAsia="宋体" w:cs="Arial"/>
          <w:color w:val="auto"/>
          <w:kern w:val="0"/>
          <w:sz w:val="21"/>
          <w:szCs w:val="21"/>
          <w:highlight w:val="none"/>
        </w:rPr>
        <w:t>监狱企业、残疾人福利性单位视同小型、微型企业的，享受价格扣除。监狱企业、残疾人福利性单位属于小型、微型企业的，不重复享受政策。</w:t>
      </w:r>
    </w:p>
    <w:p>
      <w:pPr>
        <w:pageBreakBefore w:val="0"/>
        <w:widowControl/>
        <w:numPr>
          <w:ilvl w:val="0"/>
          <w:numId w:val="5"/>
        </w:numPr>
        <w:tabs>
          <w:tab w:val="left" w:pos="840"/>
          <w:tab w:val="clear" w:pos="420"/>
        </w:tabs>
        <w:kinsoku/>
        <w:wordWrap/>
        <w:overflowPunct/>
        <w:topLinePunct w:val="0"/>
        <w:bidi w:val="0"/>
        <w:spacing w:beforeAutospacing="0" w:line="400" w:lineRule="atLeast"/>
        <w:ind w:left="825" w:leftChars="0" w:hanging="825" w:firstLineChars="0"/>
        <w:jc w:val="both"/>
        <w:textAlignment w:val="auto"/>
        <w:rPr>
          <w:rFonts w:hint="default" w:ascii="Arial" w:hAnsi="Arial" w:eastAsia="宋体" w:cs="Arial"/>
          <w:color w:val="auto"/>
          <w:kern w:val="0"/>
          <w:sz w:val="21"/>
          <w:szCs w:val="21"/>
          <w:highlight w:val="none"/>
          <w:lang w:eastAsia="zh-CN"/>
        </w:rPr>
      </w:pPr>
      <w:r>
        <w:rPr>
          <w:rFonts w:hint="default" w:ascii="Arial" w:hAnsi="Arial" w:eastAsia="宋体" w:cs="Arial"/>
          <w:color w:val="auto"/>
          <w:kern w:val="0"/>
          <w:sz w:val="21"/>
          <w:szCs w:val="21"/>
          <w:highlight w:val="none"/>
        </w:rPr>
        <w:t>可享受中小企业扶持政策的</w:t>
      </w:r>
      <w:r>
        <w:rPr>
          <w:rFonts w:hint="default" w:ascii="Arial" w:hAnsi="Arial" w:eastAsia="宋体" w:cs="Arial"/>
          <w:color w:val="auto"/>
          <w:kern w:val="0"/>
          <w:sz w:val="21"/>
          <w:szCs w:val="21"/>
          <w:highlight w:val="none"/>
          <w:lang w:eastAsia="zh-CN"/>
        </w:rPr>
        <w:t>磋商供应商</w:t>
      </w:r>
      <w:r>
        <w:rPr>
          <w:rFonts w:hint="default" w:ascii="Arial" w:hAnsi="Arial" w:eastAsia="宋体" w:cs="Arial"/>
          <w:color w:val="auto"/>
          <w:kern w:val="0"/>
          <w:sz w:val="21"/>
          <w:szCs w:val="21"/>
          <w:highlight w:val="none"/>
        </w:rPr>
        <w:t>应按照</w:t>
      </w:r>
      <w:r>
        <w:rPr>
          <w:rFonts w:hint="default" w:ascii="Arial" w:hAnsi="Arial" w:eastAsia="宋体" w:cs="Arial"/>
          <w:color w:val="auto"/>
          <w:kern w:val="0"/>
          <w:sz w:val="21"/>
          <w:szCs w:val="21"/>
          <w:highlight w:val="none"/>
          <w:lang w:eastAsia="zh-CN"/>
        </w:rPr>
        <w:t>磋商文件</w:t>
      </w:r>
      <w:r>
        <w:rPr>
          <w:rFonts w:hint="default" w:ascii="Arial" w:hAnsi="Arial" w:eastAsia="宋体" w:cs="Arial"/>
          <w:color w:val="auto"/>
          <w:kern w:val="0"/>
          <w:sz w:val="21"/>
          <w:szCs w:val="21"/>
          <w:highlight w:val="none"/>
        </w:rPr>
        <w:t>格式要求提供《中小企业声明函》</w:t>
      </w:r>
      <w:r>
        <w:rPr>
          <w:rFonts w:hint="default" w:ascii="Arial" w:hAnsi="Arial" w:eastAsia="宋体" w:cs="Arial"/>
          <w:color w:val="auto"/>
          <w:kern w:val="0"/>
          <w:sz w:val="21"/>
          <w:szCs w:val="21"/>
          <w:highlight w:val="none"/>
          <w:lang w:eastAsia="zh-CN"/>
        </w:rPr>
        <w:t>。</w:t>
      </w:r>
    </w:p>
    <w:p>
      <w:pPr>
        <w:pageBreakBefore w:val="0"/>
        <w:widowControl/>
        <w:numPr>
          <w:ilvl w:val="0"/>
          <w:numId w:val="5"/>
        </w:numPr>
        <w:tabs>
          <w:tab w:val="left" w:pos="840"/>
          <w:tab w:val="clear" w:pos="420"/>
        </w:tabs>
        <w:kinsoku/>
        <w:wordWrap/>
        <w:overflowPunct/>
        <w:topLinePunct w:val="0"/>
        <w:bidi w:val="0"/>
        <w:spacing w:beforeAutospacing="0" w:line="400" w:lineRule="atLeast"/>
        <w:ind w:left="825" w:leftChars="0" w:hanging="825" w:firstLineChars="0"/>
        <w:jc w:val="both"/>
        <w:textAlignment w:val="auto"/>
        <w:rPr>
          <w:rFonts w:hint="default" w:ascii="Arial" w:hAnsi="Arial" w:eastAsia="宋体" w:cs="Arial"/>
          <w:color w:val="auto"/>
          <w:kern w:val="0"/>
          <w:sz w:val="21"/>
          <w:szCs w:val="21"/>
          <w:highlight w:val="none"/>
        </w:rPr>
      </w:pPr>
      <w:r>
        <w:rPr>
          <w:rFonts w:hint="default" w:ascii="Arial" w:hAnsi="Arial" w:eastAsia="宋体" w:cs="Arial"/>
          <w:color w:val="auto"/>
          <w:kern w:val="0"/>
          <w:sz w:val="21"/>
          <w:szCs w:val="21"/>
          <w:highlight w:val="none"/>
        </w:rPr>
        <w:t>中小企业享受扶持政策获得政府采购合同的，小微企业不得将合同分包给大中型企业，中型企业不得将合同分包给大型企业。</w:t>
      </w:r>
    </w:p>
    <w:p>
      <w:pPr>
        <w:pageBreakBefore w:val="0"/>
        <w:numPr>
          <w:ilvl w:val="1"/>
          <w:numId w:val="3"/>
        </w:numPr>
        <w:kinsoku/>
        <w:wordWrap/>
        <w:overflowPunct/>
        <w:topLinePunct w:val="0"/>
        <w:bidi w:val="0"/>
        <w:snapToGrid w:val="0"/>
        <w:spacing w:beforeAutospacing="0" w:line="400" w:lineRule="atLeast"/>
        <w:jc w:val="both"/>
        <w:textAlignment w:val="auto"/>
        <w:rPr>
          <w:rFonts w:hint="default" w:ascii="Arial" w:hAnsi="Arial" w:cs="Arial"/>
          <w:color w:val="auto"/>
          <w:sz w:val="21"/>
          <w:szCs w:val="21"/>
          <w:highlight w:val="none"/>
          <w:lang w:val="zh-CN"/>
        </w:rPr>
      </w:pPr>
      <w:r>
        <w:rPr>
          <w:rFonts w:hint="default" w:ascii="Arial" w:hAnsi="Arial" w:cs="Arial"/>
          <w:color w:val="auto"/>
          <w:sz w:val="21"/>
          <w:szCs w:val="21"/>
          <w:highlight w:val="none"/>
          <w:lang w:val="zh-CN"/>
        </w:rPr>
        <w:t>支持创新发展</w:t>
      </w:r>
    </w:p>
    <w:p>
      <w:pPr>
        <w:pageBreakBefore w:val="0"/>
        <w:numPr>
          <w:ilvl w:val="0"/>
          <w:numId w:val="7"/>
        </w:numPr>
        <w:tabs>
          <w:tab w:val="left" w:pos="840"/>
          <w:tab w:val="clear" w:pos="420"/>
        </w:tabs>
        <w:kinsoku/>
        <w:wordWrap/>
        <w:overflowPunct/>
        <w:topLinePunct w:val="0"/>
        <w:bidi w:val="0"/>
        <w:spacing w:beforeAutospacing="0" w:line="400" w:lineRule="atLeast"/>
        <w:ind w:left="825" w:leftChars="0" w:hanging="825"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采购人优先采购被认定为首台套产品和“制造精品”的自主创新产品。</w:t>
      </w:r>
    </w:p>
    <w:p>
      <w:pPr>
        <w:pageBreakBefore w:val="0"/>
        <w:numPr>
          <w:ilvl w:val="0"/>
          <w:numId w:val="7"/>
        </w:numPr>
        <w:tabs>
          <w:tab w:val="left" w:pos="840"/>
          <w:tab w:val="clear" w:pos="420"/>
        </w:tabs>
        <w:kinsoku/>
        <w:wordWrap/>
        <w:overflowPunct/>
        <w:topLinePunct w:val="0"/>
        <w:bidi w:val="0"/>
        <w:spacing w:beforeAutospacing="0" w:line="400" w:lineRule="atLeast"/>
        <w:ind w:left="825" w:leftChars="0" w:hanging="825"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对省级以上主管部门认定的首台套产品，自纳入《省推广应用指导目录》起</w:t>
      </w:r>
      <w:r>
        <w:rPr>
          <w:rFonts w:hint="default" w:ascii="Arial" w:hAnsi="Arial" w:eastAsia="宋体" w:cs="Arial"/>
          <w:color w:val="auto"/>
          <w:sz w:val="21"/>
          <w:szCs w:val="21"/>
          <w:highlight w:val="none"/>
          <w:lang w:val="en-US" w:eastAsia="zh-CN"/>
        </w:rPr>
        <w:t>3</w:t>
      </w:r>
      <w:r>
        <w:rPr>
          <w:rFonts w:hint="default" w:ascii="Arial" w:hAnsi="Arial" w:eastAsia="宋体" w:cs="Arial"/>
          <w:color w:val="auto"/>
          <w:sz w:val="21"/>
          <w:szCs w:val="21"/>
          <w:highlight w:val="none"/>
        </w:rPr>
        <w:t>年内，以及产品核心技术高于国内领先水平，并具有明晰自主知识产权的“制造精品”产品，自认定之日起2年内</w:t>
      </w:r>
      <w:r>
        <w:rPr>
          <w:rFonts w:hint="default" w:ascii="Arial" w:hAnsi="Arial" w:eastAsia="宋体" w:cs="Arial"/>
          <w:color w:val="auto"/>
          <w:sz w:val="21"/>
          <w:szCs w:val="21"/>
          <w:highlight w:val="none"/>
          <w:lang w:eastAsia="zh-CN"/>
        </w:rPr>
        <w:t>，</w:t>
      </w:r>
      <w:r>
        <w:rPr>
          <w:rFonts w:hint="default" w:ascii="Arial" w:hAnsi="Arial" w:eastAsia="宋体" w:cs="Arial"/>
          <w:color w:val="auto"/>
          <w:sz w:val="21"/>
          <w:szCs w:val="21"/>
          <w:highlight w:val="none"/>
        </w:rPr>
        <w:t>视同已具备相应销售业绩，参加政府采购活动时业绩分值为满分。</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平等对待内外资企业和符合条件的破产重整企业</w:t>
      </w:r>
    </w:p>
    <w:p>
      <w:pPr>
        <w:pageBreakBefore w:val="0"/>
        <w:kinsoku/>
        <w:wordWrap/>
        <w:overflowPunct/>
        <w:topLinePunct w:val="0"/>
        <w:bidi w:val="0"/>
        <w:spacing w:beforeAutospacing="0" w:line="400" w:lineRule="atLeast"/>
        <w:ind w:left="840" w:leftChars="40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平等对待内外资企业和符合条件的破产重整企业，切实保障企业公平竞争，平等维护企业的合法利益。</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支持中小企业信用融资</w:t>
      </w:r>
    </w:p>
    <w:p>
      <w:pPr>
        <w:pageBreakBefore w:val="0"/>
        <w:kinsoku/>
        <w:wordWrap/>
        <w:overflowPunct/>
        <w:topLinePunct w:val="0"/>
        <w:bidi w:val="0"/>
        <w:spacing w:beforeAutospacing="0" w:line="400" w:lineRule="atLeast"/>
        <w:ind w:left="840" w:leftChars="400" w:firstLine="0" w:firstLine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支持和促进中小企业发展，进一步发挥政府采购政策功能，温州市财政局出台了《温州市财政局关于温州市政府采购支持中小企业信用融资的通知》（温财采〔2020〕3号），供应商若有融资意向，可直接登录http://jinrong.zcygov.cn，查看信用融资政策文件及各相关银行服务方案，也可直接向各银行咨询相关业务。</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cs="宋体"/>
          <w:b/>
          <w:color w:val="auto"/>
          <w:sz w:val="21"/>
          <w:szCs w:val="21"/>
          <w:highlight w:val="none"/>
        </w:rPr>
      </w:pPr>
      <w:r>
        <w:rPr>
          <w:rFonts w:hint="eastAsia" w:ascii="宋体" w:hAnsi="宋体" w:cs="宋体"/>
          <w:b/>
          <w:color w:val="auto"/>
          <w:sz w:val="21"/>
          <w:szCs w:val="21"/>
          <w:highlight w:val="none"/>
        </w:rPr>
        <w:t>询问、质疑、投诉</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供应商询问</w:t>
      </w:r>
    </w:p>
    <w:p>
      <w:pPr>
        <w:pageBreakBefore w:val="0"/>
        <w:kinsoku/>
        <w:wordWrap/>
        <w:overflowPunct/>
        <w:topLinePunct w:val="0"/>
        <w:autoSpaceDE w:val="0"/>
        <w:autoSpaceDN w:val="0"/>
        <w:bidi w:val="0"/>
        <w:spacing w:beforeAutospacing="0" w:line="400" w:lineRule="atLeast"/>
        <w:ind w:left="840" w:leftChars="400" w:firstLine="0" w:firstLineChars="0"/>
        <w:jc w:val="both"/>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供应商质疑</w:t>
      </w:r>
    </w:p>
    <w:p>
      <w:pPr>
        <w:pStyle w:val="14"/>
        <w:pageBreakBefore w:val="0"/>
        <w:numPr>
          <w:ilvl w:val="0"/>
          <w:numId w:val="8"/>
        </w:numPr>
        <w:tabs>
          <w:tab w:val="left" w:pos="840"/>
          <w:tab w:val="clear" w:pos="420"/>
        </w:tabs>
        <w:kinsoku/>
        <w:wordWrap/>
        <w:overflowPunct/>
        <w:topLinePunct w:val="0"/>
        <w:bidi w:val="0"/>
        <w:spacing w:beforeAutospacing="0" w:line="400" w:lineRule="atLeast"/>
        <w:ind w:left="835" w:leftChars="0" w:hanging="835"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提出质疑的供应商应当是参与所质疑项目采购活动的供应商。潜在供应商已依法获取其可质疑的</w:t>
      </w:r>
      <w:r>
        <w:rPr>
          <w:rFonts w:hint="default" w:ascii="Arial" w:hAnsi="Arial" w:eastAsia="宋体" w:cs="Arial"/>
          <w:color w:val="auto"/>
          <w:sz w:val="21"/>
          <w:szCs w:val="21"/>
          <w:highlight w:val="none"/>
          <w:lang w:eastAsia="zh-CN"/>
        </w:rPr>
        <w:t>磋商文件</w:t>
      </w:r>
      <w:r>
        <w:rPr>
          <w:rFonts w:hint="default" w:ascii="Arial" w:hAnsi="Arial" w:eastAsia="宋体" w:cs="Arial"/>
          <w:color w:val="auto"/>
          <w:sz w:val="21"/>
          <w:szCs w:val="21"/>
          <w:highlight w:val="none"/>
        </w:rPr>
        <w:t>的，可以对该文件提出质疑。</w:t>
      </w:r>
    </w:p>
    <w:p>
      <w:pPr>
        <w:pStyle w:val="14"/>
        <w:pageBreakBefore w:val="0"/>
        <w:numPr>
          <w:ilvl w:val="0"/>
          <w:numId w:val="8"/>
        </w:numPr>
        <w:tabs>
          <w:tab w:val="left" w:pos="840"/>
          <w:tab w:val="clear" w:pos="420"/>
        </w:tabs>
        <w:kinsoku/>
        <w:wordWrap/>
        <w:overflowPunct/>
        <w:topLinePunct w:val="0"/>
        <w:bidi w:val="0"/>
        <w:spacing w:beforeAutospacing="0" w:line="400" w:lineRule="atLeast"/>
        <w:ind w:left="835" w:leftChars="0" w:hanging="835" w:firstLineChars="0"/>
        <w:textAlignment w:val="auto"/>
        <w:rPr>
          <w:rFonts w:hint="default" w:ascii="Arial" w:hAnsi="Arial" w:eastAsia="宋体" w:cs="Arial"/>
          <w:b/>
          <w:bCs/>
          <w:color w:val="auto"/>
          <w:sz w:val="21"/>
          <w:szCs w:val="21"/>
          <w:highlight w:val="none"/>
          <w:lang w:eastAsia="zh-CN"/>
        </w:rPr>
      </w:pPr>
      <w:r>
        <w:rPr>
          <w:rFonts w:hint="default" w:ascii="Arial" w:hAnsi="Arial" w:eastAsia="宋体" w:cs="Arial"/>
          <w:color w:val="auto"/>
          <w:sz w:val="21"/>
          <w:szCs w:val="21"/>
          <w:highlight w:val="none"/>
        </w:rPr>
        <w:t>供应商认为</w:t>
      </w:r>
      <w:r>
        <w:rPr>
          <w:rFonts w:hint="default" w:ascii="Arial" w:hAnsi="Arial" w:eastAsia="宋体" w:cs="Arial"/>
          <w:color w:val="auto"/>
          <w:sz w:val="21"/>
          <w:szCs w:val="21"/>
          <w:highlight w:val="none"/>
          <w:lang w:eastAsia="zh-CN"/>
        </w:rPr>
        <w:t>磋商文件</w:t>
      </w:r>
      <w:r>
        <w:rPr>
          <w:rFonts w:hint="default" w:ascii="Arial" w:hAnsi="Arial" w:eastAsia="宋体" w:cs="Arial"/>
          <w:color w:val="auto"/>
          <w:sz w:val="21"/>
          <w:szCs w:val="21"/>
          <w:highlight w:val="none"/>
        </w:rPr>
        <w:t>、采购过程和</w:t>
      </w:r>
      <w:r>
        <w:rPr>
          <w:rFonts w:hint="default" w:ascii="Arial" w:hAnsi="Arial" w:eastAsia="宋体" w:cs="Arial"/>
          <w:color w:val="auto"/>
          <w:sz w:val="21"/>
          <w:szCs w:val="21"/>
          <w:highlight w:val="none"/>
          <w:lang w:eastAsia="zh-CN"/>
        </w:rPr>
        <w:t>成交结果</w:t>
      </w:r>
      <w:r>
        <w:rPr>
          <w:rFonts w:hint="default" w:ascii="Arial" w:hAnsi="Arial" w:eastAsia="宋体" w:cs="Arial"/>
          <w:color w:val="auto"/>
          <w:sz w:val="21"/>
          <w:szCs w:val="21"/>
          <w:highlight w:val="none"/>
        </w:rPr>
        <w:t>使自己的权益受到损害的，可以在知道或者应知其权益受到损害之日起七个工作日内，以书面形式向采购人或者</w:t>
      </w:r>
      <w:r>
        <w:rPr>
          <w:rFonts w:hint="default" w:ascii="Arial" w:hAnsi="Arial" w:eastAsia="宋体" w:cs="Arial"/>
          <w:color w:val="auto"/>
          <w:sz w:val="21"/>
          <w:szCs w:val="21"/>
          <w:highlight w:val="none"/>
          <w:lang w:eastAsia="zh-CN"/>
        </w:rPr>
        <w:t>采购代理机构</w:t>
      </w:r>
      <w:r>
        <w:rPr>
          <w:rFonts w:hint="default" w:ascii="Arial" w:hAnsi="Arial" w:eastAsia="宋体" w:cs="Arial"/>
          <w:color w:val="auto"/>
          <w:sz w:val="21"/>
          <w:szCs w:val="21"/>
          <w:highlight w:val="none"/>
        </w:rPr>
        <w:t>提出质疑，否则，采购人或者</w:t>
      </w:r>
      <w:r>
        <w:rPr>
          <w:rFonts w:hint="default" w:ascii="Arial" w:hAnsi="Arial" w:eastAsia="宋体" w:cs="Arial"/>
          <w:color w:val="auto"/>
          <w:sz w:val="21"/>
          <w:szCs w:val="21"/>
          <w:highlight w:val="none"/>
          <w:lang w:eastAsia="zh-CN"/>
        </w:rPr>
        <w:t>采购代理机构</w:t>
      </w:r>
      <w:r>
        <w:rPr>
          <w:rFonts w:hint="default" w:ascii="Arial" w:hAnsi="Arial" w:eastAsia="宋体" w:cs="Arial"/>
          <w:color w:val="auto"/>
          <w:sz w:val="21"/>
          <w:szCs w:val="21"/>
          <w:highlight w:val="none"/>
        </w:rPr>
        <w:t>不予受理</w:t>
      </w:r>
      <w:r>
        <w:rPr>
          <w:rFonts w:hint="default" w:ascii="Arial" w:hAnsi="Arial" w:eastAsia="宋体" w:cs="Arial"/>
          <w:color w:val="auto"/>
          <w:sz w:val="21"/>
          <w:szCs w:val="21"/>
          <w:highlight w:val="none"/>
          <w:lang w:eastAsia="zh-CN"/>
        </w:rPr>
        <w:t>。</w:t>
      </w:r>
      <w:r>
        <w:rPr>
          <w:rFonts w:hint="default" w:ascii="Arial" w:hAnsi="Arial" w:eastAsia="宋体" w:cs="Arial"/>
          <w:b/>
          <w:bCs/>
          <w:color w:val="auto"/>
          <w:sz w:val="21"/>
          <w:szCs w:val="21"/>
          <w:highlight w:val="none"/>
          <w:lang w:eastAsia="zh-CN"/>
        </w:rPr>
        <w:t>供应商在法定质疑期内必须一次性提出针对</w:t>
      </w:r>
      <w:r>
        <w:rPr>
          <w:rFonts w:hint="default" w:ascii="Arial" w:hAnsi="Arial" w:eastAsia="宋体" w:cs="Arial"/>
          <w:b/>
          <w:bCs/>
          <w:color w:val="auto"/>
          <w:sz w:val="21"/>
          <w:szCs w:val="21"/>
          <w:highlight w:val="none"/>
        </w:rPr>
        <w:t>同一采购程序环节的质疑。</w:t>
      </w:r>
    </w:p>
    <w:p>
      <w:pPr>
        <w:pStyle w:val="10"/>
        <w:pageBreakBefore w:val="0"/>
        <w:numPr>
          <w:ilvl w:val="0"/>
          <w:numId w:val="9"/>
        </w:numPr>
        <w:tabs>
          <w:tab w:val="left" w:pos="840"/>
          <w:tab w:val="clear" w:pos="420"/>
        </w:tabs>
        <w:kinsoku/>
        <w:wordWrap/>
        <w:overflowPunct/>
        <w:topLinePunct w:val="0"/>
        <w:bidi w:val="0"/>
        <w:spacing w:beforeAutospacing="0" w:line="400" w:lineRule="atLeast"/>
        <w:ind w:left="835" w:leftChars="0" w:hanging="835" w:firstLineChars="0"/>
        <w:textAlignment w:val="auto"/>
        <w:rPr>
          <w:rFonts w:hint="default" w:ascii="Arial" w:hAnsi="Arial" w:eastAsia="宋体" w:cs="Arial"/>
          <w:color w:val="auto"/>
          <w:kern w:val="2"/>
          <w:sz w:val="21"/>
          <w:szCs w:val="21"/>
          <w:highlight w:val="none"/>
        </w:rPr>
      </w:pPr>
      <w:r>
        <w:rPr>
          <w:rFonts w:hint="default" w:ascii="Arial" w:hAnsi="Arial" w:eastAsia="宋体" w:cs="Arial"/>
          <w:color w:val="auto"/>
          <w:kern w:val="2"/>
          <w:sz w:val="21"/>
          <w:szCs w:val="21"/>
          <w:highlight w:val="none"/>
        </w:rPr>
        <w:t>对</w:t>
      </w:r>
      <w:r>
        <w:rPr>
          <w:rFonts w:hint="default" w:ascii="Arial" w:hAnsi="Arial" w:eastAsia="宋体" w:cs="Arial"/>
          <w:color w:val="auto"/>
          <w:kern w:val="2"/>
          <w:sz w:val="21"/>
          <w:szCs w:val="21"/>
          <w:highlight w:val="none"/>
          <w:lang w:eastAsia="zh-CN"/>
        </w:rPr>
        <w:t>磋商文件</w:t>
      </w:r>
      <w:r>
        <w:rPr>
          <w:rFonts w:hint="default" w:ascii="Arial" w:hAnsi="Arial" w:eastAsia="宋体" w:cs="Arial"/>
          <w:color w:val="auto"/>
          <w:kern w:val="2"/>
          <w:sz w:val="21"/>
          <w:szCs w:val="21"/>
          <w:highlight w:val="none"/>
        </w:rPr>
        <w:t>提出质疑的，质疑期限为供应商获得</w:t>
      </w:r>
      <w:r>
        <w:rPr>
          <w:rFonts w:hint="default" w:ascii="Arial" w:hAnsi="Arial" w:eastAsia="宋体" w:cs="Arial"/>
          <w:color w:val="auto"/>
          <w:kern w:val="2"/>
          <w:sz w:val="21"/>
          <w:szCs w:val="21"/>
          <w:highlight w:val="none"/>
          <w:lang w:eastAsia="zh-CN"/>
        </w:rPr>
        <w:t>磋商文件</w:t>
      </w:r>
      <w:r>
        <w:rPr>
          <w:rFonts w:hint="default" w:ascii="Arial" w:hAnsi="Arial" w:eastAsia="宋体" w:cs="Arial"/>
          <w:color w:val="auto"/>
          <w:kern w:val="2"/>
          <w:sz w:val="21"/>
          <w:szCs w:val="21"/>
          <w:highlight w:val="none"/>
        </w:rPr>
        <w:t>之日或者</w:t>
      </w:r>
      <w:r>
        <w:rPr>
          <w:rFonts w:hint="default" w:ascii="Arial" w:hAnsi="Arial" w:eastAsia="宋体" w:cs="Arial"/>
          <w:color w:val="auto"/>
          <w:kern w:val="2"/>
          <w:sz w:val="21"/>
          <w:szCs w:val="21"/>
          <w:highlight w:val="none"/>
          <w:lang w:eastAsia="zh-CN"/>
        </w:rPr>
        <w:t>磋商文件</w:t>
      </w:r>
      <w:r>
        <w:rPr>
          <w:rFonts w:hint="default" w:ascii="Arial" w:hAnsi="Arial" w:eastAsia="宋体" w:cs="Arial"/>
          <w:color w:val="auto"/>
          <w:kern w:val="2"/>
          <w:sz w:val="21"/>
          <w:szCs w:val="21"/>
          <w:highlight w:val="none"/>
        </w:rPr>
        <w:t>公告期限届满之日起计算</w:t>
      </w:r>
      <w:r>
        <w:rPr>
          <w:rFonts w:hint="default" w:ascii="Arial" w:hAnsi="Arial" w:eastAsia="宋体" w:cs="Arial"/>
          <w:color w:val="auto"/>
          <w:kern w:val="2"/>
          <w:sz w:val="21"/>
          <w:szCs w:val="21"/>
          <w:highlight w:val="none"/>
          <w:lang w:eastAsia="zh-CN"/>
        </w:rPr>
        <w:t>（</w:t>
      </w:r>
      <w:r>
        <w:rPr>
          <w:rFonts w:hint="default" w:ascii="Arial" w:hAnsi="Arial" w:eastAsia="宋体" w:cs="Arial"/>
          <w:color w:val="auto"/>
          <w:sz w:val="21"/>
          <w:szCs w:val="21"/>
          <w:highlight w:val="none"/>
        </w:rPr>
        <w:t>公告期限届满后获取</w:t>
      </w:r>
      <w:r>
        <w:rPr>
          <w:rFonts w:hint="default" w:ascii="Arial" w:hAnsi="Arial" w:eastAsia="宋体" w:cs="Arial"/>
          <w:color w:val="auto"/>
          <w:sz w:val="21"/>
          <w:szCs w:val="21"/>
          <w:highlight w:val="none"/>
          <w:lang w:eastAsia="zh-CN"/>
        </w:rPr>
        <w:t>磋商文件</w:t>
      </w:r>
      <w:r>
        <w:rPr>
          <w:rFonts w:hint="default" w:ascii="Arial" w:hAnsi="Arial" w:eastAsia="宋体" w:cs="Arial"/>
          <w:color w:val="auto"/>
          <w:sz w:val="21"/>
          <w:szCs w:val="21"/>
          <w:highlight w:val="none"/>
        </w:rPr>
        <w:t>的，以公告期限届满之日为准</w:t>
      </w:r>
      <w:r>
        <w:rPr>
          <w:rFonts w:hint="default" w:ascii="Arial" w:hAnsi="Arial" w:eastAsia="宋体" w:cs="Arial"/>
          <w:color w:val="auto"/>
          <w:kern w:val="2"/>
          <w:sz w:val="21"/>
          <w:szCs w:val="21"/>
          <w:highlight w:val="none"/>
          <w:lang w:eastAsia="zh-CN"/>
        </w:rPr>
        <w:t>）</w:t>
      </w:r>
      <w:r>
        <w:rPr>
          <w:rFonts w:hint="default" w:ascii="Arial" w:hAnsi="Arial" w:eastAsia="宋体" w:cs="Arial"/>
          <w:color w:val="auto"/>
          <w:kern w:val="2"/>
          <w:sz w:val="21"/>
          <w:szCs w:val="21"/>
          <w:highlight w:val="none"/>
        </w:rPr>
        <w:t>。</w:t>
      </w:r>
    </w:p>
    <w:p>
      <w:pPr>
        <w:pStyle w:val="14"/>
        <w:pageBreakBefore w:val="0"/>
        <w:numPr>
          <w:ilvl w:val="0"/>
          <w:numId w:val="9"/>
        </w:numPr>
        <w:tabs>
          <w:tab w:val="left" w:pos="840"/>
          <w:tab w:val="clear" w:pos="420"/>
        </w:tabs>
        <w:kinsoku/>
        <w:wordWrap/>
        <w:overflowPunct/>
        <w:topLinePunct w:val="0"/>
        <w:bidi w:val="0"/>
        <w:spacing w:beforeAutospacing="0" w:line="400" w:lineRule="atLeast"/>
        <w:ind w:left="835" w:leftChars="0" w:hanging="835"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对采购过程提出质疑的，质疑期限为各采购程序环节结束之日起计算</w:t>
      </w:r>
      <w:r>
        <w:rPr>
          <w:rFonts w:hint="default" w:ascii="Arial" w:hAnsi="Arial" w:eastAsia="宋体" w:cs="Arial"/>
          <w:color w:val="auto"/>
          <w:sz w:val="21"/>
          <w:szCs w:val="21"/>
          <w:highlight w:val="none"/>
          <w:lang w:eastAsia="zh-CN"/>
        </w:rPr>
        <w:t>。</w:t>
      </w:r>
    </w:p>
    <w:p>
      <w:pPr>
        <w:pStyle w:val="14"/>
        <w:pageBreakBefore w:val="0"/>
        <w:numPr>
          <w:ilvl w:val="0"/>
          <w:numId w:val="9"/>
        </w:numPr>
        <w:tabs>
          <w:tab w:val="left" w:pos="840"/>
          <w:tab w:val="clear" w:pos="420"/>
        </w:tabs>
        <w:kinsoku/>
        <w:wordWrap/>
        <w:overflowPunct/>
        <w:topLinePunct w:val="0"/>
        <w:bidi w:val="0"/>
        <w:spacing w:beforeAutospacing="0" w:line="400" w:lineRule="atLeast"/>
        <w:ind w:left="835" w:leftChars="0" w:hanging="835"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对采购结果提出质疑的，质疑期限自采购结果公告期限届满之日起计算。</w:t>
      </w:r>
    </w:p>
    <w:p>
      <w:pPr>
        <w:pStyle w:val="14"/>
        <w:pageBreakBefore w:val="0"/>
        <w:numPr>
          <w:ilvl w:val="0"/>
          <w:numId w:val="8"/>
        </w:numPr>
        <w:tabs>
          <w:tab w:val="left" w:pos="840"/>
          <w:tab w:val="clear" w:pos="420"/>
        </w:tabs>
        <w:kinsoku/>
        <w:wordWrap/>
        <w:overflowPunct/>
        <w:topLinePunct w:val="0"/>
        <w:bidi w:val="0"/>
        <w:spacing w:beforeAutospacing="0" w:line="400" w:lineRule="atLeast"/>
        <w:ind w:left="835" w:leftChars="0" w:hanging="835" w:firstLineChars="0"/>
        <w:textAlignment w:val="auto"/>
        <w:rPr>
          <w:rFonts w:hint="default" w:ascii="Arial" w:hAnsi="Arial" w:eastAsia="宋体" w:cs="Arial"/>
          <w:color w:val="auto"/>
          <w:sz w:val="21"/>
          <w:szCs w:val="21"/>
          <w:highlight w:val="none"/>
          <w:lang w:val="zh-CN"/>
        </w:rPr>
      </w:pPr>
      <w:r>
        <w:rPr>
          <w:rFonts w:hint="default" w:ascii="Arial" w:hAnsi="Arial" w:eastAsia="宋体" w:cs="Arial"/>
          <w:color w:val="auto"/>
          <w:sz w:val="21"/>
          <w:szCs w:val="21"/>
          <w:highlight w:val="none"/>
        </w:rPr>
        <w:t>供应商提出质疑应当提交质疑函和必要的证明材料。质疑函应当包括下列内容：</w:t>
      </w:r>
    </w:p>
    <w:p>
      <w:pPr>
        <w:pStyle w:val="14"/>
        <w:pageBreakBefore w:val="0"/>
        <w:numPr>
          <w:ilvl w:val="0"/>
          <w:numId w:val="10"/>
        </w:numPr>
        <w:tabs>
          <w:tab w:val="left" w:pos="840"/>
          <w:tab w:val="clear" w:pos="420"/>
        </w:tabs>
        <w:kinsoku/>
        <w:wordWrap/>
        <w:overflowPunct/>
        <w:topLinePunct w:val="0"/>
        <w:bidi w:val="0"/>
        <w:spacing w:beforeAutospacing="0" w:line="400" w:lineRule="atLeast"/>
        <w:ind w:left="835" w:leftChars="0" w:hanging="835" w:firstLineChars="0"/>
        <w:textAlignment w:val="auto"/>
        <w:rPr>
          <w:rFonts w:hint="default" w:ascii="Arial" w:hAnsi="Arial" w:eastAsia="宋体" w:cs="Arial"/>
          <w:color w:val="auto"/>
          <w:kern w:val="0"/>
          <w:sz w:val="21"/>
          <w:szCs w:val="21"/>
          <w:highlight w:val="none"/>
          <w:lang w:val="zh-CN"/>
        </w:rPr>
      </w:pPr>
      <w:r>
        <w:rPr>
          <w:rFonts w:hint="default" w:ascii="Arial" w:hAnsi="Arial" w:eastAsia="宋体" w:cs="Arial"/>
          <w:color w:val="auto"/>
          <w:kern w:val="0"/>
          <w:sz w:val="21"/>
          <w:szCs w:val="21"/>
          <w:highlight w:val="none"/>
          <w:lang w:val="zh-CN"/>
        </w:rPr>
        <w:t>供应商的姓名或者名称、地址、邮编、联系人及联系电话；</w:t>
      </w:r>
    </w:p>
    <w:p>
      <w:pPr>
        <w:pStyle w:val="14"/>
        <w:pageBreakBefore w:val="0"/>
        <w:numPr>
          <w:ilvl w:val="0"/>
          <w:numId w:val="10"/>
        </w:numPr>
        <w:tabs>
          <w:tab w:val="left" w:pos="840"/>
          <w:tab w:val="clear" w:pos="420"/>
        </w:tabs>
        <w:kinsoku/>
        <w:wordWrap/>
        <w:overflowPunct/>
        <w:topLinePunct w:val="0"/>
        <w:bidi w:val="0"/>
        <w:spacing w:beforeAutospacing="0" w:line="400" w:lineRule="atLeast"/>
        <w:ind w:left="835" w:leftChars="0" w:hanging="835" w:firstLineChars="0"/>
        <w:textAlignment w:val="auto"/>
        <w:rPr>
          <w:rFonts w:hint="default" w:ascii="Arial" w:hAnsi="Arial" w:eastAsia="宋体" w:cs="Arial"/>
          <w:color w:val="auto"/>
          <w:kern w:val="0"/>
          <w:sz w:val="21"/>
          <w:szCs w:val="21"/>
          <w:highlight w:val="none"/>
          <w:lang w:val="zh-CN"/>
        </w:rPr>
      </w:pPr>
      <w:r>
        <w:rPr>
          <w:rFonts w:hint="default" w:ascii="Arial" w:hAnsi="Arial" w:eastAsia="宋体" w:cs="Arial"/>
          <w:color w:val="auto"/>
          <w:kern w:val="0"/>
          <w:sz w:val="21"/>
          <w:szCs w:val="21"/>
          <w:highlight w:val="none"/>
          <w:lang w:val="zh-CN"/>
        </w:rPr>
        <w:t>质疑项目的名称、编号；</w:t>
      </w:r>
    </w:p>
    <w:p>
      <w:pPr>
        <w:pStyle w:val="14"/>
        <w:pageBreakBefore w:val="0"/>
        <w:numPr>
          <w:ilvl w:val="0"/>
          <w:numId w:val="10"/>
        </w:numPr>
        <w:tabs>
          <w:tab w:val="left" w:pos="840"/>
          <w:tab w:val="clear" w:pos="420"/>
        </w:tabs>
        <w:kinsoku/>
        <w:wordWrap/>
        <w:overflowPunct/>
        <w:topLinePunct w:val="0"/>
        <w:bidi w:val="0"/>
        <w:spacing w:beforeAutospacing="0" w:line="400" w:lineRule="atLeast"/>
        <w:ind w:left="835" w:leftChars="0" w:hanging="835" w:firstLineChars="0"/>
        <w:textAlignment w:val="auto"/>
        <w:rPr>
          <w:rFonts w:hint="default" w:ascii="Arial" w:hAnsi="Arial" w:eastAsia="宋体" w:cs="Arial"/>
          <w:color w:val="auto"/>
          <w:kern w:val="0"/>
          <w:sz w:val="21"/>
          <w:szCs w:val="21"/>
          <w:highlight w:val="none"/>
          <w:lang w:val="zh-CN"/>
        </w:rPr>
      </w:pPr>
      <w:r>
        <w:rPr>
          <w:rFonts w:hint="default" w:ascii="Arial" w:hAnsi="Arial" w:eastAsia="宋体" w:cs="Arial"/>
          <w:color w:val="auto"/>
          <w:kern w:val="0"/>
          <w:sz w:val="21"/>
          <w:szCs w:val="21"/>
          <w:highlight w:val="none"/>
          <w:lang w:val="zh-CN"/>
        </w:rPr>
        <w:t>具体、明确的质疑事项和与质疑事项相关的请求；</w:t>
      </w:r>
    </w:p>
    <w:p>
      <w:pPr>
        <w:pStyle w:val="14"/>
        <w:pageBreakBefore w:val="0"/>
        <w:numPr>
          <w:ilvl w:val="0"/>
          <w:numId w:val="10"/>
        </w:numPr>
        <w:tabs>
          <w:tab w:val="left" w:pos="840"/>
          <w:tab w:val="clear" w:pos="420"/>
        </w:tabs>
        <w:kinsoku/>
        <w:wordWrap/>
        <w:overflowPunct/>
        <w:topLinePunct w:val="0"/>
        <w:bidi w:val="0"/>
        <w:spacing w:beforeAutospacing="0" w:line="400" w:lineRule="atLeast"/>
        <w:ind w:left="835" w:leftChars="0" w:hanging="835" w:firstLineChars="0"/>
        <w:textAlignment w:val="auto"/>
        <w:rPr>
          <w:rFonts w:hint="default" w:ascii="Arial" w:hAnsi="Arial" w:eastAsia="宋体" w:cs="Arial"/>
          <w:color w:val="auto"/>
          <w:kern w:val="0"/>
          <w:sz w:val="21"/>
          <w:szCs w:val="21"/>
          <w:highlight w:val="none"/>
          <w:lang w:val="zh-CN"/>
        </w:rPr>
      </w:pPr>
      <w:r>
        <w:rPr>
          <w:rFonts w:hint="default" w:ascii="Arial" w:hAnsi="Arial" w:eastAsia="宋体" w:cs="Arial"/>
          <w:color w:val="auto"/>
          <w:kern w:val="0"/>
          <w:sz w:val="21"/>
          <w:szCs w:val="21"/>
          <w:highlight w:val="none"/>
          <w:lang w:val="zh-CN"/>
        </w:rPr>
        <w:t>事实依据；</w:t>
      </w:r>
    </w:p>
    <w:p>
      <w:pPr>
        <w:pStyle w:val="14"/>
        <w:pageBreakBefore w:val="0"/>
        <w:numPr>
          <w:ilvl w:val="0"/>
          <w:numId w:val="10"/>
        </w:numPr>
        <w:tabs>
          <w:tab w:val="left" w:pos="840"/>
          <w:tab w:val="clear" w:pos="420"/>
        </w:tabs>
        <w:kinsoku/>
        <w:wordWrap/>
        <w:overflowPunct/>
        <w:topLinePunct w:val="0"/>
        <w:bidi w:val="0"/>
        <w:spacing w:beforeAutospacing="0" w:line="400" w:lineRule="atLeast"/>
        <w:ind w:left="835" w:leftChars="0" w:hanging="835" w:firstLineChars="0"/>
        <w:textAlignment w:val="auto"/>
        <w:rPr>
          <w:rFonts w:hint="default" w:ascii="Arial" w:hAnsi="Arial" w:eastAsia="宋体" w:cs="Arial"/>
          <w:color w:val="auto"/>
          <w:kern w:val="0"/>
          <w:sz w:val="21"/>
          <w:szCs w:val="21"/>
          <w:highlight w:val="none"/>
          <w:lang w:val="zh-CN"/>
        </w:rPr>
      </w:pPr>
      <w:r>
        <w:rPr>
          <w:rFonts w:hint="default" w:ascii="Arial" w:hAnsi="Arial" w:eastAsia="宋体" w:cs="Arial"/>
          <w:color w:val="auto"/>
          <w:kern w:val="0"/>
          <w:sz w:val="21"/>
          <w:szCs w:val="21"/>
          <w:highlight w:val="none"/>
          <w:lang w:val="zh-CN"/>
        </w:rPr>
        <w:t>必要的法律依据；</w:t>
      </w:r>
    </w:p>
    <w:p>
      <w:pPr>
        <w:pStyle w:val="14"/>
        <w:pageBreakBefore w:val="0"/>
        <w:numPr>
          <w:ilvl w:val="0"/>
          <w:numId w:val="10"/>
        </w:numPr>
        <w:tabs>
          <w:tab w:val="left" w:pos="840"/>
          <w:tab w:val="clear" w:pos="420"/>
        </w:tabs>
        <w:kinsoku/>
        <w:wordWrap/>
        <w:overflowPunct/>
        <w:topLinePunct w:val="0"/>
        <w:bidi w:val="0"/>
        <w:spacing w:beforeAutospacing="0" w:line="400" w:lineRule="atLeast"/>
        <w:ind w:left="835" w:leftChars="0" w:hanging="835" w:firstLineChars="0"/>
        <w:textAlignment w:val="auto"/>
        <w:rPr>
          <w:rFonts w:hint="default" w:ascii="Arial" w:hAnsi="Arial" w:eastAsia="宋体" w:cs="Arial"/>
          <w:color w:val="auto"/>
          <w:kern w:val="0"/>
          <w:sz w:val="21"/>
          <w:szCs w:val="21"/>
          <w:highlight w:val="none"/>
          <w:lang w:val="zh-CN"/>
        </w:rPr>
      </w:pPr>
      <w:r>
        <w:rPr>
          <w:rFonts w:hint="default" w:ascii="Arial" w:hAnsi="Arial" w:eastAsia="宋体" w:cs="Arial"/>
          <w:color w:val="auto"/>
          <w:kern w:val="0"/>
          <w:sz w:val="21"/>
          <w:szCs w:val="21"/>
          <w:highlight w:val="none"/>
          <w:lang w:val="zh-CN"/>
        </w:rPr>
        <w:t>提出质疑的日期。</w:t>
      </w:r>
    </w:p>
    <w:p>
      <w:pPr>
        <w:pStyle w:val="41"/>
        <w:pageBreakBefore w:val="0"/>
        <w:shd w:val="clear" w:color="auto" w:fill="FFFFFF"/>
        <w:kinsoku/>
        <w:wordWrap/>
        <w:overflowPunct/>
        <w:topLinePunct w:val="0"/>
        <w:bidi w:val="0"/>
        <w:snapToGrid w:val="0"/>
        <w:spacing w:before="0" w:beforeAutospacing="0" w:after="0" w:afterAutospacing="0" w:line="400" w:lineRule="atLeast"/>
        <w:ind w:left="835" w:leftChars="0" w:firstLine="5" w:firstLineChars="0"/>
        <w:contextualSpacing/>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供应商提交的质疑函需一式三份。供应商为自然人的，应当由本人签字；供应商为法人或者其他组织的，应当由法定代表人、主要负责人，或者其授权代表签字或者盖章，并加盖公章。</w:t>
      </w:r>
    </w:p>
    <w:p>
      <w:pPr>
        <w:pStyle w:val="41"/>
        <w:keepNext w:val="0"/>
        <w:keepLines w:val="0"/>
        <w:pageBreakBefore w:val="0"/>
        <w:widowControl/>
        <w:shd w:val="clear" w:color="auto" w:fill="FFFFFF"/>
        <w:kinsoku/>
        <w:wordWrap/>
        <w:overflowPunct/>
        <w:topLinePunct w:val="0"/>
        <w:autoSpaceDE/>
        <w:autoSpaceDN/>
        <w:bidi w:val="0"/>
        <w:adjustRightInd/>
        <w:snapToGrid w:val="0"/>
        <w:spacing w:before="0" w:beforeAutospacing="0" w:after="0" w:afterAutospacing="0" w:line="400" w:lineRule="atLeast"/>
        <w:ind w:left="833" w:leftChars="0" w:firstLine="6" w:firstLineChars="0"/>
        <w:contextualSpacing/>
        <w:textAlignment w:val="auto"/>
        <w:outlineLvl w:val="9"/>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质疑函范本及制作说明详见附件2。</w:t>
      </w:r>
    </w:p>
    <w:p>
      <w:pPr>
        <w:pStyle w:val="14"/>
        <w:pageBreakBefore w:val="0"/>
        <w:numPr>
          <w:ilvl w:val="0"/>
          <w:numId w:val="8"/>
        </w:numPr>
        <w:tabs>
          <w:tab w:val="left" w:pos="840"/>
          <w:tab w:val="clear" w:pos="420"/>
        </w:tabs>
        <w:kinsoku/>
        <w:wordWrap/>
        <w:overflowPunct/>
        <w:topLinePunct w:val="0"/>
        <w:bidi w:val="0"/>
        <w:spacing w:beforeAutospacing="0" w:line="400" w:lineRule="atLeast"/>
        <w:ind w:left="835" w:leftChars="0" w:hanging="835"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采购人或者</w:t>
      </w:r>
      <w:r>
        <w:rPr>
          <w:rFonts w:hint="default" w:ascii="Arial" w:hAnsi="Arial" w:eastAsia="宋体" w:cs="Arial"/>
          <w:color w:val="auto"/>
          <w:sz w:val="21"/>
          <w:szCs w:val="21"/>
          <w:highlight w:val="none"/>
          <w:lang w:eastAsia="zh-CN"/>
        </w:rPr>
        <w:t>采购代理机构</w:t>
      </w:r>
      <w:r>
        <w:rPr>
          <w:rFonts w:hint="default" w:ascii="Arial" w:hAnsi="Arial" w:eastAsia="宋体" w:cs="Arial"/>
          <w:color w:val="auto"/>
          <w:sz w:val="21"/>
          <w:szCs w:val="21"/>
          <w:highlight w:val="none"/>
        </w:rPr>
        <w:t>应当在收到供应商的书面质疑后</w:t>
      </w:r>
      <w:r>
        <w:rPr>
          <w:rFonts w:hint="default" w:ascii="Arial" w:hAnsi="Arial" w:eastAsia="宋体" w:cs="Arial"/>
          <w:color w:val="auto"/>
          <w:sz w:val="21"/>
          <w:szCs w:val="21"/>
          <w:highlight w:val="none"/>
          <w:lang w:val="en-US" w:eastAsia="zh-CN"/>
        </w:rPr>
        <w:t>7</w:t>
      </w:r>
      <w:r>
        <w:rPr>
          <w:rFonts w:hint="default" w:ascii="Arial" w:hAnsi="Arial" w:eastAsia="宋体" w:cs="Arial"/>
          <w:color w:val="auto"/>
          <w:sz w:val="21"/>
          <w:szCs w:val="21"/>
          <w:highlight w:val="none"/>
        </w:rPr>
        <w:t>个工作日内作出答复，并以书面形式通知质疑供应商和其他有关供应商</w:t>
      </w:r>
      <w:r>
        <w:rPr>
          <w:rFonts w:hint="default" w:ascii="Arial" w:hAnsi="Arial" w:eastAsia="宋体" w:cs="Arial"/>
          <w:color w:val="auto"/>
          <w:sz w:val="21"/>
          <w:szCs w:val="21"/>
          <w:highlight w:val="none"/>
          <w:lang w:eastAsia="zh-CN"/>
        </w:rPr>
        <w:t>，</w:t>
      </w:r>
      <w:r>
        <w:rPr>
          <w:rFonts w:hint="default" w:ascii="Arial" w:hAnsi="Arial" w:eastAsia="宋体" w:cs="Arial"/>
          <w:color w:val="auto"/>
          <w:sz w:val="21"/>
          <w:szCs w:val="21"/>
          <w:highlight w:val="none"/>
        </w:rPr>
        <w:t>但答复的内容不得涉及商业秘密。</w:t>
      </w:r>
    </w:p>
    <w:p>
      <w:pPr>
        <w:pStyle w:val="14"/>
        <w:pageBreakBefore w:val="0"/>
        <w:numPr>
          <w:ilvl w:val="0"/>
          <w:numId w:val="8"/>
        </w:numPr>
        <w:tabs>
          <w:tab w:val="left" w:pos="840"/>
          <w:tab w:val="clear" w:pos="420"/>
        </w:tabs>
        <w:kinsoku/>
        <w:wordWrap/>
        <w:overflowPunct/>
        <w:topLinePunct w:val="0"/>
        <w:bidi w:val="0"/>
        <w:spacing w:beforeAutospacing="0" w:line="400" w:lineRule="atLeast"/>
        <w:ind w:left="835" w:leftChars="0" w:hanging="835"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质疑事项可能影响采购结果的，采购人应当暂停签订合同，已经签订合同的，应当中止履行合同。</w:t>
      </w:r>
    </w:p>
    <w:p>
      <w:pPr>
        <w:pageBreakBefore w:val="0"/>
        <w:numPr>
          <w:ilvl w:val="1"/>
          <w:numId w:val="3"/>
        </w:numPr>
        <w:kinsoku/>
        <w:wordWrap/>
        <w:overflowPunct/>
        <w:topLinePunct w:val="0"/>
        <w:bidi w:val="0"/>
        <w:snapToGrid w:val="0"/>
        <w:spacing w:beforeAutospacing="0" w:line="400" w:lineRule="atLeast"/>
        <w:ind w:left="835" w:leftChars="0" w:hanging="835" w:firstLineChars="0"/>
        <w:jc w:val="both"/>
        <w:textAlignment w:val="auto"/>
        <w:rPr>
          <w:rFonts w:hint="default" w:ascii="Arial" w:hAnsi="Arial" w:cs="Arial"/>
          <w:color w:val="auto"/>
          <w:sz w:val="21"/>
          <w:szCs w:val="21"/>
          <w:highlight w:val="none"/>
          <w:lang w:val="zh-CN"/>
        </w:rPr>
      </w:pPr>
      <w:r>
        <w:rPr>
          <w:rFonts w:hint="default" w:ascii="Arial" w:hAnsi="Arial" w:cs="Arial"/>
          <w:color w:val="auto"/>
          <w:sz w:val="21"/>
          <w:szCs w:val="21"/>
          <w:highlight w:val="none"/>
          <w:lang w:val="zh-CN"/>
        </w:rPr>
        <w:t>供应商投诉</w:t>
      </w:r>
    </w:p>
    <w:p>
      <w:pPr>
        <w:pStyle w:val="41"/>
        <w:pageBreakBefore w:val="0"/>
        <w:numPr>
          <w:ilvl w:val="0"/>
          <w:numId w:val="11"/>
        </w:numPr>
        <w:shd w:val="clear" w:color="auto" w:fill="FFFFFF"/>
        <w:tabs>
          <w:tab w:val="left" w:pos="840"/>
          <w:tab w:val="clear" w:pos="420"/>
        </w:tabs>
        <w:kinsoku/>
        <w:wordWrap/>
        <w:overflowPunct/>
        <w:topLinePunct w:val="0"/>
        <w:bidi w:val="0"/>
        <w:snapToGrid w:val="0"/>
        <w:spacing w:beforeAutospacing="0" w:after="240" w:afterAutospacing="0" w:line="400" w:lineRule="atLeast"/>
        <w:ind w:left="835" w:leftChars="0" w:hanging="835" w:firstLineChars="0"/>
        <w:contextualSpacing/>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质疑供应商对采购人、</w:t>
      </w:r>
      <w:r>
        <w:rPr>
          <w:rFonts w:hint="default" w:ascii="Arial" w:hAnsi="Arial" w:eastAsia="宋体" w:cs="Arial"/>
          <w:color w:val="auto"/>
          <w:sz w:val="21"/>
          <w:szCs w:val="21"/>
          <w:highlight w:val="none"/>
          <w:lang w:eastAsia="zh-CN"/>
        </w:rPr>
        <w:t>采购代理机构</w:t>
      </w:r>
      <w:r>
        <w:rPr>
          <w:rFonts w:hint="default" w:ascii="Arial" w:hAnsi="Arial" w:eastAsia="宋体" w:cs="Arial"/>
          <w:color w:val="auto"/>
          <w:sz w:val="21"/>
          <w:szCs w:val="21"/>
          <w:highlight w:val="none"/>
        </w:rPr>
        <w:t>的答复不满意或者采购人、</w:t>
      </w:r>
      <w:r>
        <w:rPr>
          <w:rFonts w:hint="default" w:ascii="Arial" w:hAnsi="Arial" w:eastAsia="宋体" w:cs="Arial"/>
          <w:color w:val="auto"/>
          <w:sz w:val="21"/>
          <w:szCs w:val="21"/>
          <w:highlight w:val="none"/>
          <w:lang w:eastAsia="zh-CN"/>
        </w:rPr>
        <w:t>采购代理机构</w:t>
      </w:r>
      <w:r>
        <w:rPr>
          <w:rFonts w:hint="default" w:ascii="Arial" w:hAnsi="Arial" w:eastAsia="宋体" w:cs="Arial"/>
          <w:color w:val="auto"/>
          <w:sz w:val="21"/>
          <w:szCs w:val="21"/>
          <w:highlight w:val="none"/>
        </w:rPr>
        <w:t>未在规定的时间内作出答复的，可以在答复期满后</w:t>
      </w:r>
      <w:r>
        <w:rPr>
          <w:rFonts w:hint="default" w:ascii="Arial" w:hAnsi="Arial" w:eastAsia="宋体" w:cs="Arial"/>
          <w:color w:val="auto"/>
          <w:sz w:val="21"/>
          <w:szCs w:val="21"/>
          <w:highlight w:val="none"/>
          <w:lang w:val="en-US" w:eastAsia="zh-CN"/>
        </w:rPr>
        <w:t>15</w:t>
      </w:r>
      <w:r>
        <w:rPr>
          <w:rFonts w:hint="default" w:ascii="Arial" w:hAnsi="Arial" w:eastAsia="宋体" w:cs="Arial"/>
          <w:color w:val="auto"/>
          <w:sz w:val="21"/>
          <w:szCs w:val="21"/>
          <w:highlight w:val="none"/>
        </w:rPr>
        <w:t>个工作日内向同级政府采购监督管理部门提出投诉。</w:t>
      </w:r>
    </w:p>
    <w:p>
      <w:pPr>
        <w:pStyle w:val="41"/>
        <w:pageBreakBefore w:val="0"/>
        <w:numPr>
          <w:ilvl w:val="0"/>
          <w:numId w:val="11"/>
        </w:numPr>
        <w:shd w:val="clear" w:color="auto" w:fill="FFFFFF"/>
        <w:tabs>
          <w:tab w:val="left" w:pos="840"/>
          <w:tab w:val="clear" w:pos="420"/>
        </w:tabs>
        <w:kinsoku/>
        <w:wordWrap/>
        <w:overflowPunct/>
        <w:topLinePunct w:val="0"/>
        <w:bidi w:val="0"/>
        <w:snapToGrid w:val="0"/>
        <w:spacing w:beforeAutospacing="0" w:after="240" w:afterAutospacing="0" w:line="400" w:lineRule="atLeast"/>
        <w:ind w:left="835" w:leftChars="0" w:hanging="835" w:firstLineChars="0"/>
        <w:contextualSpacing/>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供应商投诉的事项不得超出已质疑事项的范围，基于质疑答复内容提出的投诉事项除外。</w:t>
      </w:r>
    </w:p>
    <w:p>
      <w:pPr>
        <w:pStyle w:val="41"/>
        <w:pageBreakBefore w:val="0"/>
        <w:numPr>
          <w:ilvl w:val="0"/>
          <w:numId w:val="11"/>
        </w:numPr>
        <w:shd w:val="clear" w:color="auto" w:fill="FFFFFF"/>
        <w:tabs>
          <w:tab w:val="left" w:pos="840"/>
          <w:tab w:val="clear" w:pos="420"/>
        </w:tabs>
        <w:kinsoku/>
        <w:wordWrap/>
        <w:overflowPunct/>
        <w:topLinePunct w:val="0"/>
        <w:bidi w:val="0"/>
        <w:snapToGrid w:val="0"/>
        <w:spacing w:beforeAutospacing="0" w:after="240" w:afterAutospacing="0" w:line="400" w:lineRule="atLeast"/>
        <w:ind w:left="835" w:leftChars="0" w:hanging="835" w:firstLineChars="0"/>
        <w:contextualSpacing/>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供应商投诉应当有明确的请求和必要的证明材料。</w:t>
      </w:r>
    </w:p>
    <w:p>
      <w:pPr>
        <w:pStyle w:val="41"/>
        <w:pageBreakBefore w:val="0"/>
        <w:numPr>
          <w:ilvl w:val="0"/>
          <w:numId w:val="11"/>
        </w:numPr>
        <w:shd w:val="clear" w:color="auto" w:fill="FFFFFF"/>
        <w:tabs>
          <w:tab w:val="left" w:pos="840"/>
          <w:tab w:val="clear" w:pos="420"/>
        </w:tabs>
        <w:kinsoku/>
        <w:wordWrap/>
        <w:overflowPunct/>
        <w:topLinePunct w:val="0"/>
        <w:bidi w:val="0"/>
        <w:snapToGrid w:val="0"/>
        <w:spacing w:beforeAutospacing="0" w:after="240" w:afterAutospacing="0" w:line="400" w:lineRule="atLeast"/>
        <w:ind w:left="835" w:leftChars="0" w:hanging="835" w:firstLineChars="0"/>
        <w:contextualSpacing/>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以联合体形式参加政府采购活动的，其投诉应当由组成联合体的所有供应商共同提出。</w:t>
      </w:r>
    </w:p>
    <w:p>
      <w:pPr>
        <w:pStyle w:val="41"/>
        <w:pageBreakBefore w:val="0"/>
        <w:numPr>
          <w:ilvl w:val="0"/>
          <w:numId w:val="11"/>
        </w:numPr>
        <w:shd w:val="clear" w:color="auto" w:fill="FFFFFF"/>
        <w:tabs>
          <w:tab w:val="left" w:pos="840"/>
          <w:tab w:val="clear" w:pos="420"/>
        </w:tabs>
        <w:kinsoku/>
        <w:wordWrap/>
        <w:overflowPunct/>
        <w:topLinePunct w:val="0"/>
        <w:bidi w:val="0"/>
        <w:snapToGrid w:val="0"/>
        <w:spacing w:beforeAutospacing="0" w:after="240" w:afterAutospacing="0" w:line="400" w:lineRule="atLeast"/>
        <w:ind w:left="835" w:leftChars="0" w:hanging="835" w:firstLineChars="0"/>
        <w:contextualSpacing/>
        <w:textAlignment w:val="auto"/>
        <w:rPr>
          <w:rFonts w:hint="default" w:ascii="Arial" w:hAnsi="Arial" w:eastAsia="宋体" w:cs="Arial"/>
          <w:color w:val="auto"/>
          <w:sz w:val="21"/>
          <w:szCs w:val="21"/>
          <w:highlight w:val="none"/>
          <w:lang w:val="en-US" w:eastAsia="zh-CN"/>
        </w:rPr>
      </w:pPr>
      <w:r>
        <w:rPr>
          <w:rFonts w:hint="default" w:ascii="Arial" w:hAnsi="Arial" w:eastAsia="宋体" w:cs="Arial"/>
          <w:color w:val="auto"/>
          <w:sz w:val="21"/>
          <w:szCs w:val="21"/>
          <w:highlight w:val="none"/>
          <w:lang w:val="en-US" w:eastAsia="zh-CN"/>
        </w:rPr>
        <w:t>投诉人</w:t>
      </w:r>
      <w:r>
        <w:rPr>
          <w:rFonts w:hint="default" w:ascii="Arial" w:hAnsi="Arial" w:eastAsia="宋体" w:cs="Arial"/>
          <w:color w:val="auto"/>
          <w:sz w:val="21"/>
          <w:szCs w:val="21"/>
          <w:highlight w:val="none"/>
        </w:rPr>
        <w:t>投诉时，应当提交投诉书和必要的证明材料，并按照被投诉采购人、采购代理机构和与投诉事项有关的供应商数量提供投诉书的副本。投诉人为自然人的，应当由本人签字；投诉人为法人或者其他组织的，应当由法定代表人、主要负责人，或者其授权代表签字或者盖章，并加盖公章。</w:t>
      </w:r>
    </w:p>
    <w:p>
      <w:pPr>
        <w:pStyle w:val="41"/>
        <w:pageBreakBefore w:val="0"/>
        <w:shd w:val="clear" w:color="auto" w:fill="FFFFFF"/>
        <w:kinsoku/>
        <w:wordWrap/>
        <w:overflowPunct/>
        <w:topLinePunct w:val="0"/>
        <w:bidi w:val="0"/>
        <w:snapToGrid w:val="0"/>
        <w:spacing w:beforeAutospacing="0" w:after="240" w:afterAutospacing="0" w:line="400" w:lineRule="atLeast"/>
        <w:ind w:left="835" w:leftChars="0" w:firstLine="5" w:firstLineChars="0"/>
        <w:contextualSpacing/>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投诉书范本及制作说明详见附件3。</w:t>
      </w:r>
    </w:p>
    <w:p>
      <w:pPr>
        <w:adjustRightInd/>
        <w:spacing w:line="360" w:lineRule="auto"/>
        <w:jc w:val="center"/>
        <w:outlineLvl w:val="0"/>
        <w:rPr>
          <w:rFonts w:hint="eastAsia" w:ascii="宋体" w:hAnsi="宋体" w:eastAsia="宋体" w:cs="宋体"/>
          <w:b/>
          <w:color w:val="auto"/>
          <w:sz w:val="32"/>
          <w:szCs w:val="20"/>
          <w:highlight w:val="none"/>
        </w:rPr>
      </w:pPr>
      <w:bookmarkStart w:id="18" w:name="_Toc1621"/>
      <w:bookmarkStart w:id="19" w:name="_Toc2269"/>
      <w:r>
        <w:rPr>
          <w:rFonts w:hint="eastAsia" w:ascii="宋体" w:hAnsi="宋体" w:eastAsia="宋体" w:cs="宋体"/>
          <w:b/>
          <w:color w:val="auto"/>
          <w:sz w:val="32"/>
          <w:szCs w:val="20"/>
          <w:highlight w:val="none"/>
        </w:rPr>
        <w:t>二、</w:t>
      </w:r>
      <w:r>
        <w:rPr>
          <w:rFonts w:hint="eastAsia" w:ascii="宋体" w:hAnsi="宋体" w:eastAsia="宋体" w:cs="宋体"/>
          <w:b/>
          <w:color w:val="auto"/>
          <w:sz w:val="32"/>
          <w:szCs w:val="20"/>
          <w:highlight w:val="none"/>
          <w:lang w:eastAsia="zh-CN"/>
        </w:rPr>
        <w:t>磋商文件</w:t>
      </w:r>
      <w:r>
        <w:rPr>
          <w:rFonts w:hint="eastAsia" w:ascii="宋体" w:hAnsi="宋体" w:eastAsia="宋体" w:cs="宋体"/>
          <w:b/>
          <w:color w:val="auto"/>
          <w:sz w:val="32"/>
          <w:szCs w:val="20"/>
          <w:highlight w:val="none"/>
        </w:rPr>
        <w:t>的构成、澄清、修改</w:t>
      </w:r>
      <w:bookmarkEnd w:id="18"/>
      <w:bookmarkEnd w:id="19"/>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cs="宋体"/>
          <w:b/>
          <w:color w:val="auto"/>
          <w:sz w:val="21"/>
          <w:szCs w:val="21"/>
          <w:highlight w:val="none"/>
        </w:rPr>
      </w:pPr>
      <w:r>
        <w:rPr>
          <w:rFonts w:hint="eastAsia" w:ascii="宋体" w:hAnsi="宋体" w:cs="宋体"/>
          <w:b/>
          <w:color w:val="auto"/>
          <w:sz w:val="21"/>
          <w:szCs w:val="21"/>
          <w:highlight w:val="none"/>
          <w:lang w:eastAsia="zh-CN"/>
        </w:rPr>
        <w:t>磋商文件</w:t>
      </w:r>
      <w:r>
        <w:rPr>
          <w:rFonts w:hint="eastAsia" w:ascii="宋体" w:hAnsi="宋体" w:cs="宋体"/>
          <w:b/>
          <w:color w:val="auto"/>
          <w:sz w:val="21"/>
          <w:szCs w:val="21"/>
          <w:highlight w:val="none"/>
        </w:rPr>
        <w:t>的构成</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eastAsia="zh-CN"/>
        </w:rPr>
        <w:t>磋商文件</w:t>
      </w:r>
      <w:r>
        <w:rPr>
          <w:rFonts w:hint="eastAsia" w:ascii="宋体" w:hAnsi="宋体" w:cs="宋体"/>
          <w:color w:val="auto"/>
          <w:sz w:val="21"/>
          <w:szCs w:val="21"/>
          <w:highlight w:val="none"/>
          <w:lang w:val="zh-CN"/>
        </w:rPr>
        <w:t>包括下列文件及附件：</w:t>
      </w:r>
    </w:p>
    <w:p>
      <w:pPr>
        <w:pStyle w:val="14"/>
        <w:pageBreakBefore w:val="0"/>
        <w:numPr>
          <w:ilvl w:val="0"/>
          <w:numId w:val="12"/>
        </w:numPr>
        <w:tabs>
          <w:tab w:val="left" w:pos="840"/>
        </w:tabs>
        <w:kinsoku/>
        <w:wordWrap/>
        <w:overflowPunct/>
        <w:topLinePunct w:val="0"/>
        <w:bidi w:val="0"/>
        <w:spacing w:beforeAutospacing="0" w:line="400" w:lineRule="atLeast"/>
        <w:ind w:left="425" w:leftChars="0" w:firstLine="415"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lang w:eastAsia="zh-CN"/>
        </w:rPr>
        <w:t>竞争性磋商公告</w:t>
      </w:r>
      <w:r>
        <w:rPr>
          <w:rFonts w:hint="default" w:ascii="Arial" w:hAnsi="Arial" w:eastAsia="宋体" w:cs="Arial"/>
          <w:color w:val="auto"/>
          <w:sz w:val="21"/>
          <w:szCs w:val="21"/>
          <w:highlight w:val="none"/>
        </w:rPr>
        <w:t>；</w:t>
      </w:r>
    </w:p>
    <w:p>
      <w:pPr>
        <w:pStyle w:val="14"/>
        <w:pageBreakBefore w:val="0"/>
        <w:numPr>
          <w:ilvl w:val="0"/>
          <w:numId w:val="12"/>
        </w:numPr>
        <w:tabs>
          <w:tab w:val="left" w:pos="840"/>
        </w:tabs>
        <w:kinsoku/>
        <w:wordWrap/>
        <w:overflowPunct/>
        <w:topLinePunct w:val="0"/>
        <w:bidi w:val="0"/>
        <w:spacing w:beforeAutospacing="0" w:line="400" w:lineRule="atLeast"/>
        <w:ind w:left="425" w:leftChars="0" w:firstLine="415"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lang w:eastAsia="zh-CN"/>
        </w:rPr>
        <w:t>磋商供应商</w:t>
      </w:r>
      <w:r>
        <w:rPr>
          <w:rFonts w:hint="default" w:ascii="Arial" w:hAnsi="Arial" w:eastAsia="宋体" w:cs="Arial"/>
          <w:color w:val="auto"/>
          <w:sz w:val="21"/>
          <w:szCs w:val="21"/>
          <w:highlight w:val="none"/>
        </w:rPr>
        <w:t>须知；</w:t>
      </w:r>
    </w:p>
    <w:p>
      <w:pPr>
        <w:pStyle w:val="14"/>
        <w:pageBreakBefore w:val="0"/>
        <w:numPr>
          <w:ilvl w:val="0"/>
          <w:numId w:val="12"/>
        </w:numPr>
        <w:tabs>
          <w:tab w:val="left" w:pos="840"/>
        </w:tabs>
        <w:kinsoku/>
        <w:wordWrap/>
        <w:overflowPunct/>
        <w:topLinePunct w:val="0"/>
        <w:bidi w:val="0"/>
        <w:spacing w:beforeAutospacing="0" w:line="400" w:lineRule="atLeast"/>
        <w:ind w:left="425" w:leftChars="0" w:firstLine="415"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采购需求；</w:t>
      </w:r>
    </w:p>
    <w:p>
      <w:pPr>
        <w:pStyle w:val="14"/>
        <w:pageBreakBefore w:val="0"/>
        <w:numPr>
          <w:ilvl w:val="0"/>
          <w:numId w:val="12"/>
        </w:numPr>
        <w:tabs>
          <w:tab w:val="left" w:pos="840"/>
        </w:tabs>
        <w:kinsoku/>
        <w:wordWrap/>
        <w:overflowPunct/>
        <w:topLinePunct w:val="0"/>
        <w:bidi w:val="0"/>
        <w:spacing w:beforeAutospacing="0" w:line="400" w:lineRule="atLeast"/>
        <w:ind w:left="425" w:leftChars="0" w:firstLine="415"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评标办法；</w:t>
      </w:r>
    </w:p>
    <w:p>
      <w:pPr>
        <w:pStyle w:val="14"/>
        <w:pageBreakBefore w:val="0"/>
        <w:numPr>
          <w:ilvl w:val="0"/>
          <w:numId w:val="12"/>
        </w:numPr>
        <w:tabs>
          <w:tab w:val="left" w:pos="840"/>
        </w:tabs>
        <w:kinsoku/>
        <w:wordWrap/>
        <w:overflowPunct/>
        <w:topLinePunct w:val="0"/>
        <w:bidi w:val="0"/>
        <w:spacing w:beforeAutospacing="0" w:line="400" w:lineRule="atLeast"/>
        <w:ind w:left="425" w:leftChars="0" w:firstLine="415"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拟签订的合同文本；</w:t>
      </w:r>
    </w:p>
    <w:p>
      <w:pPr>
        <w:pStyle w:val="14"/>
        <w:pageBreakBefore w:val="0"/>
        <w:numPr>
          <w:ilvl w:val="0"/>
          <w:numId w:val="12"/>
        </w:numPr>
        <w:tabs>
          <w:tab w:val="left" w:pos="840"/>
        </w:tabs>
        <w:kinsoku/>
        <w:wordWrap/>
        <w:overflowPunct/>
        <w:topLinePunct w:val="0"/>
        <w:bidi w:val="0"/>
        <w:spacing w:beforeAutospacing="0" w:line="400" w:lineRule="atLeast"/>
        <w:ind w:left="425" w:leftChars="0" w:firstLine="415"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应提交的有关格式范例。</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eastAsia="zh-CN"/>
        </w:rPr>
      </w:pPr>
      <w:r>
        <w:rPr>
          <w:rFonts w:hint="eastAsia" w:ascii="宋体" w:hAnsi="宋体" w:cs="宋体"/>
          <w:color w:val="auto"/>
          <w:sz w:val="21"/>
          <w:szCs w:val="21"/>
          <w:highlight w:val="none"/>
          <w:lang w:val="zh-CN" w:eastAsia="zh-CN"/>
        </w:rPr>
        <w:t>与本项目有关的澄清或者修改的内容为磋商文件的组成部分。</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cs="宋体"/>
          <w:b/>
          <w:color w:val="auto"/>
          <w:sz w:val="21"/>
          <w:szCs w:val="21"/>
          <w:highlight w:val="none"/>
          <w:lang w:eastAsia="zh-CN"/>
        </w:rPr>
      </w:pPr>
      <w:r>
        <w:rPr>
          <w:rFonts w:hint="eastAsia" w:ascii="宋体" w:hAnsi="宋体" w:cs="宋体"/>
          <w:b/>
          <w:color w:val="auto"/>
          <w:sz w:val="21"/>
          <w:szCs w:val="21"/>
          <w:highlight w:val="none"/>
          <w:lang w:eastAsia="zh-CN"/>
        </w:rPr>
        <w:t>磋商文件的澄清、修改</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已获取</w:t>
      </w:r>
      <w:r>
        <w:rPr>
          <w:rFonts w:hint="eastAsia" w:ascii="宋体" w:hAnsi="宋体" w:cs="宋体"/>
          <w:color w:val="auto"/>
          <w:sz w:val="21"/>
          <w:szCs w:val="21"/>
          <w:highlight w:val="none"/>
          <w:lang w:val="zh-CN" w:eastAsia="zh-CN"/>
        </w:rPr>
        <w:t>磋商文件</w:t>
      </w:r>
      <w:r>
        <w:rPr>
          <w:rFonts w:hint="eastAsia" w:ascii="宋体" w:hAnsi="宋体" w:cs="宋体"/>
          <w:color w:val="auto"/>
          <w:sz w:val="21"/>
          <w:szCs w:val="21"/>
          <w:highlight w:val="none"/>
          <w:lang w:val="zh-CN"/>
        </w:rPr>
        <w:t>的潜在</w:t>
      </w:r>
      <w:r>
        <w:rPr>
          <w:rFonts w:hint="eastAsia" w:ascii="宋体" w:hAnsi="宋体" w:cs="宋体"/>
          <w:color w:val="auto"/>
          <w:sz w:val="21"/>
          <w:szCs w:val="21"/>
          <w:highlight w:val="none"/>
          <w:lang w:val="zh-CN" w:eastAsia="zh-CN"/>
        </w:rPr>
        <w:t>磋商供应商</w:t>
      </w:r>
      <w:r>
        <w:rPr>
          <w:rFonts w:hint="eastAsia" w:ascii="宋体" w:hAnsi="宋体" w:cs="宋体"/>
          <w:color w:val="auto"/>
          <w:sz w:val="21"/>
          <w:szCs w:val="21"/>
          <w:highlight w:val="none"/>
          <w:lang w:val="zh-CN"/>
        </w:rPr>
        <w:t>，若有问题需要</w:t>
      </w:r>
      <w:r>
        <w:rPr>
          <w:rFonts w:hint="eastAsia" w:ascii="宋体" w:hAnsi="宋体" w:cs="宋体"/>
          <w:color w:val="auto"/>
          <w:sz w:val="21"/>
          <w:szCs w:val="21"/>
          <w:highlight w:val="none"/>
          <w:lang w:val="en-US" w:eastAsia="zh-CN"/>
        </w:rPr>
        <w:t>采购人或采购代理机构</w:t>
      </w:r>
      <w:r>
        <w:rPr>
          <w:rFonts w:hint="eastAsia" w:ascii="宋体" w:hAnsi="宋体" w:cs="宋体"/>
          <w:color w:val="auto"/>
          <w:sz w:val="21"/>
          <w:szCs w:val="21"/>
          <w:highlight w:val="none"/>
          <w:lang w:val="zh-CN"/>
        </w:rPr>
        <w:t>澄清，应于磋商响应截止时间前，以书面形式向</w:t>
      </w:r>
      <w:r>
        <w:rPr>
          <w:rFonts w:hint="eastAsia" w:ascii="宋体" w:hAnsi="宋体" w:cs="宋体"/>
          <w:color w:val="auto"/>
          <w:sz w:val="21"/>
          <w:szCs w:val="21"/>
          <w:highlight w:val="none"/>
          <w:lang w:val="zh-CN" w:eastAsia="zh-CN"/>
        </w:rPr>
        <w:t>采购代理机构</w:t>
      </w:r>
      <w:r>
        <w:rPr>
          <w:rFonts w:hint="eastAsia" w:ascii="宋体" w:hAnsi="宋体" w:cs="宋体"/>
          <w:color w:val="auto"/>
          <w:sz w:val="21"/>
          <w:szCs w:val="21"/>
          <w:highlight w:val="none"/>
          <w:lang w:val="zh-CN"/>
        </w:rPr>
        <w:t>提出。</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采购人或者采购</w:t>
      </w:r>
      <w:r>
        <w:rPr>
          <w:rFonts w:hint="eastAsia" w:ascii="宋体" w:hAnsi="宋体" w:cs="宋体"/>
          <w:color w:val="auto"/>
          <w:sz w:val="21"/>
          <w:szCs w:val="21"/>
          <w:highlight w:val="none"/>
          <w:lang w:val="en-US" w:eastAsia="zh-CN"/>
        </w:rPr>
        <w:t>代理</w:t>
      </w:r>
      <w:r>
        <w:rPr>
          <w:rFonts w:hint="eastAsia" w:ascii="宋体" w:hAnsi="宋体" w:cs="宋体"/>
          <w:color w:val="auto"/>
          <w:sz w:val="21"/>
          <w:szCs w:val="21"/>
          <w:highlight w:val="none"/>
          <w:lang w:val="zh-CN"/>
        </w:rPr>
        <w:t>机构可以对已发出的</w:t>
      </w:r>
      <w:r>
        <w:rPr>
          <w:rFonts w:hint="eastAsia" w:ascii="宋体" w:hAnsi="宋体" w:cs="宋体"/>
          <w:color w:val="auto"/>
          <w:sz w:val="21"/>
          <w:szCs w:val="21"/>
          <w:highlight w:val="none"/>
          <w:lang w:val="zh-CN" w:eastAsia="zh-CN"/>
        </w:rPr>
        <w:t>磋商文件</w:t>
      </w:r>
      <w:r>
        <w:rPr>
          <w:rFonts w:hint="eastAsia" w:ascii="宋体" w:hAnsi="宋体" w:cs="宋体"/>
          <w:color w:val="auto"/>
          <w:sz w:val="21"/>
          <w:szCs w:val="21"/>
          <w:highlight w:val="none"/>
          <w:lang w:val="zh-CN"/>
        </w:rPr>
        <w:t>进行必要的澄清或者修改，但不得改变采购标的和资格条件。</w:t>
      </w:r>
      <w:r>
        <w:rPr>
          <w:rFonts w:hint="eastAsia" w:ascii="宋体" w:hAnsi="宋体" w:cs="宋体"/>
          <w:color w:val="auto"/>
          <w:sz w:val="21"/>
          <w:szCs w:val="21"/>
          <w:highlight w:val="none"/>
          <w:lang w:val="en-US" w:eastAsia="zh-CN"/>
        </w:rPr>
        <w:t>采购人或</w:t>
      </w:r>
      <w:r>
        <w:rPr>
          <w:rFonts w:hint="eastAsia" w:ascii="宋体" w:hAnsi="宋体" w:cs="宋体"/>
          <w:color w:val="auto"/>
          <w:sz w:val="21"/>
          <w:szCs w:val="21"/>
          <w:highlight w:val="none"/>
          <w:lang w:val="zh-CN" w:eastAsia="zh-CN"/>
        </w:rPr>
        <w:t>采购代理机构</w:t>
      </w:r>
      <w:r>
        <w:rPr>
          <w:rFonts w:hint="eastAsia" w:ascii="宋体" w:hAnsi="宋体" w:cs="宋体"/>
          <w:color w:val="auto"/>
          <w:sz w:val="21"/>
          <w:szCs w:val="21"/>
          <w:highlight w:val="none"/>
          <w:lang w:val="zh-CN"/>
        </w:rPr>
        <w:t>对</w:t>
      </w:r>
      <w:r>
        <w:rPr>
          <w:rFonts w:hint="eastAsia" w:ascii="宋体" w:hAnsi="宋体" w:cs="宋体"/>
          <w:color w:val="auto"/>
          <w:sz w:val="21"/>
          <w:szCs w:val="21"/>
          <w:highlight w:val="none"/>
          <w:lang w:val="zh-CN" w:eastAsia="zh-CN"/>
        </w:rPr>
        <w:t>磋商文件</w:t>
      </w:r>
      <w:r>
        <w:rPr>
          <w:rFonts w:hint="eastAsia" w:ascii="宋体" w:hAnsi="宋体" w:cs="宋体"/>
          <w:color w:val="auto"/>
          <w:sz w:val="21"/>
          <w:szCs w:val="21"/>
          <w:highlight w:val="none"/>
          <w:lang w:val="zh-CN"/>
        </w:rPr>
        <w:t>进行澄清或修改的，将同时通过电子交易平台通知已获取</w:t>
      </w:r>
      <w:r>
        <w:rPr>
          <w:rFonts w:hint="eastAsia" w:ascii="宋体" w:hAnsi="宋体" w:cs="宋体"/>
          <w:color w:val="auto"/>
          <w:sz w:val="21"/>
          <w:szCs w:val="21"/>
          <w:highlight w:val="none"/>
          <w:lang w:val="zh-CN" w:eastAsia="zh-CN"/>
        </w:rPr>
        <w:t>磋商文件</w:t>
      </w:r>
      <w:r>
        <w:rPr>
          <w:rFonts w:hint="eastAsia" w:ascii="宋体" w:hAnsi="宋体" w:cs="宋体"/>
          <w:color w:val="auto"/>
          <w:sz w:val="21"/>
          <w:szCs w:val="21"/>
          <w:highlight w:val="none"/>
          <w:lang w:val="zh-CN"/>
        </w:rPr>
        <w:t>的潜在</w:t>
      </w:r>
      <w:r>
        <w:rPr>
          <w:rFonts w:hint="eastAsia" w:ascii="宋体" w:hAnsi="宋体" w:cs="宋体"/>
          <w:color w:val="auto"/>
          <w:sz w:val="21"/>
          <w:szCs w:val="21"/>
          <w:highlight w:val="none"/>
          <w:lang w:val="zh-CN" w:eastAsia="zh-CN"/>
        </w:rPr>
        <w:t>磋商供应商，</w:t>
      </w:r>
      <w:r>
        <w:rPr>
          <w:rFonts w:hint="eastAsia" w:ascii="宋体" w:hAnsi="宋体" w:cs="宋体"/>
          <w:color w:val="auto"/>
          <w:sz w:val="21"/>
          <w:szCs w:val="21"/>
          <w:highlight w:val="none"/>
          <w:lang w:val="zh-CN"/>
        </w:rPr>
        <w:t>澄清或者修改的内容为</w:t>
      </w:r>
      <w:r>
        <w:rPr>
          <w:rFonts w:hint="eastAsia" w:ascii="宋体" w:hAnsi="宋体" w:cs="宋体"/>
          <w:color w:val="auto"/>
          <w:sz w:val="21"/>
          <w:szCs w:val="21"/>
          <w:highlight w:val="none"/>
          <w:lang w:val="zh-CN" w:eastAsia="zh-CN"/>
        </w:rPr>
        <w:t>磋商文件</w:t>
      </w:r>
      <w:r>
        <w:rPr>
          <w:rFonts w:hint="eastAsia" w:ascii="宋体" w:hAnsi="宋体" w:cs="宋体"/>
          <w:color w:val="auto"/>
          <w:sz w:val="21"/>
          <w:szCs w:val="21"/>
          <w:highlight w:val="none"/>
          <w:lang w:val="zh-CN"/>
        </w:rPr>
        <w:t>的组成部分</w:t>
      </w:r>
      <w:r>
        <w:rPr>
          <w:rFonts w:hint="eastAsia" w:ascii="宋体" w:hAnsi="宋体" w:cs="宋体"/>
          <w:color w:val="auto"/>
          <w:sz w:val="21"/>
          <w:szCs w:val="21"/>
          <w:highlight w:val="none"/>
          <w:lang w:val="zh-CN" w:eastAsia="zh-CN"/>
        </w:rPr>
        <w:t>，</w:t>
      </w:r>
      <w:r>
        <w:rPr>
          <w:rFonts w:hint="eastAsia" w:ascii="宋体" w:hAnsi="宋体" w:cs="宋体"/>
          <w:color w:val="auto"/>
          <w:sz w:val="21"/>
          <w:szCs w:val="21"/>
          <w:highlight w:val="none"/>
          <w:lang w:val="zh-CN"/>
        </w:rPr>
        <w:t>当</w:t>
      </w:r>
      <w:r>
        <w:rPr>
          <w:rFonts w:hint="eastAsia" w:ascii="宋体" w:hAnsi="宋体" w:cs="宋体"/>
          <w:color w:val="auto"/>
          <w:sz w:val="21"/>
          <w:szCs w:val="21"/>
          <w:highlight w:val="none"/>
          <w:lang w:val="zh-CN" w:eastAsia="zh-CN"/>
        </w:rPr>
        <w:t>磋商文件</w:t>
      </w:r>
      <w:r>
        <w:rPr>
          <w:rFonts w:hint="eastAsia" w:ascii="宋体" w:hAnsi="宋体" w:cs="宋体"/>
          <w:color w:val="auto"/>
          <w:sz w:val="21"/>
          <w:szCs w:val="21"/>
          <w:highlight w:val="none"/>
          <w:lang w:val="zh-CN"/>
        </w:rPr>
        <w:t>与</w:t>
      </w:r>
      <w:r>
        <w:rPr>
          <w:rFonts w:hint="eastAsia" w:ascii="宋体" w:hAnsi="宋体" w:cs="宋体"/>
          <w:color w:val="auto"/>
          <w:sz w:val="21"/>
          <w:szCs w:val="21"/>
          <w:highlight w:val="none"/>
          <w:lang w:val="zh-CN" w:eastAsia="zh-CN"/>
        </w:rPr>
        <w:t>磋商文件</w:t>
      </w:r>
      <w:r>
        <w:rPr>
          <w:rFonts w:hint="eastAsia" w:ascii="宋体" w:hAnsi="宋体" w:cs="宋体"/>
          <w:color w:val="auto"/>
          <w:sz w:val="21"/>
          <w:szCs w:val="21"/>
          <w:highlight w:val="none"/>
          <w:lang w:val="zh-CN"/>
        </w:rPr>
        <w:t>的答复、澄清、修改、补充通知就同一内容的表述不一致时，以最后发出的更正（澄清）公告为准。</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zh-CN"/>
        </w:rPr>
        <w:t>澄清或者修改的内容可能影响</w:t>
      </w:r>
      <w:r>
        <w:rPr>
          <w:rFonts w:hint="eastAsia" w:ascii="宋体" w:hAnsi="宋体" w:cs="宋体"/>
          <w:color w:val="auto"/>
          <w:sz w:val="21"/>
          <w:szCs w:val="21"/>
          <w:highlight w:val="none"/>
          <w:lang w:val="zh-CN" w:eastAsia="zh-CN"/>
        </w:rPr>
        <w:t>磋商响应文件</w:t>
      </w:r>
      <w:r>
        <w:rPr>
          <w:rFonts w:hint="eastAsia" w:ascii="宋体" w:hAnsi="宋体" w:cs="宋体"/>
          <w:color w:val="auto"/>
          <w:sz w:val="21"/>
          <w:szCs w:val="21"/>
          <w:highlight w:val="none"/>
          <w:lang w:val="zh-CN"/>
        </w:rPr>
        <w:t>编制的，采购人或者采购代理机构构应当在投标截止时间至少</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lang w:val="zh-CN"/>
        </w:rPr>
        <w:t>日前，以更正（澄清）公告形式通知所有获取</w:t>
      </w:r>
      <w:r>
        <w:rPr>
          <w:rFonts w:hint="eastAsia" w:ascii="宋体" w:hAnsi="宋体" w:cs="宋体"/>
          <w:color w:val="auto"/>
          <w:sz w:val="21"/>
          <w:szCs w:val="21"/>
          <w:highlight w:val="none"/>
          <w:lang w:val="zh-CN" w:eastAsia="zh-CN"/>
        </w:rPr>
        <w:t>磋商文件</w:t>
      </w:r>
      <w:r>
        <w:rPr>
          <w:rFonts w:hint="eastAsia" w:ascii="宋体" w:hAnsi="宋体" w:cs="宋体"/>
          <w:color w:val="auto"/>
          <w:sz w:val="21"/>
          <w:szCs w:val="21"/>
          <w:highlight w:val="none"/>
          <w:lang w:val="zh-CN"/>
        </w:rPr>
        <w:t>的潜在</w:t>
      </w:r>
      <w:r>
        <w:rPr>
          <w:rFonts w:hint="eastAsia" w:ascii="宋体" w:hAnsi="宋体" w:cs="宋体"/>
          <w:color w:val="auto"/>
          <w:sz w:val="21"/>
          <w:szCs w:val="21"/>
          <w:highlight w:val="none"/>
          <w:lang w:val="zh-CN" w:eastAsia="zh-CN"/>
        </w:rPr>
        <w:t>磋商供应商</w:t>
      </w:r>
      <w:r>
        <w:rPr>
          <w:rFonts w:hint="eastAsia" w:ascii="宋体" w:hAnsi="宋体" w:cs="宋体"/>
          <w:color w:val="auto"/>
          <w:sz w:val="21"/>
          <w:szCs w:val="21"/>
          <w:highlight w:val="none"/>
          <w:lang w:val="zh-CN"/>
        </w:rPr>
        <w:t>，并对其具有约束力；不足</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lang w:val="zh-CN"/>
        </w:rPr>
        <w:t>日的，采购人或者采购</w:t>
      </w:r>
      <w:r>
        <w:rPr>
          <w:rFonts w:hint="eastAsia" w:ascii="宋体" w:hAnsi="宋体" w:cs="宋体"/>
          <w:color w:val="auto"/>
          <w:sz w:val="21"/>
          <w:szCs w:val="21"/>
          <w:highlight w:val="none"/>
          <w:lang w:val="en-US" w:eastAsia="zh-CN"/>
        </w:rPr>
        <w:t>代理</w:t>
      </w:r>
      <w:r>
        <w:rPr>
          <w:rFonts w:hint="eastAsia" w:ascii="宋体" w:hAnsi="宋体" w:cs="宋体"/>
          <w:color w:val="auto"/>
          <w:sz w:val="21"/>
          <w:szCs w:val="21"/>
          <w:highlight w:val="none"/>
          <w:lang w:val="zh-CN"/>
        </w:rPr>
        <w:t>机构应当顺延提交</w:t>
      </w:r>
      <w:r>
        <w:rPr>
          <w:rFonts w:hint="eastAsia" w:ascii="宋体" w:hAnsi="宋体" w:cs="宋体"/>
          <w:color w:val="auto"/>
          <w:sz w:val="21"/>
          <w:szCs w:val="21"/>
          <w:highlight w:val="none"/>
          <w:lang w:val="zh-CN" w:eastAsia="zh-CN"/>
        </w:rPr>
        <w:t>磋商响应文件</w:t>
      </w:r>
      <w:r>
        <w:rPr>
          <w:rFonts w:hint="eastAsia" w:ascii="宋体" w:hAnsi="宋体" w:cs="宋体"/>
          <w:color w:val="auto"/>
          <w:sz w:val="21"/>
          <w:szCs w:val="21"/>
          <w:highlight w:val="none"/>
          <w:lang w:val="zh-CN"/>
        </w:rPr>
        <w:t>的截止时间。</w:t>
      </w:r>
      <w:r>
        <w:rPr>
          <w:rFonts w:hint="eastAsia" w:ascii="宋体" w:hAnsi="宋体" w:cs="宋体"/>
          <w:color w:val="auto"/>
          <w:sz w:val="21"/>
          <w:szCs w:val="21"/>
          <w:highlight w:val="none"/>
          <w:lang w:val="zh-CN" w:eastAsia="zh-CN"/>
        </w:rPr>
        <w:t>磋商供应商</w:t>
      </w:r>
      <w:r>
        <w:rPr>
          <w:rFonts w:hint="eastAsia" w:ascii="宋体" w:hAnsi="宋体" w:cs="宋体"/>
          <w:color w:val="auto"/>
          <w:sz w:val="21"/>
          <w:szCs w:val="21"/>
          <w:highlight w:val="none"/>
          <w:lang w:val="zh-CN"/>
        </w:rPr>
        <w:t>应及时关注浙江政府采购网上该项目的公告信息</w:t>
      </w:r>
      <w:r>
        <w:rPr>
          <w:rFonts w:hint="eastAsia" w:ascii="宋体" w:hAnsi="宋体" w:cs="宋体"/>
          <w:color w:val="auto"/>
          <w:sz w:val="21"/>
          <w:szCs w:val="21"/>
          <w:highlight w:val="none"/>
          <w:lang w:val="zh-CN" w:eastAsia="zh-CN"/>
        </w:rPr>
        <w:t>。</w:t>
      </w:r>
    </w:p>
    <w:p>
      <w:pPr>
        <w:pStyle w:val="2"/>
        <w:pageBreakBefore w:val="0"/>
        <w:kinsoku/>
        <w:wordWrap/>
        <w:overflowPunct/>
        <w:topLinePunct w:val="0"/>
        <w:bidi w:val="0"/>
        <w:spacing w:beforeAutospacing="0" w:line="400" w:lineRule="atLeast"/>
        <w:textAlignment w:val="auto"/>
        <w:rPr>
          <w:rFonts w:hint="eastAsia"/>
          <w:color w:val="auto"/>
          <w:sz w:val="21"/>
          <w:szCs w:val="21"/>
          <w:highlight w:val="none"/>
          <w:lang w:val="en-US"/>
        </w:rPr>
      </w:pPr>
      <w:r>
        <w:rPr>
          <w:rFonts w:hint="eastAsia" w:ascii="宋体" w:hAnsi="宋体" w:eastAsia="宋体" w:cs="宋体"/>
          <w:color w:val="auto"/>
          <w:sz w:val="21"/>
          <w:szCs w:val="21"/>
          <w:highlight w:val="none"/>
          <w:lang w:val="en-US"/>
        </w:rPr>
        <w:t xml:space="preserve">    </w:t>
      </w:r>
    </w:p>
    <w:p>
      <w:pPr>
        <w:adjustRightInd/>
        <w:spacing w:line="360" w:lineRule="auto"/>
        <w:jc w:val="center"/>
        <w:outlineLvl w:val="0"/>
        <w:rPr>
          <w:rFonts w:hint="eastAsia" w:ascii="宋体" w:hAnsi="宋体" w:eastAsia="宋体" w:cs="宋体"/>
          <w:b/>
          <w:color w:val="auto"/>
          <w:sz w:val="32"/>
          <w:szCs w:val="20"/>
          <w:highlight w:val="none"/>
        </w:rPr>
      </w:pPr>
      <w:bookmarkStart w:id="20" w:name="_Toc13236"/>
      <w:bookmarkStart w:id="21" w:name="_Toc1397"/>
      <w:r>
        <w:rPr>
          <w:rFonts w:hint="eastAsia" w:ascii="宋体" w:hAnsi="宋体" w:eastAsia="宋体" w:cs="宋体"/>
          <w:b/>
          <w:color w:val="auto"/>
          <w:sz w:val="32"/>
          <w:szCs w:val="20"/>
          <w:highlight w:val="none"/>
        </w:rPr>
        <w:t>三、投标</w:t>
      </w:r>
      <w:bookmarkEnd w:id="20"/>
      <w:bookmarkEnd w:id="21"/>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cs="宋体"/>
          <w:b/>
          <w:color w:val="auto"/>
          <w:sz w:val="21"/>
          <w:szCs w:val="21"/>
          <w:highlight w:val="none"/>
          <w:lang w:eastAsia="zh-CN"/>
        </w:rPr>
      </w:pPr>
      <w:r>
        <w:rPr>
          <w:rFonts w:hint="eastAsia" w:ascii="宋体" w:hAnsi="宋体" w:cs="宋体"/>
          <w:b/>
          <w:color w:val="auto"/>
          <w:sz w:val="21"/>
          <w:szCs w:val="21"/>
          <w:highlight w:val="none"/>
          <w:lang w:eastAsia="zh-CN"/>
        </w:rPr>
        <w:t>磋商文件的获取</w:t>
      </w:r>
    </w:p>
    <w:p>
      <w:pPr>
        <w:pageBreakBefore w:val="0"/>
        <w:kinsoku/>
        <w:wordWrap/>
        <w:overflowPunct/>
        <w:topLinePunct w:val="0"/>
        <w:bidi w:val="0"/>
        <w:spacing w:beforeAutospacing="0" w:line="400" w:lineRule="atLeast"/>
        <w:ind w:left="0" w:leftChars="0" w:firstLine="840" w:firstLineChars="400"/>
        <w:textAlignment w:val="auto"/>
        <w:rPr>
          <w:rFonts w:hint="eastAsia" w:ascii="宋体" w:hAnsi="宋体" w:eastAsia="宋体" w:cs="宋体"/>
          <w:snapToGrid w:val="0"/>
          <w:color w:val="auto"/>
          <w:kern w:val="28"/>
          <w:sz w:val="21"/>
          <w:szCs w:val="21"/>
          <w:highlight w:val="none"/>
        </w:rPr>
      </w:pPr>
      <w:r>
        <w:rPr>
          <w:rFonts w:hint="eastAsia" w:ascii="宋体" w:hAnsi="宋体" w:eastAsia="宋体" w:cs="宋体"/>
          <w:snapToGrid w:val="0"/>
          <w:color w:val="auto"/>
          <w:kern w:val="28"/>
          <w:sz w:val="21"/>
          <w:szCs w:val="21"/>
          <w:highlight w:val="none"/>
        </w:rPr>
        <w:t>详见</w:t>
      </w:r>
      <w:r>
        <w:rPr>
          <w:rFonts w:hint="eastAsia" w:ascii="宋体" w:hAnsi="宋体" w:eastAsia="宋体" w:cs="宋体"/>
          <w:snapToGrid w:val="0"/>
          <w:color w:val="auto"/>
          <w:kern w:val="28"/>
          <w:sz w:val="21"/>
          <w:szCs w:val="21"/>
          <w:highlight w:val="none"/>
          <w:lang w:eastAsia="zh-CN"/>
        </w:rPr>
        <w:t>竞争性磋商公告</w:t>
      </w:r>
      <w:r>
        <w:rPr>
          <w:rFonts w:hint="eastAsia" w:ascii="宋体" w:hAnsi="宋体" w:eastAsia="宋体" w:cs="宋体"/>
          <w:snapToGrid w:val="0"/>
          <w:color w:val="auto"/>
          <w:kern w:val="28"/>
          <w:sz w:val="21"/>
          <w:szCs w:val="21"/>
          <w:highlight w:val="none"/>
        </w:rPr>
        <w:t>中获取</w:t>
      </w:r>
      <w:r>
        <w:rPr>
          <w:rFonts w:hint="eastAsia" w:ascii="宋体" w:hAnsi="宋体" w:eastAsia="宋体" w:cs="宋体"/>
          <w:snapToGrid w:val="0"/>
          <w:color w:val="auto"/>
          <w:kern w:val="28"/>
          <w:sz w:val="21"/>
          <w:szCs w:val="21"/>
          <w:highlight w:val="none"/>
          <w:lang w:eastAsia="zh-CN"/>
        </w:rPr>
        <w:t>磋商文件</w:t>
      </w:r>
      <w:r>
        <w:rPr>
          <w:rFonts w:hint="eastAsia" w:ascii="宋体" w:hAnsi="宋体" w:eastAsia="宋体" w:cs="宋体"/>
          <w:snapToGrid w:val="0"/>
          <w:color w:val="auto"/>
          <w:kern w:val="28"/>
          <w:sz w:val="21"/>
          <w:szCs w:val="21"/>
          <w:highlight w:val="none"/>
        </w:rPr>
        <w:t>的时间期限、地点、方式及</w:t>
      </w:r>
      <w:r>
        <w:rPr>
          <w:rFonts w:hint="eastAsia" w:ascii="宋体" w:hAnsi="宋体" w:eastAsia="宋体" w:cs="宋体"/>
          <w:snapToGrid w:val="0"/>
          <w:color w:val="auto"/>
          <w:kern w:val="28"/>
          <w:sz w:val="21"/>
          <w:szCs w:val="21"/>
          <w:highlight w:val="none"/>
          <w:lang w:eastAsia="zh-CN"/>
        </w:rPr>
        <w:t>磋商文件</w:t>
      </w:r>
      <w:r>
        <w:rPr>
          <w:rFonts w:hint="eastAsia" w:ascii="宋体" w:hAnsi="宋体" w:eastAsia="宋体" w:cs="宋体"/>
          <w:snapToGrid w:val="0"/>
          <w:color w:val="auto"/>
          <w:kern w:val="28"/>
          <w:sz w:val="21"/>
          <w:szCs w:val="21"/>
          <w:highlight w:val="none"/>
        </w:rPr>
        <w:t>售价。</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cs="宋体"/>
          <w:b/>
          <w:color w:val="auto"/>
          <w:sz w:val="21"/>
          <w:szCs w:val="21"/>
          <w:highlight w:val="none"/>
          <w:lang w:eastAsia="zh-CN"/>
        </w:rPr>
      </w:pPr>
      <w:r>
        <w:rPr>
          <w:rFonts w:hint="eastAsia" w:ascii="宋体" w:hAnsi="宋体" w:cs="宋体"/>
          <w:b/>
          <w:color w:val="auto"/>
          <w:sz w:val="21"/>
          <w:szCs w:val="21"/>
          <w:highlight w:val="none"/>
          <w:lang w:eastAsia="zh-CN"/>
        </w:rPr>
        <w:t>开标前答疑会或现场考察</w:t>
      </w:r>
    </w:p>
    <w:p>
      <w:pPr>
        <w:pStyle w:val="14"/>
        <w:pageBreakBefore w:val="0"/>
        <w:kinsoku/>
        <w:wordWrap/>
        <w:overflowPunct/>
        <w:topLinePunct w:val="0"/>
        <w:bidi w:val="0"/>
        <w:spacing w:beforeAutospacing="0" w:line="400" w:lineRule="atLeast"/>
        <w:ind w:left="840" w:leftChars="40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采购人组织潜在</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现场考察或者召开开标前答疑会的，潜在</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按第</w:t>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部分</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须知前附表的规定参加现场考察或者开标前答疑会。</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cs="宋体"/>
          <w:b/>
          <w:color w:val="auto"/>
          <w:sz w:val="21"/>
          <w:szCs w:val="21"/>
          <w:highlight w:val="none"/>
          <w:lang w:eastAsia="zh-CN"/>
        </w:rPr>
      </w:pPr>
      <w:r>
        <w:rPr>
          <w:rFonts w:hint="eastAsia" w:ascii="宋体" w:hAnsi="宋体" w:cs="宋体"/>
          <w:b/>
          <w:color w:val="auto"/>
          <w:sz w:val="21"/>
          <w:szCs w:val="21"/>
          <w:highlight w:val="none"/>
          <w:lang w:eastAsia="zh-CN"/>
        </w:rPr>
        <w:t>投标保证金</w:t>
      </w:r>
    </w:p>
    <w:p>
      <w:pPr>
        <w:pStyle w:val="10"/>
        <w:pageBreakBefore w:val="0"/>
        <w:kinsoku/>
        <w:wordWrap/>
        <w:overflowPunct/>
        <w:topLinePunct w:val="0"/>
        <w:bidi w:val="0"/>
        <w:spacing w:beforeAutospacing="0" w:line="400" w:lineRule="atLeast"/>
        <w:ind w:left="0" w:leftChars="0" w:firstLine="840" w:firstLineChars="4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本项目不需缴纳投标保证金。</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cs="宋体"/>
          <w:b/>
          <w:color w:val="auto"/>
          <w:sz w:val="21"/>
          <w:szCs w:val="21"/>
          <w:highlight w:val="none"/>
          <w:lang w:eastAsia="zh-CN"/>
        </w:rPr>
      </w:pPr>
      <w:r>
        <w:rPr>
          <w:rFonts w:hint="eastAsia" w:ascii="宋体" w:hAnsi="宋体" w:cs="宋体"/>
          <w:b/>
          <w:color w:val="auto"/>
          <w:sz w:val="21"/>
          <w:szCs w:val="21"/>
          <w:highlight w:val="none"/>
          <w:lang w:eastAsia="zh-CN"/>
        </w:rPr>
        <w:t>磋商响应文件的语言</w:t>
      </w:r>
    </w:p>
    <w:p>
      <w:pPr>
        <w:pageBreakBefore w:val="0"/>
        <w:kinsoku/>
        <w:wordWrap/>
        <w:overflowPunct/>
        <w:topLinePunct w:val="0"/>
        <w:autoSpaceDE w:val="0"/>
        <w:autoSpaceDN w:val="0"/>
        <w:bidi w:val="0"/>
        <w:spacing w:beforeAutospacing="0" w:line="400" w:lineRule="atLeast"/>
        <w:ind w:left="0" w:leftChars="0" w:firstLine="840" w:firstLineChars="4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eastAsia="zh-CN"/>
        </w:rPr>
        <w:t>磋商响应文件</w:t>
      </w:r>
      <w:r>
        <w:rPr>
          <w:rFonts w:hint="eastAsia" w:ascii="宋体" w:hAnsi="宋体" w:eastAsia="宋体" w:cs="宋体"/>
          <w:color w:val="auto"/>
          <w:sz w:val="21"/>
          <w:szCs w:val="21"/>
          <w:highlight w:val="none"/>
        </w:rPr>
        <w:t>及</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与采购有关的来往通知、函件和文件均应使用中文。</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cs="宋体"/>
          <w:b/>
          <w:color w:val="auto"/>
          <w:sz w:val="21"/>
          <w:szCs w:val="21"/>
          <w:highlight w:val="none"/>
          <w:lang w:eastAsia="zh-CN"/>
        </w:rPr>
      </w:pPr>
      <w:r>
        <w:rPr>
          <w:rFonts w:hint="eastAsia" w:ascii="宋体" w:hAnsi="宋体" w:cs="宋体"/>
          <w:b/>
          <w:color w:val="auto"/>
          <w:sz w:val="21"/>
          <w:szCs w:val="21"/>
          <w:highlight w:val="none"/>
          <w:lang w:eastAsia="zh-CN"/>
        </w:rPr>
        <w:t>磋商响应文件的组成</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bCs/>
          <w:color w:val="auto"/>
          <w:sz w:val="21"/>
          <w:szCs w:val="21"/>
          <w:highlight w:val="none"/>
          <w:lang w:val="zh-CN"/>
        </w:rPr>
      </w:pPr>
      <w:r>
        <w:rPr>
          <w:rFonts w:hint="eastAsia" w:ascii="宋体" w:hAnsi="宋体" w:cs="宋体"/>
          <w:b/>
          <w:bCs/>
          <w:color w:val="auto"/>
          <w:sz w:val="21"/>
          <w:szCs w:val="21"/>
          <w:highlight w:val="none"/>
          <w:lang w:val="zh-CN"/>
        </w:rPr>
        <w:t>资格文件：</w:t>
      </w:r>
    </w:p>
    <w:p>
      <w:pPr>
        <w:pageBreakBefore w:val="0"/>
        <w:numPr>
          <w:ilvl w:val="0"/>
          <w:numId w:val="13"/>
        </w:numPr>
        <w:kinsoku/>
        <w:wordWrap/>
        <w:overflowPunct/>
        <w:topLinePunct w:val="0"/>
        <w:bidi w:val="0"/>
        <w:snapToGrid w:val="0"/>
        <w:spacing w:beforeAutospacing="0" w:line="400" w:lineRule="atLeast"/>
        <w:ind w:left="425" w:leftChars="0" w:hanging="425" w:firstLineChars="0"/>
        <w:textAlignment w:val="auto"/>
        <w:rPr>
          <w:rFonts w:hint="default" w:ascii="Arial" w:hAnsi="Arial" w:eastAsia="宋体" w:cs="Arial"/>
          <w:color w:val="auto"/>
          <w:sz w:val="21"/>
          <w:szCs w:val="21"/>
          <w:highlight w:val="none"/>
          <w:lang w:val="en-US" w:eastAsia="zh-CN"/>
        </w:rPr>
      </w:pPr>
      <w:r>
        <w:rPr>
          <w:rFonts w:hint="default" w:ascii="Arial" w:hAnsi="Arial" w:eastAsia="宋体" w:cs="Arial"/>
          <w:color w:val="auto"/>
          <w:sz w:val="21"/>
          <w:szCs w:val="21"/>
          <w:highlight w:val="none"/>
        </w:rPr>
        <w:t>符合参加政府采购活动应当具备的一般条件的承诺函</w:t>
      </w:r>
      <w:r>
        <w:rPr>
          <w:rFonts w:hint="default" w:ascii="Arial" w:hAnsi="Arial" w:eastAsia="宋体" w:cs="Arial"/>
          <w:color w:val="auto"/>
          <w:sz w:val="21"/>
          <w:szCs w:val="21"/>
          <w:highlight w:val="none"/>
          <w:lang w:eastAsia="zh-CN"/>
        </w:rPr>
        <w:t>；</w:t>
      </w:r>
    </w:p>
    <w:p>
      <w:pPr>
        <w:pageBreakBefore w:val="0"/>
        <w:numPr>
          <w:ilvl w:val="0"/>
          <w:numId w:val="13"/>
        </w:numPr>
        <w:kinsoku/>
        <w:wordWrap/>
        <w:overflowPunct/>
        <w:topLinePunct w:val="0"/>
        <w:bidi w:val="0"/>
        <w:snapToGrid w:val="0"/>
        <w:spacing w:beforeAutospacing="0" w:line="400" w:lineRule="atLeast"/>
        <w:ind w:left="425" w:leftChars="0" w:hanging="425"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落实政府采购政策需满足的资格要求；</w:t>
      </w:r>
    </w:p>
    <w:p>
      <w:pPr>
        <w:pageBreakBefore w:val="0"/>
        <w:numPr>
          <w:ilvl w:val="0"/>
          <w:numId w:val="13"/>
        </w:numPr>
        <w:kinsoku/>
        <w:wordWrap/>
        <w:overflowPunct/>
        <w:topLinePunct w:val="0"/>
        <w:bidi w:val="0"/>
        <w:snapToGrid w:val="0"/>
        <w:spacing w:beforeAutospacing="0" w:line="400" w:lineRule="atLeast"/>
        <w:ind w:left="425" w:leftChars="0" w:hanging="425" w:firstLineChars="0"/>
        <w:textAlignment w:val="auto"/>
        <w:rPr>
          <w:rFonts w:hint="eastAsia" w:ascii="Arial" w:hAnsi="Arial" w:eastAsia="宋体" w:cs="Arial"/>
          <w:color w:val="auto"/>
          <w:sz w:val="21"/>
          <w:szCs w:val="21"/>
          <w:highlight w:val="none"/>
          <w:lang w:eastAsia="zh-CN"/>
        </w:rPr>
      </w:pPr>
      <w:r>
        <w:rPr>
          <w:rFonts w:hint="default" w:ascii="Arial" w:hAnsi="Arial" w:eastAsia="宋体" w:cs="Arial"/>
          <w:color w:val="auto"/>
          <w:sz w:val="21"/>
          <w:szCs w:val="21"/>
          <w:highlight w:val="none"/>
        </w:rPr>
        <w:t>本项目的特定资格要求</w:t>
      </w:r>
      <w:r>
        <w:rPr>
          <w:rFonts w:hint="eastAsia" w:ascii="Arial" w:hAnsi="Arial" w:cs="Arial"/>
          <w:color w:val="auto"/>
          <w:sz w:val="21"/>
          <w:szCs w:val="21"/>
          <w:highlight w:val="none"/>
          <w:lang w:eastAsia="zh-CN"/>
        </w:rPr>
        <w:t>；</w:t>
      </w:r>
    </w:p>
    <w:p>
      <w:pPr>
        <w:pageBreakBefore w:val="0"/>
        <w:numPr>
          <w:ilvl w:val="0"/>
          <w:numId w:val="13"/>
        </w:numPr>
        <w:kinsoku/>
        <w:wordWrap/>
        <w:overflowPunct/>
        <w:topLinePunct w:val="0"/>
        <w:bidi w:val="0"/>
        <w:snapToGrid w:val="0"/>
        <w:spacing w:beforeAutospacing="0" w:line="400" w:lineRule="atLeast"/>
        <w:ind w:left="425" w:leftChars="0" w:hanging="425" w:firstLineChars="0"/>
        <w:textAlignment w:val="auto"/>
        <w:rPr>
          <w:rFonts w:hint="eastAsia" w:ascii="Arial" w:hAnsi="Arial" w:eastAsia="宋体" w:cs="Arial"/>
          <w:color w:val="auto"/>
          <w:sz w:val="21"/>
          <w:szCs w:val="21"/>
          <w:highlight w:val="none"/>
          <w:lang w:val="en-US" w:eastAsia="zh-CN"/>
        </w:rPr>
      </w:pPr>
      <w:r>
        <w:rPr>
          <w:rFonts w:hint="eastAsia" w:ascii="Arial" w:hAnsi="Arial" w:eastAsia="宋体" w:cs="Arial"/>
          <w:color w:val="auto"/>
          <w:sz w:val="21"/>
          <w:szCs w:val="21"/>
          <w:highlight w:val="none"/>
          <w:lang w:val="en-US" w:eastAsia="zh-CN"/>
        </w:rPr>
        <w:t>具有独立承担民事责任能力的证明材料。</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bCs/>
          <w:color w:val="auto"/>
          <w:sz w:val="21"/>
          <w:szCs w:val="21"/>
          <w:highlight w:val="none"/>
          <w:lang w:val="zh-CN"/>
        </w:rPr>
      </w:pPr>
      <w:r>
        <w:rPr>
          <w:rFonts w:hint="eastAsia" w:ascii="宋体" w:hAnsi="宋体" w:cs="宋体"/>
          <w:b/>
          <w:bCs/>
          <w:color w:val="auto"/>
          <w:sz w:val="21"/>
          <w:szCs w:val="21"/>
          <w:highlight w:val="none"/>
          <w:lang w:val="zh-CN"/>
        </w:rPr>
        <w:t>商务技术文件：</w:t>
      </w:r>
    </w:p>
    <w:p>
      <w:pPr>
        <w:pageBreakBefore w:val="0"/>
        <w:numPr>
          <w:ilvl w:val="0"/>
          <w:numId w:val="14"/>
        </w:numPr>
        <w:tabs>
          <w:tab w:val="left" w:pos="840"/>
          <w:tab w:val="clear" w:pos="420"/>
        </w:tabs>
        <w:kinsoku/>
        <w:wordWrap/>
        <w:overflowPunct/>
        <w:topLinePunct w:val="0"/>
        <w:bidi w:val="0"/>
        <w:snapToGrid w:val="0"/>
        <w:spacing w:beforeAutospacing="0" w:line="400" w:lineRule="atLeast"/>
        <w:ind w:left="825" w:leftChars="0" w:hanging="825" w:firstLineChars="0"/>
        <w:textAlignment w:val="auto"/>
        <w:rPr>
          <w:rFonts w:hint="default" w:ascii="Arial" w:hAnsi="Arial" w:eastAsia="宋体" w:cs="Arial"/>
          <w:color w:val="auto"/>
          <w:sz w:val="21"/>
          <w:szCs w:val="21"/>
          <w:highlight w:val="none"/>
        </w:rPr>
      </w:pPr>
      <w:r>
        <w:rPr>
          <w:rFonts w:hint="eastAsia" w:ascii="Arial" w:hAnsi="Arial" w:cs="Arial"/>
          <w:color w:val="auto"/>
          <w:sz w:val="21"/>
          <w:szCs w:val="21"/>
          <w:highlight w:val="none"/>
          <w:lang w:eastAsia="zh-CN"/>
        </w:rPr>
        <w:t>磋商函</w:t>
      </w:r>
      <w:r>
        <w:rPr>
          <w:rFonts w:hint="default" w:ascii="Arial" w:hAnsi="Arial" w:eastAsia="宋体" w:cs="Arial"/>
          <w:color w:val="auto"/>
          <w:sz w:val="21"/>
          <w:szCs w:val="21"/>
          <w:highlight w:val="none"/>
        </w:rPr>
        <w:t>；</w:t>
      </w:r>
      <w:r>
        <w:rPr>
          <w:rFonts w:hint="default" w:ascii="Arial" w:hAnsi="Arial" w:eastAsia="宋体" w:cs="Arial"/>
          <w:color w:val="auto"/>
          <w:sz w:val="21"/>
          <w:szCs w:val="21"/>
          <w:highlight w:val="none"/>
          <w:lang w:val="zh-CN"/>
        </w:rPr>
        <w:t xml:space="preserve"> </w:t>
      </w:r>
    </w:p>
    <w:p>
      <w:pPr>
        <w:pageBreakBefore w:val="0"/>
        <w:numPr>
          <w:ilvl w:val="0"/>
          <w:numId w:val="14"/>
        </w:numPr>
        <w:tabs>
          <w:tab w:val="left" w:pos="840"/>
          <w:tab w:val="clear" w:pos="420"/>
        </w:tabs>
        <w:kinsoku/>
        <w:wordWrap/>
        <w:overflowPunct/>
        <w:topLinePunct w:val="0"/>
        <w:bidi w:val="0"/>
        <w:snapToGrid w:val="0"/>
        <w:spacing w:beforeAutospacing="0" w:line="400" w:lineRule="atLeast"/>
        <w:ind w:left="825" w:leftChars="0" w:hanging="825"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授权委托书或法定代表人（单位负责人、自然人本人）身份证明；</w:t>
      </w:r>
    </w:p>
    <w:p>
      <w:pPr>
        <w:pageBreakBefore w:val="0"/>
        <w:numPr>
          <w:ilvl w:val="0"/>
          <w:numId w:val="14"/>
        </w:numPr>
        <w:tabs>
          <w:tab w:val="left" w:pos="840"/>
          <w:tab w:val="clear" w:pos="420"/>
        </w:tabs>
        <w:kinsoku/>
        <w:wordWrap/>
        <w:overflowPunct/>
        <w:topLinePunct w:val="0"/>
        <w:bidi w:val="0"/>
        <w:snapToGrid w:val="0"/>
        <w:spacing w:beforeAutospacing="0" w:line="400" w:lineRule="atLeast"/>
        <w:ind w:left="825" w:leftChars="0" w:hanging="825"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符合性审查资料；</w:t>
      </w:r>
    </w:p>
    <w:p>
      <w:pPr>
        <w:pageBreakBefore w:val="0"/>
        <w:numPr>
          <w:ilvl w:val="0"/>
          <w:numId w:val="14"/>
        </w:numPr>
        <w:tabs>
          <w:tab w:val="left" w:pos="840"/>
          <w:tab w:val="clear" w:pos="420"/>
        </w:tabs>
        <w:kinsoku/>
        <w:wordWrap/>
        <w:overflowPunct/>
        <w:topLinePunct w:val="0"/>
        <w:bidi w:val="0"/>
        <w:snapToGrid w:val="0"/>
        <w:spacing w:beforeAutospacing="0" w:line="400" w:lineRule="atLeast"/>
        <w:ind w:left="825" w:leftChars="0" w:hanging="825"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评标标准相应的商务技术资料</w:t>
      </w:r>
      <w:r>
        <w:rPr>
          <w:rFonts w:hint="default" w:ascii="Arial" w:hAnsi="Arial" w:eastAsia="宋体" w:cs="Arial"/>
          <w:color w:val="auto"/>
          <w:sz w:val="21"/>
          <w:szCs w:val="21"/>
          <w:highlight w:val="none"/>
          <w:lang w:eastAsia="zh-CN"/>
        </w:rPr>
        <w:t>；</w:t>
      </w:r>
    </w:p>
    <w:p>
      <w:pPr>
        <w:pageBreakBefore w:val="0"/>
        <w:numPr>
          <w:ilvl w:val="0"/>
          <w:numId w:val="14"/>
        </w:numPr>
        <w:tabs>
          <w:tab w:val="left" w:pos="840"/>
          <w:tab w:val="clear" w:pos="420"/>
        </w:tabs>
        <w:kinsoku/>
        <w:wordWrap/>
        <w:overflowPunct/>
        <w:topLinePunct w:val="0"/>
        <w:bidi w:val="0"/>
        <w:snapToGrid w:val="0"/>
        <w:spacing w:beforeAutospacing="0" w:line="400" w:lineRule="atLeast"/>
        <w:ind w:left="825" w:leftChars="0" w:hanging="825"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商务技术偏离表；</w:t>
      </w:r>
    </w:p>
    <w:p>
      <w:pPr>
        <w:pageBreakBefore w:val="0"/>
        <w:numPr>
          <w:ilvl w:val="0"/>
          <w:numId w:val="14"/>
        </w:numPr>
        <w:tabs>
          <w:tab w:val="left" w:pos="840"/>
          <w:tab w:val="clear" w:pos="420"/>
        </w:tabs>
        <w:kinsoku/>
        <w:wordWrap/>
        <w:overflowPunct/>
        <w:topLinePunct w:val="0"/>
        <w:bidi w:val="0"/>
        <w:snapToGrid w:val="0"/>
        <w:spacing w:beforeAutospacing="0" w:line="400" w:lineRule="atLeast"/>
        <w:ind w:left="825" w:leftChars="0" w:hanging="825" w:firstLineChars="0"/>
        <w:textAlignment w:val="auto"/>
        <w:rPr>
          <w:rFonts w:hint="default" w:ascii="Arial" w:hAnsi="Arial" w:eastAsia="宋体" w:cs="Arial"/>
          <w:color w:val="auto"/>
          <w:sz w:val="21"/>
          <w:szCs w:val="21"/>
          <w:highlight w:val="none"/>
          <w:lang w:val="zh-CN"/>
        </w:rPr>
      </w:pPr>
      <w:r>
        <w:rPr>
          <w:rFonts w:hint="default" w:ascii="Arial" w:hAnsi="Arial" w:eastAsia="宋体" w:cs="Arial"/>
          <w:color w:val="auto"/>
          <w:sz w:val="21"/>
          <w:szCs w:val="21"/>
          <w:highlight w:val="none"/>
          <w:lang w:val="zh-CN"/>
        </w:rPr>
        <w:t>政府采购供应商廉洁自律承诺书</w:t>
      </w:r>
      <w:r>
        <w:rPr>
          <w:rFonts w:hint="eastAsia" w:ascii="Arial" w:hAnsi="Arial" w:cs="Arial"/>
          <w:color w:val="auto"/>
          <w:sz w:val="21"/>
          <w:szCs w:val="21"/>
          <w:highlight w:val="none"/>
          <w:lang w:val="zh-CN"/>
        </w:rPr>
        <w:t>。</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bCs/>
          <w:color w:val="auto"/>
          <w:sz w:val="21"/>
          <w:szCs w:val="21"/>
          <w:highlight w:val="none"/>
          <w:lang w:val="zh-CN"/>
        </w:rPr>
      </w:pPr>
      <w:r>
        <w:rPr>
          <w:rFonts w:hint="eastAsia" w:ascii="宋体" w:hAnsi="宋体" w:cs="宋体"/>
          <w:b/>
          <w:bCs/>
          <w:color w:val="auto"/>
          <w:sz w:val="21"/>
          <w:szCs w:val="21"/>
          <w:highlight w:val="none"/>
          <w:lang w:val="zh-CN"/>
        </w:rPr>
        <w:t xml:space="preserve">报价文件： </w:t>
      </w:r>
    </w:p>
    <w:p>
      <w:pPr>
        <w:pageBreakBefore w:val="0"/>
        <w:numPr>
          <w:ilvl w:val="0"/>
          <w:numId w:val="15"/>
        </w:numPr>
        <w:tabs>
          <w:tab w:val="left" w:pos="0"/>
          <w:tab w:val="clear" w:pos="420"/>
        </w:tabs>
        <w:kinsoku/>
        <w:wordWrap/>
        <w:overflowPunct/>
        <w:topLinePunct w:val="0"/>
        <w:bidi w:val="0"/>
        <w:snapToGrid w:val="0"/>
        <w:spacing w:beforeAutospacing="0" w:line="400" w:lineRule="atLeast"/>
        <w:ind w:left="0" w:leftChars="0" w:firstLine="0" w:firstLineChars="0"/>
        <w:textAlignment w:val="auto"/>
        <w:rPr>
          <w:rFonts w:hint="default" w:ascii="Arial" w:hAnsi="Arial" w:eastAsia="宋体" w:cs="Arial"/>
          <w:color w:val="auto"/>
          <w:sz w:val="21"/>
          <w:szCs w:val="21"/>
          <w:highlight w:val="none"/>
        </w:rPr>
      </w:pPr>
      <w:r>
        <w:rPr>
          <w:rFonts w:hint="eastAsia" w:ascii="Arial" w:hAnsi="Arial" w:cs="Arial"/>
          <w:color w:val="auto"/>
          <w:sz w:val="21"/>
          <w:szCs w:val="21"/>
          <w:highlight w:val="none"/>
          <w:lang w:eastAsia="zh-CN"/>
        </w:rPr>
        <w:t>首轮报价一览表</w:t>
      </w:r>
      <w:r>
        <w:rPr>
          <w:rFonts w:hint="default" w:ascii="Arial" w:hAnsi="Arial" w:eastAsia="宋体" w:cs="Arial"/>
          <w:color w:val="auto"/>
          <w:sz w:val="21"/>
          <w:szCs w:val="21"/>
          <w:highlight w:val="none"/>
        </w:rPr>
        <w:t>；</w:t>
      </w:r>
    </w:p>
    <w:p>
      <w:pPr>
        <w:pageBreakBefore w:val="0"/>
        <w:numPr>
          <w:ilvl w:val="0"/>
          <w:numId w:val="15"/>
        </w:numPr>
        <w:tabs>
          <w:tab w:val="left" w:pos="0"/>
          <w:tab w:val="clear" w:pos="420"/>
        </w:tabs>
        <w:kinsoku/>
        <w:wordWrap/>
        <w:overflowPunct/>
        <w:topLinePunct w:val="0"/>
        <w:bidi w:val="0"/>
        <w:snapToGrid w:val="0"/>
        <w:spacing w:beforeAutospacing="0" w:line="400" w:lineRule="atLeast"/>
        <w:ind w:left="0" w:leftChars="0" w:firstLine="0" w:firstLineChars="0"/>
        <w:textAlignment w:val="auto"/>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已标价工程量清单（格式见《浙江省建设工程计价规则》(2018版)）</w:t>
      </w:r>
    </w:p>
    <w:tbl>
      <w:tblPr>
        <w:tblStyle w:val="21"/>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7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900" w:type="dxa"/>
            <w:vAlign w:val="center"/>
          </w:tcPr>
          <w:p>
            <w:pPr>
              <w:pageBreakBefore w:val="0"/>
              <w:kinsoku/>
              <w:wordWrap/>
              <w:overflowPunct/>
              <w:topLinePunct w:val="0"/>
              <w:bidi w:val="0"/>
              <w:spacing w:beforeAutospacing="0" w:line="400" w:lineRule="atLeast"/>
              <w:jc w:val="center"/>
              <w:textAlignment w:val="auto"/>
              <w:rPr>
                <w:rFonts w:cs="仿宋_GB2312"/>
                <w:color w:val="auto"/>
                <w:sz w:val="21"/>
                <w:szCs w:val="21"/>
                <w:highlight w:val="none"/>
              </w:rPr>
            </w:pPr>
            <w:r>
              <w:rPr>
                <w:rFonts w:hint="eastAsia" w:cs="仿宋_GB2312"/>
                <w:color w:val="auto"/>
                <w:sz w:val="21"/>
                <w:szCs w:val="21"/>
                <w:highlight w:val="none"/>
              </w:rPr>
              <w:t>序号</w:t>
            </w:r>
          </w:p>
        </w:tc>
        <w:tc>
          <w:tcPr>
            <w:tcW w:w="7919" w:type="dxa"/>
            <w:vAlign w:val="center"/>
          </w:tcPr>
          <w:p>
            <w:pPr>
              <w:pageBreakBefore w:val="0"/>
              <w:kinsoku/>
              <w:wordWrap/>
              <w:overflowPunct/>
              <w:topLinePunct w:val="0"/>
              <w:bidi w:val="0"/>
              <w:spacing w:beforeAutospacing="0" w:line="400" w:lineRule="atLeast"/>
              <w:ind w:firstLine="420"/>
              <w:jc w:val="center"/>
              <w:textAlignment w:val="auto"/>
              <w:rPr>
                <w:rFonts w:cs="仿宋_GB2312"/>
                <w:color w:val="auto"/>
                <w:sz w:val="21"/>
                <w:szCs w:val="21"/>
                <w:highlight w:val="none"/>
              </w:rPr>
            </w:pPr>
            <w:r>
              <w:rPr>
                <w:rFonts w:hint="eastAsia" w:cs="仿宋_GB2312"/>
                <w:color w:val="auto"/>
                <w:sz w:val="21"/>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900"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w:t>
            </w:r>
          </w:p>
        </w:tc>
        <w:tc>
          <w:tcPr>
            <w:tcW w:w="7919" w:type="dxa"/>
            <w:vAlign w:val="center"/>
          </w:tcPr>
          <w:p>
            <w:pPr>
              <w:pStyle w:val="34"/>
              <w:pageBreakBefore w:val="0"/>
              <w:kinsoku/>
              <w:wordWrap/>
              <w:overflowPunct/>
              <w:topLinePunct w:val="0"/>
              <w:bidi w:val="0"/>
              <w:spacing w:beforeAutospacing="0" w:line="400" w:lineRule="atLeast"/>
              <w:ind w:firstLine="0" w:firstLineChars="0"/>
              <w:textAlignment w:val="auto"/>
              <w:rPr>
                <w:rFonts w:hint="eastAsia" w:cs="宋体"/>
                <w:color w:val="auto"/>
                <w:sz w:val="21"/>
                <w:szCs w:val="21"/>
                <w:highlight w:val="none"/>
              </w:rPr>
            </w:pPr>
            <w:r>
              <w:rPr>
                <w:rFonts w:hint="eastAsia" w:cs="宋体"/>
                <w:color w:val="auto"/>
                <w:sz w:val="21"/>
                <w:szCs w:val="21"/>
                <w:highlight w:val="none"/>
                <w:lang w:eastAsia="zh-CN"/>
              </w:rPr>
              <w:t>报价</w:t>
            </w:r>
            <w:r>
              <w:rPr>
                <w:rFonts w:hint="eastAsia" w:cs="宋体"/>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900"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w:t>
            </w:r>
          </w:p>
        </w:tc>
        <w:tc>
          <w:tcPr>
            <w:tcW w:w="7919" w:type="dxa"/>
            <w:vAlign w:val="top"/>
          </w:tcPr>
          <w:p>
            <w:pPr>
              <w:pageBreakBefore w:val="0"/>
              <w:kinsoku/>
              <w:wordWrap/>
              <w:overflowPunct/>
              <w:topLinePunct w:val="0"/>
              <w:bidi w:val="0"/>
              <w:spacing w:beforeAutospacing="0" w:line="400" w:lineRule="atLeas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编制说明；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900"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3</w:t>
            </w:r>
          </w:p>
        </w:tc>
        <w:tc>
          <w:tcPr>
            <w:tcW w:w="7919" w:type="dxa"/>
            <w:vAlign w:val="top"/>
          </w:tcPr>
          <w:p>
            <w:pPr>
              <w:pageBreakBefore w:val="0"/>
              <w:kinsoku/>
              <w:wordWrap/>
              <w:overflowPunct/>
              <w:topLinePunct w:val="0"/>
              <w:bidi w:val="0"/>
              <w:spacing w:beforeAutospacing="0" w:line="400" w:lineRule="atLeas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报价</w:t>
            </w:r>
            <w:r>
              <w:rPr>
                <w:rFonts w:hint="eastAsia" w:ascii="宋体" w:hAnsi="宋体" w:cs="宋体"/>
                <w:color w:val="auto"/>
                <w:sz w:val="21"/>
                <w:szCs w:val="21"/>
                <w:highlight w:val="none"/>
              </w:rPr>
              <w:t>费用表；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900"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4</w:t>
            </w:r>
          </w:p>
        </w:tc>
        <w:tc>
          <w:tcPr>
            <w:tcW w:w="7919" w:type="dxa"/>
            <w:vAlign w:val="top"/>
          </w:tcPr>
          <w:p>
            <w:pPr>
              <w:pageBreakBefore w:val="0"/>
              <w:tabs>
                <w:tab w:val="left" w:pos="1365"/>
              </w:tabs>
              <w:kinsoku/>
              <w:wordWrap/>
              <w:overflowPunct/>
              <w:topLinePunct w:val="0"/>
              <w:bidi w:val="0"/>
              <w:spacing w:beforeAutospacing="0" w:line="400" w:lineRule="atLeas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单位（专业）工程</w:t>
            </w:r>
            <w:r>
              <w:rPr>
                <w:rFonts w:hint="eastAsia" w:ascii="宋体" w:hAnsi="宋体" w:cs="宋体"/>
                <w:color w:val="auto"/>
                <w:sz w:val="21"/>
                <w:szCs w:val="21"/>
                <w:highlight w:val="none"/>
                <w:lang w:eastAsia="zh-CN"/>
              </w:rPr>
              <w:t>报价</w:t>
            </w:r>
            <w:r>
              <w:rPr>
                <w:rFonts w:hint="eastAsia" w:ascii="宋体" w:hAnsi="宋体" w:cs="宋体"/>
                <w:color w:val="auto"/>
                <w:sz w:val="21"/>
                <w:szCs w:val="21"/>
                <w:highlight w:val="none"/>
              </w:rPr>
              <w:t>费用表；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900"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5</w:t>
            </w:r>
          </w:p>
        </w:tc>
        <w:tc>
          <w:tcPr>
            <w:tcW w:w="7919" w:type="dxa"/>
            <w:vAlign w:val="top"/>
          </w:tcPr>
          <w:p>
            <w:pPr>
              <w:pageBreakBefore w:val="0"/>
              <w:tabs>
                <w:tab w:val="left" w:pos="1155"/>
                <w:tab w:val="left" w:pos="1365"/>
              </w:tabs>
              <w:kinsoku/>
              <w:wordWrap/>
              <w:overflowPunct/>
              <w:topLinePunct w:val="0"/>
              <w:bidi w:val="0"/>
              <w:spacing w:beforeAutospacing="0" w:line="400" w:lineRule="atLeas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分部分项工程和施工技术措施项目清单与计价表；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900"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6</w:t>
            </w:r>
          </w:p>
        </w:tc>
        <w:tc>
          <w:tcPr>
            <w:tcW w:w="7919" w:type="dxa"/>
            <w:vAlign w:val="top"/>
          </w:tcPr>
          <w:p>
            <w:pPr>
              <w:pageBreakBefore w:val="0"/>
              <w:tabs>
                <w:tab w:val="left" w:pos="1365"/>
              </w:tabs>
              <w:kinsoku/>
              <w:wordWrap/>
              <w:overflowPunct/>
              <w:topLinePunct w:val="0"/>
              <w:bidi w:val="0"/>
              <w:spacing w:beforeAutospacing="0" w:line="400" w:lineRule="atLeas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综合单价计算表；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900"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7</w:t>
            </w:r>
          </w:p>
        </w:tc>
        <w:tc>
          <w:tcPr>
            <w:tcW w:w="7919" w:type="dxa"/>
            <w:vAlign w:val="top"/>
          </w:tcPr>
          <w:p>
            <w:pPr>
              <w:pageBreakBefore w:val="0"/>
              <w:tabs>
                <w:tab w:val="left" w:pos="1134"/>
                <w:tab w:val="left" w:pos="1365"/>
              </w:tabs>
              <w:kinsoku/>
              <w:wordWrap/>
              <w:overflowPunct/>
              <w:topLinePunct w:val="0"/>
              <w:bidi w:val="0"/>
              <w:spacing w:beforeAutospacing="0" w:line="400" w:lineRule="atLeas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综合单价工料机分析表(</w:t>
            </w:r>
            <w:r>
              <w:rPr>
                <w:rFonts w:hint="eastAsia" w:ascii="宋体" w:hAnsi="宋体" w:cs="宋体"/>
                <w:color w:val="auto"/>
                <w:sz w:val="21"/>
                <w:szCs w:val="21"/>
                <w:highlight w:val="none"/>
                <w:lang w:eastAsia="zh-CN"/>
              </w:rPr>
              <w:t>响应文件</w:t>
            </w:r>
            <w:r>
              <w:rPr>
                <w:rFonts w:hint="eastAsia" w:ascii="宋体" w:hAnsi="宋体" w:cs="宋体"/>
                <w:color w:val="auto"/>
                <w:sz w:val="21"/>
                <w:szCs w:val="21"/>
                <w:highlight w:val="none"/>
              </w:rPr>
              <w:t>中暂不提供，中标后按业主要求提供)；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900"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8</w:t>
            </w:r>
          </w:p>
        </w:tc>
        <w:tc>
          <w:tcPr>
            <w:tcW w:w="7919" w:type="dxa"/>
            <w:vAlign w:val="top"/>
          </w:tcPr>
          <w:p>
            <w:pPr>
              <w:pageBreakBefore w:val="0"/>
              <w:tabs>
                <w:tab w:val="left" w:pos="1134"/>
                <w:tab w:val="left" w:pos="1418"/>
              </w:tabs>
              <w:kinsoku/>
              <w:wordWrap/>
              <w:overflowPunct/>
              <w:topLinePunct w:val="0"/>
              <w:bidi w:val="0"/>
              <w:spacing w:beforeAutospacing="0" w:line="400" w:lineRule="atLeas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施工组织（总价）措施项目清单与计价表；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900"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9</w:t>
            </w:r>
          </w:p>
        </w:tc>
        <w:tc>
          <w:tcPr>
            <w:tcW w:w="7919" w:type="dxa"/>
            <w:vAlign w:val="top"/>
          </w:tcPr>
          <w:p>
            <w:pPr>
              <w:pageBreakBefore w:val="0"/>
              <w:tabs>
                <w:tab w:val="left" w:pos="1134"/>
                <w:tab w:val="left" w:pos="1418"/>
              </w:tabs>
              <w:kinsoku/>
              <w:wordWrap/>
              <w:overflowPunct/>
              <w:topLinePunct w:val="0"/>
              <w:bidi w:val="0"/>
              <w:spacing w:beforeAutospacing="0" w:line="400" w:lineRule="atLeas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其他项目清单与计价汇总表；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900"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10</w:t>
            </w:r>
          </w:p>
        </w:tc>
        <w:tc>
          <w:tcPr>
            <w:tcW w:w="7919" w:type="dxa"/>
            <w:vAlign w:val="top"/>
          </w:tcPr>
          <w:p>
            <w:pPr>
              <w:pageBreakBefore w:val="0"/>
              <w:tabs>
                <w:tab w:val="left" w:pos="1134"/>
                <w:tab w:val="left" w:pos="1418"/>
              </w:tabs>
              <w:kinsoku/>
              <w:wordWrap/>
              <w:overflowPunct/>
              <w:topLinePunct w:val="0"/>
              <w:bidi w:val="0"/>
              <w:spacing w:beforeAutospacing="0" w:line="400" w:lineRule="atLeas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暂列金额明细表；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900"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11</w:t>
            </w:r>
          </w:p>
        </w:tc>
        <w:tc>
          <w:tcPr>
            <w:tcW w:w="7919" w:type="dxa"/>
            <w:vAlign w:val="top"/>
          </w:tcPr>
          <w:p>
            <w:pPr>
              <w:pageBreakBefore w:val="0"/>
              <w:tabs>
                <w:tab w:val="left" w:pos="1134"/>
                <w:tab w:val="left" w:pos="1418"/>
              </w:tabs>
              <w:kinsoku/>
              <w:wordWrap/>
              <w:overflowPunct/>
              <w:topLinePunct w:val="0"/>
              <w:bidi w:val="0"/>
              <w:spacing w:beforeAutospacing="0" w:line="400" w:lineRule="atLeas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材料（工程设备）暂估单价调整表；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900"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12</w:t>
            </w:r>
          </w:p>
        </w:tc>
        <w:tc>
          <w:tcPr>
            <w:tcW w:w="7919" w:type="dxa"/>
            <w:vAlign w:val="top"/>
          </w:tcPr>
          <w:p>
            <w:pPr>
              <w:pageBreakBefore w:val="0"/>
              <w:tabs>
                <w:tab w:val="left" w:pos="1134"/>
                <w:tab w:val="left" w:pos="1418"/>
              </w:tabs>
              <w:kinsoku/>
              <w:wordWrap/>
              <w:overflowPunct/>
              <w:topLinePunct w:val="0"/>
              <w:bidi w:val="0"/>
              <w:spacing w:beforeAutospacing="0" w:line="400" w:lineRule="atLeas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专业工程暂估价表；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900"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13</w:t>
            </w:r>
          </w:p>
        </w:tc>
        <w:tc>
          <w:tcPr>
            <w:tcW w:w="7919" w:type="dxa"/>
            <w:vAlign w:val="top"/>
          </w:tcPr>
          <w:p>
            <w:pPr>
              <w:pageBreakBefore w:val="0"/>
              <w:tabs>
                <w:tab w:val="left" w:pos="1134"/>
                <w:tab w:val="left" w:pos="1418"/>
              </w:tabs>
              <w:kinsoku/>
              <w:wordWrap/>
              <w:overflowPunct/>
              <w:topLinePunct w:val="0"/>
              <w:bidi w:val="0"/>
              <w:spacing w:beforeAutospacing="0" w:line="400" w:lineRule="atLeas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专业技术措施暂估表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900"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14</w:t>
            </w:r>
          </w:p>
        </w:tc>
        <w:tc>
          <w:tcPr>
            <w:tcW w:w="7919" w:type="dxa"/>
            <w:vAlign w:val="top"/>
          </w:tcPr>
          <w:p>
            <w:pPr>
              <w:pageBreakBefore w:val="0"/>
              <w:tabs>
                <w:tab w:val="left" w:pos="1134"/>
                <w:tab w:val="left" w:pos="1418"/>
              </w:tabs>
              <w:kinsoku/>
              <w:wordWrap/>
              <w:overflowPunct/>
              <w:topLinePunct w:val="0"/>
              <w:bidi w:val="0"/>
              <w:spacing w:beforeAutospacing="0" w:line="400" w:lineRule="atLeas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计日工表；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900"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15</w:t>
            </w:r>
          </w:p>
        </w:tc>
        <w:tc>
          <w:tcPr>
            <w:tcW w:w="7919" w:type="dxa"/>
            <w:vAlign w:val="top"/>
          </w:tcPr>
          <w:p>
            <w:pPr>
              <w:pageBreakBefore w:val="0"/>
              <w:tabs>
                <w:tab w:val="left" w:pos="1134"/>
                <w:tab w:val="left" w:pos="1418"/>
              </w:tabs>
              <w:kinsoku/>
              <w:wordWrap/>
              <w:overflowPunct/>
              <w:topLinePunct w:val="0"/>
              <w:bidi w:val="0"/>
              <w:spacing w:beforeAutospacing="0" w:line="400" w:lineRule="atLeas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总承包服务费计价表；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900"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16</w:t>
            </w:r>
          </w:p>
        </w:tc>
        <w:tc>
          <w:tcPr>
            <w:tcW w:w="7919" w:type="dxa"/>
            <w:vAlign w:val="top"/>
          </w:tcPr>
          <w:p>
            <w:pPr>
              <w:pageBreakBefore w:val="0"/>
              <w:tabs>
                <w:tab w:val="left" w:pos="1134"/>
                <w:tab w:val="left" w:pos="1418"/>
              </w:tabs>
              <w:kinsoku/>
              <w:wordWrap/>
              <w:overflowPunct/>
              <w:topLinePunct w:val="0"/>
              <w:bidi w:val="0"/>
              <w:spacing w:beforeAutospacing="0" w:line="400" w:lineRule="atLeas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主要工日一览表；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900"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17</w:t>
            </w:r>
          </w:p>
        </w:tc>
        <w:tc>
          <w:tcPr>
            <w:tcW w:w="7919" w:type="dxa"/>
            <w:vAlign w:val="top"/>
          </w:tcPr>
          <w:p>
            <w:pPr>
              <w:pageBreakBefore w:val="0"/>
              <w:tabs>
                <w:tab w:val="left" w:pos="1134"/>
                <w:tab w:val="left" w:pos="1418"/>
              </w:tabs>
              <w:kinsoku/>
              <w:wordWrap/>
              <w:overflowPunct/>
              <w:topLinePunct w:val="0"/>
              <w:bidi w:val="0"/>
              <w:spacing w:beforeAutospacing="0" w:line="400" w:lineRule="atLeas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主要材料和工程设备一览表；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trPr>
        <w:tc>
          <w:tcPr>
            <w:tcW w:w="900"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18</w:t>
            </w:r>
          </w:p>
        </w:tc>
        <w:tc>
          <w:tcPr>
            <w:tcW w:w="7919" w:type="dxa"/>
            <w:vAlign w:val="top"/>
          </w:tcPr>
          <w:p>
            <w:pPr>
              <w:pageBreakBefore w:val="0"/>
              <w:tabs>
                <w:tab w:val="left" w:pos="1134"/>
                <w:tab w:val="left" w:pos="1418"/>
              </w:tabs>
              <w:kinsoku/>
              <w:wordWrap/>
              <w:overflowPunct/>
              <w:topLinePunct w:val="0"/>
              <w:bidi w:val="0"/>
              <w:spacing w:beforeAutospacing="0" w:line="400" w:lineRule="atLeas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主要机械台班一览表；</w:t>
            </w:r>
          </w:p>
        </w:tc>
      </w:tr>
    </w:tbl>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cs="宋体"/>
          <w:b/>
          <w:color w:val="auto"/>
          <w:sz w:val="21"/>
          <w:szCs w:val="21"/>
          <w:highlight w:val="none"/>
          <w:lang w:eastAsia="zh-CN"/>
        </w:rPr>
      </w:pPr>
      <w:r>
        <w:rPr>
          <w:rFonts w:hint="eastAsia" w:ascii="宋体" w:hAnsi="宋体" w:cs="宋体"/>
          <w:b/>
          <w:color w:val="auto"/>
          <w:sz w:val="21"/>
          <w:szCs w:val="21"/>
          <w:highlight w:val="none"/>
          <w:lang w:eastAsia="zh-CN"/>
        </w:rPr>
        <w:t>磋商响应文件的编制</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磋商响应文件分为资格文件、商务技术文件、报价文件三部分。各磋商供应商在编制磋商响应文件时请按照磋商文件第</w:t>
      </w:r>
      <w:r>
        <w:rPr>
          <w:rFonts w:hint="eastAsia" w:ascii="宋体" w:hAnsi="宋体" w:cs="宋体"/>
          <w:color w:val="auto"/>
          <w:sz w:val="21"/>
          <w:szCs w:val="21"/>
          <w:highlight w:val="none"/>
          <w:lang w:val="en-US" w:eastAsia="zh-CN"/>
        </w:rPr>
        <w:t>五</w:t>
      </w:r>
      <w:r>
        <w:rPr>
          <w:rFonts w:hint="eastAsia" w:ascii="宋体" w:hAnsi="宋体" w:cs="宋体"/>
          <w:color w:val="auto"/>
          <w:sz w:val="21"/>
          <w:szCs w:val="21"/>
          <w:highlight w:val="none"/>
          <w:lang w:val="zh-CN"/>
        </w:rPr>
        <w:t>部分规定的格式进行，</w:t>
      </w:r>
      <w:r>
        <w:rPr>
          <w:rFonts w:hint="eastAsia" w:ascii="宋体" w:hAnsi="宋体" w:cs="宋体"/>
          <w:b/>
          <w:bCs/>
          <w:color w:val="auto"/>
          <w:sz w:val="21"/>
          <w:szCs w:val="21"/>
          <w:highlight w:val="none"/>
          <w:lang w:val="zh-CN"/>
        </w:rPr>
        <w:t>混乱的编排导致磋商响应文件被误读或磋商小组查找不到有效文件是磋商供应商的风险。</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磋商供应商进行电子投标应安装客户端软件—“政采云电子交易客户端”，并按照磋商文件和电子交易平台的要求编制并加密磋商响应文件。磋商供应商未按规定加密的磋商响应文件，电子交易平台将拒收并提示。</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使用“政采云电子交易客户端”需要提前申领CA数字证书，申领流程请自行前往“浙江政府采购网-下载专区-电子交易客户端-CA驱动和申领流程”进行查阅。</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cs="宋体"/>
          <w:b/>
          <w:color w:val="auto"/>
          <w:sz w:val="21"/>
          <w:szCs w:val="21"/>
          <w:highlight w:val="none"/>
          <w:lang w:eastAsia="zh-CN"/>
        </w:rPr>
      </w:pPr>
      <w:r>
        <w:rPr>
          <w:rFonts w:hint="eastAsia" w:ascii="宋体" w:hAnsi="宋体" w:cs="宋体"/>
          <w:b/>
          <w:color w:val="auto"/>
          <w:sz w:val="21"/>
          <w:szCs w:val="21"/>
          <w:highlight w:val="none"/>
          <w:lang w:eastAsia="zh-CN"/>
        </w:rPr>
        <w:t>磋商报价</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磋商供应商提供的价格应该用人民币投标。报价为磋商供应商在磋商响应文件中提出的各项支付金额的总和。</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除非合同中另有规定，磋商供应商在投标总价中均包括完成该工程项目的人工费、材料费、施工机械使用费、企业管理费、利润、税金、规费、安全施工费、风险费及检验试验费等所有费用。</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报价采用方式：采用工程量清单报价，磋商供应商应按采购人提供的工程量清单中列出的工程项目和工程量填报单价和合价。磋商供应商未填单价或合价的工程项目，在实施后，采购人将不予以支付，视为该项费用已包括在其他有价款的单价或合价内。</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根据本次竞争性磋商采购工作要求，最后只允许有一个磋商报价，磋商供应商应在各自技术和商务占优势的基础上并充分考虑本项目的重要性，在磋商结束后提供给采购机构及采购人最优惠的磋商价格。</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参考造价编制依据：</w:t>
      </w:r>
    </w:p>
    <w:p>
      <w:pPr>
        <w:pageBreakBefore w:val="0"/>
        <w:numPr>
          <w:ilvl w:val="0"/>
          <w:numId w:val="0"/>
        </w:numPr>
        <w:tabs>
          <w:tab w:val="left" w:pos="0"/>
        </w:tabs>
        <w:kinsoku/>
        <w:wordWrap/>
        <w:overflowPunct/>
        <w:topLinePunct w:val="0"/>
        <w:bidi w:val="0"/>
        <w:spacing w:beforeAutospacing="0" w:line="400" w:lineRule="atLeast"/>
        <w:ind w:left="840" w:leftChars="0" w:firstLine="0" w:firstLineChars="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根据《浙江省建设工程计价规则》(2018版)，《浙江省建设工程施工费用定额》(2018版)</w:t>
      </w:r>
      <w:r>
        <w:rPr>
          <w:rFonts w:hint="eastAsia" w:ascii="宋体" w:hAnsi="宋体" w:cs="宋体"/>
        </w:rPr>
        <w:t>、浙建建发【2022】37号</w:t>
      </w:r>
      <w:r>
        <w:rPr>
          <w:rFonts w:hint="eastAsia" w:ascii="宋体" w:hAnsi="宋体" w:cs="宋体"/>
          <w:color w:val="auto"/>
          <w:kern w:val="0"/>
          <w:sz w:val="21"/>
          <w:szCs w:val="21"/>
          <w:highlight w:val="none"/>
          <w:lang w:val="zh-CN"/>
        </w:rPr>
        <w:t>、</w:t>
      </w:r>
      <w:r>
        <w:rPr>
          <w:rFonts w:hint="eastAsia" w:ascii="宋体" w:hAnsi="宋体" w:eastAsia="宋体" w:cs="宋体"/>
          <w:color w:val="auto"/>
          <w:kern w:val="0"/>
          <w:sz w:val="21"/>
          <w:szCs w:val="21"/>
          <w:highlight w:val="none"/>
          <w:lang w:val="zh-CN"/>
        </w:rPr>
        <w:t>《浙江省安装工程预算定额》(2018版)与有关造价政策的规定，经审定本工程取费标准参照如下：</w:t>
      </w:r>
    </w:p>
    <w:tbl>
      <w:tblPr>
        <w:tblStyle w:val="21"/>
        <w:tblW w:w="826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888"/>
        <w:gridCol w:w="3386"/>
        <w:gridCol w:w="1806"/>
        <w:gridCol w:w="218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929" w:hRule="exact"/>
          <w:jc w:val="center"/>
        </w:trPr>
        <w:tc>
          <w:tcPr>
            <w:tcW w:w="888" w:type="dxa"/>
            <w:tcBorders>
              <w:top w:val="single" w:color="auto" w:sz="6" w:space="0"/>
            </w:tcBorders>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序号</w:t>
            </w:r>
          </w:p>
        </w:tc>
        <w:tc>
          <w:tcPr>
            <w:tcW w:w="3386" w:type="dxa"/>
            <w:tcBorders>
              <w:top w:val="single" w:color="auto" w:sz="6" w:space="0"/>
              <w:left w:val="single" w:color="auto" w:sz="6" w:space="0"/>
            </w:tcBorders>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项目名称</w:t>
            </w:r>
          </w:p>
        </w:tc>
        <w:tc>
          <w:tcPr>
            <w:tcW w:w="1806" w:type="dxa"/>
            <w:tcBorders>
              <w:top w:val="single" w:color="auto" w:sz="6" w:space="0"/>
            </w:tcBorders>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建筑</w:t>
            </w:r>
          </w:p>
        </w:tc>
        <w:tc>
          <w:tcPr>
            <w:tcW w:w="2181" w:type="dxa"/>
            <w:tcBorders>
              <w:top w:val="single" w:color="auto" w:sz="6" w:space="0"/>
            </w:tcBorders>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kern w:val="2"/>
                <w:sz w:val="21"/>
                <w:szCs w:val="21"/>
                <w:highlight w:val="none"/>
                <w:lang w:val="en-US" w:eastAsia="zh-CN" w:bidi="ar-SA"/>
              </w:rPr>
            </w:pPr>
            <w:r>
              <w:rPr>
                <w:rFonts w:hint="eastAsia" w:asciiTheme="minorEastAsia" w:hAnsiTheme="minorEastAsia" w:eastAsiaTheme="minorEastAsia" w:cstheme="minorEastAsia"/>
                <w:b w:val="0"/>
                <w:bCs w:val="0"/>
                <w:color w:val="auto"/>
                <w:sz w:val="21"/>
                <w:szCs w:val="21"/>
                <w:highlight w:val="none"/>
                <w:lang w:val="en-US" w:eastAsia="zh-CN"/>
              </w:rPr>
              <w:t>市政</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03" w:hRule="exact"/>
          <w:jc w:val="center"/>
        </w:trPr>
        <w:tc>
          <w:tcPr>
            <w:tcW w:w="888" w:type="dxa"/>
            <w:tcBorders>
              <w:top w:val="single" w:color="auto" w:sz="6" w:space="0"/>
            </w:tcBorders>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一</w:t>
            </w:r>
          </w:p>
        </w:tc>
        <w:tc>
          <w:tcPr>
            <w:tcW w:w="3386" w:type="dxa"/>
            <w:tcBorders>
              <w:top w:val="single" w:color="auto" w:sz="6" w:space="0"/>
              <w:left w:val="single" w:color="auto" w:sz="6" w:space="0"/>
            </w:tcBorders>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企业管理费</w:t>
            </w:r>
          </w:p>
        </w:tc>
        <w:tc>
          <w:tcPr>
            <w:tcW w:w="1806" w:type="dxa"/>
            <w:tcBorders>
              <w:top w:val="single" w:color="auto" w:sz="6" w:space="0"/>
            </w:tcBorders>
            <w:vAlign w:val="center"/>
          </w:tcPr>
          <w:p>
            <w:pPr>
              <w:snapToGrid w:val="0"/>
              <w:spacing w:line="380" w:lineRule="exact"/>
              <w:jc w:val="center"/>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Cs/>
                <w:sz w:val="21"/>
                <w:szCs w:val="21"/>
                <w:lang w:val="en-US" w:eastAsia="zh-CN"/>
              </w:rPr>
              <w:t>12.43</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val="en-US" w:eastAsia="zh-CN"/>
              </w:rPr>
              <w:t>20.71</w:t>
            </w:r>
          </w:p>
        </w:tc>
        <w:tc>
          <w:tcPr>
            <w:tcW w:w="2181" w:type="dxa"/>
            <w:tcBorders>
              <w:top w:val="single" w:color="auto" w:sz="6" w:space="0"/>
            </w:tcBorders>
            <w:vAlign w:val="center"/>
          </w:tcPr>
          <w:p>
            <w:pPr>
              <w:snapToGrid w:val="0"/>
              <w:spacing w:line="380" w:lineRule="exact"/>
              <w:jc w:val="center"/>
              <w:rPr>
                <w:rFonts w:hint="eastAsia" w:asciiTheme="minorEastAsia" w:hAnsiTheme="minorEastAsia" w:eastAsiaTheme="minorEastAsia" w:cstheme="minorEastAsia"/>
                <w:b w:val="0"/>
                <w:bCs w:val="0"/>
                <w:color w:val="auto"/>
                <w:kern w:val="2"/>
                <w:sz w:val="21"/>
                <w:szCs w:val="21"/>
                <w:highlight w:val="none"/>
                <w:lang w:val="en-US" w:eastAsia="zh-CN" w:bidi="ar-SA"/>
              </w:rPr>
            </w:pPr>
            <w:r>
              <w:rPr>
                <w:rFonts w:hint="eastAsia" w:asciiTheme="minorEastAsia" w:hAnsiTheme="minorEastAsia" w:eastAsiaTheme="minorEastAsia" w:cstheme="minorEastAsia"/>
                <w:bCs/>
                <w:sz w:val="21"/>
                <w:szCs w:val="21"/>
                <w:lang w:val="en-US" w:eastAsia="zh-CN"/>
              </w:rPr>
              <w:t>12.78</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val="en-US" w:eastAsia="zh-CN"/>
              </w:rPr>
              <w:t>21.3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355" w:hRule="exact"/>
          <w:jc w:val="center"/>
        </w:trPr>
        <w:tc>
          <w:tcPr>
            <w:tcW w:w="888" w:type="dxa"/>
            <w:tcBorders>
              <w:top w:val="single" w:color="auto" w:sz="6" w:space="0"/>
            </w:tcBorders>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二</w:t>
            </w:r>
          </w:p>
        </w:tc>
        <w:tc>
          <w:tcPr>
            <w:tcW w:w="3386" w:type="dxa"/>
            <w:tcBorders>
              <w:top w:val="single" w:color="auto" w:sz="6" w:space="0"/>
              <w:left w:val="single" w:color="auto" w:sz="6" w:space="0"/>
            </w:tcBorders>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利润</w:t>
            </w:r>
          </w:p>
        </w:tc>
        <w:tc>
          <w:tcPr>
            <w:tcW w:w="1806" w:type="dxa"/>
            <w:tcBorders>
              <w:top w:val="single" w:color="auto" w:sz="6" w:space="0"/>
            </w:tcBorders>
            <w:vAlign w:val="center"/>
          </w:tcPr>
          <w:p>
            <w:pPr>
              <w:snapToGrid w:val="0"/>
              <w:spacing w:line="380" w:lineRule="exact"/>
              <w:jc w:val="center"/>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Cs/>
                <w:sz w:val="21"/>
                <w:szCs w:val="21"/>
                <w:lang w:val="en-US" w:eastAsia="zh-CN"/>
              </w:rPr>
              <w:t>6.08</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val="en-US" w:eastAsia="zh-CN"/>
              </w:rPr>
              <w:t>10.12</w:t>
            </w:r>
          </w:p>
        </w:tc>
        <w:tc>
          <w:tcPr>
            <w:tcW w:w="2181" w:type="dxa"/>
            <w:tcBorders>
              <w:top w:val="single" w:color="auto" w:sz="6" w:space="0"/>
            </w:tcBorders>
            <w:vAlign w:val="center"/>
          </w:tcPr>
          <w:p>
            <w:pPr>
              <w:snapToGrid w:val="0"/>
              <w:spacing w:line="380" w:lineRule="exact"/>
              <w:jc w:val="center"/>
              <w:rPr>
                <w:rFonts w:hint="eastAsia" w:asciiTheme="minorEastAsia" w:hAnsiTheme="minorEastAsia" w:eastAsiaTheme="minorEastAsia" w:cstheme="minorEastAsia"/>
                <w:b w:val="0"/>
                <w:bCs w:val="0"/>
                <w:color w:val="auto"/>
                <w:kern w:val="2"/>
                <w:sz w:val="21"/>
                <w:szCs w:val="21"/>
                <w:highlight w:val="none"/>
                <w:lang w:val="en-US" w:eastAsia="zh-CN" w:bidi="ar-SA"/>
              </w:rPr>
            </w:pPr>
            <w:r>
              <w:rPr>
                <w:rFonts w:hint="eastAsia" w:asciiTheme="minorEastAsia" w:hAnsiTheme="minorEastAsia" w:eastAsiaTheme="minorEastAsia" w:cstheme="minorEastAsia"/>
                <w:bCs/>
                <w:sz w:val="21"/>
                <w:szCs w:val="21"/>
                <w:lang w:val="en-US" w:eastAsia="zh-CN"/>
              </w:rPr>
              <w:t>7.49</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val="en-US" w:eastAsia="zh-CN"/>
              </w:rPr>
              <w:t>12.49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5" w:hRule="exact"/>
          <w:jc w:val="center"/>
        </w:trPr>
        <w:tc>
          <w:tcPr>
            <w:tcW w:w="888" w:type="dxa"/>
            <w:tcBorders>
              <w:top w:val="single" w:color="auto" w:sz="6" w:space="0"/>
            </w:tcBorders>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三</w:t>
            </w:r>
          </w:p>
        </w:tc>
        <w:tc>
          <w:tcPr>
            <w:tcW w:w="3386" w:type="dxa"/>
            <w:tcBorders>
              <w:top w:val="single" w:color="auto" w:sz="6" w:space="0"/>
              <w:left w:val="single" w:color="auto" w:sz="6" w:space="0"/>
            </w:tcBorders>
            <w:vAlign w:val="center"/>
          </w:tcPr>
          <w:p>
            <w:pPr>
              <w:keepNext w:val="0"/>
              <w:keepLines w:val="0"/>
              <w:pageBreakBefore w:val="0"/>
              <w:kinsoku/>
              <w:wordWrap/>
              <w:overflowPunct/>
              <w:topLinePunct w:val="0"/>
              <w:autoSpaceDE/>
              <w:autoSpaceDN/>
              <w:bidi w:val="0"/>
              <w:adjustRightInd/>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施工组织措施费</w:t>
            </w:r>
          </w:p>
        </w:tc>
        <w:tc>
          <w:tcPr>
            <w:tcW w:w="1806" w:type="dxa"/>
            <w:tcBorders>
              <w:top w:val="single" w:color="auto" w:sz="6" w:space="0"/>
            </w:tcBorders>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11.56</w:t>
            </w:r>
          </w:p>
        </w:tc>
        <w:tc>
          <w:tcPr>
            <w:tcW w:w="2181" w:type="dxa"/>
            <w:tcBorders>
              <w:top w:val="single" w:color="auto" w:sz="6" w:space="0"/>
            </w:tcBorders>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kern w:val="2"/>
                <w:sz w:val="21"/>
                <w:szCs w:val="21"/>
                <w:highlight w:val="none"/>
                <w:lang w:val="en-US" w:eastAsia="zh-CN" w:bidi="ar-SA"/>
              </w:rPr>
            </w:pPr>
            <w:r>
              <w:rPr>
                <w:rFonts w:hint="eastAsia" w:asciiTheme="minorEastAsia" w:hAnsiTheme="minorEastAsia" w:eastAsiaTheme="minorEastAsia" w:cstheme="minorEastAsia"/>
                <w:b w:val="0"/>
                <w:bCs w:val="0"/>
                <w:color w:val="auto"/>
                <w:sz w:val="21"/>
                <w:szCs w:val="21"/>
                <w:highlight w:val="none"/>
                <w:lang w:val="en-US" w:eastAsia="zh-CN"/>
              </w:rPr>
              <w:t>12.097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777" w:hRule="exact"/>
          <w:jc w:val="center"/>
        </w:trPr>
        <w:tc>
          <w:tcPr>
            <w:tcW w:w="888" w:type="dxa"/>
            <w:vMerge w:val="restart"/>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其中</w:t>
            </w:r>
          </w:p>
        </w:tc>
        <w:tc>
          <w:tcPr>
            <w:tcW w:w="3386" w:type="dxa"/>
            <w:vAlign w:val="center"/>
          </w:tcPr>
          <w:p>
            <w:pPr>
              <w:keepNext w:val="0"/>
              <w:keepLines w:val="0"/>
              <w:pageBreakBefore w:val="0"/>
              <w:kinsoku/>
              <w:wordWrap/>
              <w:overflowPunct/>
              <w:topLinePunct w:val="0"/>
              <w:autoSpaceDE/>
              <w:autoSpaceDN/>
              <w:bidi w:val="0"/>
              <w:adjustRightInd/>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1、安全文明施工基本费</w:t>
            </w:r>
          </w:p>
        </w:tc>
        <w:tc>
          <w:tcPr>
            <w:tcW w:w="1806" w:type="dxa"/>
            <w:vAlign w:val="center"/>
          </w:tcPr>
          <w:p>
            <w:pPr>
              <w:snapToGrid w:val="0"/>
              <w:spacing w:line="380" w:lineRule="exact"/>
              <w:jc w:val="center"/>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Cs/>
                <w:sz w:val="21"/>
                <w:szCs w:val="21"/>
                <w:lang w:val="en-US" w:eastAsia="zh-CN"/>
              </w:rPr>
              <w:t>9.86</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val="en-US" w:eastAsia="zh-CN"/>
              </w:rPr>
              <w:t>12.04</w:t>
            </w:r>
          </w:p>
        </w:tc>
        <w:tc>
          <w:tcPr>
            <w:tcW w:w="2181" w:type="dxa"/>
            <w:vAlign w:val="center"/>
          </w:tcPr>
          <w:p>
            <w:pPr>
              <w:snapToGrid w:val="0"/>
              <w:spacing w:line="380" w:lineRule="exact"/>
              <w:jc w:val="center"/>
              <w:rPr>
                <w:rFonts w:hint="eastAsia" w:asciiTheme="minorEastAsia" w:hAnsiTheme="minorEastAsia" w:eastAsiaTheme="minorEastAsia" w:cstheme="minorEastAsia"/>
                <w:b w:val="0"/>
                <w:bCs w:val="0"/>
                <w:color w:val="auto"/>
                <w:kern w:val="2"/>
                <w:sz w:val="21"/>
                <w:szCs w:val="21"/>
                <w:highlight w:val="none"/>
                <w:lang w:val="en-US" w:eastAsia="zh-CN" w:bidi="ar-SA"/>
              </w:rPr>
            </w:pPr>
            <w:r>
              <w:rPr>
                <w:rFonts w:hint="eastAsia" w:asciiTheme="minorEastAsia" w:hAnsiTheme="minorEastAsia" w:eastAsiaTheme="minorEastAsia" w:cstheme="minorEastAsia"/>
                <w:bCs/>
                <w:sz w:val="21"/>
                <w:szCs w:val="21"/>
                <w:lang w:val="en-US" w:eastAsia="zh-CN"/>
              </w:rPr>
              <w:t>8.81</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val="en-US" w:eastAsia="zh-CN"/>
              </w:rPr>
              <w:t>10.76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19" w:hRule="exact"/>
          <w:jc w:val="center"/>
        </w:trPr>
        <w:tc>
          <w:tcPr>
            <w:tcW w:w="888" w:type="dxa"/>
            <w:vMerge w:val="continue"/>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p>
        </w:tc>
        <w:tc>
          <w:tcPr>
            <w:tcW w:w="3386" w:type="dxa"/>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2、提前竣工增加费</w:t>
            </w:r>
          </w:p>
        </w:tc>
        <w:tc>
          <w:tcPr>
            <w:tcW w:w="1806" w:type="dxa"/>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w:t>
            </w:r>
          </w:p>
        </w:tc>
        <w:tc>
          <w:tcPr>
            <w:tcW w:w="2181" w:type="dxa"/>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kern w:val="2"/>
                <w:sz w:val="21"/>
                <w:szCs w:val="21"/>
                <w:highlight w:val="none"/>
                <w:lang w:val="en-US" w:eastAsia="zh-CN" w:bidi="ar-SA"/>
              </w:rPr>
            </w:pPr>
            <w:r>
              <w:rPr>
                <w:rFonts w:hint="eastAsia" w:asciiTheme="minorEastAsia" w:hAnsiTheme="minorEastAsia" w:eastAsiaTheme="minorEastAsia" w:cstheme="minorEastAsia"/>
                <w:b w:val="0"/>
                <w:bCs w:val="0"/>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53" w:hRule="exact"/>
          <w:jc w:val="center"/>
        </w:trPr>
        <w:tc>
          <w:tcPr>
            <w:tcW w:w="888" w:type="dxa"/>
            <w:vMerge w:val="continue"/>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p>
        </w:tc>
        <w:tc>
          <w:tcPr>
            <w:tcW w:w="3386" w:type="dxa"/>
            <w:vAlign w:val="center"/>
          </w:tcPr>
          <w:p>
            <w:pPr>
              <w:keepNext w:val="0"/>
              <w:keepLines w:val="0"/>
              <w:pageBreakBefore w:val="0"/>
              <w:kinsoku/>
              <w:wordWrap/>
              <w:overflowPunct/>
              <w:topLinePunct w:val="0"/>
              <w:autoSpaceDE/>
              <w:autoSpaceDN/>
              <w:bidi w:val="0"/>
              <w:adjustRightInd/>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3、二次搬运费</w:t>
            </w:r>
          </w:p>
        </w:tc>
        <w:tc>
          <w:tcPr>
            <w:tcW w:w="1806" w:type="dxa"/>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Cs/>
                <w:sz w:val="21"/>
                <w:szCs w:val="21"/>
              </w:rPr>
              <w:t>0.</w:t>
            </w:r>
            <w:r>
              <w:rPr>
                <w:rFonts w:hint="eastAsia" w:asciiTheme="minorEastAsia" w:hAnsiTheme="minorEastAsia" w:eastAsiaTheme="minorEastAsia" w:cstheme="minorEastAsia"/>
                <w:bCs/>
                <w:sz w:val="21"/>
                <w:szCs w:val="21"/>
                <w:lang w:val="en-US" w:eastAsia="zh-CN"/>
              </w:rPr>
              <w:t>4</w:t>
            </w:r>
            <w:r>
              <w:rPr>
                <w:rFonts w:hint="eastAsia" w:asciiTheme="minorEastAsia" w:hAnsiTheme="minorEastAsia" w:eastAsiaTheme="minorEastAsia" w:cstheme="minorEastAsia"/>
                <w:bCs/>
                <w:sz w:val="21"/>
                <w:szCs w:val="21"/>
              </w:rPr>
              <w:t>~0.</w:t>
            </w:r>
            <w:r>
              <w:rPr>
                <w:rFonts w:hint="eastAsia" w:asciiTheme="minorEastAsia" w:hAnsiTheme="minorEastAsia" w:eastAsiaTheme="minorEastAsia" w:cstheme="minorEastAsia"/>
                <w:bCs/>
                <w:sz w:val="21"/>
                <w:szCs w:val="21"/>
                <w:lang w:val="en-US" w:eastAsia="zh-CN"/>
              </w:rPr>
              <w:t>6</w:t>
            </w:r>
          </w:p>
        </w:tc>
        <w:tc>
          <w:tcPr>
            <w:tcW w:w="2181" w:type="dxa"/>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kern w:val="2"/>
                <w:sz w:val="21"/>
                <w:szCs w:val="21"/>
                <w:highlight w:val="none"/>
                <w:lang w:val="en-US" w:eastAsia="zh-CN" w:bidi="ar-SA"/>
              </w:rPr>
            </w:pPr>
            <w:r>
              <w:rPr>
                <w:rFonts w:hint="eastAsia" w:asciiTheme="minorEastAsia" w:hAnsiTheme="minorEastAsia" w:eastAsiaTheme="minorEastAsia" w:cstheme="minorEastAsia"/>
                <w:bCs/>
                <w:sz w:val="21"/>
                <w:szCs w:val="21"/>
              </w:rPr>
              <w:t>0.</w:t>
            </w:r>
            <w:r>
              <w:rPr>
                <w:rFonts w:hint="eastAsia" w:asciiTheme="minorEastAsia" w:hAnsiTheme="minorEastAsia" w:eastAsiaTheme="minorEastAsia" w:cstheme="minorEastAsia"/>
                <w:bCs/>
                <w:sz w:val="21"/>
                <w:szCs w:val="21"/>
                <w:lang w:val="en-US" w:eastAsia="zh-CN"/>
              </w:rPr>
              <w:t>38</w:t>
            </w:r>
            <w:r>
              <w:rPr>
                <w:rFonts w:hint="eastAsia" w:asciiTheme="minorEastAsia" w:hAnsiTheme="minorEastAsia" w:eastAsiaTheme="minorEastAsia" w:cstheme="minorEastAsia"/>
                <w:bCs/>
                <w:sz w:val="21"/>
                <w:szCs w:val="21"/>
              </w:rPr>
              <w:t>~0.</w:t>
            </w:r>
            <w:r>
              <w:rPr>
                <w:rFonts w:hint="eastAsia" w:asciiTheme="minorEastAsia" w:hAnsiTheme="minorEastAsia" w:eastAsiaTheme="minorEastAsia" w:cstheme="minorEastAsia"/>
                <w:bCs/>
                <w:sz w:val="21"/>
                <w:szCs w:val="21"/>
                <w:lang w:val="en-US" w:eastAsia="zh-CN"/>
              </w:rPr>
              <w:t>58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690" w:hRule="exact"/>
          <w:jc w:val="center"/>
        </w:trPr>
        <w:tc>
          <w:tcPr>
            <w:tcW w:w="888" w:type="dxa"/>
            <w:vMerge w:val="continue"/>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p>
        </w:tc>
        <w:tc>
          <w:tcPr>
            <w:tcW w:w="3386" w:type="dxa"/>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4、冬雨季施工增加费</w:t>
            </w:r>
          </w:p>
        </w:tc>
        <w:tc>
          <w:tcPr>
            <w:tcW w:w="1806" w:type="dxa"/>
            <w:vAlign w:val="center"/>
          </w:tcPr>
          <w:p>
            <w:pPr>
              <w:snapToGrid w:val="0"/>
              <w:spacing w:line="380" w:lineRule="exact"/>
              <w:jc w:val="center"/>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Cs/>
                <w:sz w:val="21"/>
                <w:szCs w:val="21"/>
              </w:rPr>
              <w:t>0.</w:t>
            </w:r>
            <w:r>
              <w:rPr>
                <w:rFonts w:hint="eastAsia" w:asciiTheme="minorEastAsia" w:hAnsiTheme="minorEastAsia" w:eastAsiaTheme="minorEastAsia" w:cstheme="minorEastAsia"/>
                <w:bCs/>
                <w:sz w:val="21"/>
                <w:szCs w:val="21"/>
                <w:lang w:val="en-US" w:eastAsia="zh-CN"/>
              </w:rPr>
              <w:t>06</w:t>
            </w:r>
            <w:r>
              <w:rPr>
                <w:rFonts w:hint="eastAsia" w:asciiTheme="minorEastAsia" w:hAnsiTheme="minorEastAsia" w:eastAsiaTheme="minorEastAsia" w:cstheme="minorEastAsia"/>
                <w:bCs/>
                <w:sz w:val="21"/>
                <w:szCs w:val="21"/>
              </w:rPr>
              <w:t>~0.</w:t>
            </w:r>
            <w:r>
              <w:rPr>
                <w:rFonts w:hint="eastAsia" w:asciiTheme="minorEastAsia" w:hAnsiTheme="minorEastAsia" w:eastAsiaTheme="minorEastAsia" w:cstheme="minorEastAsia"/>
                <w:bCs/>
                <w:sz w:val="21"/>
                <w:szCs w:val="21"/>
                <w:lang w:val="en-US" w:eastAsia="zh-CN"/>
              </w:rPr>
              <w:t>16</w:t>
            </w:r>
          </w:p>
        </w:tc>
        <w:tc>
          <w:tcPr>
            <w:tcW w:w="2181" w:type="dxa"/>
            <w:vAlign w:val="center"/>
          </w:tcPr>
          <w:p>
            <w:pPr>
              <w:snapToGrid w:val="0"/>
              <w:spacing w:line="380" w:lineRule="exact"/>
              <w:jc w:val="center"/>
              <w:rPr>
                <w:rFonts w:hint="eastAsia" w:asciiTheme="minorEastAsia" w:hAnsiTheme="minorEastAsia" w:eastAsiaTheme="minorEastAsia" w:cstheme="minorEastAsia"/>
                <w:b w:val="0"/>
                <w:bCs w:val="0"/>
                <w:color w:val="auto"/>
                <w:kern w:val="2"/>
                <w:sz w:val="21"/>
                <w:szCs w:val="21"/>
                <w:highlight w:val="none"/>
                <w:lang w:val="en-US" w:eastAsia="zh-CN" w:bidi="ar-SA"/>
              </w:rPr>
            </w:pPr>
            <w:r>
              <w:rPr>
                <w:rFonts w:hint="eastAsia" w:asciiTheme="minorEastAsia" w:hAnsiTheme="minorEastAsia" w:eastAsiaTheme="minorEastAsia" w:cstheme="minorEastAsia"/>
                <w:bCs/>
                <w:sz w:val="21"/>
                <w:szCs w:val="21"/>
              </w:rPr>
              <w:t>0.</w:t>
            </w:r>
            <w:r>
              <w:rPr>
                <w:rFonts w:hint="eastAsia" w:asciiTheme="minorEastAsia" w:hAnsiTheme="minorEastAsia" w:eastAsiaTheme="minorEastAsia" w:cstheme="minorEastAsia"/>
                <w:bCs/>
                <w:sz w:val="21"/>
                <w:szCs w:val="21"/>
                <w:lang w:val="en-US" w:eastAsia="zh-CN"/>
              </w:rPr>
              <w:t>07</w:t>
            </w:r>
            <w:r>
              <w:rPr>
                <w:rFonts w:hint="eastAsia" w:asciiTheme="minorEastAsia" w:hAnsiTheme="minorEastAsia" w:eastAsiaTheme="minorEastAsia" w:cstheme="minorEastAsia"/>
                <w:bCs/>
                <w:sz w:val="21"/>
                <w:szCs w:val="21"/>
              </w:rPr>
              <w:t>~0.</w:t>
            </w:r>
            <w:r>
              <w:rPr>
                <w:rFonts w:hint="eastAsia" w:asciiTheme="minorEastAsia" w:hAnsiTheme="minorEastAsia" w:eastAsiaTheme="minorEastAsia" w:cstheme="minorEastAsia"/>
                <w:bCs/>
                <w:sz w:val="21"/>
                <w:szCs w:val="21"/>
                <w:lang w:val="en-US" w:eastAsia="zh-CN"/>
              </w:rPr>
              <w:t>19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772" w:hRule="exact"/>
          <w:jc w:val="center"/>
        </w:trPr>
        <w:tc>
          <w:tcPr>
            <w:tcW w:w="888" w:type="dxa"/>
            <w:vMerge w:val="continue"/>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p>
        </w:tc>
        <w:tc>
          <w:tcPr>
            <w:tcW w:w="3386" w:type="dxa"/>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5、行车、行人干扰增加费</w:t>
            </w:r>
          </w:p>
        </w:tc>
        <w:tc>
          <w:tcPr>
            <w:tcW w:w="1806" w:type="dxa"/>
            <w:vAlign w:val="center"/>
          </w:tcPr>
          <w:p>
            <w:pPr>
              <w:pStyle w:val="2"/>
              <w:keepNext w:val="0"/>
              <w:keepLines w:val="0"/>
              <w:pageBreakBefore w:val="0"/>
              <w:kinsoku/>
              <w:wordWrap/>
              <w:overflowPunct/>
              <w:topLinePunct w:val="0"/>
              <w:autoSpaceDE/>
              <w:autoSpaceDN/>
              <w:bidi w:val="0"/>
              <w:adjustRightInd/>
              <w:spacing w:line="380" w:lineRule="exact"/>
              <w:ind w:left="0" w:leftChars="0" w:right="63" w:rightChars="0" w:firstLine="0" w:firstLineChars="0"/>
              <w:jc w:val="center"/>
              <w:textAlignment w:val="auto"/>
              <w:rPr>
                <w:rFonts w:hint="default"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w:t>
            </w:r>
          </w:p>
        </w:tc>
        <w:tc>
          <w:tcPr>
            <w:tcW w:w="2181" w:type="dxa"/>
            <w:vAlign w:val="center"/>
          </w:tcPr>
          <w:p>
            <w:pPr>
              <w:pStyle w:val="2"/>
              <w:keepNext w:val="0"/>
              <w:keepLines w:val="0"/>
              <w:pageBreakBefore w:val="0"/>
              <w:kinsoku/>
              <w:wordWrap/>
              <w:overflowPunct/>
              <w:topLinePunct w:val="0"/>
              <w:autoSpaceDE/>
              <w:autoSpaceDN/>
              <w:bidi w:val="0"/>
              <w:adjustRightInd/>
              <w:spacing w:line="380" w:lineRule="exact"/>
              <w:ind w:left="0" w:leftChars="0" w:right="63" w:rightChars="0" w:firstLine="0" w:firstLineChars="0"/>
              <w:jc w:val="center"/>
              <w:textAlignment w:val="auto"/>
              <w:rPr>
                <w:rFonts w:hint="eastAsia" w:asciiTheme="minorEastAsia" w:hAnsiTheme="minorEastAsia" w:eastAsiaTheme="minorEastAsia" w:cstheme="minorEastAsia"/>
                <w:b w:val="0"/>
                <w:bCs w:val="0"/>
                <w:color w:val="auto"/>
                <w:kern w:val="0"/>
                <w:sz w:val="21"/>
                <w:szCs w:val="21"/>
                <w:highlight w:val="none"/>
                <w:lang w:val="en-US" w:eastAsia="zh-CN" w:bidi="ar-SA"/>
              </w:rPr>
            </w:pPr>
            <w:r>
              <w:rPr>
                <w:rFonts w:hint="eastAsia" w:asciiTheme="minorEastAsia" w:hAnsiTheme="minorEastAsia" w:eastAsiaTheme="minorEastAsia" w:cstheme="minorEastAsia"/>
                <w:b w:val="0"/>
                <w:bCs w:val="0"/>
                <w:color w:val="auto"/>
                <w:sz w:val="21"/>
                <w:szCs w:val="21"/>
                <w:highlight w:val="none"/>
                <w:lang w:val="en-US" w:eastAsia="zh-CN"/>
              </w:rPr>
              <w:t>1.35~2.03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630" w:hRule="exact"/>
          <w:jc w:val="center"/>
        </w:trPr>
        <w:tc>
          <w:tcPr>
            <w:tcW w:w="888" w:type="dxa"/>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四</w:t>
            </w:r>
          </w:p>
        </w:tc>
        <w:tc>
          <w:tcPr>
            <w:tcW w:w="3386" w:type="dxa"/>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规费</w:t>
            </w:r>
          </w:p>
        </w:tc>
        <w:tc>
          <w:tcPr>
            <w:tcW w:w="1806" w:type="dxa"/>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25.78</w:t>
            </w:r>
          </w:p>
        </w:tc>
        <w:tc>
          <w:tcPr>
            <w:tcW w:w="2181" w:type="dxa"/>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kern w:val="2"/>
                <w:sz w:val="21"/>
                <w:szCs w:val="21"/>
                <w:highlight w:val="none"/>
                <w:lang w:val="en-US" w:eastAsia="zh-CN" w:bidi="ar-SA"/>
              </w:rPr>
            </w:pPr>
            <w:r>
              <w:rPr>
                <w:rFonts w:hint="eastAsia" w:asciiTheme="minorEastAsia" w:hAnsiTheme="minorEastAsia" w:eastAsiaTheme="minorEastAsia" w:cstheme="minorEastAsia"/>
                <w:b w:val="0"/>
                <w:bCs w:val="0"/>
                <w:color w:val="auto"/>
                <w:sz w:val="21"/>
                <w:szCs w:val="21"/>
                <w:highlight w:val="none"/>
                <w:lang w:val="en-US" w:eastAsia="zh-CN"/>
              </w:rPr>
              <w:t>18.75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789" w:hRule="exact"/>
          <w:jc w:val="center"/>
        </w:trPr>
        <w:tc>
          <w:tcPr>
            <w:tcW w:w="888" w:type="dxa"/>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五</w:t>
            </w:r>
          </w:p>
        </w:tc>
        <w:tc>
          <w:tcPr>
            <w:tcW w:w="3386" w:type="dxa"/>
            <w:vAlign w:val="center"/>
          </w:tcPr>
          <w:p>
            <w:pPr>
              <w:keepNext w:val="0"/>
              <w:keepLines w:val="0"/>
              <w:pageBreakBefore w:val="0"/>
              <w:kinsoku/>
              <w:wordWrap/>
              <w:overflowPunct/>
              <w:topLinePunct w:val="0"/>
              <w:autoSpaceDE/>
              <w:autoSpaceDN/>
              <w:bidi w:val="0"/>
              <w:adjustRightInd/>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税金（不可竞争费用）</w:t>
            </w:r>
          </w:p>
        </w:tc>
        <w:tc>
          <w:tcPr>
            <w:tcW w:w="1806" w:type="dxa"/>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9</w:t>
            </w:r>
          </w:p>
        </w:tc>
        <w:tc>
          <w:tcPr>
            <w:tcW w:w="2181" w:type="dxa"/>
            <w:vAlign w:val="center"/>
          </w:tcPr>
          <w:p>
            <w:pPr>
              <w:keepNext w:val="0"/>
              <w:keepLines w:val="0"/>
              <w:pageBreakBefore w:val="0"/>
              <w:kinsoku/>
              <w:wordWrap/>
              <w:overflowPunct/>
              <w:topLinePunct w:val="0"/>
              <w:autoSpaceDE/>
              <w:autoSpaceDN/>
              <w:bidi w:val="0"/>
              <w:adjustRightInd/>
              <w:snapToGrid w:val="0"/>
              <w:spacing w:line="380" w:lineRule="exact"/>
              <w:jc w:val="center"/>
              <w:textAlignment w:val="auto"/>
              <w:rPr>
                <w:rFonts w:hint="eastAsia" w:asciiTheme="minorEastAsia" w:hAnsiTheme="minorEastAsia" w:eastAsiaTheme="minorEastAsia" w:cstheme="minorEastAsia"/>
                <w:b w:val="0"/>
                <w:bCs w:val="0"/>
                <w:color w:val="auto"/>
                <w:kern w:val="2"/>
                <w:sz w:val="21"/>
                <w:szCs w:val="21"/>
                <w:highlight w:val="none"/>
                <w:lang w:val="en-US" w:eastAsia="zh-CN" w:bidi="ar-SA"/>
              </w:rPr>
            </w:pPr>
            <w:r>
              <w:rPr>
                <w:rFonts w:hint="eastAsia" w:asciiTheme="minorEastAsia" w:hAnsiTheme="minorEastAsia" w:eastAsiaTheme="minorEastAsia" w:cstheme="minorEastAsia"/>
                <w:b w:val="0"/>
                <w:bCs w:val="0"/>
                <w:color w:val="auto"/>
                <w:sz w:val="21"/>
                <w:szCs w:val="21"/>
                <w:highlight w:val="none"/>
                <w:lang w:val="en-US" w:eastAsia="zh-CN"/>
              </w:rPr>
              <w:t>9</w:t>
            </w:r>
          </w:p>
        </w:tc>
      </w:tr>
    </w:tbl>
    <w:p>
      <w:pPr>
        <w:pageBreakBefore w:val="0"/>
        <w:widowControl/>
        <w:numPr>
          <w:ilvl w:val="0"/>
          <w:numId w:val="16"/>
        </w:numPr>
        <w:kinsoku/>
        <w:wordWrap/>
        <w:overflowPunct/>
        <w:topLinePunct w:val="0"/>
        <w:bidi w:val="0"/>
        <w:adjustRightInd/>
        <w:snapToGrid w:val="0"/>
        <w:spacing w:beforeAutospacing="0" w:line="400" w:lineRule="atLeast"/>
        <w:ind w:left="425" w:leftChars="0" w:hanging="425" w:firstLineChars="0"/>
        <w:jc w:val="left"/>
        <w:textAlignment w:val="auto"/>
        <w:rPr>
          <w:rFonts w:hint="default" w:ascii="Arial" w:hAnsi="Arial" w:eastAsia="宋体" w:cs="Arial"/>
          <w:color w:val="auto"/>
          <w:kern w:val="0"/>
          <w:sz w:val="21"/>
          <w:szCs w:val="21"/>
          <w:highlight w:val="none"/>
          <w:lang w:val="zh-CN"/>
        </w:rPr>
      </w:pPr>
      <w:r>
        <w:rPr>
          <w:rFonts w:hint="default" w:ascii="Arial" w:hAnsi="Arial" w:eastAsia="宋体" w:cs="Arial"/>
          <w:color w:val="auto"/>
          <w:kern w:val="0"/>
          <w:sz w:val="21"/>
          <w:szCs w:val="21"/>
          <w:highlight w:val="none"/>
          <w:lang w:val="zh-CN"/>
        </w:rPr>
        <w:t>税金作为不可竞争性费用不得变动；</w:t>
      </w:r>
    </w:p>
    <w:p>
      <w:pPr>
        <w:pageBreakBefore w:val="0"/>
        <w:widowControl/>
        <w:numPr>
          <w:ilvl w:val="0"/>
          <w:numId w:val="16"/>
        </w:numPr>
        <w:kinsoku/>
        <w:wordWrap/>
        <w:overflowPunct/>
        <w:topLinePunct w:val="0"/>
        <w:bidi w:val="0"/>
        <w:adjustRightInd/>
        <w:snapToGrid w:val="0"/>
        <w:spacing w:beforeAutospacing="0" w:line="400" w:lineRule="atLeast"/>
        <w:ind w:left="425" w:leftChars="0" w:hanging="425" w:firstLineChars="0"/>
        <w:jc w:val="left"/>
        <w:textAlignment w:val="auto"/>
        <w:rPr>
          <w:rFonts w:hint="default" w:ascii="Arial" w:hAnsi="Arial" w:eastAsia="宋体" w:cs="Arial"/>
          <w:color w:val="auto"/>
          <w:kern w:val="0"/>
          <w:sz w:val="21"/>
          <w:szCs w:val="21"/>
          <w:highlight w:val="none"/>
          <w:lang w:val="zh-CN"/>
        </w:rPr>
      </w:pPr>
      <w:r>
        <w:rPr>
          <w:rFonts w:hint="default" w:ascii="Arial" w:hAnsi="Arial" w:eastAsia="宋体" w:cs="Arial"/>
          <w:color w:val="auto"/>
          <w:kern w:val="0"/>
          <w:sz w:val="21"/>
          <w:szCs w:val="21"/>
          <w:highlight w:val="none"/>
          <w:lang w:val="zh-CN"/>
        </w:rPr>
        <w:t>安全文明施工费费率不得低于磋商文件规定的费率下限；</w:t>
      </w:r>
    </w:p>
    <w:p>
      <w:pPr>
        <w:pageBreakBefore w:val="0"/>
        <w:widowControl/>
        <w:numPr>
          <w:ilvl w:val="0"/>
          <w:numId w:val="16"/>
        </w:numPr>
        <w:kinsoku/>
        <w:wordWrap/>
        <w:overflowPunct/>
        <w:topLinePunct w:val="0"/>
        <w:bidi w:val="0"/>
        <w:adjustRightInd/>
        <w:snapToGrid w:val="0"/>
        <w:spacing w:beforeAutospacing="0" w:line="400" w:lineRule="atLeast"/>
        <w:ind w:left="425" w:leftChars="0" w:hanging="425" w:firstLineChars="0"/>
        <w:jc w:val="left"/>
        <w:textAlignment w:val="auto"/>
        <w:rPr>
          <w:rFonts w:hint="default" w:ascii="Arial" w:hAnsi="Arial" w:eastAsia="宋体" w:cs="Arial"/>
          <w:color w:val="auto"/>
          <w:kern w:val="0"/>
          <w:sz w:val="21"/>
          <w:szCs w:val="21"/>
          <w:highlight w:val="none"/>
          <w:lang w:val="zh-CN"/>
        </w:rPr>
      </w:pPr>
      <w:r>
        <w:rPr>
          <w:rFonts w:hint="default" w:ascii="Arial" w:hAnsi="Arial" w:eastAsia="宋体" w:cs="Arial"/>
          <w:color w:val="auto"/>
          <w:kern w:val="0"/>
          <w:sz w:val="21"/>
          <w:szCs w:val="21"/>
          <w:highlight w:val="none"/>
          <w:lang w:val="zh-CN"/>
        </w:rPr>
        <w:t>规费费率不得低于标准费率的30%；</w:t>
      </w:r>
    </w:p>
    <w:p>
      <w:pPr>
        <w:pageBreakBefore w:val="0"/>
        <w:widowControl/>
        <w:numPr>
          <w:ilvl w:val="0"/>
          <w:numId w:val="16"/>
        </w:numPr>
        <w:kinsoku/>
        <w:wordWrap/>
        <w:overflowPunct/>
        <w:topLinePunct w:val="0"/>
        <w:bidi w:val="0"/>
        <w:adjustRightInd/>
        <w:snapToGrid w:val="0"/>
        <w:spacing w:beforeAutospacing="0" w:line="400" w:lineRule="atLeast"/>
        <w:ind w:left="425" w:leftChars="0" w:hanging="425" w:firstLineChars="0"/>
        <w:jc w:val="left"/>
        <w:textAlignment w:val="auto"/>
        <w:rPr>
          <w:rFonts w:hint="default" w:ascii="Arial" w:hAnsi="Arial" w:eastAsia="宋体" w:cs="Arial"/>
          <w:color w:val="auto"/>
          <w:kern w:val="0"/>
          <w:sz w:val="21"/>
          <w:szCs w:val="21"/>
          <w:highlight w:val="none"/>
          <w:lang w:val="zh-CN"/>
        </w:rPr>
      </w:pPr>
      <w:r>
        <w:rPr>
          <w:rFonts w:hint="default" w:ascii="Arial" w:hAnsi="Arial" w:eastAsia="宋体" w:cs="Arial"/>
          <w:color w:val="auto"/>
          <w:kern w:val="0"/>
          <w:sz w:val="21"/>
          <w:szCs w:val="21"/>
          <w:highlight w:val="none"/>
          <w:lang w:val="zh-CN"/>
        </w:rPr>
        <w:t>本工程适用一般计税办法计税。</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本清单提供品牌要求并不是唯一标准，磋商供应商可参照清单要求品牌提供“相当于”或“高于”本要求标准的品牌，具体由磋商小组确定，假如磋商小组认定磋商供应商提供品牌低于清单要求，可作无效标处理。磋商供应商未在响应文件中提出其他品牌的，中标后严格按照清单参考品牌进行采购。</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报价说明</w:t>
      </w:r>
    </w:p>
    <w:p>
      <w:pPr>
        <w:pageBreakBefore w:val="0"/>
        <w:numPr>
          <w:ilvl w:val="0"/>
          <w:numId w:val="17"/>
        </w:numPr>
        <w:tabs>
          <w:tab w:val="left" w:pos="640"/>
        </w:tabs>
        <w:kinsoku/>
        <w:wordWrap/>
        <w:overflowPunct/>
        <w:topLinePunct w:val="0"/>
        <w:bidi w:val="0"/>
        <w:spacing w:beforeAutospacing="0" w:line="400" w:lineRule="atLeast"/>
        <w:ind w:left="837" w:leftChars="189" w:hanging="440" w:firstLineChars="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工程量清单</w:t>
      </w:r>
      <w:r>
        <w:rPr>
          <w:rFonts w:hint="eastAsia" w:ascii="宋体" w:hAnsi="宋体" w:cs="宋体"/>
          <w:color w:val="auto"/>
          <w:kern w:val="0"/>
          <w:sz w:val="21"/>
          <w:szCs w:val="21"/>
          <w:highlight w:val="none"/>
          <w:lang w:val="zh-CN"/>
        </w:rPr>
        <w:t>报价</w:t>
      </w:r>
      <w:r>
        <w:rPr>
          <w:rFonts w:hint="eastAsia" w:ascii="宋体" w:hAnsi="宋体" w:eastAsia="宋体" w:cs="宋体"/>
          <w:color w:val="auto"/>
          <w:kern w:val="0"/>
          <w:sz w:val="21"/>
          <w:szCs w:val="21"/>
          <w:highlight w:val="none"/>
          <w:lang w:val="zh-CN"/>
        </w:rPr>
        <w:t>应根据磋商文件的有关要求和工程量清单、结合施工现场实际情况、拟定的施工方案或施工组织设计、磋商供应商自身情况，依据企业定额和市场价格信息，或参照本省颁布的“计价依据”以及工程量清单指引进行编制。</w:t>
      </w:r>
    </w:p>
    <w:p>
      <w:pPr>
        <w:pageBreakBefore w:val="0"/>
        <w:numPr>
          <w:ilvl w:val="0"/>
          <w:numId w:val="17"/>
        </w:numPr>
        <w:tabs>
          <w:tab w:val="left" w:pos="640"/>
        </w:tabs>
        <w:kinsoku/>
        <w:wordWrap/>
        <w:overflowPunct/>
        <w:topLinePunct w:val="0"/>
        <w:bidi w:val="0"/>
        <w:spacing w:beforeAutospacing="0" w:line="400" w:lineRule="atLeast"/>
        <w:ind w:left="837" w:leftChars="189" w:hanging="440" w:firstLineChars="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各磋商供应商应充分考虑承包本工程可能存在的包干风险，并计入</w:t>
      </w:r>
      <w:r>
        <w:rPr>
          <w:rFonts w:hint="eastAsia" w:ascii="宋体" w:hAnsi="宋体" w:cs="宋体"/>
          <w:color w:val="auto"/>
          <w:kern w:val="0"/>
          <w:sz w:val="21"/>
          <w:szCs w:val="21"/>
          <w:highlight w:val="none"/>
          <w:lang w:val="zh-CN"/>
        </w:rPr>
        <w:t>报价</w:t>
      </w:r>
      <w:r>
        <w:rPr>
          <w:rFonts w:hint="eastAsia" w:ascii="宋体" w:hAnsi="宋体" w:eastAsia="宋体" w:cs="宋体"/>
          <w:color w:val="auto"/>
          <w:kern w:val="0"/>
          <w:sz w:val="21"/>
          <w:szCs w:val="21"/>
          <w:highlight w:val="none"/>
          <w:lang w:val="zh-CN"/>
        </w:rPr>
        <w:t>，包干风险应包括下列因素：</w:t>
      </w:r>
    </w:p>
    <w:p>
      <w:pPr>
        <w:pageBreakBefore w:val="0"/>
        <w:numPr>
          <w:ilvl w:val="0"/>
          <w:numId w:val="18"/>
        </w:numPr>
        <w:tabs>
          <w:tab w:val="left" w:pos="0"/>
        </w:tabs>
        <w:kinsoku/>
        <w:wordWrap/>
        <w:overflowPunct/>
        <w:topLinePunct w:val="0"/>
        <w:bidi w:val="0"/>
        <w:spacing w:beforeAutospacing="0" w:line="400" w:lineRule="atLeast"/>
        <w:ind w:left="1245" w:leftChars="0" w:hanging="405" w:firstLineChars="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本标文考虑的工程费率(除不可竞争性费用外)仅供参考，各磋商供应商可根据自身实力和本工程的实际情况，若须增加，在包干风险费用中自行列支计入综合单价。</w:t>
      </w:r>
    </w:p>
    <w:p>
      <w:pPr>
        <w:pageBreakBefore w:val="0"/>
        <w:numPr>
          <w:ilvl w:val="0"/>
          <w:numId w:val="18"/>
        </w:numPr>
        <w:tabs>
          <w:tab w:val="left" w:pos="0"/>
        </w:tabs>
        <w:kinsoku/>
        <w:wordWrap/>
        <w:overflowPunct/>
        <w:topLinePunct w:val="0"/>
        <w:bidi w:val="0"/>
        <w:spacing w:beforeAutospacing="0" w:line="400" w:lineRule="atLeast"/>
        <w:ind w:left="1245" w:leftChars="0" w:hanging="405" w:firstLineChars="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施工期间所发生的施工技术措施费和施工组织措施费以一项为单位的施工单位自行测定综合报价，一次性包干，今后不予调整；其他按相应规定执行。</w:t>
      </w:r>
    </w:p>
    <w:p>
      <w:pPr>
        <w:pageBreakBefore w:val="0"/>
        <w:numPr>
          <w:ilvl w:val="0"/>
          <w:numId w:val="18"/>
        </w:numPr>
        <w:tabs>
          <w:tab w:val="left" w:pos="0"/>
        </w:tabs>
        <w:kinsoku/>
        <w:wordWrap/>
        <w:overflowPunct/>
        <w:topLinePunct w:val="0"/>
        <w:bidi w:val="0"/>
        <w:spacing w:beforeAutospacing="0" w:line="400" w:lineRule="atLeast"/>
        <w:ind w:left="1245" w:leftChars="0" w:hanging="405" w:firstLineChars="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除暂定价材料外，其他材料将采用一次性包干，由各磋商供应商根据市场实际价格，参照市场材料价格信息一次性包干所需考虑的增加费用。</w:t>
      </w:r>
    </w:p>
    <w:p>
      <w:pPr>
        <w:pageBreakBefore w:val="0"/>
        <w:numPr>
          <w:ilvl w:val="0"/>
          <w:numId w:val="18"/>
        </w:numPr>
        <w:tabs>
          <w:tab w:val="left" w:pos="0"/>
        </w:tabs>
        <w:kinsoku/>
        <w:wordWrap/>
        <w:overflowPunct/>
        <w:topLinePunct w:val="0"/>
        <w:bidi w:val="0"/>
        <w:spacing w:beforeAutospacing="0" w:line="400" w:lineRule="atLeast"/>
        <w:ind w:left="1245" w:leftChars="0" w:hanging="405" w:firstLineChars="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人工、机械等可能存在的政策性调整所需增加的费用；</w:t>
      </w:r>
    </w:p>
    <w:p>
      <w:pPr>
        <w:pageBreakBefore w:val="0"/>
        <w:numPr>
          <w:ilvl w:val="0"/>
          <w:numId w:val="18"/>
        </w:numPr>
        <w:tabs>
          <w:tab w:val="left" w:pos="0"/>
        </w:tabs>
        <w:kinsoku/>
        <w:wordWrap/>
        <w:overflowPunct/>
        <w:topLinePunct w:val="0"/>
        <w:bidi w:val="0"/>
        <w:spacing w:beforeAutospacing="0" w:line="400" w:lineRule="atLeast"/>
        <w:ind w:left="1245" w:leftChars="0" w:hanging="405" w:firstLineChars="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报价中应包括施工图内及按常规理解应包含在此范围内所有材料、人工、机械、管理、利润等政策性文件规定应包括的项目费用而定额子目可能包含不完整的费用。</w:t>
      </w:r>
    </w:p>
    <w:p>
      <w:pPr>
        <w:pageBreakBefore w:val="0"/>
        <w:numPr>
          <w:ilvl w:val="0"/>
          <w:numId w:val="18"/>
        </w:numPr>
        <w:tabs>
          <w:tab w:val="left" w:pos="0"/>
        </w:tabs>
        <w:kinsoku/>
        <w:wordWrap/>
        <w:overflowPunct/>
        <w:topLinePunct w:val="0"/>
        <w:bidi w:val="0"/>
        <w:spacing w:beforeAutospacing="0" w:line="400" w:lineRule="atLeast"/>
        <w:ind w:left="1245" w:leftChars="0" w:hanging="405" w:firstLineChars="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由于城市管理、交通管理及根据本工程现场的实际条件等原因所增加支出的运输增加的费用。</w:t>
      </w:r>
    </w:p>
    <w:p>
      <w:pPr>
        <w:pageBreakBefore w:val="0"/>
        <w:numPr>
          <w:ilvl w:val="0"/>
          <w:numId w:val="18"/>
        </w:numPr>
        <w:tabs>
          <w:tab w:val="left" w:pos="0"/>
        </w:tabs>
        <w:kinsoku/>
        <w:wordWrap/>
        <w:overflowPunct/>
        <w:topLinePunct w:val="0"/>
        <w:bidi w:val="0"/>
        <w:spacing w:beforeAutospacing="0" w:line="400" w:lineRule="atLeast"/>
        <w:ind w:left="1245" w:leftChars="0" w:hanging="405" w:firstLineChars="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由于停电、停水工期将不予顺延，费用也不予增加。</w:t>
      </w:r>
    </w:p>
    <w:p>
      <w:pPr>
        <w:pageBreakBefore w:val="0"/>
        <w:numPr>
          <w:ilvl w:val="0"/>
          <w:numId w:val="18"/>
        </w:numPr>
        <w:tabs>
          <w:tab w:val="left" w:pos="0"/>
        </w:tabs>
        <w:kinsoku/>
        <w:wordWrap/>
        <w:overflowPunct/>
        <w:topLinePunct w:val="0"/>
        <w:bidi w:val="0"/>
        <w:spacing w:beforeAutospacing="0" w:line="400" w:lineRule="atLeast"/>
        <w:ind w:left="1245" w:leftChars="0" w:hanging="405" w:firstLineChars="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其他在本标文中没有包含，但实际可能发生及磋商供应商认为应当计列的一切费用，均属包干风险费用应计的内容，今后除本标文规定允许调整的内容按规定调整外，一次性包干。</w:t>
      </w:r>
    </w:p>
    <w:p>
      <w:pPr>
        <w:pageBreakBefore w:val="0"/>
        <w:numPr>
          <w:ilvl w:val="0"/>
          <w:numId w:val="18"/>
        </w:numPr>
        <w:tabs>
          <w:tab w:val="left" w:pos="0"/>
        </w:tabs>
        <w:kinsoku/>
        <w:wordWrap/>
        <w:overflowPunct/>
        <w:topLinePunct w:val="0"/>
        <w:bidi w:val="0"/>
        <w:spacing w:beforeAutospacing="0" w:line="400" w:lineRule="atLeast"/>
        <w:ind w:left="1245" w:leftChars="0" w:hanging="405" w:firstLineChars="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暂定价材料单价或综合单价的由采购人确定准于计取的费用磋商供应商认为不足的或可能发生的其他费用，磋商供应商应予以考虑。暂定价格的材料由采购人确定供应商和单价的，成交供应商无条件接受并予以配合并进行质量验收。暂定价材料价格、采管费及安装损耗由磋商供应商自行测算后计入综合单价。</w:t>
      </w:r>
    </w:p>
    <w:p>
      <w:pPr>
        <w:pageBreakBefore w:val="0"/>
        <w:numPr>
          <w:ilvl w:val="0"/>
          <w:numId w:val="17"/>
        </w:numPr>
        <w:tabs>
          <w:tab w:val="left" w:pos="640"/>
        </w:tabs>
        <w:kinsoku/>
        <w:wordWrap/>
        <w:overflowPunct/>
        <w:topLinePunct w:val="0"/>
        <w:bidi w:val="0"/>
        <w:spacing w:beforeAutospacing="0" w:line="400" w:lineRule="atLeast"/>
        <w:ind w:left="837" w:leftChars="189" w:hanging="440" w:firstLineChars="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磋商供应商的投标单价在合同实施期间不因市场定额、政府文件调整等的变化而变化，今后除暂定价材料按采购人确认的价格调整外，均不予调整（注：审计部门有权对暂定材料价格审查调整）。</w:t>
      </w:r>
    </w:p>
    <w:p>
      <w:pPr>
        <w:pageBreakBefore w:val="0"/>
        <w:numPr>
          <w:ilvl w:val="0"/>
          <w:numId w:val="17"/>
        </w:numPr>
        <w:tabs>
          <w:tab w:val="left" w:pos="640"/>
        </w:tabs>
        <w:kinsoku/>
        <w:wordWrap/>
        <w:overflowPunct/>
        <w:topLinePunct w:val="0"/>
        <w:bidi w:val="0"/>
        <w:spacing w:beforeAutospacing="0" w:line="400" w:lineRule="atLeast"/>
        <w:ind w:left="837" w:leftChars="189" w:hanging="440" w:firstLineChars="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采购人需要更改设计错误，成交供应商无条件接受，不得以此理由提出工期索赔，并按修改后的施工图进行施工和按本磋商文件规定计取费用。</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磋商响应文件的签署、盖章</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磋商响应文件</w:t>
      </w:r>
      <w:r>
        <w:rPr>
          <w:rFonts w:hint="eastAsia" w:ascii="宋体" w:hAnsi="宋体" w:cs="宋体"/>
          <w:color w:val="auto"/>
          <w:sz w:val="21"/>
          <w:szCs w:val="21"/>
          <w:highlight w:val="none"/>
        </w:rPr>
        <w:t>按照</w:t>
      </w:r>
      <w:r>
        <w:rPr>
          <w:rFonts w:hint="eastAsia" w:ascii="宋体" w:hAnsi="宋体" w:cs="宋体"/>
          <w:color w:val="auto"/>
          <w:sz w:val="21"/>
          <w:szCs w:val="21"/>
          <w:highlight w:val="none"/>
          <w:lang w:eastAsia="zh-CN"/>
        </w:rPr>
        <w:t>磋商文件</w:t>
      </w:r>
      <w:r>
        <w:rPr>
          <w:rFonts w:hint="eastAsia" w:ascii="宋体" w:hAnsi="宋体" w:cs="宋体"/>
          <w:color w:val="auto"/>
          <w:sz w:val="21"/>
          <w:szCs w:val="21"/>
          <w:highlight w:val="none"/>
        </w:rPr>
        <w:t>格式要求进行签署、盖章。</w:t>
      </w:r>
      <w:r>
        <w:rPr>
          <w:rFonts w:hint="eastAsia" w:ascii="宋体" w:hAnsi="宋体" w:cs="宋体"/>
          <w:color w:val="auto"/>
          <w:sz w:val="21"/>
          <w:szCs w:val="21"/>
          <w:highlight w:val="none"/>
          <w:lang w:eastAsia="zh-CN"/>
        </w:rPr>
        <w:t>磋商供应商</w:t>
      </w:r>
      <w:r>
        <w:rPr>
          <w:rFonts w:hint="eastAsia" w:ascii="宋体" w:hAnsi="宋体" w:cs="宋体"/>
          <w:color w:val="auto"/>
          <w:sz w:val="21"/>
          <w:szCs w:val="21"/>
          <w:highlight w:val="none"/>
        </w:rPr>
        <w:t>的</w:t>
      </w:r>
      <w:r>
        <w:rPr>
          <w:rFonts w:hint="eastAsia" w:ascii="宋体" w:hAnsi="宋体" w:cs="宋体"/>
          <w:color w:val="auto"/>
          <w:sz w:val="21"/>
          <w:szCs w:val="21"/>
          <w:highlight w:val="none"/>
          <w:lang w:eastAsia="zh-CN"/>
        </w:rPr>
        <w:t>磋商响应文件</w:t>
      </w:r>
      <w:r>
        <w:rPr>
          <w:rFonts w:hint="eastAsia" w:ascii="宋体" w:hAnsi="宋体" w:cs="宋体"/>
          <w:color w:val="auto"/>
          <w:sz w:val="21"/>
          <w:szCs w:val="21"/>
          <w:highlight w:val="none"/>
        </w:rPr>
        <w:t>未按照</w:t>
      </w:r>
      <w:r>
        <w:rPr>
          <w:rFonts w:hint="eastAsia" w:ascii="宋体" w:hAnsi="宋体" w:cs="宋体"/>
          <w:color w:val="auto"/>
          <w:sz w:val="21"/>
          <w:szCs w:val="21"/>
          <w:highlight w:val="none"/>
          <w:lang w:eastAsia="zh-CN"/>
        </w:rPr>
        <w:t>磋商文件</w:t>
      </w:r>
      <w:r>
        <w:rPr>
          <w:rFonts w:hint="eastAsia" w:ascii="宋体" w:hAnsi="宋体" w:cs="宋体"/>
          <w:color w:val="auto"/>
          <w:sz w:val="21"/>
          <w:szCs w:val="21"/>
          <w:highlight w:val="none"/>
        </w:rPr>
        <w:t>要求签署、盖章的，其</w:t>
      </w:r>
      <w:r>
        <w:rPr>
          <w:rFonts w:hint="eastAsia" w:ascii="宋体" w:hAnsi="宋体" w:cs="宋体"/>
          <w:color w:val="auto"/>
          <w:sz w:val="21"/>
          <w:szCs w:val="21"/>
          <w:highlight w:val="none"/>
          <w:lang w:eastAsia="zh-CN"/>
        </w:rPr>
        <w:t>响应无效</w:t>
      </w:r>
      <w:r>
        <w:rPr>
          <w:rFonts w:hint="eastAsia" w:ascii="宋体" w:hAnsi="宋体" w:cs="宋体"/>
          <w:color w:val="auto"/>
          <w:sz w:val="21"/>
          <w:szCs w:val="21"/>
          <w:highlight w:val="none"/>
        </w:rPr>
        <w:t>。</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为确保网上操作合法、有效和安全，</w:t>
      </w:r>
      <w:r>
        <w:rPr>
          <w:rFonts w:hint="eastAsia" w:ascii="宋体" w:hAnsi="宋体" w:cs="宋体"/>
          <w:color w:val="auto"/>
          <w:sz w:val="21"/>
          <w:szCs w:val="21"/>
          <w:highlight w:val="none"/>
          <w:lang w:eastAsia="zh-CN"/>
        </w:rPr>
        <w:t>磋商供应商</w:t>
      </w:r>
      <w:r>
        <w:rPr>
          <w:rFonts w:hint="eastAsia" w:ascii="宋体" w:hAnsi="宋体" w:cs="宋体"/>
          <w:color w:val="auto"/>
          <w:sz w:val="21"/>
          <w:szCs w:val="21"/>
          <w:highlight w:val="none"/>
        </w:rPr>
        <w:t>应当在磋商响应截止时间前完成在“政府采购云平台”的身份认证，确保在电子投标过程中能够对相关数据电文进行加密和使用电子签名。</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cs="宋体"/>
          <w:color w:val="auto"/>
          <w:sz w:val="21"/>
          <w:szCs w:val="21"/>
          <w:highlight w:val="none"/>
        </w:rPr>
        <w:t>对</w:t>
      </w:r>
      <w:r>
        <w:rPr>
          <w:rFonts w:hint="eastAsia" w:ascii="宋体" w:hAnsi="宋体" w:cs="宋体"/>
          <w:color w:val="auto"/>
          <w:sz w:val="21"/>
          <w:szCs w:val="21"/>
          <w:highlight w:val="none"/>
          <w:lang w:eastAsia="zh-CN"/>
        </w:rPr>
        <w:t>磋商响应文件</w:t>
      </w:r>
      <w:r>
        <w:rPr>
          <w:rFonts w:hint="eastAsia" w:ascii="宋体" w:hAnsi="宋体" w:cs="宋体"/>
          <w:color w:val="auto"/>
          <w:sz w:val="21"/>
          <w:szCs w:val="21"/>
          <w:highlight w:val="none"/>
        </w:rPr>
        <w:t>签署、盖章的要求适用于电子签名。</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磋商响应文件的提交、补充、修改、撤回</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供应商应当在</w:t>
      </w:r>
      <w:r>
        <w:rPr>
          <w:rFonts w:hint="eastAsia" w:ascii="宋体" w:hAnsi="宋体" w:cs="宋体"/>
          <w:color w:val="auto"/>
          <w:sz w:val="21"/>
          <w:szCs w:val="21"/>
          <w:highlight w:val="none"/>
          <w:lang w:eastAsia="zh-CN"/>
        </w:rPr>
        <w:t>磋商响应截止时间前</w:t>
      </w:r>
      <w:r>
        <w:rPr>
          <w:rFonts w:hint="eastAsia" w:ascii="宋体" w:hAnsi="宋体" w:cs="宋体"/>
          <w:color w:val="auto"/>
          <w:sz w:val="21"/>
          <w:szCs w:val="21"/>
          <w:highlight w:val="none"/>
        </w:rPr>
        <w:t>完成</w:t>
      </w:r>
      <w:r>
        <w:rPr>
          <w:rFonts w:hint="eastAsia" w:ascii="宋体" w:hAnsi="宋体" w:cs="宋体"/>
          <w:color w:val="auto"/>
          <w:sz w:val="21"/>
          <w:szCs w:val="21"/>
          <w:highlight w:val="none"/>
          <w:lang w:eastAsia="zh-CN"/>
        </w:rPr>
        <w:t>磋商响应文件</w:t>
      </w:r>
      <w:r>
        <w:rPr>
          <w:rFonts w:hint="eastAsia" w:ascii="宋体" w:hAnsi="宋体" w:cs="宋体"/>
          <w:color w:val="auto"/>
          <w:sz w:val="21"/>
          <w:szCs w:val="21"/>
          <w:highlight w:val="none"/>
        </w:rPr>
        <w:t>的传输递交，并可以补充、修改或者撤回</w:t>
      </w:r>
      <w:r>
        <w:rPr>
          <w:rFonts w:hint="eastAsia" w:ascii="宋体" w:hAnsi="宋体" w:cs="宋体"/>
          <w:color w:val="auto"/>
          <w:sz w:val="21"/>
          <w:szCs w:val="21"/>
          <w:highlight w:val="none"/>
          <w:lang w:eastAsia="zh-CN"/>
        </w:rPr>
        <w:t>磋商响应文件</w:t>
      </w:r>
      <w:r>
        <w:rPr>
          <w:rFonts w:hint="eastAsia" w:ascii="宋体" w:hAnsi="宋体" w:cs="宋体"/>
          <w:color w:val="auto"/>
          <w:sz w:val="21"/>
          <w:szCs w:val="21"/>
          <w:highlight w:val="none"/>
        </w:rPr>
        <w:t>。补充或者修改</w:t>
      </w:r>
      <w:r>
        <w:rPr>
          <w:rFonts w:hint="eastAsia" w:ascii="宋体" w:hAnsi="宋体" w:cs="宋体"/>
          <w:color w:val="auto"/>
          <w:sz w:val="21"/>
          <w:szCs w:val="21"/>
          <w:highlight w:val="none"/>
          <w:lang w:eastAsia="zh-CN"/>
        </w:rPr>
        <w:t>磋商响应文件</w:t>
      </w:r>
      <w:r>
        <w:rPr>
          <w:rFonts w:hint="eastAsia" w:ascii="宋体" w:hAnsi="宋体" w:cs="宋体"/>
          <w:color w:val="auto"/>
          <w:sz w:val="21"/>
          <w:szCs w:val="21"/>
          <w:highlight w:val="none"/>
        </w:rPr>
        <w:t>的，应当先行撤回原文件，补充、修改后重新传输递交。</w:t>
      </w:r>
      <w:r>
        <w:rPr>
          <w:rFonts w:hint="eastAsia" w:ascii="宋体" w:hAnsi="宋体" w:cs="宋体"/>
          <w:color w:val="auto"/>
          <w:sz w:val="21"/>
          <w:szCs w:val="21"/>
          <w:highlight w:val="none"/>
          <w:lang w:eastAsia="zh-CN"/>
        </w:rPr>
        <w:t>磋商响应截止时间前</w:t>
      </w:r>
      <w:r>
        <w:rPr>
          <w:rFonts w:hint="eastAsia" w:ascii="宋体" w:hAnsi="宋体" w:cs="宋体"/>
          <w:color w:val="auto"/>
          <w:sz w:val="21"/>
          <w:szCs w:val="21"/>
          <w:highlight w:val="none"/>
        </w:rPr>
        <w:t>未完成传输的，视为撤回</w:t>
      </w:r>
      <w:r>
        <w:rPr>
          <w:rFonts w:hint="eastAsia" w:ascii="宋体" w:hAnsi="宋体" w:cs="宋体"/>
          <w:color w:val="auto"/>
          <w:sz w:val="21"/>
          <w:szCs w:val="21"/>
          <w:highlight w:val="none"/>
          <w:lang w:eastAsia="zh-CN"/>
        </w:rPr>
        <w:t>磋商响应文件</w:t>
      </w:r>
      <w:r>
        <w:rPr>
          <w:rFonts w:hint="eastAsia" w:ascii="宋体" w:hAnsi="宋体" w:cs="宋体"/>
          <w:color w:val="auto"/>
          <w:sz w:val="21"/>
          <w:szCs w:val="21"/>
          <w:highlight w:val="none"/>
        </w:rPr>
        <w:t>。投标截止时间后递交的</w:t>
      </w:r>
      <w:r>
        <w:rPr>
          <w:rFonts w:hint="eastAsia" w:ascii="宋体" w:hAnsi="宋体" w:cs="宋体"/>
          <w:color w:val="auto"/>
          <w:sz w:val="21"/>
          <w:szCs w:val="21"/>
          <w:highlight w:val="none"/>
          <w:lang w:eastAsia="zh-CN"/>
        </w:rPr>
        <w:t>磋商响应文件</w:t>
      </w:r>
      <w:r>
        <w:rPr>
          <w:rFonts w:hint="eastAsia" w:ascii="宋体" w:hAnsi="宋体" w:cs="宋体"/>
          <w:color w:val="auto"/>
          <w:sz w:val="21"/>
          <w:szCs w:val="21"/>
          <w:highlight w:val="none"/>
        </w:rPr>
        <w:t>，电子交易平台将拒收。</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电子交易平台收到</w:t>
      </w:r>
      <w:r>
        <w:rPr>
          <w:rFonts w:hint="eastAsia" w:ascii="宋体" w:hAnsi="宋体" w:cs="宋体"/>
          <w:color w:val="auto"/>
          <w:sz w:val="21"/>
          <w:szCs w:val="21"/>
          <w:highlight w:val="none"/>
          <w:lang w:eastAsia="zh-CN"/>
        </w:rPr>
        <w:t>磋商响应文件</w:t>
      </w:r>
      <w:r>
        <w:rPr>
          <w:rFonts w:hint="eastAsia" w:ascii="宋体" w:hAnsi="宋体" w:cs="宋体"/>
          <w:color w:val="auto"/>
          <w:sz w:val="21"/>
          <w:szCs w:val="21"/>
          <w:highlight w:val="none"/>
        </w:rPr>
        <w:t>，将妥善保存并即时向供应商发出确认回执通知。在</w:t>
      </w:r>
      <w:r>
        <w:rPr>
          <w:rFonts w:hint="eastAsia" w:ascii="宋体" w:hAnsi="宋体" w:cs="宋体"/>
          <w:color w:val="auto"/>
          <w:sz w:val="21"/>
          <w:szCs w:val="21"/>
          <w:highlight w:val="none"/>
          <w:lang w:eastAsia="zh-CN"/>
        </w:rPr>
        <w:t>磋商响应截止时间前</w:t>
      </w:r>
      <w:r>
        <w:rPr>
          <w:rFonts w:hint="eastAsia" w:ascii="宋体" w:hAnsi="宋体" w:cs="宋体"/>
          <w:color w:val="auto"/>
          <w:sz w:val="21"/>
          <w:szCs w:val="21"/>
          <w:highlight w:val="none"/>
        </w:rPr>
        <w:t>，除供应商补充、修改或者撤回</w:t>
      </w:r>
      <w:r>
        <w:rPr>
          <w:rFonts w:hint="eastAsia" w:ascii="宋体" w:hAnsi="宋体" w:cs="宋体"/>
          <w:color w:val="auto"/>
          <w:sz w:val="21"/>
          <w:szCs w:val="21"/>
          <w:highlight w:val="none"/>
          <w:lang w:eastAsia="zh-CN"/>
        </w:rPr>
        <w:t>磋商响应文件</w:t>
      </w:r>
      <w:r>
        <w:rPr>
          <w:rFonts w:hint="eastAsia" w:ascii="宋体" w:hAnsi="宋体" w:cs="宋体"/>
          <w:color w:val="auto"/>
          <w:sz w:val="21"/>
          <w:szCs w:val="21"/>
          <w:highlight w:val="none"/>
        </w:rPr>
        <w:t>外，任何单位和个人不得解密或提取</w:t>
      </w:r>
      <w:r>
        <w:rPr>
          <w:rFonts w:hint="eastAsia" w:ascii="宋体" w:hAnsi="宋体" w:cs="宋体"/>
          <w:color w:val="auto"/>
          <w:sz w:val="21"/>
          <w:szCs w:val="21"/>
          <w:highlight w:val="none"/>
          <w:lang w:eastAsia="zh-CN"/>
        </w:rPr>
        <w:t>磋商响应文件</w:t>
      </w:r>
      <w:r>
        <w:rPr>
          <w:rFonts w:hint="eastAsia" w:ascii="宋体" w:hAnsi="宋体" w:cs="宋体"/>
          <w:color w:val="auto"/>
          <w:sz w:val="21"/>
          <w:szCs w:val="21"/>
          <w:highlight w:val="none"/>
        </w:rPr>
        <w:t>。</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采购人、</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可以视情况延长</w:t>
      </w:r>
      <w:r>
        <w:rPr>
          <w:rFonts w:hint="eastAsia" w:ascii="宋体" w:hAnsi="宋体" w:cs="宋体"/>
          <w:color w:val="auto"/>
          <w:sz w:val="21"/>
          <w:szCs w:val="21"/>
          <w:highlight w:val="none"/>
          <w:lang w:eastAsia="zh-CN"/>
        </w:rPr>
        <w:t>磋商响应文件</w:t>
      </w:r>
      <w:r>
        <w:rPr>
          <w:rFonts w:hint="eastAsia" w:ascii="宋体" w:hAnsi="宋体" w:cs="宋体"/>
          <w:color w:val="auto"/>
          <w:sz w:val="21"/>
          <w:szCs w:val="21"/>
          <w:highlight w:val="none"/>
        </w:rPr>
        <w:t>提交的截止时间。在上述情况下，</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与</w:t>
      </w:r>
      <w:r>
        <w:rPr>
          <w:rFonts w:hint="eastAsia" w:ascii="宋体" w:hAnsi="宋体" w:cs="宋体"/>
          <w:color w:val="auto"/>
          <w:sz w:val="21"/>
          <w:szCs w:val="21"/>
          <w:highlight w:val="none"/>
          <w:lang w:eastAsia="zh-CN"/>
        </w:rPr>
        <w:t>磋商供应商</w:t>
      </w:r>
      <w:r>
        <w:rPr>
          <w:rFonts w:hint="eastAsia" w:ascii="宋体" w:hAnsi="宋体" w:cs="宋体"/>
          <w:color w:val="auto"/>
          <w:sz w:val="21"/>
          <w:szCs w:val="21"/>
          <w:highlight w:val="none"/>
        </w:rPr>
        <w:t>以前在投标截止期方面的全部权利、责任和义务，将适用于延长至新的投标截止期。</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磋商供应商</w:t>
      </w:r>
      <w:r>
        <w:rPr>
          <w:rFonts w:hint="eastAsia" w:ascii="宋体" w:hAnsi="宋体" w:cs="宋体"/>
          <w:color w:val="auto"/>
          <w:sz w:val="21"/>
          <w:szCs w:val="21"/>
          <w:highlight w:val="none"/>
        </w:rPr>
        <w:t>应承担其参加投标所涉及的一切费用，不管投标结果如何，采购人对这些费用不负任何责任。</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磋商响应文件的无效处理</w:t>
      </w:r>
    </w:p>
    <w:p>
      <w:pPr>
        <w:pageBreakBefore w:val="0"/>
        <w:kinsoku/>
        <w:wordWrap/>
        <w:overflowPunct/>
        <w:topLinePunct w:val="0"/>
        <w:bidi w:val="0"/>
        <w:spacing w:beforeAutospacing="0" w:line="400" w:lineRule="atLeast"/>
        <w:ind w:left="0" w:leftChars="0" w:firstLine="840" w:firstLineChars="4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属于</w:t>
      </w:r>
      <w:r>
        <w:rPr>
          <w:rFonts w:hint="eastAsia" w:ascii="宋体" w:hAnsi="宋体" w:eastAsia="宋体" w:cs="宋体"/>
          <w:color w:val="auto"/>
          <w:sz w:val="21"/>
          <w:szCs w:val="21"/>
          <w:highlight w:val="none"/>
          <w:lang w:eastAsia="zh-CN"/>
        </w:rPr>
        <w:t>磋商文件无效标</w:t>
      </w:r>
      <w:r>
        <w:rPr>
          <w:rFonts w:hint="eastAsia" w:ascii="宋体" w:hAnsi="宋体" w:eastAsia="宋体" w:cs="宋体"/>
          <w:color w:val="auto"/>
          <w:sz w:val="21"/>
          <w:szCs w:val="21"/>
          <w:highlight w:val="none"/>
        </w:rPr>
        <w:t>规定的情形的，</w:t>
      </w:r>
      <w:r>
        <w:rPr>
          <w:rFonts w:hint="eastAsia" w:ascii="宋体" w:hAnsi="宋体" w:cs="宋体"/>
          <w:color w:val="auto"/>
          <w:sz w:val="21"/>
          <w:szCs w:val="21"/>
          <w:highlight w:val="none"/>
          <w:lang w:eastAsia="zh-CN"/>
        </w:rPr>
        <w:t>响应无效</w:t>
      </w:r>
      <w:r>
        <w:rPr>
          <w:rFonts w:hint="eastAsia" w:ascii="宋体" w:hAnsi="宋体" w:eastAsia="宋体" w:cs="宋体"/>
          <w:color w:val="auto"/>
          <w:sz w:val="21"/>
          <w:szCs w:val="21"/>
          <w:highlight w:val="none"/>
          <w:lang w:eastAsia="zh-CN"/>
        </w:rPr>
        <w:t>。</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投标有效期</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投标有效期为从提交</w:t>
      </w:r>
      <w:r>
        <w:rPr>
          <w:rFonts w:hint="eastAsia" w:ascii="宋体" w:hAnsi="宋体" w:cs="宋体"/>
          <w:color w:val="auto"/>
          <w:sz w:val="21"/>
          <w:szCs w:val="21"/>
          <w:highlight w:val="none"/>
          <w:lang w:eastAsia="zh-CN"/>
        </w:rPr>
        <w:t>磋商响应文件</w:t>
      </w:r>
      <w:r>
        <w:rPr>
          <w:rFonts w:hint="eastAsia" w:ascii="宋体" w:hAnsi="宋体" w:cs="宋体"/>
          <w:color w:val="auto"/>
          <w:sz w:val="21"/>
          <w:szCs w:val="21"/>
          <w:highlight w:val="none"/>
        </w:rPr>
        <w:t>的截止之日起</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0天。</w:t>
      </w:r>
      <w:r>
        <w:rPr>
          <w:rFonts w:hint="eastAsia" w:ascii="宋体" w:hAnsi="宋体" w:cs="宋体"/>
          <w:color w:val="auto"/>
          <w:sz w:val="21"/>
          <w:szCs w:val="21"/>
          <w:highlight w:val="none"/>
          <w:lang w:eastAsia="zh-CN"/>
        </w:rPr>
        <w:t>磋商供应商</w:t>
      </w:r>
      <w:r>
        <w:rPr>
          <w:rFonts w:hint="eastAsia" w:ascii="宋体" w:hAnsi="宋体" w:cs="宋体"/>
          <w:color w:val="auto"/>
          <w:sz w:val="21"/>
          <w:szCs w:val="21"/>
          <w:highlight w:val="none"/>
        </w:rPr>
        <w:t>的</w:t>
      </w:r>
      <w:r>
        <w:rPr>
          <w:rFonts w:hint="eastAsia" w:ascii="宋体" w:hAnsi="宋体" w:cs="宋体"/>
          <w:color w:val="auto"/>
          <w:sz w:val="21"/>
          <w:szCs w:val="21"/>
          <w:highlight w:val="none"/>
          <w:lang w:eastAsia="zh-CN"/>
        </w:rPr>
        <w:t>磋商响应文件</w:t>
      </w:r>
      <w:r>
        <w:rPr>
          <w:rFonts w:hint="eastAsia" w:ascii="宋体" w:hAnsi="宋体" w:cs="宋体"/>
          <w:color w:val="auto"/>
          <w:sz w:val="21"/>
          <w:szCs w:val="21"/>
          <w:highlight w:val="none"/>
        </w:rPr>
        <w:t>中承诺的投标有效期少于</w:t>
      </w:r>
      <w:r>
        <w:rPr>
          <w:rFonts w:hint="eastAsia" w:ascii="宋体" w:hAnsi="宋体" w:cs="宋体"/>
          <w:color w:val="auto"/>
          <w:sz w:val="21"/>
          <w:szCs w:val="21"/>
          <w:highlight w:val="none"/>
          <w:lang w:eastAsia="zh-CN"/>
        </w:rPr>
        <w:t>磋商文件</w:t>
      </w:r>
      <w:r>
        <w:rPr>
          <w:rFonts w:hint="eastAsia" w:ascii="宋体" w:hAnsi="宋体" w:cs="宋体"/>
          <w:color w:val="auto"/>
          <w:sz w:val="21"/>
          <w:szCs w:val="21"/>
          <w:highlight w:val="none"/>
        </w:rPr>
        <w:t>中载明的投标有效期的，</w:t>
      </w:r>
      <w:r>
        <w:rPr>
          <w:rFonts w:hint="eastAsia" w:ascii="宋体" w:hAnsi="宋体" w:cs="宋体"/>
          <w:color w:val="auto"/>
          <w:sz w:val="21"/>
          <w:szCs w:val="21"/>
          <w:highlight w:val="none"/>
          <w:lang w:eastAsia="zh-CN"/>
        </w:rPr>
        <w:t>响应无效</w:t>
      </w:r>
      <w:r>
        <w:rPr>
          <w:rFonts w:hint="eastAsia" w:ascii="宋体" w:hAnsi="宋体" w:cs="宋体"/>
          <w:color w:val="auto"/>
          <w:sz w:val="21"/>
          <w:szCs w:val="21"/>
          <w:highlight w:val="none"/>
        </w:rPr>
        <w:t>。</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磋商响应文件</w:t>
      </w:r>
      <w:r>
        <w:rPr>
          <w:rFonts w:hint="eastAsia" w:ascii="宋体" w:hAnsi="宋体" w:cs="宋体"/>
          <w:color w:val="auto"/>
          <w:sz w:val="21"/>
          <w:szCs w:val="21"/>
          <w:highlight w:val="none"/>
        </w:rPr>
        <w:t>合格投递后，自投标截止日期起，在投标有效期内有效。</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bCs/>
          <w:color w:val="auto"/>
          <w:sz w:val="21"/>
          <w:szCs w:val="21"/>
          <w:highlight w:val="none"/>
        </w:rPr>
      </w:pPr>
      <w:r>
        <w:rPr>
          <w:rFonts w:hint="eastAsia" w:ascii="宋体" w:hAnsi="宋体" w:cs="宋体"/>
          <w:color w:val="auto"/>
          <w:sz w:val="21"/>
          <w:szCs w:val="21"/>
          <w:highlight w:val="none"/>
        </w:rPr>
        <w:t>在原定投标有效期满之前，如果出现特殊情况，</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可以以书面形式通知</w:t>
      </w:r>
      <w:r>
        <w:rPr>
          <w:rFonts w:hint="eastAsia" w:ascii="宋体" w:hAnsi="宋体" w:cs="宋体"/>
          <w:color w:val="auto"/>
          <w:sz w:val="21"/>
          <w:szCs w:val="21"/>
          <w:highlight w:val="none"/>
          <w:lang w:eastAsia="zh-CN"/>
        </w:rPr>
        <w:t>磋商供应商</w:t>
      </w:r>
      <w:r>
        <w:rPr>
          <w:rFonts w:hint="eastAsia" w:ascii="宋体" w:hAnsi="宋体" w:cs="宋体"/>
          <w:color w:val="auto"/>
          <w:sz w:val="21"/>
          <w:szCs w:val="21"/>
          <w:highlight w:val="none"/>
        </w:rPr>
        <w:t>延长投标有效期。</w:t>
      </w:r>
      <w:r>
        <w:rPr>
          <w:rFonts w:hint="eastAsia" w:ascii="宋体" w:hAnsi="宋体" w:cs="宋体"/>
          <w:b/>
          <w:bCs/>
          <w:color w:val="auto"/>
          <w:sz w:val="21"/>
          <w:szCs w:val="21"/>
          <w:highlight w:val="none"/>
        </w:rPr>
        <w:t>▲</w:t>
      </w:r>
      <w:r>
        <w:rPr>
          <w:rFonts w:hint="eastAsia" w:ascii="宋体" w:hAnsi="宋体" w:cs="宋体"/>
          <w:b/>
          <w:bCs/>
          <w:color w:val="auto"/>
          <w:sz w:val="21"/>
          <w:szCs w:val="21"/>
          <w:highlight w:val="none"/>
          <w:lang w:eastAsia="zh-CN"/>
        </w:rPr>
        <w:t>磋商供应商</w:t>
      </w:r>
      <w:r>
        <w:rPr>
          <w:rFonts w:hint="eastAsia" w:ascii="宋体" w:hAnsi="宋体" w:cs="宋体"/>
          <w:b/>
          <w:bCs/>
          <w:color w:val="auto"/>
          <w:sz w:val="21"/>
          <w:szCs w:val="21"/>
          <w:highlight w:val="none"/>
        </w:rPr>
        <w:t>同意延长的，不得要求或被允许修改其</w:t>
      </w:r>
      <w:r>
        <w:rPr>
          <w:rFonts w:hint="eastAsia" w:ascii="宋体" w:hAnsi="宋体" w:cs="宋体"/>
          <w:b/>
          <w:bCs/>
          <w:color w:val="auto"/>
          <w:sz w:val="21"/>
          <w:szCs w:val="21"/>
          <w:highlight w:val="none"/>
          <w:lang w:eastAsia="zh-CN"/>
        </w:rPr>
        <w:t>磋商响应文件</w:t>
      </w:r>
      <w:r>
        <w:rPr>
          <w:rFonts w:hint="eastAsia" w:ascii="宋体" w:hAnsi="宋体" w:cs="宋体"/>
          <w:b/>
          <w:bCs/>
          <w:color w:val="auto"/>
          <w:sz w:val="21"/>
          <w:szCs w:val="21"/>
          <w:highlight w:val="none"/>
        </w:rPr>
        <w:t>，</w:t>
      </w:r>
      <w:r>
        <w:rPr>
          <w:rFonts w:hint="eastAsia" w:ascii="宋体" w:hAnsi="宋体" w:cs="宋体"/>
          <w:b/>
          <w:bCs/>
          <w:color w:val="auto"/>
          <w:sz w:val="21"/>
          <w:szCs w:val="21"/>
          <w:highlight w:val="none"/>
          <w:lang w:eastAsia="zh-CN"/>
        </w:rPr>
        <w:t>磋商供应商</w:t>
      </w:r>
      <w:r>
        <w:rPr>
          <w:rFonts w:hint="eastAsia" w:ascii="宋体" w:hAnsi="宋体" w:cs="宋体"/>
          <w:b/>
          <w:bCs/>
          <w:color w:val="auto"/>
          <w:sz w:val="21"/>
          <w:szCs w:val="21"/>
          <w:highlight w:val="none"/>
        </w:rPr>
        <w:t>拒绝延长的，其</w:t>
      </w:r>
      <w:r>
        <w:rPr>
          <w:rFonts w:hint="eastAsia" w:ascii="宋体" w:hAnsi="宋体" w:cs="宋体"/>
          <w:b/>
          <w:bCs/>
          <w:color w:val="auto"/>
          <w:sz w:val="21"/>
          <w:szCs w:val="21"/>
          <w:highlight w:val="none"/>
          <w:lang w:eastAsia="zh-CN"/>
        </w:rPr>
        <w:t>响应无效</w:t>
      </w:r>
      <w:r>
        <w:rPr>
          <w:rFonts w:hint="eastAsia" w:ascii="宋体" w:hAnsi="宋体" w:cs="宋体"/>
          <w:b/>
          <w:bCs/>
          <w:color w:val="auto"/>
          <w:sz w:val="21"/>
          <w:szCs w:val="21"/>
          <w:highlight w:val="none"/>
        </w:rPr>
        <w:t>。</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本政府采购项目不允许转包。</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备份响应文件</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rPr>
      </w:pPr>
      <w:r>
        <w:rPr>
          <w:rFonts w:hint="eastAsia" w:ascii="宋体" w:hAnsi="宋体" w:eastAsia="宋体" w:cs="宋体"/>
          <w:b/>
          <w:bCs/>
          <w:color w:val="auto"/>
          <w:sz w:val="21"/>
          <w:szCs w:val="21"/>
          <w:highlight w:val="none"/>
        </w:rPr>
        <w:t>供应商准备“电子加密响应文件”在线上传递交一份。供应商应按政采云平台供应商项目采购-电子招投标操作指南及本磋商文件要求制作。“备份响应文件”：</w:t>
      </w:r>
      <w:r>
        <w:rPr>
          <w:rFonts w:hint="eastAsia" w:ascii="宋体" w:hAnsi="宋体" w:eastAsia="宋体" w:cs="宋体"/>
          <w:b/>
          <w:bCs/>
          <w:color w:val="auto"/>
          <w:sz w:val="21"/>
          <w:szCs w:val="21"/>
          <w:highlight w:val="none"/>
          <w:lang w:val="en-US" w:eastAsia="zh-CN"/>
        </w:rPr>
        <w:t>提交磋商响应文件</w:t>
      </w:r>
      <w:r>
        <w:rPr>
          <w:rFonts w:hint="eastAsia" w:ascii="宋体" w:hAnsi="宋体" w:eastAsia="宋体" w:cs="宋体"/>
          <w:b/>
          <w:bCs/>
          <w:color w:val="auto"/>
          <w:sz w:val="21"/>
          <w:szCs w:val="21"/>
          <w:highlight w:val="none"/>
        </w:rPr>
        <w:t>截止时间前以压缩文件形式加密发送至采购代理机构邮箱，并在接到在线解密通知后30分钟内发送压缩文件密码至采购代理机构邮箱（邮箱号码：</w:t>
      </w:r>
      <w:r>
        <w:rPr>
          <w:rFonts w:hint="eastAsia" w:ascii="宋体" w:hAnsi="宋体" w:eastAsia="宋体" w:cs="宋体"/>
          <w:b/>
          <w:bCs/>
          <w:color w:val="auto"/>
          <w:sz w:val="21"/>
          <w:szCs w:val="21"/>
          <w:highlight w:val="none"/>
        </w:rPr>
        <w:fldChar w:fldCharType="begin"/>
      </w:r>
      <w:r>
        <w:rPr>
          <w:rFonts w:hint="eastAsia" w:ascii="宋体" w:hAnsi="宋体" w:eastAsia="宋体" w:cs="宋体"/>
          <w:b/>
          <w:bCs/>
          <w:color w:val="auto"/>
          <w:sz w:val="21"/>
          <w:szCs w:val="21"/>
          <w:highlight w:val="none"/>
        </w:rPr>
        <w:instrText xml:space="preserve"> HYPERLINK "mailto:441389513@qq.com）。" </w:instrText>
      </w:r>
      <w:r>
        <w:rPr>
          <w:rFonts w:hint="eastAsia" w:ascii="宋体" w:hAnsi="宋体" w:eastAsia="宋体" w:cs="宋体"/>
          <w:b/>
          <w:bCs/>
          <w:color w:val="auto"/>
          <w:sz w:val="21"/>
          <w:szCs w:val="21"/>
          <w:highlight w:val="none"/>
        </w:rPr>
        <w:fldChar w:fldCharType="separate"/>
      </w:r>
      <w:r>
        <w:rPr>
          <w:rFonts w:hint="eastAsia" w:ascii="宋体" w:hAnsi="宋体" w:cs="宋体"/>
          <w:b/>
          <w:bCs/>
          <w:color w:val="auto"/>
          <w:sz w:val="21"/>
          <w:szCs w:val="21"/>
          <w:highlight w:val="none"/>
          <w:lang w:val="en-US" w:eastAsia="zh-CN"/>
        </w:rPr>
        <w:t>1226242867</w:t>
      </w:r>
      <w:r>
        <w:rPr>
          <w:rFonts w:hint="eastAsia" w:ascii="宋体" w:hAnsi="宋体" w:cs="宋体"/>
          <w:b/>
          <w:bCs/>
          <w:color w:val="auto"/>
          <w:sz w:val="21"/>
          <w:szCs w:val="21"/>
          <w:highlight w:val="none"/>
        </w:rPr>
        <w:t>@qq.com</w:t>
      </w:r>
      <w:r>
        <w:rPr>
          <w:rStyle w:val="25"/>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rPr>
        <w:fldChar w:fldCharType="end"/>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rPr>
      </w:pPr>
      <w:r>
        <w:rPr>
          <w:rFonts w:hint="eastAsia" w:ascii="宋体" w:hAnsi="宋体" w:eastAsia="宋体" w:cs="宋体"/>
          <w:color w:val="auto"/>
          <w:sz w:val="21"/>
          <w:szCs w:val="21"/>
          <w:lang w:val="zh-CN"/>
        </w:rPr>
        <w:t>“备份</w:t>
      </w:r>
      <w:r>
        <w:rPr>
          <w:rFonts w:hint="eastAsia" w:ascii="宋体" w:hAnsi="宋体" w:eastAsia="宋体" w:cs="宋体"/>
          <w:color w:val="auto"/>
          <w:sz w:val="21"/>
          <w:szCs w:val="21"/>
        </w:rPr>
        <w:t>响应文件</w:t>
      </w:r>
      <w:r>
        <w:rPr>
          <w:rFonts w:hint="eastAsia" w:ascii="宋体" w:hAnsi="宋体" w:eastAsia="宋体" w:cs="宋体"/>
          <w:color w:val="auto"/>
          <w:sz w:val="21"/>
          <w:szCs w:val="21"/>
          <w:lang w:val="zh-CN"/>
        </w:rPr>
        <w:t>”是指与“电子加密</w:t>
      </w:r>
      <w:r>
        <w:rPr>
          <w:rFonts w:hint="eastAsia" w:ascii="宋体" w:hAnsi="宋体" w:eastAsia="宋体" w:cs="宋体"/>
          <w:color w:val="auto"/>
          <w:sz w:val="21"/>
          <w:szCs w:val="21"/>
        </w:rPr>
        <w:t>响应文件</w:t>
      </w:r>
      <w:r>
        <w:rPr>
          <w:rFonts w:hint="eastAsia" w:ascii="宋体" w:hAnsi="宋体" w:eastAsia="宋体" w:cs="宋体"/>
          <w:color w:val="auto"/>
          <w:sz w:val="21"/>
          <w:szCs w:val="21"/>
          <w:lang w:val="zh-CN"/>
        </w:rPr>
        <w:t>”同时生成的数据电文形式的电子文件（备份标书），其他方式编制的备份</w:t>
      </w:r>
      <w:r>
        <w:rPr>
          <w:rFonts w:hint="eastAsia" w:ascii="宋体" w:hAnsi="宋体" w:eastAsia="宋体" w:cs="宋体"/>
          <w:color w:val="auto"/>
          <w:sz w:val="21"/>
          <w:szCs w:val="21"/>
        </w:rPr>
        <w:t>响应文件</w:t>
      </w:r>
      <w:r>
        <w:rPr>
          <w:rFonts w:hint="eastAsia" w:ascii="宋体" w:hAnsi="宋体" w:eastAsia="宋体" w:cs="宋体"/>
          <w:color w:val="auto"/>
          <w:sz w:val="21"/>
          <w:szCs w:val="21"/>
          <w:lang w:val="zh-CN"/>
        </w:rPr>
        <w:t>视为无效备份</w:t>
      </w:r>
      <w:r>
        <w:rPr>
          <w:rFonts w:hint="eastAsia" w:ascii="宋体" w:hAnsi="宋体" w:eastAsia="宋体" w:cs="宋体"/>
          <w:color w:val="auto"/>
          <w:sz w:val="21"/>
          <w:szCs w:val="21"/>
        </w:rPr>
        <w:t>响应文件</w:t>
      </w:r>
      <w:r>
        <w:rPr>
          <w:rFonts w:hint="eastAsia" w:ascii="宋体" w:hAnsi="宋体" w:eastAsia="宋体" w:cs="宋体"/>
          <w:color w:val="auto"/>
          <w:sz w:val="21"/>
          <w:szCs w:val="21"/>
          <w:lang w:val="zh-CN"/>
        </w:rPr>
        <w:t>。</w:t>
      </w:r>
      <w:r>
        <w:rPr>
          <w:rFonts w:hint="eastAsia" w:ascii="宋体" w:hAnsi="宋体" w:eastAsia="宋体" w:cs="宋体"/>
          <w:b/>
          <w:bCs/>
          <w:color w:val="auto"/>
          <w:sz w:val="21"/>
          <w:szCs w:val="21"/>
          <w:u w:val="wave"/>
          <w:lang w:val="zh-CN"/>
        </w:rPr>
        <w:t>“备份</w:t>
      </w:r>
      <w:r>
        <w:rPr>
          <w:rFonts w:hint="eastAsia" w:ascii="宋体" w:hAnsi="宋体" w:eastAsia="宋体" w:cs="宋体"/>
          <w:b/>
          <w:bCs/>
          <w:color w:val="auto"/>
          <w:sz w:val="21"/>
          <w:szCs w:val="21"/>
          <w:u w:val="wave"/>
        </w:rPr>
        <w:t>响应文件</w:t>
      </w:r>
      <w:r>
        <w:rPr>
          <w:rFonts w:hint="eastAsia" w:ascii="宋体" w:hAnsi="宋体" w:eastAsia="宋体" w:cs="宋体"/>
          <w:b/>
          <w:bCs/>
          <w:color w:val="auto"/>
          <w:sz w:val="21"/>
          <w:szCs w:val="21"/>
          <w:u w:val="wave"/>
          <w:lang w:val="zh-CN"/>
        </w:rPr>
        <w:t>”</w:t>
      </w:r>
      <w:r>
        <w:rPr>
          <w:rFonts w:hint="eastAsia" w:ascii="宋体" w:hAnsi="宋体" w:eastAsia="宋体" w:cs="宋体"/>
          <w:b/>
          <w:bCs/>
          <w:color w:val="auto"/>
          <w:sz w:val="21"/>
          <w:szCs w:val="21"/>
          <w:u w:val="wave"/>
        </w:rPr>
        <w:t>文件格式为（.bfbs）。</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rPr>
        <w:t>如供应商多次发送邮件，以最近时间收到的备份响应文件为准。</w:t>
      </w:r>
    </w:p>
    <w:p>
      <w:pPr>
        <w:pStyle w:val="3"/>
        <w:pageBreakBefore w:val="0"/>
        <w:kinsoku/>
        <w:wordWrap/>
        <w:overflowPunct/>
        <w:topLinePunct w:val="0"/>
        <w:bidi w:val="0"/>
        <w:spacing w:beforeAutospacing="0" w:line="400" w:lineRule="atLeast"/>
        <w:textAlignment w:val="auto"/>
        <w:rPr>
          <w:rFonts w:hint="eastAsia"/>
          <w:color w:val="auto"/>
          <w:sz w:val="21"/>
          <w:szCs w:val="21"/>
          <w:highlight w:val="none"/>
          <w:lang w:val="en-US" w:eastAsia="zh-CN"/>
        </w:rPr>
      </w:pPr>
    </w:p>
    <w:p>
      <w:pPr>
        <w:adjustRightInd/>
        <w:spacing w:line="360" w:lineRule="auto"/>
        <w:jc w:val="center"/>
        <w:outlineLvl w:val="0"/>
        <w:rPr>
          <w:rFonts w:hint="eastAsia" w:ascii="宋体" w:hAnsi="宋体" w:eastAsia="宋体" w:cs="宋体"/>
          <w:b/>
          <w:color w:val="auto"/>
          <w:sz w:val="32"/>
          <w:szCs w:val="20"/>
          <w:highlight w:val="none"/>
        </w:rPr>
      </w:pPr>
      <w:bookmarkStart w:id="22" w:name="_Toc21441"/>
      <w:r>
        <w:rPr>
          <w:rFonts w:hint="eastAsia" w:ascii="宋体" w:hAnsi="宋体" w:eastAsia="宋体" w:cs="宋体"/>
          <w:b/>
          <w:color w:val="auto"/>
          <w:sz w:val="32"/>
          <w:szCs w:val="20"/>
          <w:highlight w:val="none"/>
        </w:rPr>
        <w:t>四、开标、资格审查与信用信息查询</w:t>
      </w:r>
      <w:bookmarkEnd w:id="22"/>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开标 </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按照</w:t>
      </w:r>
      <w:r>
        <w:rPr>
          <w:rFonts w:hint="eastAsia" w:ascii="宋体" w:hAnsi="宋体" w:cs="宋体"/>
          <w:color w:val="auto"/>
          <w:sz w:val="21"/>
          <w:szCs w:val="21"/>
          <w:highlight w:val="none"/>
          <w:lang w:eastAsia="zh-CN"/>
        </w:rPr>
        <w:t>磋商文件</w:t>
      </w:r>
      <w:r>
        <w:rPr>
          <w:rFonts w:hint="eastAsia" w:ascii="宋体" w:hAnsi="宋体" w:cs="宋体"/>
          <w:color w:val="auto"/>
          <w:sz w:val="21"/>
          <w:szCs w:val="21"/>
          <w:highlight w:val="none"/>
        </w:rPr>
        <w:t>规定的时间通过电子交易平台组织开标，所有</w:t>
      </w:r>
      <w:r>
        <w:rPr>
          <w:rFonts w:hint="eastAsia" w:ascii="宋体" w:hAnsi="宋体" w:cs="宋体"/>
          <w:color w:val="auto"/>
          <w:sz w:val="21"/>
          <w:szCs w:val="21"/>
          <w:highlight w:val="none"/>
          <w:lang w:eastAsia="zh-CN"/>
        </w:rPr>
        <w:t>磋商供应商</w:t>
      </w:r>
      <w:r>
        <w:rPr>
          <w:rFonts w:hint="eastAsia" w:ascii="宋体" w:hAnsi="宋体" w:cs="宋体"/>
          <w:color w:val="auto"/>
          <w:sz w:val="21"/>
          <w:szCs w:val="21"/>
          <w:highlight w:val="none"/>
        </w:rPr>
        <w:t>均应当准时在线参加。</w:t>
      </w:r>
      <w:r>
        <w:rPr>
          <w:rFonts w:hint="eastAsia" w:ascii="宋体" w:hAnsi="宋体" w:cs="宋体"/>
          <w:color w:val="auto"/>
          <w:sz w:val="21"/>
          <w:szCs w:val="21"/>
          <w:highlight w:val="none"/>
          <w:lang w:eastAsia="zh-CN"/>
        </w:rPr>
        <w:t>磋商供应商</w:t>
      </w:r>
      <w:r>
        <w:rPr>
          <w:rFonts w:hint="eastAsia" w:ascii="宋体" w:hAnsi="宋体" w:cs="宋体"/>
          <w:color w:val="auto"/>
          <w:sz w:val="21"/>
          <w:szCs w:val="21"/>
          <w:highlight w:val="none"/>
        </w:rPr>
        <w:t>不足3家的，不得开标。</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开标时，电子交易平台按开标时间自动提取所有</w:t>
      </w:r>
      <w:r>
        <w:rPr>
          <w:rFonts w:hint="eastAsia" w:ascii="宋体" w:hAnsi="宋体" w:cs="宋体"/>
          <w:color w:val="auto"/>
          <w:sz w:val="21"/>
          <w:szCs w:val="21"/>
          <w:highlight w:val="none"/>
          <w:lang w:eastAsia="zh-CN"/>
        </w:rPr>
        <w:t>磋商响应文件</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依托电子交易平台发起开始解密指令，</w:t>
      </w:r>
      <w:r>
        <w:rPr>
          <w:rFonts w:hint="eastAsia" w:ascii="宋体" w:hAnsi="宋体" w:cs="宋体"/>
          <w:color w:val="auto"/>
          <w:sz w:val="21"/>
          <w:szCs w:val="21"/>
          <w:highlight w:val="none"/>
          <w:lang w:eastAsia="zh-CN"/>
        </w:rPr>
        <w:t>磋商供应商</w:t>
      </w:r>
      <w:r>
        <w:rPr>
          <w:rFonts w:hint="eastAsia" w:ascii="宋体" w:hAnsi="宋体" w:cs="宋体"/>
          <w:color w:val="auto"/>
          <w:sz w:val="21"/>
          <w:szCs w:val="21"/>
          <w:highlight w:val="none"/>
        </w:rPr>
        <w:t>按照平台提示和</w:t>
      </w:r>
      <w:r>
        <w:rPr>
          <w:rFonts w:hint="eastAsia" w:ascii="宋体" w:hAnsi="宋体" w:cs="宋体"/>
          <w:color w:val="auto"/>
          <w:sz w:val="21"/>
          <w:szCs w:val="21"/>
          <w:highlight w:val="none"/>
          <w:lang w:eastAsia="zh-CN"/>
        </w:rPr>
        <w:t>磋商文件</w:t>
      </w:r>
      <w:r>
        <w:rPr>
          <w:rFonts w:hint="eastAsia" w:ascii="宋体" w:hAnsi="宋体" w:cs="宋体"/>
          <w:color w:val="auto"/>
          <w:sz w:val="21"/>
          <w:szCs w:val="21"/>
          <w:highlight w:val="none"/>
        </w:rPr>
        <w:t>的规定</w:t>
      </w:r>
      <w:r>
        <w:rPr>
          <w:rFonts w:hint="eastAsia" w:ascii="宋体" w:hAnsi="宋体" w:cs="宋体"/>
          <w:color w:val="auto"/>
          <w:sz w:val="21"/>
          <w:szCs w:val="21"/>
          <w:highlight w:val="none"/>
          <w:lang w:eastAsia="zh-CN"/>
        </w:rPr>
        <w:t>时间内</w:t>
      </w:r>
      <w:r>
        <w:rPr>
          <w:rFonts w:hint="eastAsia" w:ascii="宋体" w:hAnsi="宋体" w:cs="宋体"/>
          <w:color w:val="auto"/>
          <w:sz w:val="21"/>
          <w:szCs w:val="21"/>
          <w:highlight w:val="none"/>
        </w:rPr>
        <w:t>完成在线解密。</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磋商响应文件</w:t>
      </w:r>
      <w:r>
        <w:rPr>
          <w:rFonts w:hint="eastAsia" w:ascii="宋体" w:hAnsi="宋体" w:cs="宋体"/>
          <w:color w:val="auto"/>
          <w:sz w:val="21"/>
          <w:szCs w:val="21"/>
          <w:highlight w:val="none"/>
        </w:rPr>
        <w:t>未按时解密，视为</w:t>
      </w:r>
      <w:r>
        <w:rPr>
          <w:rFonts w:hint="eastAsia" w:ascii="宋体" w:hAnsi="宋体" w:cs="宋体"/>
          <w:color w:val="auto"/>
          <w:sz w:val="21"/>
          <w:szCs w:val="21"/>
          <w:highlight w:val="none"/>
          <w:lang w:eastAsia="zh-CN"/>
        </w:rPr>
        <w:t>磋商响应文件</w:t>
      </w:r>
      <w:r>
        <w:rPr>
          <w:rFonts w:hint="eastAsia" w:ascii="宋体" w:hAnsi="宋体" w:cs="宋体"/>
          <w:color w:val="auto"/>
          <w:sz w:val="21"/>
          <w:szCs w:val="21"/>
          <w:highlight w:val="none"/>
        </w:rPr>
        <w:t>撤回。</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响应文件解密结束后，各供应商签署《政府采购活动现场确认声明书》，并在15分钟内以扫描件方式发送至代理机构邮箱：</w:t>
      </w:r>
      <w:r>
        <w:rPr>
          <w:rFonts w:hint="eastAsia" w:ascii="宋体" w:hAnsi="宋体" w:cs="宋体"/>
          <w:b/>
          <w:bCs/>
          <w:color w:val="auto"/>
          <w:sz w:val="21"/>
          <w:szCs w:val="21"/>
          <w:highlight w:val="none"/>
          <w:lang w:val="en-US" w:eastAsia="zh-CN"/>
        </w:rPr>
        <w:t>1226242867</w:t>
      </w:r>
      <w:r>
        <w:rPr>
          <w:rFonts w:hint="eastAsia" w:ascii="宋体" w:hAnsi="宋体" w:cs="宋体"/>
          <w:b/>
          <w:bCs/>
          <w:color w:val="auto"/>
          <w:sz w:val="21"/>
          <w:szCs w:val="21"/>
          <w:highlight w:val="none"/>
        </w:rPr>
        <w:t>@qq.com；</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资格审查</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磋商小组</w:t>
      </w:r>
      <w:r>
        <w:rPr>
          <w:rFonts w:hint="eastAsia" w:ascii="宋体" w:hAnsi="宋体" w:cs="宋体"/>
          <w:color w:val="auto"/>
          <w:sz w:val="21"/>
          <w:szCs w:val="21"/>
          <w:highlight w:val="none"/>
        </w:rPr>
        <w:t>将依据法律法规和</w:t>
      </w:r>
      <w:r>
        <w:rPr>
          <w:rFonts w:hint="eastAsia" w:ascii="宋体" w:hAnsi="宋体" w:cs="宋体"/>
          <w:color w:val="auto"/>
          <w:sz w:val="21"/>
          <w:szCs w:val="21"/>
          <w:highlight w:val="none"/>
          <w:lang w:eastAsia="zh-CN"/>
        </w:rPr>
        <w:t>磋商文件</w:t>
      </w:r>
      <w:r>
        <w:rPr>
          <w:rFonts w:hint="eastAsia" w:ascii="宋体" w:hAnsi="宋体" w:cs="宋体"/>
          <w:color w:val="auto"/>
          <w:sz w:val="21"/>
          <w:szCs w:val="21"/>
          <w:highlight w:val="none"/>
        </w:rPr>
        <w:t>的规定</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对</w:t>
      </w:r>
      <w:r>
        <w:rPr>
          <w:rFonts w:hint="eastAsia" w:ascii="宋体" w:hAnsi="宋体" w:cs="宋体"/>
          <w:color w:val="auto"/>
          <w:sz w:val="21"/>
          <w:szCs w:val="21"/>
          <w:highlight w:val="none"/>
          <w:lang w:eastAsia="zh-CN"/>
        </w:rPr>
        <w:t>磋商供应商</w:t>
      </w:r>
      <w:r>
        <w:rPr>
          <w:rFonts w:hint="eastAsia" w:ascii="宋体" w:hAnsi="宋体" w:cs="宋体"/>
          <w:color w:val="auto"/>
          <w:sz w:val="21"/>
          <w:szCs w:val="21"/>
          <w:highlight w:val="none"/>
        </w:rPr>
        <w:t>的资格进行审查。</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w:t>
      </w:r>
      <w:r>
        <w:rPr>
          <w:rFonts w:hint="eastAsia" w:ascii="宋体" w:hAnsi="宋体" w:cs="宋体"/>
          <w:b/>
          <w:bCs/>
          <w:color w:val="auto"/>
          <w:sz w:val="21"/>
          <w:szCs w:val="21"/>
          <w:highlight w:val="none"/>
          <w:lang w:eastAsia="zh-CN"/>
        </w:rPr>
        <w:t>磋商供应商</w:t>
      </w:r>
      <w:r>
        <w:rPr>
          <w:rFonts w:hint="eastAsia" w:ascii="宋体" w:hAnsi="宋体" w:cs="宋体"/>
          <w:b/>
          <w:bCs/>
          <w:color w:val="auto"/>
          <w:sz w:val="21"/>
          <w:szCs w:val="21"/>
          <w:highlight w:val="none"/>
        </w:rPr>
        <w:t>未按照</w:t>
      </w:r>
      <w:r>
        <w:rPr>
          <w:rFonts w:hint="eastAsia" w:ascii="宋体" w:hAnsi="宋体" w:cs="宋体"/>
          <w:b/>
          <w:bCs/>
          <w:color w:val="auto"/>
          <w:sz w:val="21"/>
          <w:szCs w:val="21"/>
          <w:highlight w:val="none"/>
          <w:lang w:eastAsia="zh-CN"/>
        </w:rPr>
        <w:t>磋商文件</w:t>
      </w:r>
      <w:r>
        <w:rPr>
          <w:rFonts w:hint="eastAsia" w:ascii="宋体" w:hAnsi="宋体" w:cs="宋体"/>
          <w:b/>
          <w:bCs/>
          <w:color w:val="auto"/>
          <w:sz w:val="21"/>
          <w:szCs w:val="21"/>
          <w:highlight w:val="none"/>
        </w:rPr>
        <w:t>要求提供与资格条件相应的有效资格证明材料的，视为</w:t>
      </w:r>
      <w:r>
        <w:rPr>
          <w:rFonts w:hint="eastAsia" w:ascii="宋体" w:hAnsi="宋体" w:cs="宋体"/>
          <w:b/>
          <w:bCs/>
          <w:color w:val="auto"/>
          <w:sz w:val="21"/>
          <w:szCs w:val="21"/>
          <w:highlight w:val="none"/>
          <w:lang w:eastAsia="zh-CN"/>
        </w:rPr>
        <w:t>磋商供应商</w:t>
      </w:r>
      <w:r>
        <w:rPr>
          <w:rFonts w:hint="eastAsia" w:ascii="宋体" w:hAnsi="宋体" w:cs="宋体"/>
          <w:b/>
          <w:bCs/>
          <w:color w:val="auto"/>
          <w:sz w:val="21"/>
          <w:szCs w:val="21"/>
          <w:highlight w:val="none"/>
        </w:rPr>
        <w:t>不具备</w:t>
      </w:r>
      <w:r>
        <w:rPr>
          <w:rFonts w:hint="eastAsia" w:ascii="宋体" w:hAnsi="宋体" w:cs="宋体"/>
          <w:b/>
          <w:bCs/>
          <w:color w:val="auto"/>
          <w:sz w:val="21"/>
          <w:szCs w:val="21"/>
          <w:highlight w:val="none"/>
          <w:lang w:eastAsia="zh-CN"/>
        </w:rPr>
        <w:t>磋商文件</w:t>
      </w:r>
      <w:r>
        <w:rPr>
          <w:rFonts w:hint="eastAsia" w:ascii="宋体" w:hAnsi="宋体" w:cs="宋体"/>
          <w:b/>
          <w:bCs/>
          <w:color w:val="auto"/>
          <w:sz w:val="21"/>
          <w:szCs w:val="21"/>
          <w:highlight w:val="none"/>
        </w:rPr>
        <w:t>中规定的资格要求，其</w:t>
      </w:r>
      <w:r>
        <w:rPr>
          <w:rFonts w:hint="eastAsia" w:ascii="宋体" w:hAnsi="宋体" w:cs="宋体"/>
          <w:b/>
          <w:bCs/>
          <w:color w:val="auto"/>
          <w:sz w:val="21"/>
          <w:szCs w:val="21"/>
          <w:highlight w:val="none"/>
          <w:lang w:eastAsia="zh-CN"/>
        </w:rPr>
        <w:t>响应无效</w:t>
      </w:r>
      <w:r>
        <w:rPr>
          <w:rFonts w:hint="eastAsia" w:ascii="宋体" w:hAnsi="宋体" w:cs="宋体"/>
          <w:b/>
          <w:bCs/>
          <w:color w:val="auto"/>
          <w:sz w:val="21"/>
          <w:szCs w:val="21"/>
          <w:highlight w:val="none"/>
        </w:rPr>
        <w:t>。</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对未通过资格审查的</w:t>
      </w:r>
      <w:r>
        <w:rPr>
          <w:rFonts w:hint="eastAsia" w:ascii="宋体" w:hAnsi="宋体" w:cs="宋体"/>
          <w:color w:val="auto"/>
          <w:sz w:val="21"/>
          <w:szCs w:val="21"/>
          <w:highlight w:val="none"/>
          <w:lang w:eastAsia="zh-CN"/>
        </w:rPr>
        <w:t>磋商供应商</w:t>
      </w:r>
      <w:r>
        <w:rPr>
          <w:rFonts w:hint="eastAsia" w:ascii="宋体" w:hAnsi="宋体" w:cs="宋体"/>
          <w:color w:val="auto"/>
          <w:sz w:val="21"/>
          <w:szCs w:val="21"/>
          <w:highlight w:val="none"/>
        </w:rPr>
        <w:t>，采购人或</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告知其未通过的原因。</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合格</w:t>
      </w:r>
      <w:r>
        <w:rPr>
          <w:rFonts w:hint="eastAsia" w:ascii="宋体" w:hAnsi="宋体" w:cs="宋体"/>
          <w:color w:val="auto"/>
          <w:sz w:val="21"/>
          <w:szCs w:val="21"/>
          <w:highlight w:val="none"/>
          <w:lang w:eastAsia="zh-CN"/>
        </w:rPr>
        <w:t>磋商供应商</w:t>
      </w:r>
      <w:r>
        <w:rPr>
          <w:rFonts w:hint="eastAsia" w:ascii="宋体" w:hAnsi="宋体" w:cs="宋体"/>
          <w:color w:val="auto"/>
          <w:sz w:val="21"/>
          <w:szCs w:val="21"/>
          <w:highlight w:val="none"/>
        </w:rPr>
        <w:t>不足3家的，不</w:t>
      </w:r>
      <w:r>
        <w:rPr>
          <w:rFonts w:hint="eastAsia" w:ascii="宋体" w:hAnsi="宋体" w:cs="宋体"/>
          <w:color w:val="auto"/>
          <w:sz w:val="21"/>
          <w:szCs w:val="21"/>
          <w:highlight w:val="none"/>
          <w:lang w:val="en-US" w:eastAsia="zh-CN"/>
        </w:rPr>
        <w:t>得</w:t>
      </w:r>
      <w:r>
        <w:rPr>
          <w:rFonts w:hint="eastAsia" w:ascii="宋体" w:hAnsi="宋体" w:cs="宋体"/>
          <w:color w:val="auto"/>
          <w:sz w:val="21"/>
          <w:szCs w:val="21"/>
          <w:highlight w:val="none"/>
        </w:rPr>
        <w:t>评标。</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▲单位负责人（指法定代表人或者法律、行政法规规定代表单位行使职权的主要负责人）为同一人或者存在直接控股、管理关系的不同</w:t>
      </w:r>
      <w:r>
        <w:rPr>
          <w:rFonts w:hint="eastAsia" w:ascii="宋体" w:hAnsi="宋体" w:cs="宋体"/>
          <w:b/>
          <w:bCs/>
          <w:color w:val="auto"/>
          <w:sz w:val="21"/>
          <w:szCs w:val="21"/>
          <w:highlight w:val="none"/>
          <w:lang w:eastAsia="zh-CN"/>
        </w:rPr>
        <w:t>磋商供应商</w:t>
      </w:r>
      <w:r>
        <w:rPr>
          <w:rFonts w:hint="eastAsia" w:ascii="宋体" w:hAnsi="宋体" w:cs="宋体"/>
          <w:b/>
          <w:bCs/>
          <w:color w:val="auto"/>
          <w:sz w:val="21"/>
          <w:szCs w:val="21"/>
          <w:highlight w:val="none"/>
        </w:rPr>
        <w:t>不得分别参加同一合同项下的采购活动。</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▲为本项目提供过整体设计、规范编制或者项目管理、监理、检测等服务的</w:t>
      </w:r>
      <w:r>
        <w:rPr>
          <w:rFonts w:hint="eastAsia" w:ascii="宋体" w:hAnsi="宋体" w:cs="宋体"/>
          <w:b/>
          <w:bCs/>
          <w:color w:val="auto"/>
          <w:sz w:val="21"/>
          <w:szCs w:val="21"/>
          <w:highlight w:val="none"/>
          <w:lang w:eastAsia="zh-CN"/>
        </w:rPr>
        <w:t>磋商供应商</w:t>
      </w:r>
      <w:r>
        <w:rPr>
          <w:rFonts w:hint="eastAsia" w:ascii="宋体" w:hAnsi="宋体" w:cs="宋体"/>
          <w:b/>
          <w:bCs/>
          <w:color w:val="auto"/>
          <w:sz w:val="21"/>
          <w:szCs w:val="21"/>
          <w:highlight w:val="none"/>
        </w:rPr>
        <w:t>，不得再参加该采购项目的其他采购活动。</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rPr>
        <w:t>▲以联合体形式参加政府采购活动的，联合体各方不得再单独参加或者与其他</w:t>
      </w:r>
      <w:r>
        <w:rPr>
          <w:rFonts w:hint="eastAsia" w:ascii="宋体" w:hAnsi="宋体" w:cs="宋体"/>
          <w:b/>
          <w:bCs/>
          <w:color w:val="auto"/>
          <w:sz w:val="21"/>
          <w:szCs w:val="21"/>
          <w:highlight w:val="none"/>
          <w:lang w:eastAsia="zh-CN"/>
        </w:rPr>
        <w:t>磋商供应商</w:t>
      </w:r>
      <w:r>
        <w:rPr>
          <w:rFonts w:hint="eastAsia" w:ascii="宋体" w:hAnsi="宋体" w:cs="宋体"/>
          <w:b/>
          <w:bCs/>
          <w:color w:val="auto"/>
          <w:sz w:val="21"/>
          <w:szCs w:val="21"/>
          <w:highlight w:val="none"/>
        </w:rPr>
        <w:t>另外组成联合体参加同一合同项下的政府采购活动。</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信用信息查询</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信用信息查询渠道及截止时间：</w:t>
      </w:r>
      <w:r>
        <w:rPr>
          <w:rFonts w:hint="eastAsia" w:ascii="宋体" w:hAnsi="宋体" w:cs="宋体"/>
          <w:color w:val="auto"/>
          <w:sz w:val="21"/>
          <w:szCs w:val="21"/>
          <w:highlight w:val="none"/>
          <w:lang w:val="en-US" w:eastAsia="zh-CN"/>
        </w:rPr>
        <w:t>磋商小组</w:t>
      </w:r>
      <w:r>
        <w:rPr>
          <w:rFonts w:hint="eastAsia" w:ascii="宋体" w:hAnsi="宋体" w:cs="宋体"/>
          <w:color w:val="auto"/>
          <w:sz w:val="21"/>
          <w:szCs w:val="21"/>
          <w:highlight w:val="none"/>
          <w:lang w:eastAsia="zh-CN"/>
        </w:rPr>
        <w:t>将在资格审查时通过“信用中国”网站(www.creditchina.gov.cn)、中国政府采购网(www.ccgp.gov.cn)渠道查询磋商供应商接收资格审查时的信用记录。</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信用信息查询记录和证据留存的具体方式：现场查询的磋商供应商的信用记录、查询结果经确认后将与采购文件一起存档。</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信用信息的使用规则：经查询列入失信被执行人名单、重大税收违法案件当事人名单、政府采购严重违法失信行为记录名单的磋商供应商将被拒绝参与政府采购活动。</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eastAsia="宋体" w:cs="宋体"/>
          <w:color w:val="auto"/>
          <w:kern w:val="0"/>
          <w:sz w:val="21"/>
          <w:szCs w:val="21"/>
          <w:highlight w:val="none"/>
        </w:rPr>
      </w:pPr>
      <w:r>
        <w:rPr>
          <w:rFonts w:hint="eastAsia" w:ascii="宋体" w:hAnsi="宋体" w:cs="宋体"/>
          <w:color w:val="auto"/>
          <w:sz w:val="21"/>
          <w:szCs w:val="21"/>
          <w:highlight w:val="none"/>
          <w:lang w:eastAsia="zh-CN"/>
        </w:rPr>
        <w:t>联合体信用信息查询：两个以上的自然人、法人或者其他组织组成一个联合体，以一个供应商的身份共同参加政府采购活动的，对所有联合体成员进行信用记录查询，联合体成员存在不良信用记录的，视同联合体存在不良信用记录。</w:t>
      </w:r>
    </w:p>
    <w:p>
      <w:pPr>
        <w:adjustRightInd/>
        <w:spacing w:line="360" w:lineRule="auto"/>
        <w:jc w:val="center"/>
        <w:outlineLvl w:val="0"/>
        <w:rPr>
          <w:rFonts w:hint="eastAsia" w:ascii="宋体" w:hAnsi="宋体" w:eastAsia="宋体" w:cs="宋体"/>
          <w:b/>
          <w:color w:val="auto"/>
          <w:sz w:val="32"/>
          <w:szCs w:val="20"/>
          <w:highlight w:val="none"/>
        </w:rPr>
      </w:pPr>
      <w:bookmarkStart w:id="23" w:name="_Toc29139"/>
      <w:bookmarkStart w:id="24" w:name="_Toc29936"/>
      <w:r>
        <w:rPr>
          <w:rFonts w:hint="eastAsia" w:ascii="宋体" w:hAnsi="宋体" w:eastAsia="宋体" w:cs="宋体"/>
          <w:b/>
          <w:color w:val="auto"/>
          <w:sz w:val="32"/>
          <w:szCs w:val="20"/>
          <w:highlight w:val="none"/>
        </w:rPr>
        <w:t>五、评标</w:t>
      </w:r>
      <w:bookmarkEnd w:id="23"/>
      <w:bookmarkEnd w:id="24"/>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eastAsia="宋体" w:cs="宋体"/>
          <w:b/>
          <w:color w:val="auto"/>
          <w:sz w:val="21"/>
          <w:szCs w:val="21"/>
          <w:highlight w:val="none"/>
          <w:lang w:val="en-US" w:eastAsia="zh-CN"/>
        </w:rPr>
      </w:pPr>
      <w:bookmarkStart w:id="25" w:name="_Toc91899903"/>
      <w:r>
        <w:rPr>
          <w:rFonts w:hint="eastAsia" w:ascii="宋体" w:hAnsi="宋体" w:eastAsia="宋体" w:cs="宋体"/>
          <w:b/>
          <w:color w:val="auto"/>
          <w:sz w:val="21"/>
          <w:szCs w:val="21"/>
          <w:highlight w:val="none"/>
          <w:lang w:val="en-US" w:eastAsia="zh-CN"/>
        </w:rPr>
        <w:t>磋商小组</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磋商小组组成：</w:t>
      </w:r>
      <w:r>
        <w:rPr>
          <w:rFonts w:hint="eastAsia" w:ascii="宋体" w:hAnsi="宋体" w:cs="宋体"/>
          <w:color w:val="auto"/>
          <w:sz w:val="21"/>
          <w:szCs w:val="21"/>
          <w:highlight w:val="none"/>
          <w:lang w:eastAsia="zh-CN"/>
        </w:rPr>
        <w:t xml:space="preserve">磋商小组由采购人代表和评审专家组成，成员人数为 </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含</w:t>
      </w:r>
      <w:r>
        <w:rPr>
          <w:rFonts w:hint="eastAsia" w:ascii="宋体" w:hAnsi="宋体" w:cs="宋体"/>
          <w:color w:val="auto"/>
          <w:sz w:val="21"/>
          <w:szCs w:val="21"/>
          <w:highlight w:val="none"/>
          <w:lang w:eastAsia="zh-CN"/>
        </w:rPr>
        <w:t>）人以上单数，其中评审专家不得少于成员总数的三分之二。</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磋商小组负责具体评标事务，并独立履行下列职责：</w:t>
      </w:r>
    </w:p>
    <w:p>
      <w:pPr>
        <w:pageBreakBefore w:val="0"/>
        <w:numPr>
          <w:ilvl w:val="0"/>
          <w:numId w:val="19"/>
        </w:numPr>
        <w:kinsoku/>
        <w:wordWrap/>
        <w:overflowPunct/>
        <w:topLinePunct w:val="0"/>
        <w:bidi w:val="0"/>
        <w:spacing w:beforeAutospacing="0" w:line="400" w:lineRule="atLeast"/>
        <w:ind w:left="425" w:leftChars="0" w:hanging="5" w:firstLine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审查、评价</w:t>
      </w:r>
      <w:r>
        <w:rPr>
          <w:rFonts w:hint="eastAsia" w:ascii="宋体" w:hAnsi="宋体" w:eastAsia="宋体" w:cs="宋体"/>
          <w:bCs/>
          <w:color w:val="auto"/>
          <w:sz w:val="21"/>
          <w:szCs w:val="21"/>
          <w:highlight w:val="none"/>
          <w:lang w:eastAsia="zh-CN"/>
        </w:rPr>
        <w:t>磋商响应文件</w:t>
      </w:r>
      <w:r>
        <w:rPr>
          <w:rFonts w:hint="eastAsia" w:ascii="宋体" w:hAnsi="宋体" w:eastAsia="宋体" w:cs="宋体"/>
          <w:bCs/>
          <w:color w:val="auto"/>
          <w:sz w:val="21"/>
          <w:szCs w:val="21"/>
          <w:highlight w:val="none"/>
        </w:rPr>
        <w:t>是否符合</w:t>
      </w:r>
      <w:r>
        <w:rPr>
          <w:rFonts w:hint="eastAsia" w:ascii="宋体" w:hAnsi="宋体" w:eastAsia="宋体" w:cs="宋体"/>
          <w:bCs/>
          <w:color w:val="auto"/>
          <w:sz w:val="21"/>
          <w:szCs w:val="21"/>
          <w:highlight w:val="none"/>
          <w:lang w:eastAsia="zh-CN"/>
        </w:rPr>
        <w:t>磋商文件</w:t>
      </w:r>
      <w:r>
        <w:rPr>
          <w:rFonts w:hint="eastAsia" w:ascii="宋体" w:hAnsi="宋体" w:eastAsia="宋体" w:cs="宋体"/>
          <w:bCs/>
          <w:color w:val="auto"/>
          <w:sz w:val="21"/>
          <w:szCs w:val="21"/>
          <w:highlight w:val="none"/>
        </w:rPr>
        <w:t>的商务、技术等实质性要求；</w:t>
      </w:r>
    </w:p>
    <w:p>
      <w:pPr>
        <w:pageBreakBefore w:val="0"/>
        <w:numPr>
          <w:ilvl w:val="0"/>
          <w:numId w:val="19"/>
        </w:numPr>
        <w:kinsoku/>
        <w:wordWrap/>
        <w:overflowPunct/>
        <w:topLinePunct w:val="0"/>
        <w:bidi w:val="0"/>
        <w:spacing w:beforeAutospacing="0" w:line="400" w:lineRule="atLeast"/>
        <w:ind w:left="425" w:leftChars="0" w:hanging="5" w:firstLine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要求</w:t>
      </w:r>
      <w:r>
        <w:rPr>
          <w:rFonts w:hint="eastAsia" w:ascii="宋体" w:hAnsi="宋体" w:eastAsia="宋体" w:cs="宋体"/>
          <w:bCs/>
          <w:color w:val="auto"/>
          <w:sz w:val="21"/>
          <w:szCs w:val="21"/>
          <w:highlight w:val="none"/>
          <w:lang w:eastAsia="zh-CN"/>
        </w:rPr>
        <w:t>磋商供应商</w:t>
      </w:r>
      <w:r>
        <w:rPr>
          <w:rFonts w:hint="eastAsia" w:ascii="宋体" w:hAnsi="宋体" w:eastAsia="宋体" w:cs="宋体"/>
          <w:bCs/>
          <w:color w:val="auto"/>
          <w:sz w:val="21"/>
          <w:szCs w:val="21"/>
          <w:highlight w:val="none"/>
        </w:rPr>
        <w:t>对</w:t>
      </w:r>
      <w:r>
        <w:rPr>
          <w:rFonts w:hint="eastAsia" w:ascii="宋体" w:hAnsi="宋体" w:eastAsia="宋体" w:cs="宋体"/>
          <w:bCs/>
          <w:color w:val="auto"/>
          <w:sz w:val="21"/>
          <w:szCs w:val="21"/>
          <w:highlight w:val="none"/>
          <w:lang w:eastAsia="zh-CN"/>
        </w:rPr>
        <w:t>磋商响应文件</w:t>
      </w:r>
      <w:r>
        <w:rPr>
          <w:rFonts w:hint="eastAsia" w:ascii="宋体" w:hAnsi="宋体" w:eastAsia="宋体" w:cs="宋体"/>
          <w:bCs/>
          <w:color w:val="auto"/>
          <w:sz w:val="21"/>
          <w:szCs w:val="21"/>
          <w:highlight w:val="none"/>
        </w:rPr>
        <w:t>有关事项作出澄清或者说明；</w:t>
      </w:r>
    </w:p>
    <w:p>
      <w:pPr>
        <w:pageBreakBefore w:val="0"/>
        <w:numPr>
          <w:ilvl w:val="0"/>
          <w:numId w:val="19"/>
        </w:numPr>
        <w:kinsoku/>
        <w:wordWrap/>
        <w:overflowPunct/>
        <w:topLinePunct w:val="0"/>
        <w:bidi w:val="0"/>
        <w:spacing w:beforeAutospacing="0" w:line="400" w:lineRule="atLeast"/>
        <w:ind w:left="425" w:leftChars="0" w:hanging="5" w:firstLine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w:t>
      </w:r>
      <w:r>
        <w:rPr>
          <w:rFonts w:hint="eastAsia" w:ascii="宋体" w:hAnsi="宋体" w:eastAsia="宋体" w:cs="宋体"/>
          <w:bCs/>
          <w:color w:val="auto"/>
          <w:sz w:val="21"/>
          <w:szCs w:val="21"/>
          <w:highlight w:val="none"/>
          <w:lang w:eastAsia="zh-CN"/>
        </w:rPr>
        <w:t>磋商响应文件</w:t>
      </w:r>
      <w:r>
        <w:rPr>
          <w:rFonts w:hint="eastAsia" w:ascii="宋体" w:hAnsi="宋体" w:eastAsia="宋体" w:cs="宋体"/>
          <w:bCs/>
          <w:color w:val="auto"/>
          <w:sz w:val="21"/>
          <w:szCs w:val="21"/>
          <w:highlight w:val="none"/>
        </w:rPr>
        <w:t>进行比较和评价；</w:t>
      </w:r>
    </w:p>
    <w:p>
      <w:pPr>
        <w:pageBreakBefore w:val="0"/>
        <w:numPr>
          <w:ilvl w:val="0"/>
          <w:numId w:val="19"/>
        </w:numPr>
        <w:kinsoku/>
        <w:wordWrap/>
        <w:overflowPunct/>
        <w:topLinePunct w:val="0"/>
        <w:bidi w:val="0"/>
        <w:spacing w:beforeAutospacing="0" w:line="400" w:lineRule="atLeast"/>
        <w:ind w:left="425" w:leftChars="0" w:hanging="5" w:firstLine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确定</w:t>
      </w:r>
      <w:r>
        <w:rPr>
          <w:rFonts w:hint="eastAsia" w:ascii="宋体" w:hAnsi="宋体" w:cs="宋体"/>
          <w:bCs/>
          <w:color w:val="auto"/>
          <w:sz w:val="21"/>
          <w:szCs w:val="21"/>
          <w:highlight w:val="none"/>
          <w:lang w:eastAsia="zh-CN"/>
        </w:rPr>
        <w:t>成交候选人</w:t>
      </w:r>
      <w:r>
        <w:rPr>
          <w:rFonts w:hint="eastAsia" w:ascii="宋体" w:hAnsi="宋体" w:eastAsia="宋体" w:cs="宋体"/>
          <w:bCs/>
          <w:color w:val="auto"/>
          <w:sz w:val="21"/>
          <w:szCs w:val="21"/>
          <w:highlight w:val="none"/>
        </w:rPr>
        <w:t>名单，以及根据采购人委托直接确定</w:t>
      </w:r>
      <w:r>
        <w:rPr>
          <w:rFonts w:hint="eastAsia" w:ascii="宋体" w:hAnsi="宋体" w:eastAsia="宋体" w:cs="宋体"/>
          <w:bCs/>
          <w:color w:val="auto"/>
          <w:sz w:val="21"/>
          <w:szCs w:val="21"/>
          <w:highlight w:val="none"/>
          <w:lang w:eastAsia="zh-CN"/>
        </w:rPr>
        <w:t>成交供应商</w:t>
      </w:r>
      <w:r>
        <w:rPr>
          <w:rFonts w:hint="eastAsia" w:ascii="宋体" w:hAnsi="宋体" w:eastAsia="宋体" w:cs="宋体"/>
          <w:bCs/>
          <w:color w:val="auto"/>
          <w:sz w:val="21"/>
          <w:szCs w:val="21"/>
          <w:highlight w:val="none"/>
        </w:rPr>
        <w:t>；</w:t>
      </w:r>
    </w:p>
    <w:p>
      <w:pPr>
        <w:pageBreakBefore w:val="0"/>
        <w:numPr>
          <w:ilvl w:val="0"/>
          <w:numId w:val="19"/>
        </w:numPr>
        <w:kinsoku/>
        <w:wordWrap/>
        <w:overflowPunct/>
        <w:topLinePunct w:val="0"/>
        <w:bidi w:val="0"/>
        <w:spacing w:beforeAutospacing="0" w:line="400" w:lineRule="atLeast"/>
        <w:ind w:left="425" w:leftChars="0" w:hanging="5" w:firstLine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向采购人、采购代理机构或者有关部门报告评标中发现的违法行为。</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评标纪律：</w:t>
      </w:r>
    </w:p>
    <w:p>
      <w:pPr>
        <w:pageBreakBefore w:val="0"/>
        <w:numPr>
          <w:ilvl w:val="0"/>
          <w:numId w:val="20"/>
        </w:numPr>
        <w:kinsoku/>
        <w:wordWrap/>
        <w:overflowPunct/>
        <w:topLinePunct w:val="0"/>
        <w:bidi w:val="0"/>
        <w:spacing w:beforeAutospacing="0" w:line="400" w:lineRule="atLeast"/>
        <w:ind w:left="825" w:leftChars="0" w:hanging="405" w:firstLine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成员要严格遵守评审工作纪律、保密、回避等相关规定，依法独立履行评审职责，客观、公正、审慎参与评审工作。</w:t>
      </w:r>
    </w:p>
    <w:p>
      <w:pPr>
        <w:pageBreakBefore w:val="0"/>
        <w:numPr>
          <w:ilvl w:val="0"/>
          <w:numId w:val="20"/>
        </w:numPr>
        <w:kinsoku/>
        <w:wordWrap/>
        <w:overflowPunct/>
        <w:topLinePunct w:val="0"/>
        <w:bidi w:val="0"/>
        <w:spacing w:beforeAutospacing="0" w:line="400" w:lineRule="atLeast"/>
        <w:ind w:left="825" w:leftChars="0" w:hanging="405" w:firstLine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与</w:t>
      </w:r>
      <w:r>
        <w:rPr>
          <w:rFonts w:hint="eastAsia" w:ascii="宋体" w:hAnsi="宋体" w:eastAsia="宋体" w:cs="宋体"/>
          <w:bCs/>
          <w:color w:val="auto"/>
          <w:sz w:val="21"/>
          <w:szCs w:val="21"/>
          <w:highlight w:val="none"/>
          <w:lang w:eastAsia="zh-CN"/>
        </w:rPr>
        <w:t>磋商供应商</w:t>
      </w:r>
      <w:r>
        <w:rPr>
          <w:rFonts w:hint="eastAsia" w:ascii="宋体" w:hAnsi="宋体" w:eastAsia="宋体" w:cs="宋体"/>
          <w:bCs/>
          <w:color w:val="auto"/>
          <w:sz w:val="21"/>
          <w:szCs w:val="21"/>
          <w:highlight w:val="none"/>
        </w:rPr>
        <w:t>或</w:t>
      </w:r>
      <w:r>
        <w:rPr>
          <w:rFonts w:hint="eastAsia" w:ascii="宋体"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其他成员存在利害关系的，要主动回避，自觉签订《政府采购评审人员廉洁自律承诺书》。</w:t>
      </w:r>
    </w:p>
    <w:p>
      <w:pPr>
        <w:pageBreakBefore w:val="0"/>
        <w:numPr>
          <w:ilvl w:val="0"/>
          <w:numId w:val="20"/>
        </w:numPr>
        <w:kinsoku/>
        <w:wordWrap/>
        <w:overflowPunct/>
        <w:topLinePunct w:val="0"/>
        <w:bidi w:val="0"/>
        <w:spacing w:beforeAutospacing="0" w:line="400" w:lineRule="atLeast"/>
        <w:ind w:left="825" w:leftChars="0" w:hanging="405" w:firstLine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成员不得私下接触联系</w:t>
      </w:r>
      <w:r>
        <w:rPr>
          <w:rFonts w:hint="eastAsia" w:ascii="宋体" w:hAnsi="宋体" w:eastAsia="宋体" w:cs="宋体"/>
          <w:bCs/>
          <w:color w:val="auto"/>
          <w:sz w:val="21"/>
          <w:szCs w:val="21"/>
          <w:highlight w:val="none"/>
          <w:lang w:eastAsia="zh-CN"/>
        </w:rPr>
        <w:t>磋商供应商</w:t>
      </w:r>
      <w:r>
        <w:rPr>
          <w:rFonts w:hint="eastAsia" w:ascii="宋体" w:hAnsi="宋体" w:eastAsia="宋体" w:cs="宋体"/>
          <w:bCs/>
          <w:color w:val="auto"/>
          <w:sz w:val="21"/>
          <w:szCs w:val="21"/>
          <w:highlight w:val="none"/>
        </w:rPr>
        <w:t>，不得接受或参加</w:t>
      </w:r>
      <w:r>
        <w:rPr>
          <w:rFonts w:hint="eastAsia" w:ascii="宋体" w:hAnsi="宋体" w:eastAsia="宋体" w:cs="宋体"/>
          <w:bCs/>
          <w:color w:val="auto"/>
          <w:sz w:val="21"/>
          <w:szCs w:val="21"/>
          <w:highlight w:val="none"/>
          <w:lang w:eastAsia="zh-CN"/>
        </w:rPr>
        <w:t>磋商供应商</w:t>
      </w:r>
      <w:r>
        <w:rPr>
          <w:rFonts w:hint="eastAsia" w:ascii="宋体" w:hAnsi="宋体" w:eastAsia="宋体" w:cs="宋体"/>
          <w:bCs/>
          <w:color w:val="auto"/>
          <w:sz w:val="21"/>
          <w:szCs w:val="21"/>
          <w:highlight w:val="none"/>
        </w:rPr>
        <w:t>或与投标有关的单位、组织或个人的有碍公务的宴请、娱乐活动等，不得以任何形式弄虚作假。</w:t>
      </w:r>
    </w:p>
    <w:p>
      <w:pPr>
        <w:pageBreakBefore w:val="0"/>
        <w:numPr>
          <w:ilvl w:val="0"/>
          <w:numId w:val="20"/>
        </w:numPr>
        <w:kinsoku/>
        <w:wordWrap/>
        <w:overflowPunct/>
        <w:topLinePunct w:val="0"/>
        <w:bidi w:val="0"/>
        <w:spacing w:beforeAutospacing="0" w:line="400" w:lineRule="atLeast"/>
        <w:ind w:left="825" w:leftChars="0" w:hanging="405" w:firstLine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保持评审现场安静，不在评审现场随意走动，因发生不可预见情况确需与外界联系或暂时离开评审现场的，应向现场监督员说明情况，征得同意后在监控区域内进行相关活动，并应接受相关工作人员的监督。</w:t>
      </w:r>
    </w:p>
    <w:p>
      <w:pPr>
        <w:pageBreakBefore w:val="0"/>
        <w:numPr>
          <w:ilvl w:val="0"/>
          <w:numId w:val="20"/>
        </w:numPr>
        <w:kinsoku/>
        <w:wordWrap/>
        <w:overflowPunct/>
        <w:topLinePunct w:val="0"/>
        <w:bidi w:val="0"/>
        <w:spacing w:beforeAutospacing="0" w:line="400" w:lineRule="atLeast"/>
        <w:ind w:left="825" w:leftChars="0" w:hanging="405" w:firstLine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成员不得将自身意见强加给其他</w:t>
      </w:r>
      <w:r>
        <w:rPr>
          <w:rFonts w:hint="eastAsia" w:ascii="宋体"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成员，或私下相互串通压制其他</w:t>
      </w:r>
      <w:r>
        <w:rPr>
          <w:rFonts w:hint="eastAsia" w:ascii="宋体"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成员的意见。</w:t>
      </w:r>
    </w:p>
    <w:p>
      <w:pPr>
        <w:pageBreakBefore w:val="0"/>
        <w:numPr>
          <w:ilvl w:val="0"/>
          <w:numId w:val="20"/>
        </w:numPr>
        <w:kinsoku/>
        <w:wordWrap/>
        <w:overflowPunct/>
        <w:topLinePunct w:val="0"/>
        <w:bidi w:val="0"/>
        <w:spacing w:beforeAutospacing="0" w:line="400" w:lineRule="atLeast"/>
        <w:ind w:left="825" w:leftChars="0" w:hanging="405" w:firstLine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成员不得征询采购人对</w:t>
      </w:r>
      <w:r>
        <w:rPr>
          <w:rFonts w:hint="eastAsia" w:ascii="宋体" w:hAnsi="宋体" w:eastAsia="宋体" w:cs="宋体"/>
          <w:bCs/>
          <w:color w:val="auto"/>
          <w:sz w:val="21"/>
          <w:szCs w:val="21"/>
          <w:highlight w:val="none"/>
          <w:lang w:eastAsia="zh-CN"/>
        </w:rPr>
        <w:t>磋商供应商</w:t>
      </w:r>
      <w:r>
        <w:rPr>
          <w:rFonts w:hint="eastAsia" w:ascii="宋体" w:hAnsi="宋体" w:eastAsia="宋体" w:cs="宋体"/>
          <w:bCs/>
          <w:color w:val="auto"/>
          <w:sz w:val="21"/>
          <w:szCs w:val="21"/>
          <w:highlight w:val="none"/>
        </w:rPr>
        <w:t>的倾向性意向，不得接受任何单位、个人明示或暗示提出的倾向或排斥特定</w:t>
      </w:r>
      <w:r>
        <w:rPr>
          <w:rFonts w:hint="eastAsia" w:ascii="宋体" w:hAnsi="宋体" w:eastAsia="宋体" w:cs="宋体"/>
          <w:bCs/>
          <w:color w:val="auto"/>
          <w:sz w:val="21"/>
          <w:szCs w:val="21"/>
          <w:highlight w:val="none"/>
          <w:lang w:eastAsia="zh-CN"/>
        </w:rPr>
        <w:t>磋商供应商</w:t>
      </w:r>
      <w:r>
        <w:rPr>
          <w:rFonts w:hint="eastAsia" w:ascii="宋体" w:hAnsi="宋体" w:eastAsia="宋体" w:cs="宋体"/>
          <w:bCs/>
          <w:color w:val="auto"/>
          <w:sz w:val="21"/>
          <w:szCs w:val="21"/>
          <w:highlight w:val="none"/>
        </w:rPr>
        <w:t>的要求。</w:t>
      </w:r>
    </w:p>
    <w:p>
      <w:pPr>
        <w:pageBreakBefore w:val="0"/>
        <w:numPr>
          <w:ilvl w:val="0"/>
          <w:numId w:val="20"/>
        </w:numPr>
        <w:kinsoku/>
        <w:wordWrap/>
        <w:overflowPunct/>
        <w:topLinePunct w:val="0"/>
        <w:bidi w:val="0"/>
        <w:spacing w:beforeAutospacing="0" w:line="400" w:lineRule="atLeast"/>
        <w:ind w:left="825" w:leftChars="0" w:hanging="405" w:firstLine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严格遵守政府采购评审工作纪律，不得向外泄露评审情况及涉及</w:t>
      </w:r>
      <w:r>
        <w:rPr>
          <w:rFonts w:hint="eastAsia" w:ascii="宋体" w:hAnsi="宋体" w:eastAsia="宋体" w:cs="宋体"/>
          <w:bCs/>
          <w:color w:val="auto"/>
          <w:sz w:val="21"/>
          <w:szCs w:val="21"/>
          <w:highlight w:val="none"/>
          <w:lang w:eastAsia="zh-CN"/>
        </w:rPr>
        <w:t>磋商供应商</w:t>
      </w:r>
      <w:r>
        <w:rPr>
          <w:rFonts w:hint="eastAsia" w:ascii="宋体" w:hAnsi="宋体" w:eastAsia="宋体" w:cs="宋体"/>
          <w:bCs/>
          <w:color w:val="auto"/>
          <w:sz w:val="21"/>
          <w:szCs w:val="21"/>
          <w:highlight w:val="none"/>
        </w:rPr>
        <w:t>商业秘密的信息。</w:t>
      </w:r>
    </w:p>
    <w:p>
      <w:pPr>
        <w:pageBreakBefore w:val="0"/>
        <w:numPr>
          <w:ilvl w:val="0"/>
          <w:numId w:val="20"/>
        </w:numPr>
        <w:kinsoku/>
        <w:wordWrap/>
        <w:overflowPunct/>
        <w:topLinePunct w:val="0"/>
        <w:bidi w:val="0"/>
        <w:spacing w:beforeAutospacing="0" w:line="400" w:lineRule="atLeast"/>
        <w:ind w:left="825" w:leftChars="0" w:hanging="405" w:firstLineChars="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评标结束后，各评标人员应将全部资料整理上交</w:t>
      </w:r>
      <w:r>
        <w:rPr>
          <w:rFonts w:hint="eastAsia" w:ascii="宋体" w:hAnsi="宋体" w:cs="宋体"/>
          <w:bCs/>
          <w:color w:val="auto"/>
          <w:sz w:val="21"/>
          <w:szCs w:val="21"/>
          <w:highlight w:val="none"/>
          <w:lang w:eastAsia="zh-CN"/>
        </w:rPr>
        <w:t>磋商</w:t>
      </w:r>
      <w:r>
        <w:rPr>
          <w:rFonts w:hint="eastAsia" w:ascii="宋体" w:hAnsi="宋体" w:eastAsia="宋体" w:cs="宋体"/>
          <w:bCs/>
          <w:color w:val="auto"/>
          <w:sz w:val="21"/>
          <w:szCs w:val="21"/>
          <w:highlight w:val="none"/>
        </w:rPr>
        <w:t>采购单位，严禁将评标过程中的任何资料带出评标现场向</w:t>
      </w:r>
      <w:r>
        <w:rPr>
          <w:rFonts w:hint="eastAsia" w:ascii="宋体" w:hAnsi="宋体" w:eastAsia="宋体" w:cs="宋体"/>
          <w:bCs/>
          <w:color w:val="auto"/>
          <w:sz w:val="21"/>
          <w:szCs w:val="21"/>
          <w:highlight w:val="none"/>
          <w:lang w:eastAsia="zh-CN"/>
        </w:rPr>
        <w:t>磋商供应商</w:t>
      </w:r>
      <w:r>
        <w:rPr>
          <w:rFonts w:hint="eastAsia" w:ascii="宋体" w:hAnsi="宋体" w:eastAsia="宋体" w:cs="宋体"/>
          <w:bCs/>
          <w:color w:val="auto"/>
          <w:sz w:val="21"/>
          <w:szCs w:val="21"/>
          <w:highlight w:val="none"/>
        </w:rPr>
        <w:t>或其他单位提供。</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磋商小组将根据磋商文件和有关规定，履行评标工作职责，并按照评标方法及评分标准，全面衡量各磋商供应商对磋商文件的响应情况。对实质上响应磋商文件的磋商供应商，按照评审因素的量化指标排出推荐中标的磋商供应商的先后顺序，并按顺序提出授标建议。详见磋商文件第四部分评标办法。</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保密义务：参与采购活动的所有各方，对在参与投标过程中获悉的国家、商业和技术秘密以及其它依法应当保密的内容，均负有保密义务，违者应对由此造成的后果承担全部法律责任。</w:t>
      </w:r>
    </w:p>
    <w:p>
      <w:pPr>
        <w:pageBreakBefore w:val="0"/>
        <w:kinsoku/>
        <w:wordWrap/>
        <w:overflowPunct/>
        <w:topLinePunct w:val="0"/>
        <w:bidi w:val="0"/>
        <w:spacing w:beforeAutospacing="0" w:line="400" w:lineRule="atLeast"/>
        <w:ind w:firstLine="420" w:firstLineChars="200"/>
        <w:textAlignment w:val="auto"/>
        <w:rPr>
          <w:rFonts w:hint="eastAsia" w:ascii="宋体" w:hAnsi="宋体" w:eastAsia="宋体" w:cs="宋体"/>
          <w:bCs w:val="0"/>
          <w:color w:val="auto"/>
          <w:sz w:val="21"/>
          <w:szCs w:val="21"/>
          <w:highlight w:val="none"/>
          <w:lang w:val="en-US" w:eastAsia="zh-CN"/>
        </w:rPr>
      </w:pPr>
    </w:p>
    <w:p>
      <w:pPr>
        <w:adjustRightInd/>
        <w:spacing w:line="360" w:lineRule="auto"/>
        <w:jc w:val="center"/>
        <w:outlineLvl w:val="0"/>
        <w:rPr>
          <w:rFonts w:hint="eastAsia" w:ascii="宋体" w:hAnsi="宋体" w:eastAsia="宋体" w:cs="宋体"/>
          <w:b/>
          <w:color w:val="auto"/>
          <w:sz w:val="32"/>
          <w:szCs w:val="20"/>
          <w:highlight w:val="none"/>
        </w:rPr>
      </w:pPr>
      <w:bookmarkStart w:id="26" w:name="_Toc15660"/>
      <w:bookmarkStart w:id="27" w:name="_Toc10976"/>
      <w:r>
        <w:rPr>
          <w:rFonts w:hint="eastAsia" w:ascii="宋体" w:hAnsi="宋体" w:eastAsia="宋体" w:cs="宋体"/>
          <w:b/>
          <w:color w:val="auto"/>
          <w:sz w:val="32"/>
          <w:szCs w:val="20"/>
          <w:highlight w:val="none"/>
        </w:rPr>
        <w:t>六、定标</w:t>
      </w:r>
      <w:bookmarkEnd w:id="26"/>
      <w:bookmarkEnd w:id="27"/>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确定成交供应商</w:t>
      </w:r>
    </w:p>
    <w:p>
      <w:pPr>
        <w:pStyle w:val="29"/>
        <w:pageBreakBefore w:val="0"/>
        <w:kinsoku/>
        <w:wordWrap/>
        <w:overflowPunct/>
        <w:topLinePunct w:val="0"/>
        <w:bidi w:val="0"/>
        <w:snapToGrid w:val="0"/>
        <w:spacing w:before="0" w:beforeAutospacing="0" w:line="400" w:lineRule="atLeast"/>
        <w:ind w:left="840" w:leftChars="400" w:firstLine="0" w:firstLine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采购人将自收到评审报告之日起5个工作日内通过电子交易平台在评审报告推荐的</w:t>
      </w:r>
      <w:r>
        <w:rPr>
          <w:rFonts w:hint="eastAsia" w:ascii="宋体" w:hAnsi="宋体" w:cs="宋体"/>
          <w:color w:val="auto"/>
          <w:sz w:val="21"/>
          <w:szCs w:val="21"/>
          <w:highlight w:val="none"/>
          <w:lang w:eastAsia="zh-CN"/>
        </w:rPr>
        <w:t>成交候选人</w:t>
      </w:r>
      <w:r>
        <w:rPr>
          <w:rFonts w:hint="eastAsia" w:ascii="宋体" w:hAnsi="宋体" w:eastAsia="宋体" w:cs="宋体"/>
          <w:color w:val="auto"/>
          <w:sz w:val="21"/>
          <w:szCs w:val="21"/>
          <w:highlight w:val="none"/>
        </w:rPr>
        <w:t>中按顺序确定</w:t>
      </w: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成交通知书与成交结果公告</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自成交供应商确定之日起2个工作日内，采购代理机构通过电子交易平台向成交供应商发出成交通知书，同时编制发布采购结果公告。采购代理机构也可以以纸质形式发出成交通知书。</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成交结果公告内容包括采购人及其委托的采购代理机构的名称、地址、联系方式，项目名称和项目编号，成交供应商名称、地址和中标金额，主要中标标的的名称、规格型号、数量、单价、服务要求、成交公告期限以及评审专家名单等。</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采购结果公告期限为1个工作日。</w:t>
      </w:r>
    </w:p>
    <w:p>
      <w:pPr>
        <w:pStyle w:val="6"/>
        <w:pageBreakBefore w:val="0"/>
        <w:kinsoku/>
        <w:wordWrap/>
        <w:overflowPunct/>
        <w:topLinePunct w:val="0"/>
        <w:bidi w:val="0"/>
        <w:spacing w:beforeAutospacing="0" w:line="400" w:lineRule="atLeast"/>
        <w:textAlignment w:val="auto"/>
        <w:rPr>
          <w:rFonts w:hint="eastAsia" w:ascii="宋体" w:hAnsi="宋体" w:eastAsia="宋体" w:cs="宋体"/>
          <w:color w:val="auto"/>
          <w:sz w:val="21"/>
          <w:szCs w:val="21"/>
          <w:highlight w:val="none"/>
        </w:rPr>
      </w:pPr>
    </w:p>
    <w:p>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七、合同授予</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合同主要条款详见第</w:t>
      </w:r>
      <w:r>
        <w:rPr>
          <w:rFonts w:hint="eastAsia" w:ascii="宋体" w:hAnsi="宋体" w:cs="宋体"/>
          <w:b/>
          <w:color w:val="auto"/>
          <w:sz w:val="21"/>
          <w:szCs w:val="21"/>
          <w:highlight w:val="none"/>
          <w:lang w:val="en-US" w:eastAsia="zh-CN"/>
        </w:rPr>
        <w:t>五</w:t>
      </w:r>
      <w:r>
        <w:rPr>
          <w:rFonts w:hint="eastAsia" w:ascii="宋体" w:hAnsi="宋体" w:eastAsia="宋体" w:cs="宋体"/>
          <w:b/>
          <w:color w:val="auto"/>
          <w:sz w:val="21"/>
          <w:szCs w:val="21"/>
          <w:highlight w:val="none"/>
          <w:lang w:val="en-US" w:eastAsia="zh-CN"/>
        </w:rPr>
        <w:t>部分拟签订的合同文本。</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合同的签订</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采购人与成交供应商应当通过电子交易平台在成交通知书发出之日起三十日内，按照磋商文件和成交供应商磋商响应文件等确定的事项签订政府采购合同，并在合同签订之日起2个工作日内依法发布合同公告。</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zh-CN" w:eastAsia="zh-CN"/>
        </w:rPr>
        <w:t>成交供应商按规定的日期、时间、地点，由法定代表人或其授权代表与采购人代表签订合同。如成交供应商为联合体的，由联合体成员各方法定代表人或其授权代表与采购人代表签订合同。</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成交供应商拒绝与采购人签订合同的，采购人可以按照评审报告推荐的中标或者成交候选人名单排序，确定下一候选人为成交供应商，也可以重新开展政府采购活动。</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鼓励有条件的采购人与成交供应商通过政府采购电子交易平台在线签订政府采购合同。</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履约保证金和预付款</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履约保证金拟签订的合同文本要求成交供应商提交履约保证金的，履约保证金的数额不得超过政府采购合同金额的1%，供应商应当以支票、汇票、本票或者金融机构、保险机构出具的保函等非现金形式提交。鼓励和支持供应商以银行、保险公司出具的保函形式提供履约保证金。采购人不得拒收履约保函。</w:t>
      </w:r>
    </w:p>
    <w:p>
      <w:pPr>
        <w:pStyle w:val="12"/>
        <w:pageBreakBefore w:val="0"/>
        <w:kinsoku/>
        <w:wordWrap/>
        <w:overflowPunct/>
        <w:topLinePunct w:val="0"/>
        <w:bidi w:val="0"/>
        <w:spacing w:beforeAutospacing="0" w:line="400" w:lineRule="atLeast"/>
        <w:ind w:left="840" w:leftChars="400" w:firstLine="0" w:firstLineChars="0"/>
        <w:jc w:val="left"/>
        <w:textAlignment w:val="auto"/>
        <w:rPr>
          <w:rFonts w:hint="eastAsia" w:ascii="宋体" w:hAnsi="宋体" w:eastAsia="宋体" w:cs="宋体"/>
          <w:b/>
          <w:bCs/>
          <w:snapToGrid w:val="0"/>
          <w:color w:val="auto"/>
          <w:kern w:val="28"/>
          <w:sz w:val="21"/>
          <w:szCs w:val="21"/>
          <w:highlight w:val="none"/>
          <w:lang w:val="en-US" w:eastAsia="zh-CN"/>
        </w:rPr>
      </w:pPr>
      <w:r>
        <w:rPr>
          <w:rFonts w:hint="eastAsia" w:ascii="宋体" w:hAnsi="宋体" w:eastAsia="宋体" w:cs="宋体"/>
          <w:b w:val="0"/>
          <w:bCs w:val="0"/>
          <w:color w:val="auto"/>
          <w:kern w:val="2"/>
          <w:sz w:val="21"/>
          <w:szCs w:val="21"/>
          <w:highlight w:val="none"/>
        </w:rPr>
        <w:t>供应商</w:t>
      </w:r>
      <w:r>
        <w:rPr>
          <w:rFonts w:hint="eastAsia" w:ascii="宋体" w:hAnsi="宋体" w:eastAsia="宋体" w:cs="宋体"/>
          <w:b w:val="0"/>
          <w:bCs w:val="0"/>
          <w:color w:val="auto"/>
          <w:kern w:val="2"/>
          <w:sz w:val="21"/>
          <w:szCs w:val="21"/>
          <w:highlight w:val="none"/>
          <w:lang w:val="en-US" w:eastAsia="zh-CN"/>
        </w:rPr>
        <w:t>也</w:t>
      </w:r>
      <w:r>
        <w:rPr>
          <w:rFonts w:hint="eastAsia" w:ascii="宋体" w:hAnsi="宋体" w:eastAsia="宋体" w:cs="宋体"/>
          <w:b w:val="0"/>
          <w:bCs w:val="0"/>
          <w:color w:val="auto"/>
          <w:kern w:val="2"/>
          <w:sz w:val="21"/>
          <w:szCs w:val="21"/>
          <w:highlight w:val="none"/>
          <w:lang w:val="en-US"/>
        </w:rPr>
        <w:t>可</w:t>
      </w:r>
      <w:r>
        <w:rPr>
          <w:rFonts w:hint="eastAsia" w:ascii="宋体" w:hAnsi="宋体" w:eastAsia="宋体" w:cs="宋体"/>
          <w:b w:val="0"/>
          <w:bCs w:val="0"/>
          <w:color w:val="auto"/>
          <w:kern w:val="2"/>
          <w:sz w:val="21"/>
          <w:szCs w:val="21"/>
          <w:highlight w:val="none"/>
          <w:lang w:val="en-US" w:eastAsia="zh-CN"/>
        </w:rPr>
        <w:t>以</w:t>
      </w:r>
      <w:r>
        <w:rPr>
          <w:rFonts w:hint="eastAsia" w:ascii="宋体" w:hAnsi="宋体" w:eastAsia="宋体" w:cs="宋体"/>
          <w:b w:val="0"/>
          <w:bCs w:val="0"/>
          <w:color w:val="auto"/>
          <w:kern w:val="2"/>
          <w:sz w:val="21"/>
          <w:szCs w:val="21"/>
          <w:highlight w:val="none"/>
        </w:rPr>
        <w:t>登录政采云平台-</w:t>
      </w:r>
      <w:r>
        <w:rPr>
          <w:rFonts w:hint="eastAsia" w:ascii="宋体" w:hAnsi="宋体" w:eastAsia="宋体" w:cs="宋体"/>
          <w:b w:val="0"/>
          <w:bCs w:val="0"/>
          <w:color w:val="auto"/>
          <w:kern w:val="2"/>
          <w:sz w:val="21"/>
          <w:szCs w:val="21"/>
          <w:highlight w:val="none"/>
          <w:lang w:val="en-US" w:eastAsia="zh-CN"/>
        </w:rPr>
        <w:t>[</w:t>
      </w:r>
      <w:r>
        <w:rPr>
          <w:rFonts w:hint="eastAsia" w:ascii="宋体" w:hAnsi="宋体" w:eastAsia="宋体" w:cs="宋体"/>
          <w:b w:val="0"/>
          <w:bCs w:val="0"/>
          <w:color w:val="auto"/>
          <w:kern w:val="2"/>
          <w:sz w:val="21"/>
          <w:szCs w:val="21"/>
          <w:highlight w:val="none"/>
        </w:rPr>
        <w:t>金融服务</w:t>
      </w:r>
      <w:r>
        <w:rPr>
          <w:rFonts w:hint="eastAsia" w:ascii="宋体" w:hAnsi="宋体" w:eastAsia="宋体" w:cs="宋体"/>
          <w:b w:val="0"/>
          <w:bCs w:val="0"/>
          <w:color w:val="auto"/>
          <w:kern w:val="2"/>
          <w:sz w:val="21"/>
          <w:szCs w:val="21"/>
          <w:highlight w:val="none"/>
          <w:lang w:eastAsia="zh-CN"/>
        </w:rPr>
        <w:t>]</w:t>
      </w:r>
      <w:r>
        <w:rPr>
          <w:rFonts w:hint="eastAsia" w:ascii="宋体" w:hAnsi="宋体" w:eastAsia="宋体" w:cs="宋体"/>
          <w:b w:val="0"/>
          <w:bCs w:val="0"/>
          <w:color w:val="auto"/>
          <w:kern w:val="2"/>
          <w:sz w:val="21"/>
          <w:szCs w:val="21"/>
          <w:highlight w:val="none"/>
        </w:rPr>
        <w:t>—</w:t>
      </w:r>
      <w:r>
        <w:rPr>
          <w:rFonts w:hint="eastAsia" w:ascii="宋体" w:hAnsi="宋体" w:eastAsia="宋体" w:cs="宋体"/>
          <w:b w:val="0"/>
          <w:bCs w:val="0"/>
          <w:color w:val="auto"/>
          <w:kern w:val="2"/>
          <w:sz w:val="21"/>
          <w:szCs w:val="21"/>
          <w:highlight w:val="none"/>
          <w:lang w:eastAsia="zh-CN"/>
        </w:rPr>
        <w:t>[</w:t>
      </w:r>
      <w:r>
        <w:rPr>
          <w:rFonts w:hint="eastAsia" w:ascii="宋体" w:hAnsi="宋体" w:eastAsia="宋体" w:cs="宋体"/>
          <w:b w:val="0"/>
          <w:bCs w:val="0"/>
          <w:color w:val="auto"/>
          <w:kern w:val="2"/>
          <w:sz w:val="21"/>
          <w:szCs w:val="21"/>
          <w:highlight w:val="none"/>
        </w:rPr>
        <w:t>我的项目</w:t>
      </w:r>
      <w:r>
        <w:rPr>
          <w:rFonts w:hint="eastAsia" w:ascii="宋体" w:hAnsi="宋体" w:eastAsia="宋体" w:cs="宋体"/>
          <w:b w:val="0"/>
          <w:bCs w:val="0"/>
          <w:color w:val="auto"/>
          <w:kern w:val="2"/>
          <w:sz w:val="21"/>
          <w:szCs w:val="21"/>
          <w:highlight w:val="none"/>
          <w:lang w:eastAsia="zh-CN"/>
        </w:rPr>
        <w:t>]</w:t>
      </w:r>
      <w:r>
        <w:rPr>
          <w:rFonts w:hint="eastAsia" w:ascii="宋体" w:hAnsi="宋体" w:eastAsia="宋体" w:cs="宋体"/>
          <w:b w:val="0"/>
          <w:bCs w:val="0"/>
          <w:color w:val="auto"/>
          <w:kern w:val="2"/>
          <w:sz w:val="21"/>
          <w:szCs w:val="21"/>
          <w:highlight w:val="none"/>
        </w:rPr>
        <w:t>—</w:t>
      </w:r>
      <w:r>
        <w:rPr>
          <w:rFonts w:hint="eastAsia" w:ascii="宋体" w:hAnsi="宋体" w:eastAsia="宋体" w:cs="宋体"/>
          <w:b w:val="0"/>
          <w:bCs w:val="0"/>
          <w:color w:val="auto"/>
          <w:kern w:val="2"/>
          <w:sz w:val="21"/>
          <w:szCs w:val="21"/>
          <w:highlight w:val="none"/>
          <w:lang w:eastAsia="zh-CN"/>
        </w:rPr>
        <w:t>[</w:t>
      </w:r>
      <w:r>
        <w:rPr>
          <w:rFonts w:hint="eastAsia" w:ascii="宋体" w:hAnsi="宋体" w:eastAsia="宋体" w:cs="宋体"/>
          <w:b w:val="0"/>
          <w:bCs w:val="0"/>
          <w:color w:val="auto"/>
          <w:kern w:val="2"/>
          <w:sz w:val="21"/>
          <w:szCs w:val="21"/>
          <w:highlight w:val="none"/>
        </w:rPr>
        <w:t>已备案合同</w:t>
      </w:r>
      <w:r>
        <w:rPr>
          <w:rFonts w:hint="eastAsia" w:ascii="宋体" w:hAnsi="宋体" w:eastAsia="宋体" w:cs="宋体"/>
          <w:b w:val="0"/>
          <w:bCs w:val="0"/>
          <w:color w:val="auto"/>
          <w:kern w:val="2"/>
          <w:sz w:val="21"/>
          <w:szCs w:val="21"/>
          <w:highlight w:val="none"/>
          <w:lang w:eastAsia="zh-CN"/>
        </w:rPr>
        <w:t>]</w:t>
      </w:r>
      <w:r>
        <w:rPr>
          <w:rFonts w:hint="eastAsia" w:ascii="宋体" w:hAnsi="宋体" w:eastAsia="宋体" w:cs="宋体"/>
          <w:b w:val="0"/>
          <w:bCs w:val="0"/>
          <w:color w:val="auto"/>
          <w:kern w:val="2"/>
          <w:sz w:val="21"/>
          <w:szCs w:val="21"/>
          <w:highlight w:val="none"/>
        </w:rPr>
        <w:t>以保函形式提供：①供应商在合同列表选择需要投保的合同，点击[保函推荐]。②在弹框里查看推荐的保函产品，供应商自行选择保函产品，点击[立即申请]。③在弹框里填写保函申请信息。具体步骤：选择产品—填写供应商信息—选择中标项目—确认信息—等待保险/保函受理—确认保单—支付保费—成功出单。政采云金融专线400-903-9583。</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预付款</w:t>
      </w:r>
    </w:p>
    <w:p>
      <w:pPr>
        <w:pStyle w:val="12"/>
        <w:pageBreakBefore w:val="0"/>
        <w:kinsoku/>
        <w:wordWrap/>
        <w:overflowPunct/>
        <w:topLinePunct w:val="0"/>
        <w:bidi w:val="0"/>
        <w:spacing w:beforeAutospacing="0" w:line="400" w:lineRule="atLeast"/>
        <w:ind w:left="840" w:leftChars="400" w:firstLine="0" w:firstLineChars="0"/>
        <w:jc w:val="left"/>
        <w:textAlignment w:val="auto"/>
        <w:rPr>
          <w:rFonts w:hint="eastAsia"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宋体" w:hAnsi="宋体" w:eastAsia="宋体" w:cs="宋体"/>
          <w:b w:val="0"/>
          <w:bCs w:val="0"/>
          <w:color w:val="auto"/>
          <w:kern w:val="2"/>
          <w:sz w:val="21"/>
          <w:szCs w:val="21"/>
          <w:highlight w:val="none"/>
          <w:lang w:val="en-US" w:eastAsia="zh-CN"/>
        </w:rPr>
        <w:t>7</w:t>
      </w:r>
      <w:r>
        <w:rPr>
          <w:rFonts w:hint="eastAsia" w:ascii="宋体" w:hAnsi="宋体" w:eastAsia="宋体" w:cs="宋体"/>
          <w:b w:val="0"/>
          <w:bCs w:val="0"/>
          <w:color w:val="auto"/>
          <w:kern w:val="2"/>
          <w:sz w:val="21"/>
          <w:szCs w:val="21"/>
          <w:highlight w:val="none"/>
        </w:rPr>
        <w:t>个工作日内支付。政府采购工程以及与工程建设有关的货物、服务，采用</w:t>
      </w:r>
      <w:r>
        <w:rPr>
          <w:rFonts w:hint="eastAsia" w:cs="宋体"/>
          <w:b w:val="0"/>
          <w:bCs w:val="0"/>
          <w:color w:val="auto"/>
          <w:kern w:val="2"/>
          <w:sz w:val="21"/>
          <w:szCs w:val="21"/>
          <w:highlight w:val="none"/>
          <w:lang w:eastAsia="zh-CN"/>
        </w:rPr>
        <w:t>磋商</w:t>
      </w:r>
      <w:r>
        <w:rPr>
          <w:rFonts w:hint="eastAsia" w:ascii="宋体" w:hAnsi="宋体" w:eastAsia="宋体" w:cs="宋体"/>
          <w:b w:val="0"/>
          <w:bCs w:val="0"/>
          <w:color w:val="auto"/>
          <w:kern w:val="2"/>
          <w:sz w:val="21"/>
          <w:szCs w:val="21"/>
          <w:highlight w:val="none"/>
        </w:rPr>
        <w:t>方式采购的，预付款从其相关规定。</w:t>
      </w:r>
    </w:p>
    <w:p>
      <w:pPr>
        <w:pStyle w:val="12"/>
        <w:pageBreakBefore w:val="0"/>
        <w:kinsoku/>
        <w:wordWrap/>
        <w:overflowPunct/>
        <w:topLinePunct w:val="0"/>
        <w:bidi w:val="0"/>
        <w:spacing w:beforeAutospacing="0" w:line="400" w:lineRule="atLeast"/>
        <w:ind w:left="840" w:leftChars="400"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kern w:val="2"/>
          <w:sz w:val="21"/>
          <w:szCs w:val="21"/>
          <w:highlight w:val="none"/>
        </w:rPr>
        <w:t>供应商</w:t>
      </w:r>
      <w:r>
        <w:rPr>
          <w:rFonts w:hint="eastAsia" w:ascii="宋体" w:hAnsi="宋体" w:eastAsia="宋体" w:cs="宋体"/>
          <w:b w:val="0"/>
          <w:bCs w:val="0"/>
          <w:color w:val="auto"/>
          <w:kern w:val="2"/>
          <w:sz w:val="21"/>
          <w:szCs w:val="21"/>
          <w:highlight w:val="none"/>
          <w:lang w:val="en-US" w:eastAsia="zh-CN"/>
        </w:rPr>
        <w:t>也可以</w:t>
      </w:r>
      <w:r>
        <w:rPr>
          <w:rFonts w:hint="eastAsia" w:ascii="宋体" w:hAnsi="宋体" w:eastAsia="宋体" w:cs="宋体"/>
          <w:b w:val="0"/>
          <w:bCs w:val="0"/>
          <w:color w:val="auto"/>
          <w:kern w:val="2"/>
          <w:sz w:val="21"/>
          <w:szCs w:val="21"/>
          <w:highlight w:val="none"/>
        </w:rPr>
        <w:t>登录政采云前台大厅选择金融服务-</w:t>
      </w:r>
      <w:r>
        <w:rPr>
          <w:rFonts w:hint="eastAsia" w:ascii="宋体" w:hAnsi="宋体" w:eastAsia="宋体" w:cs="宋体"/>
          <w:b w:val="0"/>
          <w:bCs w:val="0"/>
          <w:color w:val="auto"/>
          <w:kern w:val="2"/>
          <w:sz w:val="21"/>
          <w:szCs w:val="21"/>
          <w:highlight w:val="none"/>
          <w:lang w:val="en-US" w:eastAsia="zh-CN"/>
        </w:rPr>
        <w:t>[</w:t>
      </w:r>
      <w:r>
        <w:rPr>
          <w:rFonts w:hint="eastAsia" w:ascii="宋体" w:hAnsi="宋体" w:eastAsia="宋体" w:cs="宋体"/>
          <w:b w:val="0"/>
          <w:bCs w:val="0"/>
          <w:color w:val="auto"/>
          <w:kern w:val="2"/>
          <w:sz w:val="21"/>
          <w:szCs w:val="21"/>
          <w:highlight w:val="none"/>
        </w:rPr>
        <w:t>保函保险服务</w:t>
      </w:r>
      <w:r>
        <w:rPr>
          <w:rFonts w:hint="eastAsia" w:ascii="宋体" w:hAnsi="宋体" w:eastAsia="宋体" w:cs="宋体"/>
          <w:b w:val="0"/>
          <w:bCs w:val="0"/>
          <w:color w:val="auto"/>
          <w:kern w:val="2"/>
          <w:sz w:val="21"/>
          <w:szCs w:val="21"/>
          <w:highlight w:val="none"/>
          <w:lang w:val="en-US" w:eastAsia="zh-CN"/>
        </w:rPr>
        <w:t>]</w:t>
      </w:r>
      <w:r>
        <w:rPr>
          <w:rFonts w:hint="eastAsia" w:ascii="宋体" w:hAnsi="宋体" w:eastAsia="宋体" w:cs="宋体"/>
          <w:b w:val="0"/>
          <w:bCs w:val="0"/>
          <w:color w:val="auto"/>
          <w:kern w:val="2"/>
          <w:sz w:val="21"/>
          <w:szCs w:val="21"/>
          <w:highlight w:val="none"/>
        </w:rPr>
        <w:t>出具预付款保函，具体步骤：选择产品—填写供应商信息—选择中标项目—确认信息—等待保险/保函受理—确认保单—支付保费—成功出单。政采云金融专线400-903-9583。</w:t>
      </w:r>
      <w:r>
        <w:rPr>
          <w:rFonts w:hint="eastAsia" w:ascii="宋体" w:hAnsi="宋体" w:eastAsia="宋体" w:cs="宋体"/>
          <w:b w:val="0"/>
          <w:bCs w:val="0"/>
          <w:snapToGrid w:val="0"/>
          <w:color w:val="auto"/>
          <w:kern w:val="28"/>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w:t>
      </w:r>
    </w:p>
    <w:p>
      <w:pPr>
        <w:pStyle w:val="12"/>
        <w:pageBreakBefore w:val="0"/>
        <w:kinsoku/>
        <w:wordWrap/>
        <w:overflowPunct/>
        <w:topLinePunct w:val="0"/>
        <w:bidi w:val="0"/>
        <w:spacing w:beforeAutospacing="0" w:line="400" w:lineRule="atLeast"/>
        <w:ind w:left="840" w:leftChars="400" w:firstLine="0" w:firstLineChars="0"/>
        <w:textAlignment w:val="auto"/>
        <w:rPr>
          <w:rFonts w:hint="eastAsia" w:ascii="宋体" w:hAnsi="宋体" w:eastAsia="宋体" w:cs="宋体"/>
          <w:color w:val="auto"/>
          <w:sz w:val="21"/>
          <w:szCs w:val="21"/>
          <w:highlight w:val="none"/>
          <w:lang w:val="en-US" w:eastAsia="zh-CN"/>
        </w:rPr>
      </w:pPr>
    </w:p>
    <w:p>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八、电子交易活动的中止</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电子交易活动的中止。</w:t>
      </w:r>
      <w:r>
        <w:rPr>
          <w:rFonts w:hint="eastAsia" w:ascii="宋体" w:hAnsi="宋体" w:eastAsia="宋体" w:cs="宋体"/>
          <w:b w:val="0"/>
          <w:bCs/>
          <w:color w:val="auto"/>
          <w:sz w:val="21"/>
          <w:szCs w:val="21"/>
          <w:highlight w:val="none"/>
          <w:lang w:val="en-US" w:eastAsia="zh-CN"/>
        </w:rPr>
        <w:t>采购过程中出现以下情形，导致电子交易平台无法正常运行，或者无法保证电子交易的公平、公正和安全时，采购代理机构可中止电子交易活动：</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 xml:space="preserve">电子交易平台发生故障而无法登录访问的； </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电子交易平台应用或数据库出现错误，不能进行正常操作的；</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电子交易平台发现严重安全漏洞，有潜在泄密危险的；</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 xml:space="preserve">病毒发作导致不能进行正常操作的； </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其他无法保证电子交易的公平、公正和安全的情况。</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出现以上情形，不影响采购公平、公正性的，采购组织机构可以待上述情形消除后继续组织电子交易活动，也可以决定某些环节以纸质形式进行；影响或可能影响采购公平、公正性的，应当重新采购。</w:t>
      </w:r>
    </w:p>
    <w:p>
      <w:pPr>
        <w:pageBreakBefore w:val="0"/>
        <w:tabs>
          <w:tab w:val="left" w:pos="0"/>
        </w:tabs>
        <w:kinsoku/>
        <w:wordWrap/>
        <w:overflowPunct/>
        <w:topLinePunct w:val="0"/>
        <w:bidi w:val="0"/>
        <w:spacing w:beforeAutospacing="0" w:line="400" w:lineRule="atLeast"/>
        <w:ind w:firstLine="480"/>
        <w:textAlignment w:val="auto"/>
        <w:rPr>
          <w:rFonts w:hint="eastAsia" w:ascii="宋体" w:hAnsi="宋体" w:eastAsia="宋体" w:cs="宋体"/>
          <w:color w:val="auto"/>
          <w:sz w:val="21"/>
          <w:szCs w:val="21"/>
          <w:highlight w:val="none"/>
        </w:rPr>
      </w:pPr>
    </w:p>
    <w:p>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九、验收</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验收</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采购人可以邀请参加本项目的其他磋商供应商或者第三方机构参与验收。参与验收的磋商供应商或者第三方机构的意见作为验收书的参考资料一并存档。</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color w:val="auto"/>
          <w:sz w:val="32"/>
          <w:szCs w:val="20"/>
          <w:highlight w:val="none"/>
          <w:lang w:val="en-US" w:eastAsia="zh-CN"/>
        </w:rPr>
      </w:pPr>
      <w:r>
        <w:rPr>
          <w:rFonts w:hint="eastAsia" w:ascii="宋体" w:hAnsi="宋体" w:cs="宋体"/>
          <w:b w:val="0"/>
          <w:bCs w:val="0"/>
          <w:color w:val="auto"/>
          <w:sz w:val="21"/>
          <w:szCs w:val="21"/>
          <w:highlight w:val="none"/>
          <w:lang w:val="en-US" w:eastAsia="zh-CN"/>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25"/>
    </w:p>
    <w:p>
      <w:pPr>
        <w:adjustRightInd/>
        <w:spacing w:line="360" w:lineRule="auto"/>
        <w:jc w:val="center"/>
        <w:outlineLvl w:val="0"/>
        <w:rPr>
          <w:rFonts w:hint="eastAsia" w:ascii="宋体" w:hAnsi="宋体" w:eastAsia="宋体" w:cs="宋体"/>
          <w:b/>
          <w:color w:val="auto"/>
          <w:sz w:val="32"/>
          <w:szCs w:val="20"/>
          <w:highlight w:val="none"/>
          <w:lang w:val="en-US" w:eastAsia="zh-CN"/>
        </w:rPr>
      </w:pPr>
      <w:r>
        <w:rPr>
          <w:rFonts w:hint="eastAsia" w:ascii="宋体" w:hAnsi="宋体" w:cs="宋体"/>
          <w:b/>
          <w:color w:val="auto"/>
          <w:sz w:val="32"/>
          <w:szCs w:val="20"/>
          <w:highlight w:val="none"/>
          <w:lang w:val="en-US" w:eastAsia="zh-CN"/>
        </w:rPr>
        <w:t>十</w:t>
      </w:r>
      <w:r>
        <w:rPr>
          <w:rFonts w:hint="eastAsia" w:ascii="宋体" w:hAnsi="宋体" w:eastAsia="宋体" w:cs="宋体"/>
          <w:b/>
          <w:color w:val="auto"/>
          <w:sz w:val="32"/>
          <w:szCs w:val="20"/>
          <w:highlight w:val="none"/>
        </w:rPr>
        <w:t>、</w:t>
      </w:r>
      <w:r>
        <w:rPr>
          <w:rFonts w:hint="eastAsia" w:ascii="宋体" w:hAnsi="宋体" w:cs="宋体"/>
          <w:b/>
          <w:color w:val="auto"/>
          <w:sz w:val="32"/>
          <w:szCs w:val="20"/>
          <w:highlight w:val="none"/>
          <w:lang w:val="en-US" w:eastAsia="zh-CN"/>
        </w:rPr>
        <w:t>代理服务费</w:t>
      </w:r>
    </w:p>
    <w:p>
      <w:pPr>
        <w:pageBreakBefore w:val="0"/>
        <w:numPr>
          <w:ilvl w:val="0"/>
          <w:numId w:val="3"/>
        </w:numPr>
        <w:kinsoku/>
        <w:wordWrap/>
        <w:overflowPunct/>
        <w:topLinePunct w:val="0"/>
        <w:bidi w:val="0"/>
        <w:snapToGrid w:val="0"/>
        <w:spacing w:beforeAutospacing="0" w:line="400" w:lineRule="atLeast"/>
        <w:jc w:val="both"/>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代理服务费</w:t>
      </w:r>
    </w:p>
    <w:p>
      <w:pPr>
        <w:pageBreakBefore w:val="0"/>
        <w:numPr>
          <w:ilvl w:val="1"/>
          <w:numId w:val="3"/>
        </w:numPr>
        <w:kinsoku/>
        <w:wordWrap/>
        <w:overflowPunct/>
        <w:topLinePunct w:val="0"/>
        <w:bidi w:val="0"/>
        <w:snapToGrid w:val="0"/>
        <w:spacing w:beforeAutospacing="0" w:line="400" w:lineRule="atLeast"/>
        <w:jc w:val="both"/>
        <w:textAlignment w:val="auto"/>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磋商代理服务费：成交供应商须向磋商代理机构交纳代理服务费，代理服务费按国家计委计价格[2002]1980号文件规定收取，不足8000元的按8000元收取。代理服务费不在报价中单列，该项费用必须在领取成交通知书前一次性付清，请报价人在报价时予以考虑。</w:t>
      </w:r>
    </w:p>
    <w:p>
      <w:pPr>
        <w:pageBreakBefore w:val="0"/>
        <w:kinsoku/>
        <w:wordWrap/>
        <w:overflowPunct/>
        <w:topLinePunct w:val="0"/>
        <w:bidi w:val="0"/>
        <w:spacing w:before="120" w:beforeAutospacing="0" w:after="120" w:line="400" w:lineRule="atLeast"/>
        <w:textAlignment w:val="auto"/>
        <w:rPr>
          <w:rFonts w:hint="eastAsia" w:ascii="宋体" w:hAnsi="宋体" w:cs="宋体"/>
          <w:b/>
          <w:color w:val="auto"/>
          <w:sz w:val="21"/>
          <w:szCs w:val="21"/>
          <w:highlight w:val="none"/>
        </w:rPr>
      </w:pPr>
      <w:r>
        <w:rPr>
          <w:rFonts w:hint="eastAsia" w:ascii="宋体" w:hAnsi="宋体" w:cs="宋体"/>
          <w:b/>
          <w:color w:val="auto"/>
          <w:sz w:val="21"/>
          <w:szCs w:val="21"/>
          <w:highlight w:val="none"/>
        </w:rPr>
        <w:t>附表一：</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9"/>
        <w:gridCol w:w="1968"/>
        <w:gridCol w:w="2287"/>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2719" w:type="dxa"/>
            <w:vAlign w:val="center"/>
          </w:tcPr>
          <w:p>
            <w:pPr>
              <w:pageBreakBefore w:val="0"/>
              <w:kinsoku/>
              <w:wordWrap/>
              <w:overflowPunct/>
              <w:topLinePunct w:val="0"/>
              <w:bidi w:val="0"/>
              <w:spacing w:beforeAutospacing="0" w:line="400" w:lineRule="atLeast"/>
              <w:textAlignment w:val="auto"/>
              <w:rPr>
                <w:rFonts w:hint="eastAsia" w:ascii="宋体" w:hAnsi="宋体" w:cs="宋体"/>
                <w:b/>
                <w:color w:val="auto"/>
                <w:sz w:val="21"/>
                <w:szCs w:val="21"/>
                <w:highlight w:val="none"/>
              </w:rPr>
            </w:pPr>
            <w:r>
              <w:rPr>
                <w:rFonts w:hint="eastAsia" w:ascii="宋体" w:hAnsi="宋体" w:cs="宋体"/>
                <w:b/>
                <w:color w:val="auto"/>
                <w:sz w:val="21"/>
                <w:szCs w:val="21"/>
                <w:highlight w:val="none"/>
              </w:rPr>
              <mc:AlternateContent>
                <mc:Choice Requires="wpg">
                  <w:drawing>
                    <wp:anchor distT="0" distB="0" distL="114300" distR="114300" simplePos="0" relativeHeight="251659264" behindDoc="0" locked="0" layoutInCell="1" allowOverlap="1">
                      <wp:simplePos x="0" y="0"/>
                      <wp:positionH relativeFrom="column">
                        <wp:posOffset>-43815</wp:posOffset>
                      </wp:positionH>
                      <wp:positionV relativeFrom="paragraph">
                        <wp:posOffset>0</wp:posOffset>
                      </wp:positionV>
                      <wp:extent cx="1668780" cy="1082040"/>
                      <wp:effectExtent l="1270" t="3175" r="6350" b="19685"/>
                      <wp:wrapNone/>
                      <wp:docPr id="5" name="Group 4"/>
                      <wp:cNvGraphicFramePr/>
                      <a:graphic xmlns:a="http://schemas.openxmlformats.org/drawingml/2006/main">
                        <a:graphicData uri="http://schemas.microsoft.com/office/word/2010/wordprocessingGroup">
                          <wpg:wgp>
                            <wpg:cNvGrpSpPr/>
                            <wpg:grpSpPr>
                              <a:xfrm>
                                <a:off x="0" y="0"/>
                                <a:ext cx="1668780" cy="1082040"/>
                                <a:chOff x="0" y="0"/>
                                <a:chExt cx="2711" cy="2121"/>
                              </a:xfrm>
                              <a:effectLst/>
                            </wpg:grpSpPr>
                            <wps:wsp>
                              <wps:cNvPr id="6" name="__TH_L32"/>
                              <wps:cNvCnPr/>
                              <wps:spPr bwMode="auto">
                                <a:xfrm>
                                  <a:off x="1355" y="0"/>
                                  <a:ext cx="1356" cy="2120"/>
                                </a:xfrm>
                                <a:prstGeom prst="line">
                                  <a:avLst/>
                                </a:prstGeom>
                                <a:noFill/>
                                <a:ln w="6350">
                                  <a:solidFill>
                                    <a:srgbClr val="000000"/>
                                  </a:solidFill>
                                  <a:round/>
                                </a:ln>
                                <a:effectLst/>
                              </wps:spPr>
                              <wps:bodyPr/>
                            </wps:wsp>
                            <wps:wsp>
                              <wps:cNvPr id="7" name="__TH_L33"/>
                              <wps:cNvCnPr/>
                              <wps:spPr bwMode="auto">
                                <a:xfrm>
                                  <a:off x="0" y="1060"/>
                                  <a:ext cx="2711" cy="1060"/>
                                </a:xfrm>
                                <a:prstGeom prst="line">
                                  <a:avLst/>
                                </a:prstGeom>
                                <a:noFill/>
                                <a:ln w="6350">
                                  <a:solidFill>
                                    <a:srgbClr val="000000"/>
                                  </a:solidFill>
                                  <a:round/>
                                </a:ln>
                                <a:effectLst/>
                              </wps:spPr>
                              <wps:bodyPr/>
                            </wps:wsp>
                            <wps:wsp>
                              <wps:cNvPr id="8" name="__TH_B1134"/>
                              <wps:cNvSpPr txBox="1">
                                <a:spLocks noChangeArrowheads="1"/>
                              </wps:cNvSpPr>
                              <wps:spPr bwMode="auto">
                                <a:xfrm>
                                  <a:off x="2028" y="166"/>
                                  <a:ext cx="253" cy="262"/>
                                </a:xfrm>
                                <a:prstGeom prst="rect">
                                  <a:avLst/>
                                </a:prstGeom>
                                <a:noFill/>
                                <a:ln>
                                  <a:noFill/>
                                </a:ln>
                                <a:effectLst/>
                              </wps:spPr>
                              <wps:txbx>
                                <w:txbxContent>
                                  <w:p>
                                    <w:pPr>
                                      <w:snapToGrid w:val="0"/>
                                    </w:pPr>
                                    <w:r>
                                      <w:rPr>
                                        <w:rFonts w:hint="eastAsia"/>
                                      </w:rPr>
                                      <w:t>服</w:t>
                                    </w:r>
                                  </w:p>
                                </w:txbxContent>
                              </wps:txbx>
                              <wps:bodyPr rot="0" vert="horz" wrap="square" lIns="0" tIns="0" rIns="0" bIns="0" anchor="t" anchorCtr="0" upright="1">
                                <a:noAutofit/>
                              </wps:bodyPr>
                            </wps:wsp>
                            <wps:wsp>
                              <wps:cNvPr id="9" name="__TH_B1235"/>
                              <wps:cNvSpPr txBox="1">
                                <a:spLocks noChangeArrowheads="1"/>
                              </wps:cNvSpPr>
                              <wps:spPr bwMode="auto">
                                <a:xfrm>
                                  <a:off x="2151" y="550"/>
                                  <a:ext cx="253" cy="263"/>
                                </a:xfrm>
                                <a:prstGeom prst="rect">
                                  <a:avLst/>
                                </a:prstGeom>
                                <a:noFill/>
                                <a:ln>
                                  <a:noFill/>
                                </a:ln>
                                <a:effectLst/>
                              </wps:spPr>
                              <wps:txbx>
                                <w:txbxContent>
                                  <w:p>
                                    <w:pPr>
                                      <w:snapToGrid w:val="0"/>
                                    </w:pPr>
                                    <w:r>
                                      <w:rPr>
                                        <w:rFonts w:hint="eastAsia"/>
                                      </w:rPr>
                                      <w:t>务</w:t>
                                    </w:r>
                                  </w:p>
                                </w:txbxContent>
                              </wps:txbx>
                              <wps:bodyPr rot="0" vert="horz" wrap="square" lIns="0" tIns="0" rIns="0" bIns="0" anchor="t" anchorCtr="0" upright="1">
                                <a:noAutofit/>
                              </wps:bodyPr>
                            </wps:wsp>
                            <wps:wsp>
                              <wps:cNvPr id="10" name="__TH_B1336"/>
                              <wps:cNvSpPr txBox="1">
                                <a:spLocks noChangeArrowheads="1"/>
                              </wps:cNvSpPr>
                              <wps:spPr bwMode="auto">
                                <a:xfrm>
                                  <a:off x="2274" y="935"/>
                                  <a:ext cx="253" cy="262"/>
                                </a:xfrm>
                                <a:prstGeom prst="rect">
                                  <a:avLst/>
                                </a:prstGeom>
                                <a:noFill/>
                                <a:ln>
                                  <a:noFill/>
                                </a:ln>
                                <a:effectLst/>
                              </wps:spPr>
                              <wps:txbx>
                                <w:txbxContent>
                                  <w:p>
                                    <w:pPr>
                                      <w:snapToGrid w:val="0"/>
                                    </w:pPr>
                                    <w:r>
                                      <w:rPr>
                                        <w:rFonts w:hint="eastAsia"/>
                                      </w:rPr>
                                      <w:t>类</w:t>
                                    </w:r>
                                  </w:p>
                                </w:txbxContent>
                              </wps:txbx>
                              <wps:bodyPr rot="0" vert="horz" wrap="square" lIns="0" tIns="0" rIns="0" bIns="0" anchor="t" anchorCtr="0" upright="1">
                                <a:noAutofit/>
                              </wps:bodyPr>
                            </wps:wsp>
                            <wps:wsp>
                              <wps:cNvPr id="11" name="__TH_B1437"/>
                              <wps:cNvSpPr txBox="1">
                                <a:spLocks noChangeArrowheads="1"/>
                              </wps:cNvSpPr>
                              <wps:spPr bwMode="auto">
                                <a:xfrm>
                                  <a:off x="2397" y="1319"/>
                                  <a:ext cx="253" cy="263"/>
                                </a:xfrm>
                                <a:prstGeom prst="rect">
                                  <a:avLst/>
                                </a:prstGeom>
                                <a:noFill/>
                                <a:ln>
                                  <a:noFill/>
                                </a:ln>
                                <a:effectLst/>
                              </wps:spPr>
                              <wps:txbx>
                                <w:txbxContent>
                                  <w:p>
                                    <w:pPr>
                                      <w:snapToGrid w:val="0"/>
                                    </w:pPr>
                                    <w:r>
                                      <w:rPr>
                                        <w:rFonts w:hint="eastAsia"/>
                                      </w:rPr>
                                      <w:t>型</w:t>
                                    </w:r>
                                  </w:p>
                                </w:txbxContent>
                              </wps:txbx>
                              <wps:bodyPr rot="0" vert="horz" wrap="square" lIns="0" tIns="0" rIns="0" bIns="0" anchor="t" anchorCtr="0" upright="1">
                                <a:noAutofit/>
                              </wps:bodyPr>
                            </wps:wsp>
                            <wps:wsp>
                              <wps:cNvPr id="12" name="__TH_B2138"/>
                              <wps:cNvSpPr txBox="1">
                                <a:spLocks noChangeArrowheads="1"/>
                              </wps:cNvSpPr>
                              <wps:spPr bwMode="auto">
                                <a:xfrm>
                                  <a:off x="602" y="418"/>
                                  <a:ext cx="253" cy="262"/>
                                </a:xfrm>
                                <a:prstGeom prst="rect">
                                  <a:avLst/>
                                </a:prstGeom>
                                <a:noFill/>
                                <a:ln>
                                  <a:noFill/>
                                </a:ln>
                                <a:effectLst/>
                              </wps:spPr>
                              <wps:txbx>
                                <w:txbxContent>
                                  <w:p>
                                    <w:pPr>
                                      <w:snapToGrid w:val="0"/>
                                    </w:pPr>
                                    <w:r>
                                      <w:rPr>
                                        <w:rFonts w:hint="eastAsia"/>
                                      </w:rPr>
                                      <w:t>费</w:t>
                                    </w:r>
                                  </w:p>
                                </w:txbxContent>
                              </wps:txbx>
                              <wps:bodyPr rot="0" vert="horz" wrap="square" lIns="0" tIns="0" rIns="0" bIns="0" anchor="t" anchorCtr="0" upright="1">
                                <a:noAutofit/>
                              </wps:bodyPr>
                            </wps:wsp>
                            <wps:wsp>
                              <wps:cNvPr id="13" name="__TH_B2239"/>
                              <wps:cNvSpPr txBox="1">
                                <a:spLocks noChangeArrowheads="1"/>
                              </wps:cNvSpPr>
                              <wps:spPr bwMode="auto">
                                <a:xfrm>
                                  <a:off x="1738" y="1306"/>
                                  <a:ext cx="253" cy="263"/>
                                </a:xfrm>
                                <a:prstGeom prst="rect">
                                  <a:avLst/>
                                </a:prstGeom>
                                <a:noFill/>
                                <a:ln>
                                  <a:noFill/>
                                </a:ln>
                                <a:effectLst/>
                              </wps:spPr>
                              <wps:txbx>
                                <w:txbxContent>
                                  <w:p>
                                    <w:pPr>
                                      <w:snapToGrid w:val="0"/>
                                    </w:pPr>
                                    <w:r>
                                      <w:rPr>
                                        <w:rFonts w:hint="eastAsia"/>
                                      </w:rPr>
                                      <w:t>率</w:t>
                                    </w:r>
                                  </w:p>
                                </w:txbxContent>
                              </wps:txbx>
                              <wps:bodyPr rot="0" vert="horz" wrap="square" lIns="0" tIns="0" rIns="0" bIns="0" anchor="t" anchorCtr="0" upright="1">
                                <a:noAutofit/>
                              </wps:bodyPr>
                            </wps:wsp>
                            <wps:wsp>
                              <wps:cNvPr id="14" name="__TH_B3140"/>
                              <wps:cNvSpPr txBox="1">
                                <a:spLocks noChangeArrowheads="1"/>
                              </wps:cNvSpPr>
                              <wps:spPr bwMode="auto">
                                <a:xfrm>
                                  <a:off x="134" y="1505"/>
                                  <a:ext cx="253" cy="262"/>
                                </a:xfrm>
                                <a:prstGeom prst="rect">
                                  <a:avLst/>
                                </a:prstGeom>
                                <a:noFill/>
                                <a:ln>
                                  <a:noFill/>
                                </a:ln>
                                <a:effectLst/>
                              </wps:spPr>
                              <wps:txbx>
                                <w:txbxContent>
                                  <w:p>
                                    <w:pPr>
                                      <w:snapToGrid w:val="0"/>
                                    </w:pPr>
                                    <w:r>
                                      <w:rPr>
                                        <w:rFonts w:hint="eastAsia"/>
                                      </w:rPr>
                                      <w:t>中</w:t>
                                    </w:r>
                                  </w:p>
                                </w:txbxContent>
                              </wps:txbx>
                              <wps:bodyPr rot="0" vert="horz" wrap="square" lIns="0" tIns="0" rIns="0" bIns="0" anchor="t" anchorCtr="0" upright="1">
                                <a:noAutofit/>
                              </wps:bodyPr>
                            </wps:wsp>
                            <wps:wsp>
                              <wps:cNvPr id="15" name="__TH_B3241"/>
                              <wps:cNvSpPr txBox="1">
                                <a:spLocks noChangeArrowheads="1"/>
                              </wps:cNvSpPr>
                              <wps:spPr bwMode="auto">
                                <a:xfrm>
                                  <a:off x="393" y="1555"/>
                                  <a:ext cx="252" cy="263"/>
                                </a:xfrm>
                                <a:prstGeom prst="rect">
                                  <a:avLst/>
                                </a:prstGeom>
                                <a:noFill/>
                                <a:ln>
                                  <a:noFill/>
                                </a:ln>
                                <a:effectLst/>
                              </wps:spPr>
                              <wps:txbx>
                                <w:txbxContent>
                                  <w:p>
                                    <w:pPr>
                                      <w:snapToGrid w:val="0"/>
                                    </w:pPr>
                                    <w:r>
                                      <w:rPr>
                                        <w:rFonts w:hint="eastAsia"/>
                                      </w:rPr>
                                      <w:t>标</w:t>
                                    </w:r>
                                  </w:p>
                                </w:txbxContent>
                              </wps:txbx>
                              <wps:bodyPr rot="0" vert="horz" wrap="square" lIns="0" tIns="0" rIns="0" bIns="0" anchor="t" anchorCtr="0" upright="1">
                                <a:noAutofit/>
                              </wps:bodyPr>
                            </wps:wsp>
                            <wps:wsp>
                              <wps:cNvPr id="16" name="__TH_B3342"/>
                              <wps:cNvSpPr txBox="1">
                                <a:spLocks noChangeArrowheads="1"/>
                              </wps:cNvSpPr>
                              <wps:spPr bwMode="auto">
                                <a:xfrm>
                                  <a:off x="652" y="1606"/>
                                  <a:ext cx="252" cy="262"/>
                                </a:xfrm>
                                <a:prstGeom prst="rect">
                                  <a:avLst/>
                                </a:prstGeom>
                                <a:noFill/>
                                <a:ln>
                                  <a:noFill/>
                                </a:ln>
                                <a:effectLst/>
                              </wps:spPr>
                              <wps:txbx>
                                <w:txbxContent>
                                  <w:p>
                                    <w:pPr>
                                      <w:snapToGrid w:val="0"/>
                                    </w:pPr>
                                    <w:r>
                                      <w:rPr>
                                        <w:rFonts w:hint="eastAsia"/>
                                      </w:rPr>
                                      <w:t>金</w:t>
                                    </w:r>
                                  </w:p>
                                </w:txbxContent>
                              </wps:txbx>
                              <wps:bodyPr rot="0" vert="horz" wrap="square" lIns="0" tIns="0" rIns="0" bIns="0" anchor="t" anchorCtr="0" upright="1">
                                <a:noAutofit/>
                              </wps:bodyPr>
                            </wps:wsp>
                            <wps:wsp>
                              <wps:cNvPr id="17" name="__TH_B3443"/>
                              <wps:cNvSpPr txBox="1">
                                <a:spLocks noChangeArrowheads="1"/>
                              </wps:cNvSpPr>
                              <wps:spPr bwMode="auto">
                                <a:xfrm>
                                  <a:off x="910" y="1656"/>
                                  <a:ext cx="253" cy="263"/>
                                </a:xfrm>
                                <a:prstGeom prst="rect">
                                  <a:avLst/>
                                </a:prstGeom>
                                <a:noFill/>
                                <a:ln>
                                  <a:noFill/>
                                </a:ln>
                                <a:effectLst/>
                              </wps:spPr>
                              <wps:txbx>
                                <w:txbxContent>
                                  <w:p>
                                    <w:pPr>
                                      <w:snapToGrid w:val="0"/>
                                    </w:pPr>
                                    <w:r>
                                      <w:rPr>
                                        <w:rFonts w:hint="eastAsia"/>
                                      </w:rPr>
                                      <w:t>额</w:t>
                                    </w:r>
                                  </w:p>
                                </w:txbxContent>
                              </wps:txbx>
                              <wps:bodyPr rot="0" vert="horz" wrap="square" lIns="0" tIns="0" rIns="0" bIns="0" anchor="t" anchorCtr="0" upright="1">
                                <a:noAutofit/>
                              </wps:bodyPr>
                            </wps:wsp>
                            <wps:wsp>
                              <wps:cNvPr id="18" name="__TH_B3544"/>
                              <wps:cNvSpPr txBox="1">
                                <a:spLocks noChangeArrowheads="1"/>
                              </wps:cNvSpPr>
                              <wps:spPr bwMode="auto">
                                <a:xfrm>
                                  <a:off x="1169" y="1707"/>
                                  <a:ext cx="252" cy="262"/>
                                </a:xfrm>
                                <a:prstGeom prst="rect">
                                  <a:avLst/>
                                </a:prstGeom>
                                <a:noFill/>
                                <a:ln>
                                  <a:noFill/>
                                </a:ln>
                                <a:effectLst/>
                              </wps:spPr>
                              <wps:txbx>
                                <w:txbxContent>
                                  <w:p>
                                    <w:pPr>
                                      <w:snapToGrid w:val="0"/>
                                    </w:pPr>
                                    <w:r>
                                      <w:rPr>
                                        <w:rFonts w:hint="eastAsia"/>
                                      </w:rPr>
                                      <w:t>（</w:t>
                                    </w:r>
                                  </w:p>
                                </w:txbxContent>
                              </wps:txbx>
                              <wps:bodyPr rot="0" vert="horz" wrap="square" lIns="0" tIns="0" rIns="0" bIns="0" anchor="t" anchorCtr="0" upright="1">
                                <a:noAutofit/>
                              </wps:bodyPr>
                            </wps:wsp>
                            <wps:wsp>
                              <wps:cNvPr id="19" name="__TH_B3645"/>
                              <wps:cNvSpPr txBox="1">
                                <a:spLocks noChangeArrowheads="1"/>
                              </wps:cNvSpPr>
                              <wps:spPr bwMode="auto">
                                <a:xfrm>
                                  <a:off x="1427" y="1757"/>
                                  <a:ext cx="253" cy="263"/>
                                </a:xfrm>
                                <a:prstGeom prst="rect">
                                  <a:avLst/>
                                </a:prstGeom>
                                <a:noFill/>
                                <a:ln>
                                  <a:noFill/>
                                </a:ln>
                                <a:effectLst/>
                              </wps:spPr>
                              <wps:txbx>
                                <w:txbxContent>
                                  <w:p>
                                    <w:pPr>
                                      <w:snapToGrid w:val="0"/>
                                    </w:pPr>
                                    <w:r>
                                      <w:rPr>
                                        <w:rFonts w:hint="eastAsia"/>
                                      </w:rPr>
                                      <w:t>万</w:t>
                                    </w:r>
                                  </w:p>
                                </w:txbxContent>
                              </wps:txbx>
                              <wps:bodyPr rot="0" vert="horz" wrap="square" lIns="0" tIns="0" rIns="0" bIns="0" anchor="t" anchorCtr="0" upright="1">
                                <a:noAutofit/>
                              </wps:bodyPr>
                            </wps:wsp>
                            <wps:wsp>
                              <wps:cNvPr id="20" name="__TH_B3746"/>
                              <wps:cNvSpPr txBox="1">
                                <a:spLocks noChangeArrowheads="1"/>
                              </wps:cNvSpPr>
                              <wps:spPr bwMode="auto">
                                <a:xfrm>
                                  <a:off x="1712" y="1808"/>
                                  <a:ext cx="201" cy="262"/>
                                </a:xfrm>
                                <a:prstGeom prst="rect">
                                  <a:avLst/>
                                </a:prstGeom>
                                <a:noFill/>
                                <a:ln>
                                  <a:noFill/>
                                </a:ln>
                                <a:effectLst/>
                              </wps:spPr>
                              <wps:txbx>
                                <w:txbxContent>
                                  <w:p>
                                    <w:pPr>
                                      <w:snapToGrid w:val="0"/>
                                    </w:pPr>
                                    <w:r>
                                      <w:rPr>
                                        <w:rFonts w:hint="eastAsia"/>
                                      </w:rPr>
                                      <w:t>元</w:t>
                                    </w:r>
                                  </w:p>
                                </w:txbxContent>
                              </wps:txbx>
                              <wps:bodyPr rot="0" vert="horz" wrap="square" lIns="0" tIns="0" rIns="0" bIns="0" anchor="t" anchorCtr="0" upright="1">
                                <a:noAutofit/>
                              </wps:bodyPr>
                            </wps:wsp>
                            <wps:wsp>
                              <wps:cNvPr id="21" name="__TH_B3847"/>
                              <wps:cNvSpPr txBox="1">
                                <a:spLocks noChangeArrowheads="1"/>
                              </wps:cNvSpPr>
                              <wps:spPr bwMode="auto">
                                <a:xfrm>
                                  <a:off x="2047" y="1858"/>
                                  <a:ext cx="48" cy="263"/>
                                </a:xfrm>
                                <a:prstGeom prst="rect">
                                  <a:avLst/>
                                </a:prstGeom>
                                <a:noFill/>
                                <a:ln>
                                  <a:noFill/>
                                </a:ln>
                                <a:effectLst/>
                              </wps:spPr>
                              <wps:txbx>
                                <w:txbxContent>
                                  <w:p>
                                    <w:pPr>
                                      <w:snapToGrid w:val="0"/>
                                    </w:pPr>
                                    <w:r>
                                      <w:rPr>
                                        <w:rFonts w:hint="eastAsia"/>
                                      </w:rPr>
                                      <w:t>）</w:t>
                                    </w:r>
                                  </w:p>
                                </w:txbxContent>
                              </wps:txbx>
                              <wps:bodyPr rot="0" vert="horz" wrap="square" lIns="0" tIns="0" rIns="0" bIns="0" anchor="t" anchorCtr="0" upright="1">
                                <a:noAutofit/>
                              </wps:bodyPr>
                            </wps:wsp>
                          </wpg:wgp>
                        </a:graphicData>
                      </a:graphic>
                    </wp:anchor>
                  </w:drawing>
                </mc:Choice>
                <mc:Fallback>
                  <w:pict>
                    <v:group id="Group 4" o:spid="_x0000_s1026" o:spt="203" style="position:absolute;left:0pt;margin-left:-3.45pt;margin-top:0pt;height:85.2pt;width:131.4pt;z-index:251659264;mso-width-relative:page;mso-height-relative:page;" coordsize="2711,2121" o:gfxdata="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BQOOd/XAAAABwEAAA8AAAAAAAAAAQAgAAAA&#10;IgAAAGRycy9kb3ducmV2LnhtbFBLAQIUABQAAAAIAIdO4kBA1x9RfwQAACYlAAAOAAAAAAAAAAEA&#10;IAAAACYBAABkcnMvZTJvRG9jLnhtbFBLBQYAAAAABgAGAFkBAAAXCAAAAAA=&#10;">
                      <o:lock v:ext="edit" aspectratio="f"/>
                      <v:line id="__TH_L32" o:spid="_x0000_s1026" o:spt="20" style="position:absolute;left:1355;top:0;height:2120;width:1356;" filled="f" stroked="t" coordsize="21600,21600" o:gfxdata="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7pAJugAAANo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__TH_L33" o:spid="_x0000_s1026" o:spt="20" style="position:absolute;left:0;top:1060;height:1060;width:2711;" filled="f" stroked="t" coordsize="21600,21600" o:gfxdata="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I1krsAAADa&#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shape id="__TH_B1134" o:spid="_x0000_s1026" o:spt="202" type="#_x0000_t202" style="position:absolute;left:2028;top:166;height:262;width:253;"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napToGrid w:val="0"/>
                              </w:pPr>
                              <w:r>
                                <w:rPr>
                                  <w:rFonts w:hint="eastAsia"/>
                                </w:rPr>
                                <w:t>服</w:t>
                              </w:r>
                            </w:p>
                          </w:txbxContent>
                        </v:textbox>
                      </v:shape>
                      <v:shape id="__TH_B1235" o:spid="_x0000_s1026" o:spt="202" type="#_x0000_t202" style="position:absolute;left:2151;top:550;height:263;width:253;" filled="f" stroked="f" coordsize="21600,21600" o:gfxdata="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c95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pPr>
                              <w:r>
                                <w:rPr>
                                  <w:rFonts w:hint="eastAsia"/>
                                </w:rPr>
                                <w:t>务</w:t>
                              </w:r>
                            </w:p>
                          </w:txbxContent>
                        </v:textbox>
                      </v:shape>
                      <v:shape id="__TH_B1336" o:spid="_x0000_s1026" o:spt="202" type="#_x0000_t202" style="position:absolute;left:2274;top:935;height:262;width:253;"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pPr>
                              <w:r>
                                <w:rPr>
                                  <w:rFonts w:hint="eastAsia"/>
                                </w:rPr>
                                <w:t>类</w:t>
                              </w:r>
                            </w:p>
                          </w:txbxContent>
                        </v:textbox>
                      </v:shape>
                      <v:shape id="__TH_B1437" o:spid="_x0000_s1026" o:spt="202" type="#_x0000_t202" style="position:absolute;left:2397;top:1319;height:263;width:253;"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napToGrid w:val="0"/>
                              </w:pPr>
                              <w:r>
                                <w:rPr>
                                  <w:rFonts w:hint="eastAsia"/>
                                </w:rPr>
                                <w:t>型</w:t>
                              </w:r>
                            </w:p>
                          </w:txbxContent>
                        </v:textbox>
                      </v:shape>
                      <v:shape id="__TH_B2138" o:spid="_x0000_s1026" o:spt="202" type="#_x0000_t202" style="position:absolute;left:602;top:418;height:262;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费</w:t>
                              </w:r>
                            </w:p>
                          </w:txbxContent>
                        </v:textbox>
                      </v:shape>
                      <v:shape id="__TH_B2239" o:spid="_x0000_s1026" o:spt="202" type="#_x0000_t202" style="position:absolute;left:1738;top:1306;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率</w:t>
                              </w:r>
                            </w:p>
                          </w:txbxContent>
                        </v:textbox>
                      </v:shape>
                      <v:shape id="__TH_B3140" o:spid="_x0000_s1026" o:spt="202" type="#_x0000_t202" style="position:absolute;left:134;top:1505;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中</w:t>
                              </w:r>
                            </w:p>
                          </w:txbxContent>
                        </v:textbox>
                      </v:shape>
                      <v:shape id="__TH_B3241" o:spid="_x0000_s1026" o:spt="202" type="#_x0000_t202" style="position:absolute;left:393;top:1555;height:263;width:252;"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标</w:t>
                              </w:r>
                            </w:p>
                          </w:txbxContent>
                        </v:textbox>
                      </v:shape>
                      <v:shape id="__TH_B3342" o:spid="_x0000_s1026" o:spt="202" type="#_x0000_t202" style="position:absolute;left:652;top:1606;height:262;width:252;"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金</w:t>
                              </w:r>
                            </w:p>
                          </w:txbxContent>
                        </v:textbox>
                      </v:shape>
                      <v:shape id="__TH_B3443" o:spid="_x0000_s1026" o:spt="202" type="#_x0000_t202" style="position:absolute;left:910;top:1656;height:263;width:253;"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额</w:t>
                              </w:r>
                            </w:p>
                          </w:txbxContent>
                        </v:textbox>
                      </v:shape>
                      <v:shape id="__TH_B3544" o:spid="_x0000_s1026" o:spt="202" type="#_x0000_t202" style="position:absolute;left:1169;top:1707;height:262;width:252;"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pPr>
                              <w:r>
                                <w:rPr>
                                  <w:rFonts w:hint="eastAsia"/>
                                </w:rPr>
                                <w:t>（</w:t>
                              </w:r>
                            </w:p>
                          </w:txbxContent>
                        </v:textbox>
                      </v:shape>
                      <v:shape id="__TH_B3645" o:spid="_x0000_s1026" o:spt="202" type="#_x0000_t202" style="position:absolute;left:1427;top:1757;height:263;width:253;"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pPr>
                              <w:r>
                                <w:rPr>
                                  <w:rFonts w:hint="eastAsia"/>
                                </w:rPr>
                                <w:t>万</w:t>
                              </w:r>
                            </w:p>
                          </w:txbxContent>
                        </v:textbox>
                      </v:shape>
                      <v:shape id="__TH_B3746" o:spid="_x0000_s1026" o:spt="202" type="#_x0000_t202" style="position:absolute;left:1712;top:1808;height:262;width:201;"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napToGrid w:val="0"/>
                              </w:pPr>
                              <w:r>
                                <w:rPr>
                                  <w:rFonts w:hint="eastAsia"/>
                                </w:rPr>
                                <w:t>元</w:t>
                              </w:r>
                            </w:p>
                          </w:txbxContent>
                        </v:textbox>
                      </v:shape>
                      <v:shape id="__TH_B3847" o:spid="_x0000_s1026" o:spt="202" type="#_x0000_t202" style="position:absolute;left:2047;top:1858;height:263;width:48;" filled="f" stroked="f" coordsize="21600,21600" o:gfxdata="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qen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pPr>
                              <w:r>
                                <w:rPr>
                                  <w:rFonts w:hint="eastAsia"/>
                                </w:rPr>
                                <w:t>）</w:t>
                              </w:r>
                            </w:p>
                          </w:txbxContent>
                        </v:textbox>
                      </v:shape>
                    </v:group>
                  </w:pict>
                </mc:Fallback>
              </mc:AlternateContent>
            </w:r>
          </w:p>
          <w:p>
            <w:pPr>
              <w:pageBreakBefore w:val="0"/>
              <w:kinsoku/>
              <w:wordWrap/>
              <w:overflowPunct/>
              <w:topLinePunct w:val="0"/>
              <w:bidi w:val="0"/>
              <w:spacing w:beforeAutospacing="0" w:line="400" w:lineRule="atLeast"/>
              <w:jc w:val="center"/>
              <w:textAlignment w:val="auto"/>
              <w:rPr>
                <w:rFonts w:hint="eastAsia" w:ascii="宋体" w:hAnsi="宋体" w:cs="宋体"/>
                <w:b/>
                <w:color w:val="auto"/>
                <w:sz w:val="21"/>
                <w:szCs w:val="21"/>
                <w:highlight w:val="none"/>
              </w:rPr>
            </w:pPr>
          </w:p>
        </w:tc>
        <w:tc>
          <w:tcPr>
            <w:tcW w:w="1968"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eastAsia="宋体" w:cs="宋体"/>
                <w:b/>
                <w:color w:val="auto"/>
                <w:sz w:val="21"/>
                <w:szCs w:val="21"/>
                <w:highlight w:val="none"/>
                <w:lang w:eastAsia="zh-CN"/>
              </w:rPr>
            </w:pPr>
            <w:r>
              <w:rPr>
                <w:rFonts w:hint="eastAsia" w:ascii="宋体" w:hAnsi="宋体" w:cs="宋体"/>
                <w:b/>
                <w:color w:val="auto"/>
                <w:sz w:val="21"/>
                <w:szCs w:val="21"/>
                <w:highlight w:val="none"/>
              </w:rPr>
              <w:t>货物</w:t>
            </w:r>
            <w:r>
              <w:rPr>
                <w:rFonts w:hint="eastAsia" w:ascii="宋体" w:hAnsi="宋体" w:cs="宋体"/>
                <w:b/>
                <w:color w:val="auto"/>
                <w:sz w:val="21"/>
                <w:szCs w:val="21"/>
                <w:highlight w:val="none"/>
                <w:lang w:eastAsia="zh-CN"/>
              </w:rPr>
              <w:t>磋商</w:t>
            </w:r>
          </w:p>
        </w:tc>
        <w:tc>
          <w:tcPr>
            <w:tcW w:w="2287"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eastAsia="宋体" w:cs="宋体"/>
                <w:b/>
                <w:color w:val="auto"/>
                <w:sz w:val="21"/>
                <w:szCs w:val="21"/>
                <w:highlight w:val="none"/>
                <w:lang w:eastAsia="zh-CN"/>
              </w:rPr>
            </w:pPr>
            <w:r>
              <w:rPr>
                <w:rFonts w:hint="eastAsia" w:ascii="宋体" w:hAnsi="宋体" w:cs="宋体"/>
                <w:b/>
                <w:color w:val="auto"/>
                <w:sz w:val="21"/>
                <w:szCs w:val="21"/>
                <w:highlight w:val="none"/>
              </w:rPr>
              <w:t>服务</w:t>
            </w:r>
            <w:r>
              <w:rPr>
                <w:rFonts w:hint="eastAsia" w:ascii="宋体" w:hAnsi="宋体" w:cs="宋体"/>
                <w:b/>
                <w:color w:val="auto"/>
                <w:sz w:val="21"/>
                <w:szCs w:val="21"/>
                <w:highlight w:val="none"/>
                <w:lang w:eastAsia="zh-CN"/>
              </w:rPr>
              <w:t>磋商</w:t>
            </w:r>
          </w:p>
        </w:tc>
        <w:tc>
          <w:tcPr>
            <w:tcW w:w="2285"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eastAsia="宋体" w:cs="宋体"/>
                <w:b/>
                <w:color w:val="auto"/>
                <w:sz w:val="21"/>
                <w:szCs w:val="21"/>
                <w:highlight w:val="none"/>
                <w:lang w:eastAsia="zh-CN"/>
              </w:rPr>
            </w:pPr>
            <w:r>
              <w:rPr>
                <w:rFonts w:hint="eastAsia" w:ascii="宋体" w:hAnsi="宋体" w:cs="宋体"/>
                <w:b/>
                <w:color w:val="auto"/>
                <w:sz w:val="21"/>
                <w:szCs w:val="21"/>
                <w:highlight w:val="none"/>
              </w:rPr>
              <w:t>工程</w:t>
            </w:r>
            <w:r>
              <w:rPr>
                <w:rFonts w:hint="eastAsia" w:ascii="宋体" w:hAnsi="宋体" w:cs="宋体"/>
                <w:b/>
                <w:color w:val="auto"/>
                <w:sz w:val="21"/>
                <w:szCs w:val="21"/>
                <w:highlight w:val="none"/>
                <w:lang w:eastAsia="zh-CN"/>
              </w:rPr>
              <w:t>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19"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100以下</w:t>
            </w:r>
          </w:p>
        </w:tc>
        <w:tc>
          <w:tcPr>
            <w:tcW w:w="1968"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1.5%</w:t>
            </w:r>
          </w:p>
        </w:tc>
        <w:tc>
          <w:tcPr>
            <w:tcW w:w="2287"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1.5%</w:t>
            </w:r>
          </w:p>
        </w:tc>
        <w:tc>
          <w:tcPr>
            <w:tcW w:w="2285"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19"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100-500</w:t>
            </w:r>
          </w:p>
        </w:tc>
        <w:tc>
          <w:tcPr>
            <w:tcW w:w="1968"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1.1%</w:t>
            </w:r>
          </w:p>
        </w:tc>
        <w:tc>
          <w:tcPr>
            <w:tcW w:w="2287"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0.8%</w:t>
            </w:r>
          </w:p>
        </w:tc>
        <w:tc>
          <w:tcPr>
            <w:tcW w:w="2285"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19"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500-1000</w:t>
            </w:r>
          </w:p>
        </w:tc>
        <w:tc>
          <w:tcPr>
            <w:tcW w:w="1968"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0.8%</w:t>
            </w:r>
          </w:p>
        </w:tc>
        <w:tc>
          <w:tcPr>
            <w:tcW w:w="2287"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0.45%</w:t>
            </w:r>
          </w:p>
        </w:tc>
        <w:tc>
          <w:tcPr>
            <w:tcW w:w="2285"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19"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1000-5000</w:t>
            </w:r>
          </w:p>
        </w:tc>
        <w:tc>
          <w:tcPr>
            <w:tcW w:w="1968"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0.5%</w:t>
            </w:r>
          </w:p>
        </w:tc>
        <w:tc>
          <w:tcPr>
            <w:tcW w:w="2287"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0.25%</w:t>
            </w:r>
          </w:p>
        </w:tc>
        <w:tc>
          <w:tcPr>
            <w:tcW w:w="2285"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19"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5000-10000</w:t>
            </w:r>
          </w:p>
        </w:tc>
        <w:tc>
          <w:tcPr>
            <w:tcW w:w="1968"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0.25%</w:t>
            </w:r>
          </w:p>
        </w:tc>
        <w:tc>
          <w:tcPr>
            <w:tcW w:w="2287"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0.1%</w:t>
            </w:r>
          </w:p>
        </w:tc>
        <w:tc>
          <w:tcPr>
            <w:tcW w:w="2285"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19"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10000-100000</w:t>
            </w:r>
          </w:p>
        </w:tc>
        <w:tc>
          <w:tcPr>
            <w:tcW w:w="1968"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0.05%</w:t>
            </w:r>
          </w:p>
        </w:tc>
        <w:tc>
          <w:tcPr>
            <w:tcW w:w="2287"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0.05%</w:t>
            </w:r>
          </w:p>
        </w:tc>
        <w:tc>
          <w:tcPr>
            <w:tcW w:w="2285"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719"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1000000以上</w:t>
            </w:r>
          </w:p>
        </w:tc>
        <w:tc>
          <w:tcPr>
            <w:tcW w:w="1968"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0.01%</w:t>
            </w:r>
          </w:p>
        </w:tc>
        <w:tc>
          <w:tcPr>
            <w:tcW w:w="2287"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0.01%</w:t>
            </w:r>
          </w:p>
        </w:tc>
        <w:tc>
          <w:tcPr>
            <w:tcW w:w="2285" w:type="dxa"/>
            <w:vAlign w:val="center"/>
          </w:tcPr>
          <w:p>
            <w:pPr>
              <w:pageBreakBefore w:val="0"/>
              <w:kinsoku/>
              <w:wordWrap/>
              <w:overflowPunct/>
              <w:topLinePunct w:val="0"/>
              <w:bidi w:val="0"/>
              <w:spacing w:beforeAutospacing="0" w:line="400" w:lineRule="atLeast"/>
              <w:jc w:val="center"/>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0.01%</w:t>
            </w:r>
          </w:p>
        </w:tc>
      </w:tr>
    </w:tbl>
    <w:p>
      <w:pPr>
        <w:pStyle w:val="3"/>
        <w:rPr>
          <w:rFonts w:hint="eastAsia"/>
          <w:color w:val="auto"/>
          <w:highlight w:val="none"/>
          <w:lang w:eastAsia="zh-CN"/>
        </w:rPr>
        <w:sectPr>
          <w:footerReference r:id="rId9" w:type="default"/>
          <w:pgSz w:w="11906" w:h="16838"/>
          <w:pgMar w:top="1984" w:right="1418" w:bottom="1417" w:left="1418" w:header="680" w:footer="992" w:gutter="0"/>
          <w:pgNumType w:fmt="decimal" w:start="1"/>
          <w:cols w:space="720" w:num="1"/>
          <w:rtlGutter w:val="0"/>
          <w:docGrid w:linePitch="312" w:charSpace="0"/>
        </w:sectPr>
      </w:pPr>
    </w:p>
    <w:bookmarkEnd w:id="16"/>
    <w:bookmarkEnd w:id="17"/>
    <w:p>
      <w:pPr>
        <w:spacing w:line="360" w:lineRule="auto"/>
        <w:jc w:val="center"/>
        <w:outlineLvl w:val="0"/>
        <w:rPr>
          <w:rFonts w:hint="eastAsia" w:ascii="宋体" w:hAnsi="宋体" w:eastAsia="宋体" w:cs="宋体"/>
          <w:b/>
          <w:color w:val="auto"/>
          <w:sz w:val="36"/>
          <w:szCs w:val="36"/>
          <w:highlight w:val="none"/>
        </w:rPr>
      </w:pPr>
      <w:bookmarkStart w:id="28" w:name="_Toc26914"/>
      <w:bookmarkStart w:id="29" w:name="_Toc23319"/>
      <w:bookmarkStart w:id="30" w:name="第四部分"/>
      <w:r>
        <w:rPr>
          <w:rFonts w:hint="eastAsia" w:ascii="宋体" w:hAnsi="宋体" w:eastAsia="宋体" w:cs="宋体"/>
          <w:b/>
          <w:color w:val="auto"/>
          <w:sz w:val="36"/>
          <w:szCs w:val="36"/>
          <w:highlight w:val="none"/>
        </w:rPr>
        <w:t>第三部分   采购需求</w:t>
      </w:r>
      <w:bookmarkEnd w:id="28"/>
      <w:bookmarkEnd w:id="29"/>
    </w:p>
    <w:p>
      <w:pPr>
        <w:keepNext w:val="0"/>
        <w:keepLines w:val="0"/>
        <w:pageBreakBefore w:val="0"/>
        <w:widowControl/>
        <w:tabs>
          <w:tab w:val="left" w:pos="927"/>
        </w:tabs>
        <w:kinsoku/>
        <w:wordWrap/>
        <w:overflowPunct/>
        <w:topLinePunct w:val="0"/>
        <w:autoSpaceDE/>
        <w:autoSpaceDN/>
        <w:bidi w:val="0"/>
        <w:adjustRightInd w:val="0"/>
        <w:snapToGrid w:val="0"/>
        <w:spacing w:beforeLines="50" w:afterLines="50" w:line="400" w:lineRule="atLeast"/>
        <w:jc w:val="center"/>
        <w:textAlignment w:val="auto"/>
        <w:outlineLvl w:val="9"/>
        <w:rPr>
          <w:rFonts w:hint="eastAsia" w:ascii="宋体" w:hAnsi="宋体" w:cs="宋体"/>
          <w:b/>
          <w:color w:val="auto"/>
          <w:sz w:val="32"/>
          <w:szCs w:val="32"/>
          <w:highlight w:val="none"/>
        </w:rPr>
      </w:pPr>
      <w:r>
        <w:rPr>
          <w:rFonts w:hint="eastAsia" w:ascii="宋体" w:hAnsi="宋体" w:cs="宋体"/>
          <w:b/>
          <w:bCs/>
          <w:color w:val="auto"/>
          <w:sz w:val="32"/>
          <w:szCs w:val="32"/>
          <w:highlight w:val="none"/>
        </w:rPr>
        <w:t>（一）概述</w:t>
      </w:r>
    </w:p>
    <w:p>
      <w:pPr>
        <w:keepNext w:val="0"/>
        <w:keepLines w:val="0"/>
        <w:pageBreakBefore w:val="0"/>
        <w:widowControl/>
        <w:numPr>
          <w:ilvl w:val="0"/>
          <w:numId w:val="21"/>
        </w:numPr>
        <w:tabs>
          <w:tab w:val="left" w:pos="420"/>
        </w:tabs>
        <w:kinsoku/>
        <w:wordWrap/>
        <w:overflowPunct/>
        <w:topLinePunct w:val="0"/>
        <w:autoSpaceDE/>
        <w:autoSpaceDN/>
        <w:bidi w:val="0"/>
        <w:adjustRightInd w:val="0"/>
        <w:snapToGrid w:val="0"/>
        <w:spacing w:line="400" w:lineRule="atLeast"/>
        <w:jc w:val="both"/>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每个磋商供应商必须完成采购内容和合同规定义务，不允许只对部分内容进行报价。</w:t>
      </w:r>
    </w:p>
    <w:p>
      <w:pPr>
        <w:keepNext w:val="0"/>
        <w:keepLines w:val="0"/>
        <w:pageBreakBefore w:val="0"/>
        <w:widowControl/>
        <w:numPr>
          <w:ilvl w:val="0"/>
          <w:numId w:val="21"/>
        </w:numPr>
        <w:tabs>
          <w:tab w:val="left" w:pos="420"/>
        </w:tabs>
        <w:kinsoku/>
        <w:wordWrap/>
        <w:overflowPunct/>
        <w:topLinePunct w:val="0"/>
        <w:autoSpaceDE/>
        <w:autoSpaceDN/>
        <w:bidi w:val="0"/>
        <w:adjustRightInd w:val="0"/>
        <w:snapToGrid w:val="0"/>
        <w:spacing w:line="400" w:lineRule="atLeast"/>
        <w:jc w:val="both"/>
        <w:textAlignment w:val="auto"/>
        <w:outlineLvl w:val="9"/>
        <w:rPr>
          <w:rFonts w:hint="eastAsia" w:ascii="宋体" w:hAnsi="宋体" w:cs="宋体"/>
          <w:b/>
          <w:color w:val="auto"/>
          <w:sz w:val="21"/>
          <w:szCs w:val="21"/>
          <w:highlight w:val="none"/>
        </w:rPr>
      </w:pPr>
      <w:r>
        <w:rPr>
          <w:rFonts w:hint="eastAsia" w:ascii="宋体" w:hAnsi="宋体" w:cs="宋体"/>
          <w:b/>
          <w:color w:val="auto"/>
          <w:sz w:val="21"/>
          <w:szCs w:val="21"/>
          <w:highlight w:val="none"/>
        </w:rPr>
        <w:t>▲现场踏勘</w:t>
      </w:r>
      <w:r>
        <w:rPr>
          <w:rFonts w:hint="eastAsia" w:ascii="宋体" w:hAnsi="宋体" w:cs="宋体"/>
          <w:color w:val="auto"/>
          <w:sz w:val="21"/>
          <w:szCs w:val="21"/>
          <w:highlight w:val="none"/>
        </w:rPr>
        <w:t>：</w:t>
      </w:r>
      <w:r>
        <w:rPr>
          <w:rFonts w:hint="eastAsia" w:ascii="宋体" w:hAnsi="宋体" w:cs="宋体"/>
          <w:b/>
          <w:color w:val="auto"/>
          <w:sz w:val="21"/>
          <w:szCs w:val="21"/>
          <w:highlight w:val="none"/>
        </w:rPr>
        <w:t>各磋商供应商于磋商截止时间前自行到现场进行踏勘 ，以获取本次磋商所需的现场资料及数据，磋商</w:t>
      </w:r>
      <w:r>
        <w:rPr>
          <w:rFonts w:hint="eastAsia" w:ascii="宋体" w:hAnsi="宋体" w:cs="宋体"/>
          <w:b/>
          <w:color w:val="auto"/>
          <w:sz w:val="21"/>
          <w:szCs w:val="21"/>
          <w:highlight w:val="none"/>
          <w:lang w:eastAsia="zh-CN"/>
        </w:rPr>
        <w:t>供应商</w:t>
      </w:r>
      <w:r>
        <w:rPr>
          <w:rFonts w:hint="eastAsia" w:ascii="宋体" w:hAnsi="宋体" w:cs="宋体"/>
          <w:b/>
          <w:color w:val="auto"/>
          <w:sz w:val="21"/>
          <w:szCs w:val="21"/>
          <w:highlight w:val="none"/>
        </w:rPr>
        <w:t>若未到现场踏勘，引起的一切后果均由其自行负责，由此造成投标价的偏差均不予调整。现场踏勘费用自理。</w:t>
      </w:r>
    </w:p>
    <w:p>
      <w:pPr>
        <w:keepNext w:val="0"/>
        <w:keepLines w:val="0"/>
        <w:pageBreakBefore w:val="0"/>
        <w:widowControl/>
        <w:numPr>
          <w:ilvl w:val="0"/>
          <w:numId w:val="21"/>
        </w:numPr>
        <w:tabs>
          <w:tab w:val="left" w:pos="420"/>
        </w:tabs>
        <w:kinsoku/>
        <w:wordWrap/>
        <w:overflowPunct/>
        <w:topLinePunct w:val="0"/>
        <w:autoSpaceDE/>
        <w:autoSpaceDN/>
        <w:bidi w:val="0"/>
        <w:adjustRightInd w:val="0"/>
        <w:snapToGrid w:val="0"/>
        <w:spacing w:line="400" w:lineRule="atLeast"/>
        <w:jc w:val="both"/>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磋商供应商需按</w:t>
      </w:r>
      <w:r>
        <w:rPr>
          <w:rFonts w:hint="eastAsia" w:ascii="宋体" w:hAnsi="宋体" w:cs="宋体"/>
          <w:color w:val="auto"/>
          <w:sz w:val="21"/>
          <w:szCs w:val="21"/>
          <w:highlight w:val="none"/>
          <w:lang w:eastAsia="zh-CN"/>
        </w:rPr>
        <w:t>磋商文件</w:t>
      </w:r>
      <w:r>
        <w:rPr>
          <w:rFonts w:hint="eastAsia" w:ascii="宋体" w:hAnsi="宋体" w:cs="宋体"/>
          <w:color w:val="auto"/>
          <w:sz w:val="21"/>
          <w:szCs w:val="21"/>
          <w:highlight w:val="none"/>
        </w:rPr>
        <w:t>的要求完成采购服务工作。按工作顺序提交所需的无论其是否被明细列在合同文件中的所有资料，提供的服务必须满足</w:t>
      </w:r>
      <w:r>
        <w:rPr>
          <w:rFonts w:hint="eastAsia" w:ascii="宋体" w:hAnsi="宋体" w:cs="宋体"/>
          <w:color w:val="auto"/>
          <w:sz w:val="21"/>
          <w:szCs w:val="21"/>
          <w:highlight w:val="none"/>
          <w:lang w:eastAsia="zh-CN"/>
        </w:rPr>
        <w:t>磋商文件</w:t>
      </w:r>
      <w:r>
        <w:rPr>
          <w:rFonts w:hint="eastAsia" w:ascii="宋体" w:hAnsi="宋体" w:cs="宋体"/>
          <w:color w:val="auto"/>
          <w:sz w:val="21"/>
          <w:szCs w:val="21"/>
          <w:highlight w:val="none"/>
        </w:rPr>
        <w:t>中提出的相关要求。</w:t>
      </w:r>
    </w:p>
    <w:p>
      <w:pPr>
        <w:keepNext w:val="0"/>
        <w:keepLines w:val="0"/>
        <w:pageBreakBefore w:val="0"/>
        <w:widowControl/>
        <w:numPr>
          <w:ilvl w:val="0"/>
          <w:numId w:val="21"/>
        </w:numPr>
        <w:tabs>
          <w:tab w:val="left" w:pos="420"/>
        </w:tabs>
        <w:kinsoku/>
        <w:wordWrap/>
        <w:overflowPunct/>
        <w:topLinePunct w:val="0"/>
        <w:autoSpaceDE/>
        <w:autoSpaceDN/>
        <w:bidi w:val="0"/>
        <w:adjustRightInd w:val="0"/>
        <w:snapToGrid w:val="0"/>
        <w:spacing w:line="400" w:lineRule="atLeast"/>
        <w:jc w:val="both"/>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在报价之前，磋商供应商须仔细阅读</w:t>
      </w:r>
      <w:r>
        <w:rPr>
          <w:rFonts w:hint="eastAsia" w:ascii="宋体" w:hAnsi="宋体" w:cs="宋体"/>
          <w:color w:val="auto"/>
          <w:sz w:val="21"/>
          <w:szCs w:val="21"/>
          <w:highlight w:val="none"/>
          <w:lang w:eastAsia="zh-CN"/>
        </w:rPr>
        <w:t>磋商文件</w:t>
      </w:r>
      <w:r>
        <w:rPr>
          <w:rFonts w:hint="eastAsia" w:ascii="宋体" w:hAnsi="宋体" w:cs="宋体"/>
          <w:color w:val="auto"/>
          <w:sz w:val="21"/>
          <w:szCs w:val="21"/>
          <w:highlight w:val="none"/>
        </w:rPr>
        <w:t>，如发现有任何疑问、冲突或技术问题，磋商供应商须在答疑截止时间前以书面形式向采购代理机构提出。逾期采购人不再作答复，有关风险及责任由磋商供应商自行承担。</w:t>
      </w:r>
    </w:p>
    <w:p>
      <w:pPr>
        <w:keepNext w:val="0"/>
        <w:keepLines w:val="0"/>
        <w:pageBreakBefore w:val="0"/>
        <w:widowControl/>
        <w:numPr>
          <w:ilvl w:val="0"/>
          <w:numId w:val="21"/>
        </w:numPr>
        <w:tabs>
          <w:tab w:val="left" w:pos="420"/>
        </w:tabs>
        <w:kinsoku/>
        <w:wordWrap/>
        <w:overflowPunct/>
        <w:topLinePunct w:val="0"/>
        <w:autoSpaceDE/>
        <w:autoSpaceDN/>
        <w:bidi w:val="0"/>
        <w:adjustRightInd w:val="0"/>
        <w:snapToGrid w:val="0"/>
        <w:spacing w:line="400" w:lineRule="atLeast"/>
        <w:textAlignment w:val="auto"/>
        <w:outlineLvl w:val="9"/>
        <w:rPr>
          <w:rFonts w:hint="eastAsia"/>
        </w:rPr>
      </w:pPr>
      <w:r>
        <w:rPr>
          <w:rFonts w:hint="eastAsia" w:ascii="宋体" w:hAnsi="宋体" w:cs="宋体"/>
          <w:color w:val="auto"/>
          <w:sz w:val="21"/>
          <w:szCs w:val="21"/>
          <w:highlight w:val="none"/>
        </w:rPr>
        <w:t>磋商供应商须对</w:t>
      </w:r>
      <w:r>
        <w:rPr>
          <w:rFonts w:hint="eastAsia" w:ascii="宋体" w:hAnsi="宋体" w:cs="宋体"/>
          <w:color w:val="auto"/>
          <w:sz w:val="21"/>
          <w:szCs w:val="21"/>
          <w:highlight w:val="none"/>
          <w:lang w:eastAsia="zh-CN"/>
        </w:rPr>
        <w:t>磋商文件</w:t>
      </w:r>
      <w:r>
        <w:rPr>
          <w:rFonts w:hint="eastAsia" w:ascii="宋体" w:hAnsi="宋体" w:cs="宋体"/>
          <w:color w:val="auto"/>
          <w:sz w:val="21"/>
          <w:szCs w:val="21"/>
          <w:highlight w:val="none"/>
        </w:rPr>
        <w:t>中各个条款一一给予实质性答复，</w:t>
      </w:r>
      <w:r>
        <w:rPr>
          <w:rFonts w:hint="eastAsia" w:ascii="宋体" w:hAnsi="宋体" w:cs="宋体"/>
          <w:color w:val="auto"/>
          <w:sz w:val="21"/>
          <w:szCs w:val="21"/>
          <w:highlight w:val="none"/>
          <w:u w:val="wave"/>
        </w:rPr>
        <w:t>否则有可能导致作无效标处理</w:t>
      </w:r>
      <w:r>
        <w:rPr>
          <w:rFonts w:hint="eastAsia" w:ascii="宋体" w:hAnsi="宋体" w:cs="宋体"/>
          <w:b/>
          <w:color w:val="auto"/>
          <w:sz w:val="21"/>
          <w:szCs w:val="21"/>
          <w:highlight w:val="none"/>
        </w:rPr>
        <w:t>。</w:t>
      </w:r>
    </w:p>
    <w:p>
      <w:pPr>
        <w:keepNext w:val="0"/>
        <w:keepLines w:val="0"/>
        <w:pageBreakBefore w:val="0"/>
        <w:widowControl/>
        <w:tabs>
          <w:tab w:val="left" w:pos="927"/>
        </w:tabs>
        <w:kinsoku/>
        <w:wordWrap/>
        <w:overflowPunct/>
        <w:topLinePunct w:val="0"/>
        <w:autoSpaceDE/>
        <w:autoSpaceDN/>
        <w:bidi w:val="0"/>
        <w:adjustRightInd w:val="0"/>
        <w:snapToGrid w:val="0"/>
        <w:spacing w:beforeLines="50" w:afterLines="50" w:line="400" w:lineRule="atLeast"/>
        <w:jc w:val="center"/>
        <w:textAlignment w:val="auto"/>
        <w:outlineLvl w:val="9"/>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（二）采购内容</w:t>
      </w:r>
    </w:p>
    <w:p>
      <w:pPr>
        <w:keepNext w:val="0"/>
        <w:keepLines w:val="0"/>
        <w:pageBreakBefore w:val="0"/>
        <w:widowControl/>
        <w:numPr>
          <w:ilvl w:val="0"/>
          <w:numId w:val="22"/>
        </w:numPr>
        <w:kinsoku/>
        <w:wordWrap/>
        <w:overflowPunct/>
        <w:topLinePunct w:val="0"/>
        <w:autoSpaceDE/>
        <w:autoSpaceDN/>
        <w:bidi w:val="0"/>
        <w:adjustRightInd w:val="0"/>
        <w:spacing w:line="400" w:lineRule="atLeast"/>
        <w:ind w:firstLine="0"/>
        <w:textAlignment w:val="auto"/>
        <w:outlineLvl w:val="9"/>
        <w:rPr>
          <w:rFonts w:hint="eastAsia" w:ascii="宋体" w:hAnsi="宋体" w:cs="宋体"/>
          <w:b/>
          <w:color w:val="auto"/>
          <w:sz w:val="21"/>
          <w:szCs w:val="21"/>
          <w:highlight w:val="none"/>
        </w:rPr>
      </w:pPr>
      <w:r>
        <w:rPr>
          <w:rFonts w:hint="eastAsia" w:ascii="宋体" w:hAnsi="宋体" w:cs="宋体"/>
          <w:b/>
          <w:color w:val="auto"/>
          <w:sz w:val="21"/>
          <w:szCs w:val="21"/>
          <w:highlight w:val="none"/>
        </w:rPr>
        <w:t>工程概况：</w:t>
      </w:r>
    </w:p>
    <w:p>
      <w:pPr>
        <w:keepNext w:val="0"/>
        <w:keepLines w:val="0"/>
        <w:pageBreakBefore w:val="0"/>
        <w:widowControl/>
        <w:numPr>
          <w:ilvl w:val="0"/>
          <w:numId w:val="23"/>
        </w:numPr>
        <w:kinsoku/>
        <w:wordWrap/>
        <w:overflowPunct/>
        <w:topLinePunct w:val="0"/>
        <w:autoSpaceDE/>
        <w:autoSpaceDN/>
        <w:bidi w:val="0"/>
        <w:adjustRightInd w:val="0"/>
        <w:spacing w:line="400" w:lineRule="atLeast"/>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工程名称：</w:t>
      </w:r>
      <w:r>
        <w:rPr>
          <w:rFonts w:hint="eastAsia" w:ascii="宋体" w:hAnsi="宋体" w:cs="仿宋_GB2312"/>
          <w:sz w:val="21"/>
          <w:szCs w:val="21"/>
          <w:lang w:val="en-US" w:eastAsia="zh-CN"/>
        </w:rPr>
        <w:t>瑞安市安阳街道望江菜市场周边环境整治提升工程</w:t>
      </w:r>
    </w:p>
    <w:p>
      <w:pPr>
        <w:keepNext w:val="0"/>
        <w:keepLines w:val="0"/>
        <w:pageBreakBefore w:val="0"/>
        <w:widowControl/>
        <w:numPr>
          <w:ilvl w:val="0"/>
          <w:numId w:val="23"/>
        </w:numPr>
        <w:kinsoku/>
        <w:wordWrap/>
        <w:overflowPunct/>
        <w:topLinePunct w:val="0"/>
        <w:autoSpaceDE/>
        <w:autoSpaceDN/>
        <w:bidi w:val="0"/>
        <w:adjustRightInd w:val="0"/>
        <w:spacing w:line="400" w:lineRule="atLeast"/>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工程内容：</w:t>
      </w:r>
      <w:r>
        <w:rPr>
          <w:rFonts w:hint="eastAsia" w:ascii="宋体" w:hAnsi="宋体" w:cs="仿宋_GB2312"/>
          <w:sz w:val="21"/>
          <w:szCs w:val="21"/>
          <w:lang w:val="en-US" w:eastAsia="zh-CN"/>
        </w:rPr>
        <w:t>瑞安市安阳街道望江菜市场周边环境整治提升工程</w:t>
      </w:r>
      <w:r>
        <w:rPr>
          <w:rFonts w:hint="eastAsia" w:ascii="宋体" w:hAnsi="宋体" w:cs="宋体"/>
          <w:bCs/>
          <w:szCs w:val="21"/>
        </w:rPr>
        <w:t>（详见磋商文件相关部分、工程量清单及施工图）</w:t>
      </w:r>
    </w:p>
    <w:p>
      <w:pPr>
        <w:keepNext w:val="0"/>
        <w:keepLines w:val="0"/>
        <w:pageBreakBefore w:val="0"/>
        <w:widowControl/>
        <w:numPr>
          <w:ilvl w:val="0"/>
          <w:numId w:val="23"/>
        </w:numPr>
        <w:kinsoku/>
        <w:wordWrap/>
        <w:overflowPunct/>
        <w:topLinePunct w:val="0"/>
        <w:autoSpaceDE/>
        <w:autoSpaceDN/>
        <w:bidi w:val="0"/>
        <w:adjustRightInd w:val="0"/>
        <w:spacing w:line="400" w:lineRule="atLeast"/>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承包方式：包工包料</w:t>
      </w:r>
    </w:p>
    <w:p>
      <w:pPr>
        <w:keepNext w:val="0"/>
        <w:keepLines w:val="0"/>
        <w:pageBreakBefore w:val="0"/>
        <w:widowControl/>
        <w:numPr>
          <w:ilvl w:val="0"/>
          <w:numId w:val="23"/>
        </w:numPr>
        <w:kinsoku/>
        <w:wordWrap/>
        <w:overflowPunct/>
        <w:topLinePunct w:val="0"/>
        <w:autoSpaceDE/>
        <w:autoSpaceDN/>
        <w:bidi w:val="0"/>
        <w:adjustRightInd w:val="0"/>
        <w:spacing w:line="400" w:lineRule="atLeast"/>
        <w:textAlignment w:val="auto"/>
        <w:outlineLvl w:val="9"/>
        <w:rPr>
          <w:rFonts w:hint="eastAsia" w:ascii="宋体" w:hAnsi="宋体" w:cs="宋体"/>
          <w:color w:val="auto"/>
          <w:sz w:val="21"/>
          <w:szCs w:val="21"/>
          <w:highlight w:val="none"/>
        </w:rPr>
      </w:pPr>
      <w:r>
        <w:rPr>
          <w:rFonts w:hint="eastAsia" w:ascii="宋体" w:hAnsi="宋体" w:cs="宋体"/>
          <w:color w:val="auto"/>
          <w:sz w:val="21"/>
          <w:szCs w:val="21"/>
          <w:highlight w:val="none"/>
        </w:rPr>
        <w:t>质量标准：合格</w:t>
      </w:r>
    </w:p>
    <w:p>
      <w:pPr>
        <w:keepNext w:val="0"/>
        <w:keepLines w:val="0"/>
        <w:pageBreakBefore w:val="0"/>
        <w:widowControl/>
        <w:numPr>
          <w:ilvl w:val="0"/>
          <w:numId w:val="23"/>
        </w:numPr>
        <w:kinsoku/>
        <w:wordWrap/>
        <w:overflowPunct/>
        <w:topLinePunct w:val="0"/>
        <w:autoSpaceDE/>
        <w:autoSpaceDN/>
        <w:bidi w:val="0"/>
        <w:adjustRightInd w:val="0"/>
        <w:spacing w:line="400" w:lineRule="atLeast"/>
        <w:textAlignment w:val="auto"/>
        <w:outlineLvl w:val="9"/>
        <w:rPr>
          <w:rFonts w:hint="eastAsia" w:ascii="宋体" w:hAnsi="宋体" w:cs="Arial"/>
          <w:bCs/>
          <w:color w:val="000000"/>
          <w:kern w:val="28"/>
          <w:sz w:val="21"/>
          <w:szCs w:val="21"/>
          <w:highlight w:val="none"/>
        </w:rPr>
      </w:pPr>
      <w:r>
        <w:rPr>
          <w:rFonts w:hint="eastAsia" w:ascii="宋体" w:hAnsi="宋体" w:cs="宋体"/>
          <w:bCs/>
          <w:color w:val="000000"/>
          <w:sz w:val="21"/>
          <w:szCs w:val="21"/>
          <w:highlight w:val="none"/>
        </w:rPr>
        <w:t>工    期：</w:t>
      </w:r>
      <w:r>
        <w:rPr>
          <w:rFonts w:hint="eastAsia" w:ascii="宋体" w:hAnsi="宋体" w:cs="宋体"/>
          <w:bCs/>
          <w:color w:val="000000"/>
          <w:sz w:val="21"/>
          <w:szCs w:val="21"/>
          <w:highlight w:val="none"/>
          <w:lang w:eastAsia="zh-CN"/>
        </w:rPr>
        <w:t>自合同签订之日起</w:t>
      </w:r>
      <w:r>
        <w:rPr>
          <w:rFonts w:hint="eastAsia" w:ascii="宋体" w:hAnsi="宋体" w:cs="宋体"/>
          <w:bCs/>
          <w:color w:val="000000"/>
          <w:sz w:val="21"/>
          <w:szCs w:val="21"/>
          <w:highlight w:val="none"/>
          <w:lang w:val="en-US" w:eastAsia="zh-CN"/>
        </w:rPr>
        <w:t>150</w:t>
      </w:r>
      <w:r>
        <w:rPr>
          <w:rFonts w:hint="eastAsia" w:ascii="宋体" w:hAnsi="宋体" w:cs="宋体"/>
          <w:bCs/>
          <w:color w:val="000000"/>
          <w:sz w:val="21"/>
          <w:szCs w:val="21"/>
          <w:highlight w:val="none"/>
          <w:lang w:eastAsia="zh-CN"/>
        </w:rPr>
        <w:t>日历天</w:t>
      </w:r>
      <w:r>
        <w:rPr>
          <w:rFonts w:hint="eastAsia" w:ascii="宋体" w:hAnsi="宋体" w:cs="Arial"/>
          <w:bCs/>
          <w:color w:val="000000"/>
          <w:kern w:val="28"/>
          <w:sz w:val="21"/>
          <w:szCs w:val="21"/>
          <w:highlight w:val="none"/>
        </w:rPr>
        <w:t>。</w:t>
      </w:r>
    </w:p>
    <w:p>
      <w:pPr>
        <w:keepNext w:val="0"/>
        <w:keepLines w:val="0"/>
        <w:pageBreakBefore w:val="0"/>
        <w:widowControl/>
        <w:numPr>
          <w:ilvl w:val="0"/>
          <w:numId w:val="22"/>
        </w:numPr>
        <w:kinsoku/>
        <w:wordWrap/>
        <w:overflowPunct/>
        <w:topLinePunct w:val="0"/>
        <w:autoSpaceDE/>
        <w:autoSpaceDN/>
        <w:bidi w:val="0"/>
        <w:adjustRightInd w:val="0"/>
        <w:spacing w:line="400" w:lineRule="atLeast"/>
        <w:ind w:firstLine="0"/>
        <w:textAlignment w:val="auto"/>
        <w:outlineLvl w:val="9"/>
        <w:rPr>
          <w:rFonts w:hint="eastAsia" w:ascii="宋体" w:hAnsi="宋体" w:cs="宋体"/>
          <w:b/>
          <w:color w:val="auto"/>
          <w:sz w:val="21"/>
          <w:szCs w:val="21"/>
          <w:highlight w:val="none"/>
        </w:rPr>
      </w:pPr>
      <w:r>
        <w:rPr>
          <w:rFonts w:hint="eastAsia" w:ascii="宋体" w:hAnsi="宋体" w:cs="宋体"/>
          <w:b/>
          <w:color w:val="auto"/>
          <w:sz w:val="21"/>
          <w:szCs w:val="21"/>
          <w:highlight w:val="none"/>
          <w:lang w:eastAsia="zh-CN"/>
        </w:rPr>
        <w:t>施工要求</w:t>
      </w:r>
    </w:p>
    <w:p>
      <w:pPr>
        <w:keepNext w:val="0"/>
        <w:keepLines w:val="0"/>
        <w:pageBreakBefore w:val="0"/>
        <w:widowControl/>
        <w:numPr>
          <w:ilvl w:val="0"/>
          <w:numId w:val="24"/>
        </w:numPr>
        <w:kinsoku/>
        <w:wordWrap/>
        <w:overflowPunct/>
        <w:topLinePunct w:val="0"/>
        <w:autoSpaceDE/>
        <w:autoSpaceDN/>
        <w:bidi w:val="0"/>
        <w:adjustRightInd w:val="0"/>
        <w:spacing w:line="400" w:lineRule="atLeas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供应商进场施工前的项目对接，施工方案商讨，现场勘察等费用，采购人不予支付任何费用。</w:t>
      </w:r>
    </w:p>
    <w:p>
      <w:pPr>
        <w:keepNext w:val="0"/>
        <w:keepLines w:val="0"/>
        <w:pageBreakBefore w:val="0"/>
        <w:widowControl/>
        <w:numPr>
          <w:ilvl w:val="0"/>
          <w:numId w:val="22"/>
        </w:numPr>
        <w:kinsoku/>
        <w:wordWrap/>
        <w:overflowPunct/>
        <w:topLinePunct w:val="0"/>
        <w:autoSpaceDE/>
        <w:autoSpaceDN/>
        <w:bidi w:val="0"/>
        <w:adjustRightInd w:val="0"/>
        <w:spacing w:line="400" w:lineRule="atLeast"/>
        <w:ind w:firstLine="0"/>
        <w:textAlignment w:val="auto"/>
        <w:outlineLvl w:val="9"/>
        <w:rPr>
          <w:rFonts w:hint="eastAsia" w:ascii="宋体" w:hAnsi="宋体" w:cs="宋体"/>
          <w:b/>
          <w:color w:val="auto"/>
          <w:sz w:val="21"/>
          <w:szCs w:val="21"/>
          <w:highlight w:val="none"/>
        </w:rPr>
      </w:pPr>
      <w:r>
        <w:rPr>
          <w:rFonts w:hint="eastAsia" w:ascii="宋体" w:hAnsi="宋体" w:cs="宋体"/>
          <w:b/>
          <w:color w:val="auto"/>
          <w:sz w:val="21"/>
          <w:szCs w:val="21"/>
          <w:highlight w:val="none"/>
          <w:lang w:val="en-US" w:eastAsia="zh-CN"/>
        </w:rPr>
        <w:t>履约保证金</w:t>
      </w:r>
    </w:p>
    <w:p>
      <w:pPr>
        <w:numPr>
          <w:ilvl w:val="0"/>
          <w:numId w:val="25"/>
        </w:numPr>
        <w:adjustRightInd w:val="0"/>
        <w:spacing w:line="400" w:lineRule="exact"/>
        <w:jc w:val="both"/>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成交磋商供应商</w:t>
      </w:r>
      <w:r>
        <w:rPr>
          <w:rFonts w:hint="eastAsia" w:ascii="宋体" w:hAnsi="宋体" w:eastAsia="宋体" w:cs="宋体"/>
          <w:color w:val="auto"/>
          <w:szCs w:val="21"/>
          <w:highlight w:val="none"/>
        </w:rPr>
        <w:t>应以合同总价款的1%作为履约担保（其中含质量保证金、安全文明施工保证金、人员到位保证金、防止拖欠民工工资保证金等），可采用银行转账、转账支票、银行汇票、银行保函、工程保函、保险保函形式交纳至</w:t>
      </w:r>
      <w:r>
        <w:rPr>
          <w:rFonts w:hint="eastAsia" w:ascii="宋体" w:hAnsi="宋体" w:cs="宋体"/>
          <w:color w:val="auto"/>
          <w:szCs w:val="21"/>
          <w:highlight w:val="none"/>
          <w:lang w:eastAsia="zh-CN"/>
        </w:rPr>
        <w:t>采购人</w:t>
      </w:r>
      <w:r>
        <w:rPr>
          <w:rFonts w:hint="eastAsia" w:ascii="宋体" w:hAnsi="宋体" w:eastAsia="宋体" w:cs="宋体"/>
          <w:color w:val="auto"/>
          <w:szCs w:val="21"/>
          <w:highlight w:val="none"/>
        </w:rPr>
        <w:t>指定帐户。采用银行转账、转账支票、银行汇票形式提交的履约保证金退还时间:工程竣工验收达到标准并取得经采购人确认的完整的工程竣工验收资料移交清单后，予以全部退还</w:t>
      </w:r>
      <w:r>
        <w:rPr>
          <w:rFonts w:hint="eastAsia" w:ascii="宋体" w:hAnsi="宋体" w:eastAsia="宋体" w:cs="宋体"/>
          <w:color w:val="auto"/>
          <w:szCs w:val="21"/>
          <w:highlight w:val="none"/>
          <w:lang w:eastAsia="zh-CN"/>
        </w:rPr>
        <w:t>。</w:t>
      </w:r>
    </w:p>
    <w:p>
      <w:pPr>
        <w:numPr>
          <w:ilvl w:val="0"/>
          <w:numId w:val="25"/>
        </w:numPr>
        <w:snapToGrid w:val="0"/>
        <w:spacing w:line="400" w:lineRule="exact"/>
        <w:jc w:val="both"/>
        <w:rPr>
          <w:rFonts w:hint="eastAsia" w:ascii="宋体" w:hAnsi="宋体" w:eastAsia="宋体" w:cs="宋体"/>
          <w:bCs/>
          <w:color w:val="auto"/>
          <w:szCs w:val="21"/>
          <w:highlight w:val="none"/>
        </w:rPr>
      </w:pPr>
      <w:r>
        <w:rPr>
          <w:rFonts w:hint="eastAsia" w:ascii="宋体" w:hAnsi="宋体" w:cs="宋体"/>
          <w:bCs/>
          <w:color w:val="auto"/>
          <w:szCs w:val="21"/>
          <w:highlight w:val="none"/>
          <w:lang w:eastAsia="zh-CN"/>
        </w:rPr>
        <w:t>若</w:t>
      </w:r>
      <w:r>
        <w:rPr>
          <w:rFonts w:hint="eastAsia" w:ascii="宋体" w:hAnsi="宋体" w:eastAsia="宋体" w:cs="宋体"/>
          <w:bCs/>
          <w:color w:val="auto"/>
          <w:szCs w:val="21"/>
          <w:highlight w:val="none"/>
        </w:rPr>
        <w:t>采用保函形式提交履约保证金的，应满足以下几个条件：</w:t>
      </w:r>
    </w:p>
    <w:p>
      <w:pPr>
        <w:keepNext w:val="0"/>
        <w:keepLines w:val="0"/>
        <w:pageBreakBefore w:val="0"/>
        <w:widowControl w:val="0"/>
        <w:numPr>
          <w:ilvl w:val="0"/>
          <w:numId w:val="26"/>
        </w:numPr>
        <w:kinsoku/>
        <w:wordWrap/>
        <w:overflowPunct/>
        <w:topLinePunct w:val="0"/>
        <w:autoSpaceDE/>
        <w:autoSpaceDN/>
        <w:bidi w:val="0"/>
        <w:adjustRightInd w:val="0"/>
        <w:snapToGrid/>
        <w:spacing w:line="400" w:lineRule="exact"/>
        <w:ind w:left="414" w:leftChars="0" w:hanging="414"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工程保函包括银行保函、保险机构保证保险保单和融资担保公司保函。保函开具方需开通官方网站进行在线查询功能。采购人通过开具方的官方网站进行在线查询后，可以确认真实性的，对原件进行收讫。否则，</w:t>
      </w:r>
      <w:r>
        <w:rPr>
          <w:rFonts w:hint="eastAsia" w:ascii="宋体" w:hAnsi="宋体" w:cs="宋体"/>
          <w:color w:val="auto"/>
          <w:szCs w:val="21"/>
          <w:highlight w:val="none"/>
          <w:lang w:eastAsia="zh-CN"/>
        </w:rPr>
        <w:t>采购人</w:t>
      </w:r>
      <w:r>
        <w:rPr>
          <w:rFonts w:hint="eastAsia" w:ascii="宋体" w:hAnsi="宋体" w:eastAsia="宋体" w:cs="宋体"/>
          <w:color w:val="auto"/>
          <w:szCs w:val="21"/>
          <w:highlight w:val="none"/>
        </w:rPr>
        <w:t>有权不予收讫。</w:t>
      </w:r>
    </w:p>
    <w:p>
      <w:pPr>
        <w:keepNext w:val="0"/>
        <w:keepLines w:val="0"/>
        <w:pageBreakBefore w:val="0"/>
        <w:widowControl w:val="0"/>
        <w:numPr>
          <w:ilvl w:val="0"/>
          <w:numId w:val="26"/>
        </w:numPr>
        <w:kinsoku/>
        <w:wordWrap/>
        <w:overflowPunct/>
        <w:topLinePunct w:val="0"/>
        <w:autoSpaceDE/>
        <w:autoSpaceDN/>
        <w:bidi w:val="0"/>
        <w:adjustRightInd w:val="0"/>
        <w:snapToGrid/>
        <w:spacing w:line="400" w:lineRule="exact"/>
        <w:ind w:left="414" w:leftChars="0" w:hanging="414"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为见索即付保函：即在成交</w:t>
      </w:r>
      <w:r>
        <w:rPr>
          <w:rFonts w:hint="eastAsia" w:ascii="宋体" w:hAnsi="宋体" w:cs="宋体"/>
          <w:color w:val="auto"/>
          <w:szCs w:val="21"/>
          <w:highlight w:val="none"/>
          <w:lang w:eastAsia="zh-CN"/>
        </w:rPr>
        <w:t>供应商</w:t>
      </w:r>
      <w:r>
        <w:rPr>
          <w:rFonts w:hint="eastAsia" w:ascii="宋体" w:hAnsi="宋体" w:eastAsia="宋体" w:cs="宋体"/>
          <w:color w:val="auto"/>
          <w:szCs w:val="21"/>
          <w:highlight w:val="none"/>
        </w:rPr>
        <w:t>没有实施合同或者未履行合同义务时，采购人不需要出具任何证明和理由，只要看到成交</w:t>
      </w:r>
      <w:r>
        <w:rPr>
          <w:rFonts w:hint="eastAsia" w:ascii="宋体" w:hAnsi="宋体" w:cs="宋体"/>
          <w:color w:val="auto"/>
          <w:szCs w:val="21"/>
          <w:highlight w:val="none"/>
          <w:lang w:eastAsia="zh-CN"/>
        </w:rPr>
        <w:t>磋商供应商</w:t>
      </w:r>
      <w:r>
        <w:rPr>
          <w:rFonts w:hint="eastAsia" w:ascii="宋体" w:hAnsi="宋体" w:eastAsia="宋体" w:cs="宋体"/>
          <w:color w:val="auto"/>
          <w:szCs w:val="21"/>
          <w:highlight w:val="none"/>
        </w:rPr>
        <w:t>违约，就可对保函进行收兑。</w:t>
      </w:r>
    </w:p>
    <w:p>
      <w:pPr>
        <w:keepNext w:val="0"/>
        <w:keepLines w:val="0"/>
        <w:pageBreakBefore w:val="0"/>
        <w:widowControl w:val="0"/>
        <w:numPr>
          <w:ilvl w:val="0"/>
          <w:numId w:val="26"/>
        </w:numPr>
        <w:kinsoku/>
        <w:wordWrap/>
        <w:overflowPunct/>
        <w:topLinePunct w:val="0"/>
        <w:autoSpaceDE/>
        <w:autoSpaceDN/>
        <w:bidi w:val="0"/>
        <w:adjustRightInd w:val="0"/>
        <w:snapToGrid/>
        <w:spacing w:line="400" w:lineRule="exact"/>
        <w:ind w:left="414" w:leftChars="0" w:hanging="414" w:firstLineChars="0"/>
        <w:textAlignment w:val="auto"/>
        <w:rPr>
          <w:rFonts w:hint="eastAsia" w:ascii="宋体" w:hAnsi="宋体" w:cs="宋体"/>
          <w:bCs/>
          <w:color w:val="auto"/>
          <w:sz w:val="21"/>
          <w:szCs w:val="21"/>
          <w:highlight w:val="none"/>
        </w:rPr>
      </w:pPr>
      <w:r>
        <w:rPr>
          <w:rFonts w:hint="eastAsia" w:ascii="宋体" w:hAnsi="宋体" w:eastAsia="宋体" w:cs="宋体"/>
          <w:color w:val="auto"/>
          <w:szCs w:val="21"/>
          <w:highlight w:val="none"/>
        </w:rPr>
        <w:t>保函期限：保函的期限自合同生效之日起至竣工验收合格并取得经采购人确认的完整的工程竣工验收资料移交清单后10日止。</w:t>
      </w:r>
    </w:p>
    <w:p>
      <w:pPr>
        <w:keepNext w:val="0"/>
        <w:keepLines w:val="0"/>
        <w:pageBreakBefore w:val="0"/>
        <w:widowControl w:val="0"/>
        <w:numPr>
          <w:ilvl w:val="0"/>
          <w:numId w:val="26"/>
        </w:numPr>
        <w:kinsoku/>
        <w:wordWrap/>
        <w:overflowPunct/>
        <w:topLinePunct w:val="0"/>
        <w:autoSpaceDE/>
        <w:autoSpaceDN/>
        <w:bidi w:val="0"/>
        <w:adjustRightInd w:val="0"/>
        <w:snapToGrid/>
        <w:spacing w:line="400" w:lineRule="exact"/>
        <w:ind w:left="414" w:leftChars="0" w:hanging="414" w:firstLineChars="0"/>
        <w:textAlignment w:val="auto"/>
        <w:rPr>
          <w:rFonts w:hint="eastAsia" w:ascii="宋体" w:hAnsi="宋体" w:cs="宋体"/>
          <w:bCs/>
          <w:color w:val="auto"/>
          <w:sz w:val="21"/>
          <w:szCs w:val="21"/>
          <w:highlight w:val="none"/>
        </w:rPr>
      </w:pPr>
      <w:r>
        <w:rPr>
          <w:rFonts w:hint="eastAsia" w:ascii="宋体" w:hAnsi="宋体" w:eastAsia="宋体" w:cs="宋体"/>
          <w:color w:val="auto"/>
          <w:szCs w:val="21"/>
          <w:highlight w:val="none"/>
        </w:rPr>
        <w:t>如果由于工期延误或工程保函出具机构要求分期出具保函的，则在前一份保函有效期满之日1个月前必须重新出具相同内容的保函；若不出具，</w:t>
      </w:r>
      <w:r>
        <w:rPr>
          <w:rFonts w:hint="eastAsia" w:ascii="宋体" w:hAnsi="宋体" w:cs="宋体"/>
          <w:color w:val="auto"/>
          <w:szCs w:val="21"/>
          <w:highlight w:val="none"/>
          <w:lang w:eastAsia="zh-CN"/>
        </w:rPr>
        <w:t>采购人</w:t>
      </w:r>
      <w:r>
        <w:rPr>
          <w:rFonts w:hint="eastAsia" w:ascii="宋体" w:hAnsi="宋体" w:eastAsia="宋体" w:cs="宋体"/>
          <w:color w:val="auto"/>
          <w:szCs w:val="21"/>
          <w:highlight w:val="none"/>
        </w:rPr>
        <w:t>有权对工程保函进行收兑。</w:t>
      </w:r>
    </w:p>
    <w:p>
      <w:pPr>
        <w:keepNext w:val="0"/>
        <w:keepLines w:val="0"/>
        <w:pageBreakBefore w:val="0"/>
        <w:widowControl/>
        <w:numPr>
          <w:ilvl w:val="0"/>
          <w:numId w:val="22"/>
        </w:numPr>
        <w:kinsoku/>
        <w:wordWrap/>
        <w:overflowPunct/>
        <w:topLinePunct w:val="0"/>
        <w:autoSpaceDE/>
        <w:autoSpaceDN/>
        <w:bidi w:val="0"/>
        <w:adjustRightInd w:val="0"/>
        <w:spacing w:line="400" w:lineRule="atLeast"/>
        <w:ind w:firstLine="0"/>
        <w:textAlignment w:val="auto"/>
        <w:outlineLvl w:val="9"/>
        <w:rPr>
          <w:rFonts w:hint="eastAsia" w:ascii="宋体" w:hAnsi="宋体" w:cs="宋体"/>
          <w:b/>
          <w:bCs w:val="0"/>
          <w:color w:val="auto"/>
          <w:sz w:val="21"/>
          <w:szCs w:val="21"/>
          <w:highlight w:val="none"/>
        </w:rPr>
      </w:pPr>
      <w:r>
        <w:rPr>
          <w:rFonts w:hint="eastAsia" w:ascii="宋体" w:hAnsi="宋体" w:cs="宋体"/>
          <w:b/>
          <w:bCs w:val="0"/>
          <w:color w:val="auto"/>
          <w:sz w:val="21"/>
          <w:szCs w:val="21"/>
          <w:highlight w:val="none"/>
          <w:lang w:eastAsia="zh-CN"/>
        </w:rPr>
        <w:t>预付款</w:t>
      </w:r>
    </w:p>
    <w:p>
      <w:pPr>
        <w:keepNext w:val="0"/>
        <w:keepLines w:val="0"/>
        <w:pageBreakBefore w:val="0"/>
        <w:widowControl w:val="0"/>
        <w:numPr>
          <w:ilvl w:val="0"/>
          <w:numId w:val="27"/>
        </w:numPr>
        <w:kinsoku/>
        <w:wordWrap/>
        <w:overflowPunct/>
        <w:topLinePunct w:val="0"/>
        <w:autoSpaceDE/>
        <w:autoSpaceDN/>
        <w:bidi w:val="0"/>
        <w:adjustRightInd w:val="0"/>
        <w:snapToGrid/>
        <w:spacing w:line="360" w:lineRule="exact"/>
        <w:ind w:left="425" w:hanging="425"/>
        <w:jc w:val="both"/>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预付款的支付</w:t>
      </w:r>
    </w:p>
    <w:p>
      <w:pPr>
        <w:keepNext w:val="0"/>
        <w:keepLines w:val="0"/>
        <w:pageBreakBefore w:val="0"/>
        <w:widowControl w:val="0"/>
        <w:numPr>
          <w:ilvl w:val="0"/>
          <w:numId w:val="28"/>
        </w:numPr>
        <w:kinsoku/>
        <w:wordWrap/>
        <w:overflowPunct/>
        <w:topLinePunct w:val="0"/>
        <w:autoSpaceDE/>
        <w:autoSpaceDN/>
        <w:bidi w:val="0"/>
        <w:adjustRightInd w:val="0"/>
        <w:snapToGrid/>
        <w:spacing w:line="360" w:lineRule="exact"/>
        <w:ind w:left="425" w:leftChars="0" w:hanging="425" w:firstLineChars="0"/>
        <w:textAlignment w:val="auto"/>
        <w:rPr>
          <w:rFonts w:hint="eastAsia" w:ascii="宋体" w:hAnsi="宋体" w:eastAsia="宋体" w:cs="宋体"/>
          <w:color w:val="000000"/>
          <w:spacing w:val="-4"/>
          <w:szCs w:val="22"/>
          <w:u w:val="single"/>
        </w:rPr>
      </w:pPr>
      <w:r>
        <w:rPr>
          <w:rFonts w:hint="eastAsia" w:ascii="宋体" w:hAnsi="宋体" w:eastAsia="宋体" w:cs="宋体"/>
          <w:color w:val="000000"/>
          <w:szCs w:val="21"/>
        </w:rPr>
        <w:t>预付款支付比例或金额：</w:t>
      </w:r>
      <w:r>
        <w:rPr>
          <w:rFonts w:hint="eastAsia" w:ascii="宋体" w:hAnsi="宋体" w:eastAsia="宋体" w:cs="宋体"/>
          <w:spacing w:val="-4"/>
          <w:u w:val="single"/>
        </w:rPr>
        <w:t>本工程预付</w:t>
      </w:r>
      <w:r>
        <w:rPr>
          <w:rFonts w:hint="eastAsia" w:ascii="宋体" w:hAnsi="宋体" w:eastAsia="宋体" w:cs="宋体"/>
          <w:color w:val="000000"/>
          <w:spacing w:val="-4"/>
          <w:u w:val="single"/>
        </w:rPr>
        <w:t>款为合同价款的40%（含安全文明施工费），</w:t>
      </w:r>
      <w:r>
        <w:rPr>
          <w:rFonts w:hint="eastAsia" w:ascii="宋体" w:hAnsi="宋体" w:eastAsia="宋体" w:cs="宋体"/>
          <w:color w:val="000000"/>
          <w:spacing w:val="-4"/>
          <w:szCs w:val="22"/>
          <w:u w:val="single"/>
        </w:rPr>
        <w:t>在签订合同时，</w:t>
      </w:r>
      <w:r>
        <w:rPr>
          <w:rFonts w:hint="eastAsia" w:ascii="宋体" w:hAnsi="宋体" w:cs="宋体"/>
          <w:color w:val="000000"/>
          <w:spacing w:val="-4"/>
          <w:szCs w:val="22"/>
          <w:u w:val="single"/>
          <w:lang w:eastAsia="zh-CN"/>
        </w:rPr>
        <w:t>磋商</w:t>
      </w:r>
      <w:r>
        <w:rPr>
          <w:rFonts w:hint="eastAsia" w:ascii="宋体" w:hAnsi="宋体" w:eastAsia="宋体" w:cs="宋体"/>
          <w:color w:val="000000"/>
          <w:spacing w:val="-4"/>
          <w:szCs w:val="22"/>
          <w:u w:val="single"/>
        </w:rPr>
        <w:t>供应商明确表示无需预付款或者主动要求降低预付款比例的，采购单位可不适用前述规定预付款</w:t>
      </w:r>
      <w:r>
        <w:rPr>
          <w:rFonts w:hint="eastAsia" w:ascii="宋体" w:hAnsi="宋体" w:eastAsia="宋体" w:cs="宋体"/>
          <w:color w:val="000000"/>
          <w:spacing w:val="-4"/>
          <w:szCs w:val="22"/>
          <w:u w:val="single"/>
          <w:lang w:eastAsia="zh-CN"/>
        </w:rPr>
        <w:t>。</w:t>
      </w:r>
    </w:p>
    <w:p>
      <w:pPr>
        <w:keepNext w:val="0"/>
        <w:keepLines w:val="0"/>
        <w:pageBreakBefore w:val="0"/>
        <w:widowControl w:val="0"/>
        <w:numPr>
          <w:ilvl w:val="0"/>
          <w:numId w:val="28"/>
        </w:numPr>
        <w:kinsoku/>
        <w:wordWrap/>
        <w:overflowPunct/>
        <w:topLinePunct w:val="0"/>
        <w:autoSpaceDE/>
        <w:autoSpaceDN/>
        <w:bidi w:val="0"/>
        <w:adjustRightInd w:val="0"/>
        <w:snapToGrid/>
        <w:spacing w:line="360" w:lineRule="exact"/>
        <w:ind w:left="425" w:leftChars="0" w:hanging="425" w:firstLineChars="0"/>
        <w:textAlignment w:val="auto"/>
        <w:rPr>
          <w:rFonts w:hint="eastAsia" w:ascii="宋体" w:hAnsi="宋体" w:eastAsia="宋体" w:cs="宋体"/>
          <w:color w:val="000000"/>
          <w:szCs w:val="21"/>
        </w:rPr>
      </w:pPr>
      <w:r>
        <w:rPr>
          <w:rFonts w:hint="eastAsia" w:ascii="宋体" w:hAnsi="宋体" w:eastAsia="宋体" w:cs="宋体"/>
          <w:color w:val="000000"/>
          <w:szCs w:val="21"/>
        </w:rPr>
        <w:t>预付款支付期限：</w:t>
      </w:r>
      <w:r>
        <w:rPr>
          <w:rFonts w:hint="eastAsia" w:ascii="宋体" w:hAnsi="宋体" w:eastAsia="宋体" w:cs="宋体"/>
          <w:color w:val="000000"/>
          <w:szCs w:val="21"/>
          <w:u w:val="single"/>
        </w:rPr>
        <w:t>合同签订后7个工作日内支付合同价款的40%（含安全文明施工费）（（根据《浙江省财政厅关于进一步发挥政府采购政策功能全力推动经济稳进提升的通知》浙财采监[2022]3号文件））（具体拨付时间视财政资金到位情况为准）</w:t>
      </w:r>
    </w:p>
    <w:p>
      <w:pPr>
        <w:keepNext w:val="0"/>
        <w:keepLines w:val="0"/>
        <w:pageBreakBefore w:val="0"/>
        <w:widowControl w:val="0"/>
        <w:numPr>
          <w:ilvl w:val="0"/>
          <w:numId w:val="28"/>
        </w:numPr>
        <w:kinsoku/>
        <w:wordWrap/>
        <w:overflowPunct/>
        <w:topLinePunct w:val="0"/>
        <w:autoSpaceDE/>
        <w:autoSpaceDN/>
        <w:bidi w:val="0"/>
        <w:adjustRightInd w:val="0"/>
        <w:snapToGrid/>
        <w:spacing w:line="360" w:lineRule="exact"/>
        <w:ind w:left="425" w:leftChars="0" w:hanging="425" w:firstLineChars="0"/>
        <w:textAlignment w:val="auto"/>
        <w:rPr>
          <w:rFonts w:hint="eastAsia" w:ascii="宋体" w:hAnsi="宋体" w:eastAsia="宋体" w:cs="宋体"/>
          <w:color w:val="000000"/>
          <w:szCs w:val="21"/>
        </w:rPr>
      </w:pPr>
      <w:r>
        <w:rPr>
          <w:rFonts w:hint="eastAsia" w:ascii="宋体" w:hAnsi="宋体" w:eastAsia="宋体" w:cs="宋体"/>
          <w:color w:val="000000"/>
          <w:szCs w:val="21"/>
        </w:rPr>
        <w:t>预付款扣回的方式：</w:t>
      </w:r>
      <w:r>
        <w:rPr>
          <w:rFonts w:hint="eastAsia" w:ascii="宋体" w:hAnsi="宋体" w:eastAsia="宋体" w:cs="宋体"/>
          <w:color w:val="000000"/>
          <w:szCs w:val="21"/>
          <w:u w:val="single"/>
        </w:rPr>
        <w:t>从第一期进度款开始扣回（含安全文明施工费），如不足抵扣的，则在下期工程款支付时加扣不足部分</w:t>
      </w:r>
    </w:p>
    <w:p>
      <w:pPr>
        <w:keepNext w:val="0"/>
        <w:keepLines w:val="0"/>
        <w:pageBreakBefore w:val="0"/>
        <w:widowControl w:val="0"/>
        <w:numPr>
          <w:ilvl w:val="0"/>
          <w:numId w:val="27"/>
        </w:numPr>
        <w:kinsoku/>
        <w:wordWrap/>
        <w:overflowPunct/>
        <w:topLinePunct w:val="0"/>
        <w:autoSpaceDE/>
        <w:autoSpaceDN/>
        <w:bidi w:val="0"/>
        <w:adjustRightInd w:val="0"/>
        <w:snapToGrid/>
        <w:spacing w:line="360" w:lineRule="exact"/>
        <w:ind w:left="425" w:hanging="425"/>
        <w:jc w:val="both"/>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预付款担保</w:t>
      </w:r>
    </w:p>
    <w:p>
      <w:pPr>
        <w:keepNext w:val="0"/>
        <w:keepLines w:val="0"/>
        <w:pageBreakBefore w:val="0"/>
        <w:widowControl w:val="0"/>
        <w:numPr>
          <w:ilvl w:val="0"/>
          <w:numId w:val="29"/>
        </w:numPr>
        <w:kinsoku/>
        <w:wordWrap/>
        <w:overflowPunct/>
        <w:topLinePunct w:val="0"/>
        <w:autoSpaceDE/>
        <w:autoSpaceDN/>
        <w:bidi w:val="0"/>
        <w:adjustRightInd w:val="0"/>
        <w:snapToGrid/>
        <w:spacing w:line="360" w:lineRule="exact"/>
        <w:ind w:left="425" w:leftChars="0" w:hanging="425" w:firstLineChars="0"/>
        <w:textAlignment w:val="auto"/>
        <w:rPr>
          <w:rFonts w:hint="eastAsia" w:ascii="宋体" w:hAnsi="宋体" w:eastAsia="宋体" w:cs="宋体"/>
        </w:rPr>
      </w:pPr>
      <w:r>
        <w:rPr>
          <w:rFonts w:hint="eastAsia" w:ascii="宋体" w:hAnsi="宋体" w:cs="宋体"/>
          <w:color w:val="000000"/>
          <w:lang w:eastAsia="zh-CN"/>
        </w:rPr>
        <w:t>成交磋商供应商</w:t>
      </w:r>
      <w:r>
        <w:rPr>
          <w:rFonts w:hint="eastAsia" w:ascii="宋体" w:hAnsi="宋体" w:eastAsia="宋体" w:cs="宋体"/>
          <w:color w:val="000000"/>
        </w:rPr>
        <w:t>提交预付款担保的期限：</w:t>
      </w:r>
      <w:r>
        <w:rPr>
          <w:rFonts w:hint="eastAsia" w:ascii="宋体" w:hAnsi="宋体" w:eastAsia="宋体" w:cs="宋体"/>
          <w:u w:val="single"/>
          <w:lang w:eastAsia="zh-CN"/>
        </w:rPr>
        <w:t>成交</w:t>
      </w:r>
      <w:r>
        <w:rPr>
          <w:rFonts w:hint="eastAsia" w:ascii="宋体" w:hAnsi="宋体" w:cs="宋体"/>
          <w:u w:val="single"/>
          <w:lang w:eastAsia="zh-CN"/>
        </w:rPr>
        <w:t>磋商</w:t>
      </w:r>
      <w:r>
        <w:rPr>
          <w:rFonts w:hint="eastAsia" w:ascii="宋体" w:hAnsi="宋体" w:eastAsia="宋体" w:cs="宋体"/>
          <w:u w:val="single"/>
          <w:lang w:eastAsia="zh-CN"/>
        </w:rPr>
        <w:t>供应商</w:t>
      </w:r>
      <w:r>
        <w:rPr>
          <w:rFonts w:hint="eastAsia" w:ascii="宋体" w:hAnsi="宋体" w:eastAsia="宋体" w:cs="宋体"/>
          <w:u w:val="single"/>
        </w:rPr>
        <w:t>应在</w:t>
      </w:r>
      <w:r>
        <w:rPr>
          <w:rFonts w:hint="eastAsia" w:ascii="宋体" w:hAnsi="宋体" w:eastAsia="宋体" w:cs="宋体"/>
          <w:u w:val="single"/>
          <w:lang w:eastAsia="zh-CN"/>
        </w:rPr>
        <w:t>采购人</w:t>
      </w:r>
      <w:r>
        <w:rPr>
          <w:rFonts w:hint="eastAsia" w:ascii="宋体" w:hAnsi="宋体" w:eastAsia="宋体" w:cs="宋体"/>
          <w:u w:val="single"/>
        </w:rPr>
        <w:t>支付预付款前向</w:t>
      </w:r>
      <w:r>
        <w:rPr>
          <w:rFonts w:hint="eastAsia" w:ascii="宋体" w:hAnsi="宋体" w:eastAsia="宋体" w:cs="宋体"/>
          <w:u w:val="single"/>
          <w:lang w:eastAsia="zh-CN"/>
        </w:rPr>
        <w:t>采购人</w:t>
      </w:r>
      <w:r>
        <w:rPr>
          <w:rFonts w:hint="eastAsia" w:ascii="宋体" w:hAnsi="宋体" w:eastAsia="宋体" w:cs="宋体"/>
          <w:u w:val="single"/>
        </w:rPr>
        <w:t>提供预付款担保，在</w:t>
      </w:r>
      <w:r>
        <w:rPr>
          <w:rFonts w:hint="eastAsia" w:ascii="宋体" w:hAnsi="宋体" w:eastAsia="宋体" w:cs="宋体"/>
          <w:u w:val="single"/>
          <w:lang w:eastAsia="zh-CN"/>
        </w:rPr>
        <w:t>本工程竣工验收合格之日止</w:t>
      </w:r>
      <w:r>
        <w:rPr>
          <w:rFonts w:hint="eastAsia" w:ascii="宋体" w:hAnsi="宋体" w:eastAsia="宋体" w:cs="宋体"/>
          <w:u w:val="single"/>
        </w:rPr>
        <w:t xml:space="preserve">，应保证银行保函持续有效 </w:t>
      </w:r>
      <w:r>
        <w:rPr>
          <w:rFonts w:hint="eastAsia" w:ascii="宋体" w:hAnsi="宋体" w:eastAsia="宋体" w:cs="宋体"/>
        </w:rPr>
        <w:t>。</w:t>
      </w:r>
    </w:p>
    <w:p>
      <w:pPr>
        <w:keepNext w:val="0"/>
        <w:keepLines w:val="0"/>
        <w:pageBreakBefore w:val="0"/>
        <w:widowControl w:val="0"/>
        <w:numPr>
          <w:ilvl w:val="0"/>
          <w:numId w:val="29"/>
        </w:numPr>
        <w:kinsoku/>
        <w:wordWrap/>
        <w:overflowPunct/>
        <w:topLinePunct w:val="0"/>
        <w:autoSpaceDE/>
        <w:autoSpaceDN/>
        <w:bidi w:val="0"/>
        <w:adjustRightInd w:val="0"/>
        <w:snapToGrid/>
        <w:spacing w:line="360" w:lineRule="exact"/>
        <w:ind w:left="425" w:leftChars="0" w:hanging="425" w:firstLineChars="0"/>
        <w:textAlignment w:val="auto"/>
        <w:rPr>
          <w:rFonts w:hint="eastAsia" w:ascii="宋体" w:hAnsi="宋体" w:eastAsia="宋体" w:cs="宋体"/>
          <w:color w:val="000000"/>
          <w:u w:val="single"/>
        </w:rPr>
      </w:pPr>
      <w:r>
        <w:rPr>
          <w:rFonts w:hint="eastAsia" w:ascii="宋体" w:hAnsi="宋体" w:eastAsia="宋体" w:cs="宋体"/>
          <w:color w:val="000000"/>
        </w:rPr>
        <w:t>预付款担保的形式为：</w:t>
      </w:r>
      <w:r>
        <w:rPr>
          <w:rFonts w:hint="eastAsia" w:ascii="宋体" w:hAnsi="宋体" w:eastAsia="宋体" w:cs="宋体"/>
          <w:color w:val="000000"/>
          <w:u w:val="single"/>
          <w:lang w:eastAsia="zh-CN"/>
        </w:rPr>
        <w:t>成交</w:t>
      </w:r>
      <w:r>
        <w:rPr>
          <w:rFonts w:hint="eastAsia" w:ascii="宋体" w:hAnsi="宋体" w:cs="宋体"/>
          <w:color w:val="000000"/>
          <w:u w:val="single"/>
          <w:lang w:eastAsia="zh-CN"/>
        </w:rPr>
        <w:t>磋商</w:t>
      </w:r>
      <w:r>
        <w:rPr>
          <w:rFonts w:hint="eastAsia" w:ascii="宋体" w:hAnsi="宋体" w:eastAsia="宋体" w:cs="宋体"/>
          <w:color w:val="000000"/>
          <w:u w:val="single"/>
          <w:lang w:eastAsia="zh-CN"/>
        </w:rPr>
        <w:t>供应商</w:t>
      </w:r>
      <w:r>
        <w:rPr>
          <w:rFonts w:hint="eastAsia" w:ascii="宋体" w:hAnsi="宋体" w:eastAsia="宋体" w:cs="宋体"/>
          <w:color w:val="000000"/>
          <w:u w:val="single"/>
        </w:rPr>
        <w:t>需提交银行出具的预付款保函或其他担保措施（根据《浙江省财政厅关于进一步发挥政府采购政策功能全力推动经济稳进提升的通知》浙财采监[2022]3号文件）。</w:t>
      </w:r>
    </w:p>
    <w:p>
      <w:pPr>
        <w:keepNext w:val="0"/>
        <w:keepLines w:val="0"/>
        <w:pageBreakBefore w:val="0"/>
        <w:widowControl w:val="0"/>
        <w:numPr>
          <w:ilvl w:val="0"/>
          <w:numId w:val="29"/>
        </w:numPr>
        <w:kinsoku/>
        <w:wordWrap/>
        <w:overflowPunct/>
        <w:topLinePunct w:val="0"/>
        <w:autoSpaceDE/>
        <w:autoSpaceDN/>
        <w:bidi w:val="0"/>
        <w:adjustRightInd w:val="0"/>
        <w:snapToGrid/>
        <w:spacing w:line="360" w:lineRule="exact"/>
        <w:ind w:left="425" w:leftChars="0" w:hanging="425" w:firstLineChars="0"/>
        <w:textAlignment w:val="auto"/>
        <w:rPr>
          <w:rFonts w:hint="eastAsia" w:ascii="宋体" w:hAnsi="宋体" w:eastAsia="宋体" w:cs="宋体"/>
          <w:color w:val="000000"/>
        </w:rPr>
      </w:pPr>
      <w:r>
        <w:rPr>
          <w:rFonts w:hint="eastAsia" w:ascii="宋体" w:hAnsi="宋体" w:eastAsia="宋体" w:cs="宋体"/>
          <w:color w:val="000000"/>
        </w:rPr>
        <w:t>预付款担保应满足以下几个条件：</w:t>
      </w:r>
      <w:r>
        <w:rPr>
          <w:rFonts w:hint="eastAsia" w:ascii="宋体" w:hAnsi="宋体" w:eastAsia="宋体" w:cs="宋体"/>
          <w:color w:val="000000"/>
          <w:u w:val="single"/>
        </w:rPr>
        <w:t>1）出具保函的机构：需经</w:t>
      </w:r>
      <w:r>
        <w:rPr>
          <w:rFonts w:hint="eastAsia" w:ascii="宋体" w:hAnsi="宋体" w:eastAsia="宋体" w:cs="宋体"/>
          <w:color w:val="000000"/>
          <w:u w:val="single"/>
          <w:lang w:eastAsia="zh-CN"/>
        </w:rPr>
        <w:t>采购人</w:t>
      </w:r>
      <w:r>
        <w:rPr>
          <w:rFonts w:hint="eastAsia" w:ascii="宋体" w:hAnsi="宋体" w:eastAsia="宋体" w:cs="宋体"/>
          <w:color w:val="000000"/>
          <w:u w:val="single"/>
        </w:rPr>
        <w:t>确认。2）为见索即付保函：不需要出具任何证明和理由，就可对保函进行收兑。3）如因</w:t>
      </w:r>
      <w:r>
        <w:rPr>
          <w:rFonts w:hint="eastAsia" w:ascii="宋体" w:hAnsi="宋体" w:eastAsia="宋体" w:cs="宋体"/>
          <w:color w:val="000000"/>
          <w:u w:val="single"/>
          <w:lang w:eastAsia="zh-CN"/>
        </w:rPr>
        <w:t>成交</w:t>
      </w:r>
      <w:r>
        <w:rPr>
          <w:rFonts w:hint="eastAsia" w:ascii="宋体" w:hAnsi="宋体" w:cs="宋体"/>
          <w:color w:val="000000"/>
          <w:u w:val="single"/>
          <w:lang w:eastAsia="zh-CN"/>
        </w:rPr>
        <w:t>磋商</w:t>
      </w:r>
      <w:r>
        <w:rPr>
          <w:rFonts w:hint="eastAsia" w:ascii="宋体" w:hAnsi="宋体" w:eastAsia="宋体" w:cs="宋体"/>
          <w:color w:val="000000"/>
          <w:u w:val="single"/>
          <w:lang w:eastAsia="zh-CN"/>
        </w:rPr>
        <w:t>供应商</w:t>
      </w:r>
      <w:r>
        <w:rPr>
          <w:rFonts w:hint="eastAsia" w:ascii="宋体" w:hAnsi="宋体" w:eastAsia="宋体" w:cs="宋体"/>
          <w:color w:val="000000"/>
          <w:u w:val="single"/>
        </w:rPr>
        <w:t>未及时提供预付款担保，导致</w:t>
      </w:r>
      <w:r>
        <w:rPr>
          <w:rFonts w:hint="eastAsia" w:ascii="宋体" w:hAnsi="宋体" w:eastAsia="宋体" w:cs="宋体"/>
          <w:color w:val="000000"/>
          <w:u w:val="single"/>
          <w:lang w:eastAsia="zh-CN"/>
        </w:rPr>
        <w:t>采购人</w:t>
      </w:r>
      <w:r>
        <w:rPr>
          <w:rFonts w:hint="eastAsia" w:ascii="宋体" w:hAnsi="宋体" w:eastAsia="宋体" w:cs="宋体"/>
          <w:color w:val="000000"/>
          <w:u w:val="single"/>
        </w:rPr>
        <w:t>无法支付预付款，不影响</w:t>
      </w:r>
      <w:r>
        <w:rPr>
          <w:rFonts w:hint="eastAsia" w:ascii="宋体" w:hAnsi="宋体" w:eastAsia="宋体" w:cs="宋体"/>
          <w:color w:val="000000"/>
          <w:u w:val="single"/>
          <w:lang w:eastAsia="zh-CN"/>
        </w:rPr>
        <w:t>成交</w:t>
      </w:r>
      <w:r>
        <w:rPr>
          <w:rFonts w:hint="eastAsia" w:ascii="宋体" w:hAnsi="宋体" w:cs="宋体"/>
          <w:color w:val="000000"/>
          <w:u w:val="single"/>
          <w:lang w:eastAsia="zh-CN"/>
        </w:rPr>
        <w:t>磋商</w:t>
      </w:r>
      <w:r>
        <w:rPr>
          <w:rFonts w:hint="eastAsia" w:ascii="宋体" w:hAnsi="宋体" w:eastAsia="宋体" w:cs="宋体"/>
          <w:color w:val="000000"/>
          <w:u w:val="single"/>
          <w:lang w:eastAsia="zh-CN"/>
        </w:rPr>
        <w:t>供应商</w:t>
      </w:r>
      <w:r>
        <w:rPr>
          <w:rFonts w:hint="eastAsia" w:ascii="宋体" w:hAnsi="宋体" w:eastAsia="宋体" w:cs="宋体"/>
          <w:color w:val="000000"/>
          <w:u w:val="single"/>
        </w:rPr>
        <w:t>履行合同义务，</w:t>
      </w:r>
      <w:r>
        <w:rPr>
          <w:rFonts w:hint="eastAsia" w:ascii="宋体" w:hAnsi="宋体" w:eastAsia="宋体" w:cs="宋体"/>
          <w:color w:val="000000"/>
          <w:u w:val="single"/>
          <w:lang w:eastAsia="zh-CN"/>
        </w:rPr>
        <w:t>成交</w:t>
      </w:r>
      <w:r>
        <w:rPr>
          <w:rFonts w:hint="eastAsia" w:ascii="宋体" w:hAnsi="宋体" w:cs="宋体"/>
          <w:color w:val="000000"/>
          <w:u w:val="single"/>
          <w:lang w:eastAsia="zh-CN"/>
        </w:rPr>
        <w:t>磋商</w:t>
      </w:r>
      <w:r>
        <w:rPr>
          <w:rFonts w:hint="eastAsia" w:ascii="宋体" w:hAnsi="宋体" w:eastAsia="宋体" w:cs="宋体"/>
          <w:color w:val="000000"/>
          <w:u w:val="single"/>
          <w:lang w:eastAsia="zh-CN"/>
        </w:rPr>
        <w:t>供应商</w:t>
      </w:r>
      <w:r>
        <w:rPr>
          <w:rFonts w:hint="eastAsia" w:ascii="宋体" w:hAnsi="宋体" w:eastAsia="宋体" w:cs="宋体"/>
          <w:color w:val="000000"/>
          <w:u w:val="single"/>
        </w:rPr>
        <w:t>不得以此拖延或不履行合同义务。</w:t>
      </w:r>
    </w:p>
    <w:p>
      <w:pPr>
        <w:pStyle w:val="2"/>
        <w:rPr>
          <w:rFonts w:hint="default" w:ascii="宋体" w:hAnsi="宋体" w:eastAsia="宋体" w:cs="宋体"/>
          <w:b/>
          <w:bCs/>
          <w:color w:val="FF0000"/>
          <w:kern w:val="2"/>
          <w:sz w:val="21"/>
          <w:szCs w:val="24"/>
          <w:u w:val="none"/>
          <w:lang w:val="en-US" w:eastAsia="zh-CN" w:bidi="ar-SA"/>
        </w:rPr>
      </w:pPr>
      <w:r>
        <w:rPr>
          <w:rFonts w:hint="eastAsia" w:ascii="宋体" w:hAnsi="宋体" w:eastAsia="宋体" w:cs="宋体"/>
          <w:b/>
          <w:bCs/>
          <w:color w:val="FF0000"/>
          <w:kern w:val="2"/>
          <w:sz w:val="21"/>
          <w:szCs w:val="24"/>
          <w:u w:val="none"/>
          <w:lang w:val="en-US" w:eastAsia="zh-CN" w:bidi="ar-SA"/>
        </w:rPr>
        <w:t>注：</w:t>
      </w:r>
      <w:r>
        <w:rPr>
          <w:rFonts w:hint="eastAsia" w:hAnsi="宋体" w:cs="宋体"/>
          <w:b/>
          <w:bCs/>
          <w:color w:val="FF0000"/>
          <w:kern w:val="2"/>
          <w:sz w:val="21"/>
          <w:szCs w:val="24"/>
          <w:u w:val="none"/>
          <w:lang w:val="en-US" w:eastAsia="zh-CN" w:bidi="ar-SA"/>
        </w:rPr>
        <w:t>预付款5%打到公司基本账户或一般账户，35%达到三方监管账户。</w:t>
      </w:r>
    </w:p>
    <w:p>
      <w:pPr>
        <w:keepNext w:val="0"/>
        <w:keepLines w:val="0"/>
        <w:pageBreakBefore w:val="0"/>
        <w:widowControl/>
        <w:numPr>
          <w:ilvl w:val="0"/>
          <w:numId w:val="22"/>
        </w:numPr>
        <w:kinsoku/>
        <w:wordWrap/>
        <w:overflowPunct/>
        <w:topLinePunct w:val="0"/>
        <w:autoSpaceDE/>
        <w:autoSpaceDN/>
        <w:bidi w:val="0"/>
        <w:adjustRightInd w:val="0"/>
        <w:spacing w:line="400" w:lineRule="atLeast"/>
        <w:ind w:firstLine="0"/>
        <w:textAlignment w:val="auto"/>
        <w:outlineLvl w:val="9"/>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lang w:eastAsia="zh-CN"/>
        </w:rPr>
        <w:t>付款方式</w:t>
      </w:r>
    </w:p>
    <w:p>
      <w:pPr>
        <w:keepNext w:val="0"/>
        <w:keepLines w:val="0"/>
        <w:pageBreakBefore w:val="0"/>
        <w:widowControl/>
        <w:numPr>
          <w:ilvl w:val="0"/>
          <w:numId w:val="30"/>
        </w:numPr>
        <w:kinsoku/>
        <w:wordWrap/>
        <w:overflowPunct/>
        <w:topLinePunct w:val="0"/>
        <w:autoSpaceDE/>
        <w:autoSpaceDN/>
        <w:bidi w:val="0"/>
        <w:adjustRightInd w:val="0"/>
        <w:spacing w:line="400" w:lineRule="atLeast"/>
        <w:textAlignment w:val="auto"/>
        <w:outlineLvl w:val="9"/>
        <w:rPr>
          <w:rFonts w:hint="eastAsia" w:ascii="宋体" w:hAnsi="宋体" w:cs="宋体"/>
          <w:bCs/>
          <w:color w:val="auto"/>
          <w:sz w:val="21"/>
          <w:szCs w:val="21"/>
          <w:highlight w:val="none"/>
        </w:rPr>
      </w:pPr>
      <w:r>
        <w:rPr>
          <w:rFonts w:hint="eastAsia" w:ascii="宋体" w:hAnsi="宋体"/>
          <w:color w:val="auto"/>
          <w:szCs w:val="21"/>
          <w:highlight w:val="none"/>
        </w:rPr>
        <w:t>①每月15日</w:t>
      </w:r>
      <w:r>
        <w:rPr>
          <w:rFonts w:hint="eastAsia" w:ascii="宋体" w:hAnsi="宋体"/>
          <w:color w:val="auto"/>
          <w:szCs w:val="21"/>
          <w:highlight w:val="none"/>
          <w:lang w:eastAsia="zh-CN"/>
        </w:rPr>
        <w:t>成交磋商供应商</w:t>
      </w:r>
      <w:r>
        <w:rPr>
          <w:rFonts w:hint="eastAsia" w:ascii="宋体" w:hAnsi="宋体"/>
          <w:color w:val="auto"/>
          <w:szCs w:val="21"/>
          <w:highlight w:val="none"/>
        </w:rPr>
        <w:t>上报实际完成工程量，经监理人和</w:t>
      </w:r>
      <w:r>
        <w:rPr>
          <w:rFonts w:hint="eastAsia" w:ascii="宋体" w:hAnsi="宋体"/>
          <w:color w:val="auto"/>
          <w:szCs w:val="21"/>
          <w:highlight w:val="none"/>
          <w:lang w:eastAsia="zh-CN"/>
        </w:rPr>
        <w:t>采购人签字</w:t>
      </w:r>
      <w:r>
        <w:rPr>
          <w:rFonts w:hint="eastAsia" w:ascii="宋体" w:hAnsi="宋体"/>
          <w:color w:val="auto"/>
          <w:szCs w:val="21"/>
          <w:highlight w:val="none"/>
        </w:rPr>
        <w:t>确定并收到发票后（满足合同约定支付条件的），7个工作日内支付至已完成工程量的85%。工程款累计支付至合同价款的85%后暂停支付。②竣工验收并办理结算后7个工作日内付清剩余合同价款。</w:t>
      </w:r>
    </w:p>
    <w:p>
      <w:pPr>
        <w:keepNext w:val="0"/>
        <w:keepLines w:val="0"/>
        <w:pageBreakBefore w:val="0"/>
        <w:widowControl/>
        <w:numPr>
          <w:ilvl w:val="0"/>
          <w:numId w:val="30"/>
        </w:numPr>
        <w:kinsoku/>
        <w:wordWrap/>
        <w:overflowPunct/>
        <w:topLinePunct w:val="0"/>
        <w:autoSpaceDE/>
        <w:autoSpaceDN/>
        <w:bidi w:val="0"/>
        <w:adjustRightInd w:val="0"/>
        <w:spacing w:line="400" w:lineRule="atLeast"/>
        <w:textAlignment w:val="auto"/>
        <w:outlineLvl w:val="9"/>
        <w:rPr>
          <w:rFonts w:hint="eastAsia" w:ascii="宋体" w:hAnsi="宋体" w:cs="宋体"/>
          <w:bCs/>
          <w:color w:val="auto"/>
          <w:sz w:val="21"/>
          <w:szCs w:val="21"/>
          <w:highlight w:val="none"/>
        </w:rPr>
      </w:pPr>
      <w:r>
        <w:rPr>
          <w:rFonts w:hint="eastAsia" w:ascii="宋体" w:hAnsi="宋体"/>
          <w:color w:val="auto"/>
          <w:szCs w:val="21"/>
          <w:highlight w:val="none"/>
          <w:lang w:val="en-US" w:eastAsia="zh-CN"/>
        </w:rPr>
        <w:t>采购人</w:t>
      </w:r>
      <w:r>
        <w:rPr>
          <w:rFonts w:hint="eastAsia" w:ascii="宋体" w:hAnsi="宋体"/>
          <w:color w:val="auto"/>
          <w:szCs w:val="21"/>
          <w:highlight w:val="none"/>
        </w:rPr>
        <w:t>向</w:t>
      </w:r>
      <w:r>
        <w:rPr>
          <w:rFonts w:hint="eastAsia" w:ascii="宋体" w:hAnsi="宋体"/>
          <w:color w:val="auto"/>
          <w:szCs w:val="21"/>
          <w:highlight w:val="none"/>
          <w:lang w:val="en-US" w:eastAsia="zh-CN"/>
        </w:rPr>
        <w:t>成交磋商供应商</w:t>
      </w:r>
      <w:r>
        <w:rPr>
          <w:rFonts w:hint="eastAsia" w:ascii="宋体" w:hAnsi="宋体"/>
          <w:color w:val="auto"/>
          <w:szCs w:val="21"/>
          <w:highlight w:val="none"/>
        </w:rPr>
        <w:t>支付的一切费用，</w:t>
      </w:r>
      <w:r>
        <w:rPr>
          <w:rFonts w:hint="eastAsia" w:ascii="宋体" w:hAnsi="宋体"/>
          <w:color w:val="auto"/>
          <w:szCs w:val="21"/>
          <w:highlight w:val="none"/>
          <w:lang w:val="en-US" w:eastAsia="zh-CN"/>
        </w:rPr>
        <w:t>成交磋商供应商</w:t>
      </w:r>
      <w:r>
        <w:rPr>
          <w:rFonts w:hint="eastAsia" w:ascii="宋体" w:hAnsi="宋体"/>
          <w:color w:val="auto"/>
          <w:szCs w:val="21"/>
          <w:highlight w:val="none"/>
        </w:rPr>
        <w:t>不得移作他用。每次付款前，</w:t>
      </w:r>
      <w:r>
        <w:rPr>
          <w:rFonts w:hint="eastAsia" w:ascii="宋体" w:hAnsi="宋体"/>
          <w:color w:val="auto"/>
          <w:szCs w:val="21"/>
          <w:highlight w:val="none"/>
          <w:lang w:val="en-US" w:eastAsia="zh-CN"/>
        </w:rPr>
        <w:t>成交磋商供应商</w:t>
      </w:r>
      <w:r>
        <w:rPr>
          <w:rFonts w:hint="eastAsia" w:ascii="宋体" w:hAnsi="宋体"/>
          <w:color w:val="auto"/>
          <w:szCs w:val="21"/>
          <w:highlight w:val="none"/>
        </w:rPr>
        <w:t>应提供足额法定发票，否则</w:t>
      </w:r>
      <w:r>
        <w:rPr>
          <w:rFonts w:hint="eastAsia" w:ascii="宋体" w:hAnsi="宋体"/>
          <w:color w:val="auto"/>
          <w:szCs w:val="21"/>
          <w:highlight w:val="none"/>
          <w:lang w:val="en-US" w:eastAsia="zh-CN"/>
        </w:rPr>
        <w:t>采购人</w:t>
      </w:r>
      <w:r>
        <w:rPr>
          <w:rFonts w:hint="eastAsia" w:ascii="宋体" w:hAnsi="宋体"/>
          <w:color w:val="auto"/>
          <w:szCs w:val="21"/>
          <w:highlight w:val="none"/>
        </w:rPr>
        <w:t>有权拒绝付款。</w:t>
      </w:r>
      <w:r>
        <w:rPr>
          <w:rFonts w:hint="eastAsia" w:ascii="宋体" w:hAnsi="宋体"/>
          <w:color w:val="auto"/>
          <w:szCs w:val="21"/>
          <w:highlight w:val="none"/>
          <w:lang w:val="en-US" w:eastAsia="zh-CN"/>
        </w:rPr>
        <w:t>采购人</w:t>
      </w:r>
      <w:r>
        <w:rPr>
          <w:rFonts w:hint="eastAsia" w:ascii="宋体" w:hAnsi="宋体"/>
          <w:color w:val="auto"/>
          <w:szCs w:val="21"/>
          <w:highlight w:val="none"/>
        </w:rPr>
        <w:t>和监理工程师有权对此进行监督，如</w:t>
      </w:r>
      <w:r>
        <w:rPr>
          <w:rFonts w:hint="eastAsia" w:ascii="宋体" w:hAnsi="宋体"/>
          <w:color w:val="auto"/>
          <w:szCs w:val="21"/>
          <w:highlight w:val="none"/>
          <w:lang w:eastAsia="zh-CN"/>
        </w:rPr>
        <w:t>成交磋商供应商</w:t>
      </w:r>
      <w:r>
        <w:rPr>
          <w:rFonts w:hint="eastAsia" w:ascii="宋体" w:hAnsi="宋体"/>
          <w:color w:val="auto"/>
          <w:szCs w:val="21"/>
          <w:highlight w:val="none"/>
        </w:rPr>
        <w:t>抽走用于本工程的资金，且影响了工程的实施，按</w:t>
      </w:r>
      <w:r>
        <w:rPr>
          <w:rFonts w:hint="eastAsia" w:ascii="宋体" w:hAnsi="宋体"/>
          <w:color w:val="auto"/>
          <w:szCs w:val="21"/>
          <w:highlight w:val="none"/>
          <w:lang w:val="en-US" w:eastAsia="zh-CN"/>
        </w:rPr>
        <w:t>成交磋商供应商</w:t>
      </w:r>
      <w:r>
        <w:rPr>
          <w:rFonts w:hint="eastAsia" w:ascii="宋体" w:hAnsi="宋体"/>
          <w:color w:val="auto"/>
          <w:szCs w:val="21"/>
          <w:highlight w:val="none"/>
        </w:rPr>
        <w:t>违约处理。</w:t>
      </w:r>
    </w:p>
    <w:p>
      <w:pPr>
        <w:keepNext w:val="0"/>
        <w:keepLines w:val="0"/>
        <w:pageBreakBefore w:val="0"/>
        <w:widowControl/>
        <w:numPr>
          <w:ilvl w:val="0"/>
          <w:numId w:val="22"/>
        </w:numPr>
        <w:kinsoku/>
        <w:wordWrap/>
        <w:overflowPunct/>
        <w:topLinePunct w:val="0"/>
        <w:autoSpaceDE/>
        <w:autoSpaceDN/>
        <w:bidi w:val="0"/>
        <w:adjustRightInd w:val="0"/>
        <w:spacing w:line="400" w:lineRule="atLeast"/>
        <w:ind w:firstLine="0"/>
        <w:textAlignment w:val="auto"/>
        <w:outlineLvl w:val="9"/>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安全生产保证措施</w:t>
      </w:r>
    </w:p>
    <w:p>
      <w:pPr>
        <w:keepNext w:val="0"/>
        <w:keepLines w:val="0"/>
        <w:pageBreakBefore w:val="0"/>
        <w:widowControl/>
        <w:numPr>
          <w:ilvl w:val="0"/>
          <w:numId w:val="31"/>
        </w:numPr>
        <w:kinsoku/>
        <w:wordWrap/>
        <w:overflowPunct/>
        <w:topLinePunct w:val="0"/>
        <w:autoSpaceDE/>
        <w:autoSpaceDN/>
        <w:bidi w:val="0"/>
        <w:adjustRightInd w:val="0"/>
        <w:spacing w:line="400" w:lineRule="atLeast"/>
        <w:textAlignment w:val="auto"/>
        <w:outlineLvl w:val="9"/>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成交磋商供应商</w:t>
      </w:r>
      <w:r>
        <w:rPr>
          <w:rFonts w:hint="default" w:ascii="宋体" w:hAnsi="宋体"/>
          <w:color w:val="auto"/>
          <w:szCs w:val="21"/>
          <w:highlight w:val="none"/>
          <w:lang w:val="en-US" w:eastAsia="zh-CN"/>
        </w:rPr>
        <w:t>应当按照有关规定编制安全技术措施或者专项施工方案，建立安全生产责任制度、治安保卫制度及安全生产教育培训制度，并按安全生产法律规定及合同约定履行安全职责，如实编制工程安全生产的有关记录，接受</w:t>
      </w:r>
      <w:r>
        <w:rPr>
          <w:rFonts w:hint="eastAsia" w:ascii="宋体" w:hAnsi="宋体"/>
          <w:color w:val="auto"/>
          <w:szCs w:val="21"/>
          <w:highlight w:val="none"/>
          <w:lang w:val="en-US" w:eastAsia="zh-CN"/>
        </w:rPr>
        <w:t>采购人</w:t>
      </w:r>
      <w:r>
        <w:rPr>
          <w:rFonts w:hint="default" w:ascii="宋体" w:hAnsi="宋体"/>
          <w:color w:val="auto"/>
          <w:szCs w:val="21"/>
          <w:highlight w:val="none"/>
          <w:lang w:val="en-US" w:eastAsia="zh-CN"/>
        </w:rPr>
        <w:t>、监理人及政府安全监督部门的检查与监督</w:t>
      </w:r>
      <w:r>
        <w:rPr>
          <w:rFonts w:hint="eastAsia" w:ascii="宋体" w:hAnsi="宋体"/>
          <w:color w:val="auto"/>
          <w:szCs w:val="21"/>
          <w:highlight w:val="none"/>
          <w:lang w:val="en-US" w:eastAsia="zh-CN"/>
        </w:rPr>
        <w:t>。</w:t>
      </w:r>
    </w:p>
    <w:p>
      <w:pPr>
        <w:keepNext w:val="0"/>
        <w:keepLines w:val="0"/>
        <w:pageBreakBefore w:val="0"/>
        <w:widowControl/>
        <w:numPr>
          <w:ilvl w:val="0"/>
          <w:numId w:val="31"/>
        </w:numPr>
        <w:kinsoku/>
        <w:wordWrap/>
        <w:overflowPunct/>
        <w:topLinePunct w:val="0"/>
        <w:autoSpaceDE/>
        <w:autoSpaceDN/>
        <w:bidi w:val="0"/>
        <w:adjustRightInd w:val="0"/>
        <w:spacing w:line="400" w:lineRule="atLeast"/>
        <w:textAlignment w:val="auto"/>
        <w:outlineLvl w:val="9"/>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成交磋商供应商</w:t>
      </w:r>
      <w:r>
        <w:rPr>
          <w:rFonts w:hint="default" w:ascii="宋体" w:hAnsi="宋体"/>
          <w:color w:val="auto"/>
          <w:szCs w:val="21"/>
          <w:highlight w:val="none"/>
          <w:lang w:val="en-US" w:eastAsia="zh-CN"/>
        </w:rPr>
        <w:t>在工程施工期间，应当采取措施保持施工现场平整，物料堆放整齐。工程所在地有关政府行政管理部门有特殊要求的，按照其要求执行。合同当事人对文明施工有其他要求的，可以在专用合同条款中明确</w:t>
      </w:r>
      <w:r>
        <w:rPr>
          <w:rFonts w:hint="eastAsia" w:ascii="宋体" w:hAnsi="宋体"/>
          <w:color w:val="auto"/>
          <w:szCs w:val="21"/>
          <w:highlight w:val="none"/>
          <w:lang w:val="en-US" w:eastAsia="zh-CN"/>
        </w:rPr>
        <w:t>。</w:t>
      </w:r>
    </w:p>
    <w:p>
      <w:pPr>
        <w:keepNext w:val="0"/>
        <w:keepLines w:val="0"/>
        <w:pageBreakBefore w:val="0"/>
        <w:widowControl/>
        <w:numPr>
          <w:ilvl w:val="0"/>
          <w:numId w:val="31"/>
        </w:numPr>
        <w:kinsoku/>
        <w:wordWrap/>
        <w:overflowPunct/>
        <w:topLinePunct w:val="0"/>
        <w:autoSpaceDE/>
        <w:autoSpaceDN/>
        <w:bidi w:val="0"/>
        <w:adjustRightInd w:val="0"/>
        <w:spacing w:line="400" w:lineRule="atLeast"/>
        <w:textAlignment w:val="auto"/>
        <w:outlineLvl w:val="9"/>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在工程移交之前，</w:t>
      </w:r>
      <w:r>
        <w:rPr>
          <w:rFonts w:hint="eastAsia" w:ascii="宋体" w:hAnsi="宋体"/>
          <w:color w:val="auto"/>
          <w:szCs w:val="21"/>
          <w:highlight w:val="none"/>
          <w:lang w:val="en-US" w:eastAsia="zh-CN"/>
        </w:rPr>
        <w:t>成交磋商供应商</w:t>
      </w:r>
      <w:r>
        <w:rPr>
          <w:rFonts w:hint="default" w:ascii="宋体" w:hAnsi="宋体"/>
          <w:color w:val="auto"/>
          <w:szCs w:val="21"/>
          <w:highlight w:val="none"/>
          <w:lang w:val="en-US" w:eastAsia="zh-CN"/>
        </w:rPr>
        <w:t>应当从施工现场清除</w:t>
      </w:r>
      <w:r>
        <w:rPr>
          <w:rFonts w:hint="eastAsia" w:ascii="宋体" w:hAnsi="宋体"/>
          <w:color w:val="auto"/>
          <w:szCs w:val="21"/>
          <w:highlight w:val="none"/>
          <w:lang w:val="en-US" w:eastAsia="zh-CN"/>
        </w:rPr>
        <w:t>成交磋商供应商</w:t>
      </w:r>
      <w:r>
        <w:rPr>
          <w:rFonts w:hint="default" w:ascii="宋体" w:hAnsi="宋体"/>
          <w:color w:val="auto"/>
          <w:szCs w:val="21"/>
          <w:highlight w:val="none"/>
          <w:lang w:val="en-US" w:eastAsia="zh-CN"/>
        </w:rPr>
        <w:t>的全部工程设备、多余材料、垃圾和各种临时工程，并保持施工现场清洁整齐。经</w:t>
      </w:r>
      <w:r>
        <w:rPr>
          <w:rFonts w:hint="eastAsia" w:ascii="宋体" w:hAnsi="宋体"/>
          <w:color w:val="auto"/>
          <w:szCs w:val="21"/>
          <w:highlight w:val="none"/>
          <w:lang w:val="en-US" w:eastAsia="zh-CN"/>
        </w:rPr>
        <w:t>采购人</w:t>
      </w:r>
      <w:r>
        <w:rPr>
          <w:rFonts w:hint="default" w:ascii="宋体" w:hAnsi="宋体"/>
          <w:color w:val="auto"/>
          <w:szCs w:val="21"/>
          <w:highlight w:val="none"/>
          <w:lang w:val="en-US" w:eastAsia="zh-CN"/>
        </w:rPr>
        <w:t>书面同意，</w:t>
      </w:r>
      <w:r>
        <w:rPr>
          <w:rFonts w:hint="eastAsia" w:ascii="宋体" w:hAnsi="宋体"/>
          <w:color w:val="auto"/>
          <w:szCs w:val="21"/>
          <w:highlight w:val="none"/>
          <w:lang w:val="en-US" w:eastAsia="zh-CN"/>
        </w:rPr>
        <w:t>成交磋商供应商可</w:t>
      </w:r>
      <w:r>
        <w:rPr>
          <w:rFonts w:hint="default" w:ascii="宋体" w:hAnsi="宋体"/>
          <w:color w:val="auto"/>
          <w:szCs w:val="21"/>
          <w:highlight w:val="none"/>
          <w:lang w:val="en-US" w:eastAsia="zh-CN"/>
        </w:rPr>
        <w:t>在</w:t>
      </w:r>
      <w:r>
        <w:rPr>
          <w:rFonts w:hint="eastAsia" w:ascii="宋体" w:hAnsi="宋体"/>
          <w:color w:val="auto"/>
          <w:szCs w:val="21"/>
          <w:highlight w:val="none"/>
          <w:lang w:val="en-US" w:eastAsia="zh-CN"/>
        </w:rPr>
        <w:t>采购人</w:t>
      </w:r>
      <w:r>
        <w:rPr>
          <w:rFonts w:hint="default" w:ascii="宋体" w:hAnsi="宋体"/>
          <w:color w:val="auto"/>
          <w:szCs w:val="21"/>
          <w:highlight w:val="none"/>
          <w:lang w:val="en-US" w:eastAsia="zh-CN"/>
        </w:rPr>
        <w:t>指定的地点保留</w:t>
      </w:r>
      <w:r>
        <w:rPr>
          <w:rFonts w:hint="eastAsia" w:ascii="宋体" w:hAnsi="宋体"/>
          <w:color w:val="auto"/>
          <w:szCs w:val="21"/>
          <w:highlight w:val="none"/>
          <w:lang w:val="en-US" w:eastAsia="zh-CN"/>
        </w:rPr>
        <w:t>成交磋商供应商</w:t>
      </w:r>
      <w:r>
        <w:rPr>
          <w:rFonts w:hint="default" w:ascii="宋体" w:hAnsi="宋体"/>
          <w:color w:val="auto"/>
          <w:szCs w:val="21"/>
          <w:highlight w:val="none"/>
          <w:lang w:val="en-US" w:eastAsia="zh-CN"/>
        </w:rPr>
        <w:t>履行保修期内的各项义务所需要的材料、施工设备和临时工程。</w:t>
      </w:r>
    </w:p>
    <w:p>
      <w:pPr>
        <w:keepNext w:val="0"/>
        <w:keepLines w:val="0"/>
        <w:pageBreakBefore w:val="0"/>
        <w:numPr>
          <w:ilvl w:val="0"/>
          <w:numId w:val="22"/>
        </w:numPr>
        <w:kinsoku/>
        <w:wordWrap/>
        <w:overflowPunct/>
        <w:topLinePunct w:val="0"/>
        <w:autoSpaceDE/>
        <w:autoSpaceDN/>
        <w:bidi w:val="0"/>
        <w:adjustRightInd w:val="0"/>
        <w:spacing w:beforeLines="50" w:line="400" w:lineRule="atLeast"/>
        <w:ind w:firstLine="0"/>
        <w:textAlignment w:val="auto"/>
        <w:outlineLvl w:val="9"/>
        <w:rPr>
          <w:rFonts w:hint="eastAsia" w:ascii="宋体" w:hAnsi="宋体" w:cs="宋体"/>
          <w:b/>
          <w:color w:val="auto"/>
          <w:szCs w:val="21"/>
          <w:highlight w:val="none"/>
        </w:rPr>
      </w:pPr>
      <w:r>
        <w:rPr>
          <w:rFonts w:hint="eastAsia" w:ascii="宋体" w:hAnsi="宋体" w:cs="宋体"/>
          <w:b/>
          <w:color w:val="auto"/>
          <w:szCs w:val="21"/>
          <w:highlight w:val="none"/>
        </w:rPr>
        <w:t>工程量清单及图纸：另册</w:t>
      </w:r>
    </w:p>
    <w:p>
      <w:pPr>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24"/>
          <w:highlight w:val="none"/>
        </w:rPr>
        <w:br w:type="page"/>
      </w:r>
      <w:bookmarkStart w:id="31" w:name="_Toc32559"/>
      <w:r>
        <w:rPr>
          <w:rFonts w:hint="eastAsia" w:ascii="宋体" w:hAnsi="宋体" w:eastAsia="宋体" w:cs="宋体"/>
          <w:b/>
          <w:color w:val="auto"/>
          <w:sz w:val="36"/>
          <w:szCs w:val="36"/>
          <w:highlight w:val="none"/>
        </w:rPr>
        <w:t>第</w:t>
      </w:r>
      <w:r>
        <w:rPr>
          <w:rFonts w:hint="eastAsia" w:ascii="宋体" w:hAnsi="宋体" w:cs="宋体"/>
          <w:b/>
          <w:color w:val="auto"/>
          <w:sz w:val="36"/>
          <w:szCs w:val="36"/>
          <w:highlight w:val="none"/>
          <w:lang w:val="en-US" w:eastAsia="zh-CN"/>
        </w:rPr>
        <w:t>四</w:t>
      </w:r>
      <w:r>
        <w:rPr>
          <w:rFonts w:hint="eastAsia" w:ascii="宋体" w:hAnsi="宋体" w:eastAsia="宋体" w:cs="宋体"/>
          <w:b/>
          <w:color w:val="auto"/>
          <w:sz w:val="36"/>
          <w:szCs w:val="36"/>
          <w:highlight w:val="none"/>
        </w:rPr>
        <w:t xml:space="preserve">部分   </w:t>
      </w:r>
      <w:bookmarkStart w:id="32" w:name="_Toc184313270"/>
      <w:bookmarkEnd w:id="32"/>
      <w:bookmarkStart w:id="33" w:name="_Toc184313284"/>
      <w:bookmarkEnd w:id="33"/>
      <w:bookmarkStart w:id="34" w:name="_Toc184314432"/>
      <w:bookmarkEnd w:id="34"/>
      <w:bookmarkStart w:id="35" w:name="_Toc184310272"/>
      <w:bookmarkEnd w:id="35"/>
      <w:bookmarkStart w:id="36" w:name="_Toc184313260"/>
      <w:bookmarkEnd w:id="36"/>
      <w:bookmarkStart w:id="37" w:name="_Toc184310317"/>
      <w:bookmarkEnd w:id="37"/>
      <w:bookmarkStart w:id="38" w:name="_Toc184310322"/>
      <w:bookmarkEnd w:id="38"/>
      <w:bookmarkStart w:id="39" w:name="_Toc184313253"/>
      <w:bookmarkEnd w:id="39"/>
      <w:bookmarkStart w:id="40" w:name="_Toc184310301"/>
      <w:bookmarkEnd w:id="40"/>
      <w:bookmarkStart w:id="41" w:name="_Toc184314429"/>
      <w:bookmarkEnd w:id="41"/>
      <w:bookmarkStart w:id="42" w:name="_Toc184312067"/>
      <w:bookmarkEnd w:id="42"/>
      <w:bookmarkStart w:id="43" w:name="_Toc184314419"/>
      <w:bookmarkEnd w:id="43"/>
      <w:bookmarkStart w:id="44" w:name="_Toc184308068"/>
      <w:bookmarkEnd w:id="44"/>
      <w:bookmarkStart w:id="45" w:name="_Toc184314428"/>
      <w:bookmarkEnd w:id="45"/>
      <w:bookmarkStart w:id="46" w:name="_Toc184310297"/>
      <w:bookmarkEnd w:id="46"/>
      <w:bookmarkStart w:id="47" w:name="_Toc184314430"/>
      <w:bookmarkEnd w:id="47"/>
      <w:bookmarkStart w:id="48" w:name="_Toc184314462"/>
      <w:bookmarkEnd w:id="48"/>
      <w:bookmarkStart w:id="49" w:name="_Toc184314420"/>
      <w:bookmarkEnd w:id="49"/>
      <w:bookmarkStart w:id="50" w:name="_Toc184310287"/>
      <w:bookmarkEnd w:id="50"/>
      <w:bookmarkStart w:id="51" w:name="_Toc184313243"/>
      <w:bookmarkEnd w:id="51"/>
      <w:bookmarkStart w:id="52" w:name="_Toc184314423"/>
      <w:bookmarkEnd w:id="52"/>
      <w:bookmarkStart w:id="53" w:name="_Toc184308088"/>
      <w:bookmarkEnd w:id="53"/>
      <w:bookmarkStart w:id="54" w:name="_Toc184308050"/>
      <w:bookmarkEnd w:id="54"/>
      <w:bookmarkStart w:id="55" w:name="_Toc184313261"/>
      <w:bookmarkEnd w:id="55"/>
      <w:bookmarkStart w:id="56" w:name="_Toc184313273"/>
      <w:bookmarkEnd w:id="56"/>
      <w:bookmarkStart w:id="57" w:name="_Toc184312112"/>
      <w:bookmarkEnd w:id="57"/>
      <w:bookmarkStart w:id="58" w:name="_Toc184310333"/>
      <w:bookmarkEnd w:id="58"/>
      <w:bookmarkStart w:id="59" w:name="_Toc184313251"/>
      <w:bookmarkEnd w:id="59"/>
      <w:bookmarkStart w:id="60" w:name="_Toc184312101"/>
      <w:bookmarkEnd w:id="60"/>
      <w:bookmarkStart w:id="61" w:name="_Toc184314450"/>
      <w:bookmarkEnd w:id="61"/>
      <w:bookmarkStart w:id="62" w:name="_Toc184314413"/>
      <w:bookmarkEnd w:id="62"/>
      <w:bookmarkStart w:id="63" w:name="_Toc184313306"/>
      <w:bookmarkEnd w:id="63"/>
      <w:bookmarkStart w:id="64" w:name="_Toc184313309"/>
      <w:bookmarkEnd w:id="64"/>
      <w:bookmarkStart w:id="65" w:name="_Toc184313248"/>
      <w:bookmarkEnd w:id="65"/>
      <w:bookmarkStart w:id="66" w:name="_Toc184312123"/>
      <w:bookmarkEnd w:id="66"/>
      <w:bookmarkStart w:id="67" w:name="_Toc184313300"/>
      <w:bookmarkEnd w:id="67"/>
      <w:bookmarkStart w:id="68" w:name="_Toc184310316"/>
      <w:bookmarkEnd w:id="68"/>
      <w:bookmarkStart w:id="69" w:name="_Toc184312138"/>
      <w:bookmarkEnd w:id="69"/>
      <w:bookmarkStart w:id="70" w:name="_Toc184312119"/>
      <w:bookmarkEnd w:id="70"/>
      <w:bookmarkStart w:id="71" w:name="_Toc184314426"/>
      <w:bookmarkEnd w:id="71"/>
      <w:bookmarkStart w:id="72" w:name="_Toc184310342"/>
      <w:bookmarkEnd w:id="72"/>
      <w:bookmarkStart w:id="73" w:name="_Toc184310328"/>
      <w:bookmarkEnd w:id="73"/>
      <w:bookmarkStart w:id="74" w:name="_Toc184312115"/>
      <w:bookmarkEnd w:id="74"/>
      <w:bookmarkStart w:id="75" w:name="_Toc184308061"/>
      <w:bookmarkEnd w:id="75"/>
      <w:bookmarkStart w:id="76" w:name="_Toc184312071"/>
      <w:bookmarkEnd w:id="76"/>
      <w:bookmarkStart w:id="77" w:name="_Toc184312094"/>
      <w:bookmarkEnd w:id="77"/>
      <w:bookmarkStart w:id="78" w:name="_Toc184314481"/>
      <w:bookmarkEnd w:id="78"/>
      <w:bookmarkStart w:id="79" w:name="_Toc184312078"/>
      <w:bookmarkEnd w:id="79"/>
      <w:bookmarkStart w:id="80" w:name="_Toc184308098"/>
      <w:bookmarkEnd w:id="80"/>
      <w:bookmarkStart w:id="81" w:name="_Toc184313238"/>
      <w:bookmarkEnd w:id="81"/>
      <w:bookmarkStart w:id="82" w:name="_Toc184308056"/>
      <w:bookmarkEnd w:id="82"/>
      <w:bookmarkStart w:id="83" w:name="_Toc184310275"/>
      <w:bookmarkEnd w:id="83"/>
      <w:bookmarkStart w:id="84" w:name="_Toc184308091"/>
      <w:bookmarkEnd w:id="84"/>
      <w:bookmarkStart w:id="85" w:name="_Toc184308102"/>
      <w:bookmarkEnd w:id="85"/>
      <w:bookmarkStart w:id="86" w:name="_Toc184313296"/>
      <w:bookmarkEnd w:id="86"/>
      <w:bookmarkStart w:id="87" w:name="_Toc184308101"/>
      <w:bookmarkEnd w:id="87"/>
      <w:bookmarkStart w:id="88" w:name="_Toc184314433"/>
      <w:bookmarkEnd w:id="88"/>
      <w:bookmarkStart w:id="89" w:name="_Toc184310324"/>
      <w:bookmarkEnd w:id="89"/>
      <w:bookmarkStart w:id="90" w:name="_Toc184308045"/>
      <w:bookmarkEnd w:id="90"/>
      <w:bookmarkStart w:id="91" w:name="_Toc184313267"/>
      <w:bookmarkEnd w:id="91"/>
      <w:bookmarkStart w:id="92" w:name="_Toc184314442"/>
      <w:bookmarkEnd w:id="92"/>
      <w:bookmarkStart w:id="93" w:name="_Toc184314418"/>
      <w:bookmarkEnd w:id="93"/>
      <w:bookmarkStart w:id="94" w:name="_Toc184313255"/>
      <w:bookmarkEnd w:id="94"/>
      <w:bookmarkStart w:id="95" w:name="_Toc184314441"/>
      <w:bookmarkEnd w:id="95"/>
      <w:bookmarkStart w:id="96" w:name="_Toc184312128"/>
      <w:bookmarkEnd w:id="96"/>
      <w:bookmarkStart w:id="97" w:name="_Toc184314448"/>
      <w:bookmarkEnd w:id="97"/>
      <w:bookmarkStart w:id="98" w:name="_Toc184310282"/>
      <w:bookmarkEnd w:id="98"/>
      <w:bookmarkStart w:id="99" w:name="_Toc184308071"/>
      <w:bookmarkEnd w:id="99"/>
      <w:bookmarkStart w:id="100" w:name="_Toc184313298"/>
      <w:bookmarkEnd w:id="100"/>
      <w:bookmarkStart w:id="101" w:name="_Toc184313252"/>
      <w:bookmarkEnd w:id="101"/>
      <w:bookmarkStart w:id="102" w:name="_Toc184310290"/>
      <w:bookmarkEnd w:id="102"/>
      <w:bookmarkStart w:id="103" w:name="_Toc184308097"/>
      <w:bookmarkEnd w:id="103"/>
      <w:bookmarkStart w:id="104" w:name="_Toc184313279"/>
      <w:bookmarkEnd w:id="104"/>
      <w:bookmarkStart w:id="105" w:name="_Toc184314451"/>
      <w:bookmarkEnd w:id="105"/>
      <w:bookmarkStart w:id="106" w:name="_Toc184310298"/>
      <w:bookmarkEnd w:id="106"/>
      <w:bookmarkStart w:id="107" w:name="_Toc184313271"/>
      <w:bookmarkEnd w:id="107"/>
      <w:bookmarkStart w:id="108" w:name="_Toc184314410"/>
      <w:bookmarkEnd w:id="108"/>
      <w:bookmarkStart w:id="109" w:name="_Toc184313286"/>
      <w:bookmarkEnd w:id="109"/>
      <w:bookmarkStart w:id="110" w:name="_Toc184310340"/>
      <w:bookmarkEnd w:id="110"/>
      <w:bookmarkStart w:id="111" w:name="_Toc184313304"/>
      <w:bookmarkEnd w:id="111"/>
      <w:bookmarkStart w:id="112" w:name="_Toc184310341"/>
      <w:bookmarkEnd w:id="112"/>
      <w:bookmarkStart w:id="113" w:name="_Toc184310344"/>
      <w:bookmarkEnd w:id="113"/>
      <w:bookmarkStart w:id="114" w:name="_Toc184312084"/>
      <w:bookmarkEnd w:id="114"/>
      <w:bookmarkStart w:id="115" w:name="_Toc184310334"/>
      <w:bookmarkEnd w:id="115"/>
      <w:bookmarkStart w:id="116" w:name="_Toc184308083"/>
      <w:bookmarkEnd w:id="116"/>
      <w:bookmarkStart w:id="117" w:name="_Toc184312102"/>
      <w:bookmarkEnd w:id="117"/>
      <w:bookmarkStart w:id="118" w:name="_Toc184310296"/>
      <w:bookmarkEnd w:id="118"/>
      <w:bookmarkStart w:id="119" w:name="_Toc184312108"/>
      <w:bookmarkEnd w:id="119"/>
      <w:bookmarkStart w:id="120" w:name="_Toc184308057"/>
      <w:bookmarkEnd w:id="120"/>
      <w:bookmarkStart w:id="121" w:name="_Toc184308051"/>
      <w:bookmarkEnd w:id="121"/>
      <w:bookmarkStart w:id="122" w:name="_Toc184312107"/>
      <w:bookmarkEnd w:id="122"/>
      <w:bookmarkStart w:id="123" w:name="_Toc184314425"/>
      <w:bookmarkEnd w:id="123"/>
      <w:bookmarkStart w:id="124" w:name="_Toc184308077"/>
      <w:bookmarkEnd w:id="124"/>
      <w:bookmarkStart w:id="125" w:name="_Toc184310281"/>
      <w:bookmarkEnd w:id="125"/>
      <w:bookmarkStart w:id="126" w:name="_Toc184312137"/>
      <w:bookmarkEnd w:id="126"/>
      <w:bookmarkStart w:id="127" w:name="_Toc184314477"/>
      <w:bookmarkEnd w:id="127"/>
      <w:bookmarkStart w:id="128" w:name="_Toc184313305"/>
      <w:bookmarkEnd w:id="128"/>
      <w:bookmarkStart w:id="129" w:name="_Toc184312077"/>
      <w:bookmarkEnd w:id="129"/>
      <w:bookmarkStart w:id="130" w:name="_Toc184310274"/>
      <w:bookmarkEnd w:id="130"/>
      <w:bookmarkStart w:id="131" w:name="_Toc184313282"/>
      <w:bookmarkEnd w:id="131"/>
      <w:bookmarkStart w:id="132" w:name="_Toc184313295"/>
      <w:bookmarkEnd w:id="132"/>
      <w:bookmarkStart w:id="133" w:name="_Toc184310335"/>
      <w:bookmarkEnd w:id="133"/>
      <w:bookmarkStart w:id="134" w:name="_Toc184312124"/>
      <w:bookmarkEnd w:id="134"/>
      <w:bookmarkStart w:id="135" w:name="_Toc184314421"/>
      <w:bookmarkEnd w:id="135"/>
      <w:bookmarkStart w:id="136" w:name="_Toc184312125"/>
      <w:bookmarkEnd w:id="136"/>
      <w:bookmarkStart w:id="137" w:name="_Toc184310273"/>
      <w:bookmarkEnd w:id="137"/>
      <w:bookmarkStart w:id="138" w:name="_Toc184312103"/>
      <w:bookmarkEnd w:id="138"/>
      <w:bookmarkStart w:id="139" w:name="_Toc184310293"/>
      <w:bookmarkEnd w:id="139"/>
      <w:bookmarkStart w:id="140" w:name="_Toc184308104"/>
      <w:bookmarkEnd w:id="140"/>
      <w:bookmarkStart w:id="141" w:name="_Toc184312116"/>
      <w:bookmarkEnd w:id="141"/>
      <w:bookmarkStart w:id="142" w:name="_Toc184313280"/>
      <w:bookmarkEnd w:id="142"/>
      <w:bookmarkStart w:id="143" w:name="_Toc184310312"/>
      <w:bookmarkEnd w:id="143"/>
      <w:bookmarkStart w:id="144" w:name="_Toc184308060"/>
      <w:bookmarkEnd w:id="144"/>
      <w:bookmarkStart w:id="145" w:name="_Toc184310288"/>
      <w:bookmarkEnd w:id="145"/>
      <w:bookmarkStart w:id="146" w:name="_Toc184313290"/>
      <w:bookmarkEnd w:id="146"/>
      <w:bookmarkStart w:id="147" w:name="_Toc184310307"/>
      <w:bookmarkEnd w:id="147"/>
      <w:bookmarkStart w:id="148" w:name="_Toc184312086"/>
      <w:bookmarkEnd w:id="148"/>
      <w:bookmarkStart w:id="149" w:name="_Toc184312109"/>
      <w:bookmarkEnd w:id="149"/>
      <w:bookmarkStart w:id="150" w:name="_Toc184312118"/>
      <w:bookmarkEnd w:id="150"/>
      <w:bookmarkStart w:id="151" w:name="_Toc184310295"/>
      <w:bookmarkEnd w:id="151"/>
      <w:bookmarkStart w:id="152" w:name="_Toc184312097"/>
      <w:bookmarkEnd w:id="152"/>
      <w:bookmarkStart w:id="153" w:name="_Toc184312069"/>
      <w:bookmarkEnd w:id="153"/>
      <w:bookmarkStart w:id="154" w:name="_Toc184312113"/>
      <w:bookmarkEnd w:id="154"/>
      <w:bookmarkStart w:id="155" w:name="_Toc184313259"/>
      <w:bookmarkEnd w:id="155"/>
      <w:bookmarkStart w:id="156" w:name="_Toc184310313"/>
      <w:bookmarkEnd w:id="156"/>
      <w:bookmarkStart w:id="157" w:name="_Toc184313277"/>
      <w:bookmarkEnd w:id="157"/>
      <w:bookmarkStart w:id="158" w:name="_Toc184308074"/>
      <w:bookmarkEnd w:id="158"/>
      <w:bookmarkStart w:id="159" w:name="_Toc184310291"/>
      <w:bookmarkEnd w:id="159"/>
      <w:bookmarkStart w:id="160" w:name="_Toc184308063"/>
      <w:bookmarkEnd w:id="160"/>
      <w:bookmarkStart w:id="161" w:name="_Toc184314443"/>
      <w:bookmarkEnd w:id="161"/>
      <w:bookmarkStart w:id="162" w:name="_Toc184312132"/>
      <w:bookmarkEnd w:id="162"/>
      <w:bookmarkStart w:id="163" w:name="_Toc184308036"/>
      <w:bookmarkEnd w:id="163"/>
      <w:bookmarkStart w:id="164" w:name="_Toc184312098"/>
      <w:bookmarkEnd w:id="164"/>
      <w:bookmarkStart w:id="165" w:name="_Toc184310336"/>
      <w:bookmarkEnd w:id="165"/>
      <w:bookmarkStart w:id="166" w:name="_Toc184310280"/>
      <w:bookmarkEnd w:id="166"/>
      <w:bookmarkStart w:id="167" w:name="_Toc184308090"/>
      <w:bookmarkEnd w:id="167"/>
      <w:bookmarkStart w:id="168" w:name="_Toc184308086"/>
      <w:bookmarkEnd w:id="168"/>
      <w:bookmarkStart w:id="169" w:name="_Toc184312070"/>
      <w:bookmarkEnd w:id="169"/>
      <w:bookmarkStart w:id="170" w:name="_Toc184314452"/>
      <w:bookmarkEnd w:id="170"/>
      <w:bookmarkStart w:id="171" w:name="_Toc184308064"/>
      <w:bookmarkEnd w:id="171"/>
      <w:bookmarkStart w:id="172" w:name="_Toc184312087"/>
      <w:bookmarkEnd w:id="172"/>
      <w:bookmarkStart w:id="173" w:name="_Toc184310332"/>
      <w:bookmarkEnd w:id="173"/>
      <w:bookmarkStart w:id="174" w:name="_Toc184308041"/>
      <w:bookmarkEnd w:id="174"/>
      <w:bookmarkStart w:id="175" w:name="_Toc184312106"/>
      <w:bookmarkEnd w:id="175"/>
      <w:bookmarkStart w:id="176" w:name="_Toc184308094"/>
      <w:bookmarkEnd w:id="176"/>
      <w:bookmarkStart w:id="177" w:name="_Toc184313293"/>
      <w:bookmarkEnd w:id="177"/>
      <w:bookmarkStart w:id="178" w:name="_Toc184310315"/>
      <w:bookmarkEnd w:id="178"/>
      <w:bookmarkStart w:id="179" w:name="_Toc184308043"/>
      <w:bookmarkEnd w:id="179"/>
      <w:bookmarkStart w:id="180" w:name="_Toc184312081"/>
      <w:bookmarkEnd w:id="180"/>
      <w:bookmarkStart w:id="181" w:name="_Toc184312127"/>
      <w:bookmarkEnd w:id="181"/>
      <w:bookmarkStart w:id="182" w:name="_Toc184313274"/>
      <w:bookmarkEnd w:id="182"/>
      <w:bookmarkStart w:id="183" w:name="_Toc184308054"/>
      <w:bookmarkEnd w:id="183"/>
      <w:bookmarkStart w:id="184" w:name="_Toc184313289"/>
      <w:bookmarkEnd w:id="184"/>
      <w:bookmarkStart w:id="185" w:name="_Toc184308039"/>
      <w:bookmarkEnd w:id="185"/>
      <w:bookmarkStart w:id="186" w:name="_Toc184312083"/>
      <w:bookmarkEnd w:id="186"/>
      <w:bookmarkStart w:id="187" w:name="_Toc184308040"/>
      <w:bookmarkEnd w:id="187"/>
      <w:bookmarkStart w:id="188" w:name="_Toc184310319"/>
      <w:bookmarkEnd w:id="188"/>
      <w:bookmarkStart w:id="189" w:name="_Toc184313262"/>
      <w:bookmarkEnd w:id="189"/>
      <w:bookmarkStart w:id="190" w:name="_Toc184310300"/>
      <w:bookmarkEnd w:id="190"/>
      <w:bookmarkStart w:id="191" w:name="_Toc184308059"/>
      <w:bookmarkEnd w:id="191"/>
      <w:bookmarkStart w:id="192" w:name="_Toc184312082"/>
      <w:bookmarkEnd w:id="192"/>
      <w:bookmarkStart w:id="193" w:name="_Toc184314463"/>
      <w:bookmarkEnd w:id="193"/>
      <w:bookmarkStart w:id="194" w:name="_Toc184313256"/>
      <w:bookmarkEnd w:id="194"/>
      <w:bookmarkStart w:id="195" w:name="_Toc184308073"/>
      <w:bookmarkEnd w:id="195"/>
      <w:bookmarkStart w:id="196" w:name="_Toc184312117"/>
      <w:bookmarkEnd w:id="196"/>
      <w:bookmarkStart w:id="197" w:name="_Toc184310339"/>
      <w:bookmarkEnd w:id="197"/>
      <w:bookmarkStart w:id="198" w:name="_Toc184314424"/>
      <w:bookmarkEnd w:id="198"/>
      <w:bookmarkStart w:id="199" w:name="_Toc184310330"/>
      <w:bookmarkEnd w:id="199"/>
      <w:bookmarkStart w:id="200" w:name="_Toc184312085"/>
      <w:bookmarkEnd w:id="200"/>
      <w:bookmarkStart w:id="201" w:name="_Toc184313310"/>
      <w:bookmarkEnd w:id="201"/>
      <w:bookmarkStart w:id="202" w:name="_Toc184314415"/>
      <w:bookmarkEnd w:id="202"/>
      <w:bookmarkStart w:id="203" w:name="_Toc184308100"/>
      <w:bookmarkEnd w:id="203"/>
      <w:bookmarkStart w:id="204" w:name="_Toc184314469"/>
      <w:bookmarkEnd w:id="204"/>
      <w:bookmarkStart w:id="205" w:name="_Toc184314482"/>
      <w:bookmarkEnd w:id="205"/>
      <w:bookmarkStart w:id="206" w:name="_Toc184314466"/>
      <w:bookmarkEnd w:id="206"/>
      <w:bookmarkStart w:id="207" w:name="_Toc184312100"/>
      <w:bookmarkEnd w:id="207"/>
      <w:bookmarkStart w:id="208" w:name="_Toc184312129"/>
      <w:bookmarkEnd w:id="208"/>
      <w:bookmarkStart w:id="209" w:name="_Toc184312068"/>
      <w:bookmarkEnd w:id="209"/>
      <w:bookmarkStart w:id="210" w:name="_Toc184312073"/>
      <w:bookmarkEnd w:id="210"/>
      <w:bookmarkStart w:id="211" w:name="_Toc184308107"/>
      <w:bookmarkEnd w:id="211"/>
      <w:bookmarkStart w:id="212" w:name="_Toc184313294"/>
      <w:bookmarkEnd w:id="212"/>
      <w:bookmarkStart w:id="213" w:name="_Toc184313240"/>
      <w:bookmarkEnd w:id="213"/>
      <w:bookmarkStart w:id="214" w:name="_Toc184312139"/>
      <w:bookmarkEnd w:id="214"/>
      <w:bookmarkStart w:id="215" w:name="_Toc184313257"/>
      <w:bookmarkEnd w:id="215"/>
      <w:bookmarkStart w:id="216" w:name="_Toc184314460"/>
      <w:bookmarkEnd w:id="216"/>
      <w:bookmarkStart w:id="217" w:name="_Toc184308052"/>
      <w:bookmarkEnd w:id="217"/>
      <w:bookmarkStart w:id="218" w:name="_Toc184308096"/>
      <w:bookmarkEnd w:id="218"/>
      <w:bookmarkStart w:id="219" w:name="_Toc184314473"/>
      <w:bookmarkEnd w:id="219"/>
      <w:bookmarkStart w:id="220" w:name="_Toc184313278"/>
      <w:bookmarkEnd w:id="220"/>
      <w:bookmarkStart w:id="221" w:name="_Toc184313250"/>
      <w:bookmarkEnd w:id="221"/>
      <w:bookmarkStart w:id="222" w:name="_Toc184308079"/>
      <w:bookmarkEnd w:id="222"/>
      <w:bookmarkStart w:id="223" w:name="_Toc184310327"/>
      <w:bookmarkEnd w:id="223"/>
      <w:bookmarkStart w:id="224" w:name="_Toc184310343"/>
      <w:bookmarkEnd w:id="224"/>
      <w:bookmarkStart w:id="225" w:name="_Toc184313299"/>
      <w:bookmarkEnd w:id="225"/>
      <w:bookmarkStart w:id="226" w:name="_Toc184313302"/>
      <w:bookmarkEnd w:id="226"/>
      <w:bookmarkStart w:id="227" w:name="_Toc184312091"/>
      <w:bookmarkEnd w:id="227"/>
      <w:bookmarkStart w:id="228" w:name="_Toc184308067"/>
      <w:bookmarkEnd w:id="228"/>
      <w:bookmarkStart w:id="229" w:name="_Toc184314431"/>
      <w:bookmarkEnd w:id="229"/>
      <w:bookmarkStart w:id="230" w:name="_Toc184308105"/>
      <w:bookmarkEnd w:id="230"/>
      <w:bookmarkStart w:id="231" w:name="_Toc184310276"/>
      <w:bookmarkEnd w:id="231"/>
      <w:bookmarkStart w:id="232" w:name="_Toc184312126"/>
      <w:bookmarkEnd w:id="232"/>
      <w:bookmarkStart w:id="233" w:name="_Toc184308087"/>
      <w:bookmarkEnd w:id="233"/>
      <w:bookmarkStart w:id="234" w:name="_Toc184308038"/>
      <w:bookmarkEnd w:id="234"/>
      <w:bookmarkStart w:id="235" w:name="_Toc184314475"/>
      <w:bookmarkEnd w:id="235"/>
      <w:bookmarkStart w:id="236" w:name="_Toc184310329"/>
      <w:bookmarkEnd w:id="236"/>
      <w:bookmarkStart w:id="237" w:name="_Toc184310308"/>
      <w:bookmarkEnd w:id="237"/>
      <w:bookmarkStart w:id="238" w:name="_Toc184313301"/>
      <w:bookmarkEnd w:id="238"/>
      <w:bookmarkStart w:id="239" w:name="_Toc184310279"/>
      <w:bookmarkEnd w:id="239"/>
      <w:bookmarkStart w:id="240" w:name="_Toc184310289"/>
      <w:bookmarkEnd w:id="240"/>
      <w:bookmarkStart w:id="241" w:name="_Toc184312135"/>
      <w:bookmarkEnd w:id="241"/>
      <w:bookmarkStart w:id="242" w:name="_Toc184310306"/>
      <w:bookmarkEnd w:id="242"/>
      <w:bookmarkStart w:id="243" w:name="_Toc184314437"/>
      <w:bookmarkEnd w:id="243"/>
      <w:bookmarkStart w:id="244" w:name="_Toc184310305"/>
      <w:bookmarkEnd w:id="244"/>
      <w:bookmarkStart w:id="245" w:name="_Toc184312095"/>
      <w:bookmarkEnd w:id="245"/>
      <w:bookmarkStart w:id="246" w:name="_Toc184310292"/>
      <w:bookmarkEnd w:id="246"/>
      <w:bookmarkStart w:id="247" w:name="_Toc184314468"/>
      <w:bookmarkEnd w:id="247"/>
      <w:bookmarkStart w:id="248" w:name="_Toc184313265"/>
      <w:bookmarkEnd w:id="248"/>
      <w:bookmarkStart w:id="249" w:name="_Toc184313254"/>
      <w:bookmarkEnd w:id="249"/>
      <w:bookmarkStart w:id="250" w:name="_Toc184310320"/>
      <w:bookmarkEnd w:id="250"/>
      <w:bookmarkStart w:id="251" w:name="_Toc184308044"/>
      <w:bookmarkEnd w:id="251"/>
      <w:bookmarkStart w:id="252" w:name="_Toc184313288"/>
      <w:bookmarkEnd w:id="252"/>
      <w:bookmarkStart w:id="253" w:name="_Toc184312136"/>
      <w:bookmarkEnd w:id="253"/>
      <w:bookmarkStart w:id="254" w:name="_Toc184314422"/>
      <w:bookmarkEnd w:id="254"/>
      <w:bookmarkStart w:id="255" w:name="_Toc184313307"/>
      <w:bookmarkEnd w:id="255"/>
      <w:bookmarkStart w:id="256" w:name="_Toc184308093"/>
      <w:bookmarkEnd w:id="256"/>
      <w:bookmarkStart w:id="257" w:name="_Toc184310303"/>
      <w:bookmarkEnd w:id="257"/>
      <w:bookmarkStart w:id="258" w:name="_Toc184312090"/>
      <w:bookmarkEnd w:id="258"/>
      <w:bookmarkStart w:id="259" w:name="_Toc184313275"/>
      <w:bookmarkEnd w:id="259"/>
      <w:bookmarkStart w:id="260" w:name="_Toc184313281"/>
      <w:bookmarkEnd w:id="260"/>
      <w:bookmarkStart w:id="261" w:name="_Toc184312110"/>
      <w:bookmarkEnd w:id="261"/>
      <w:bookmarkStart w:id="262" w:name="_Toc184312096"/>
      <w:bookmarkEnd w:id="262"/>
      <w:bookmarkStart w:id="263" w:name="_Toc184308089"/>
      <w:bookmarkEnd w:id="263"/>
      <w:bookmarkStart w:id="264" w:name="_Toc184312074"/>
      <w:bookmarkEnd w:id="264"/>
      <w:bookmarkStart w:id="265" w:name="_Toc184314411"/>
      <w:bookmarkEnd w:id="265"/>
      <w:bookmarkStart w:id="266" w:name="_Toc184314434"/>
      <w:bookmarkEnd w:id="266"/>
      <w:bookmarkStart w:id="267" w:name="_Toc184308048"/>
      <w:bookmarkEnd w:id="267"/>
      <w:bookmarkStart w:id="268" w:name="_Toc184310311"/>
      <w:bookmarkEnd w:id="268"/>
      <w:bookmarkStart w:id="269" w:name="_Toc184308055"/>
      <w:bookmarkEnd w:id="269"/>
      <w:bookmarkStart w:id="270" w:name="_Toc184308084"/>
      <w:bookmarkEnd w:id="270"/>
      <w:bookmarkStart w:id="271" w:name="_Toc184314439"/>
      <w:bookmarkEnd w:id="271"/>
      <w:bookmarkStart w:id="272" w:name="_Toc184313297"/>
      <w:bookmarkEnd w:id="272"/>
      <w:bookmarkStart w:id="273" w:name="_Toc184313303"/>
      <w:bookmarkEnd w:id="273"/>
      <w:bookmarkStart w:id="274" w:name="_Toc184314414"/>
      <w:bookmarkEnd w:id="274"/>
      <w:bookmarkStart w:id="275" w:name="_Toc184308080"/>
      <w:bookmarkEnd w:id="275"/>
      <w:bookmarkStart w:id="276" w:name="_Toc184314449"/>
      <w:bookmarkEnd w:id="276"/>
      <w:bookmarkStart w:id="277" w:name="_Toc184313269"/>
      <w:bookmarkEnd w:id="277"/>
      <w:bookmarkStart w:id="278" w:name="_Toc184308106"/>
      <w:bookmarkEnd w:id="278"/>
      <w:bookmarkStart w:id="279" w:name="_Toc184314471"/>
      <w:bookmarkEnd w:id="279"/>
      <w:bookmarkStart w:id="280" w:name="_Toc184312121"/>
      <w:bookmarkEnd w:id="280"/>
      <w:bookmarkStart w:id="281" w:name="_Toc184310284"/>
      <w:bookmarkEnd w:id="281"/>
      <w:bookmarkStart w:id="282" w:name="_Toc184313264"/>
      <w:bookmarkEnd w:id="282"/>
      <w:bookmarkStart w:id="283" w:name="_Toc184308065"/>
      <w:bookmarkEnd w:id="283"/>
      <w:bookmarkStart w:id="284" w:name="_Toc184313291"/>
      <w:bookmarkEnd w:id="284"/>
      <w:bookmarkStart w:id="285" w:name="_Toc184314456"/>
      <w:bookmarkEnd w:id="285"/>
      <w:bookmarkStart w:id="286" w:name="_Toc184310337"/>
      <w:bookmarkEnd w:id="286"/>
      <w:bookmarkStart w:id="287" w:name="_Toc184308042"/>
      <w:bookmarkEnd w:id="287"/>
      <w:bookmarkStart w:id="288" w:name="_Toc184312131"/>
      <w:bookmarkEnd w:id="288"/>
      <w:bookmarkStart w:id="289" w:name="_Toc184310331"/>
      <w:bookmarkEnd w:id="289"/>
      <w:bookmarkStart w:id="290" w:name="_Toc184312104"/>
      <w:bookmarkEnd w:id="290"/>
      <w:bookmarkStart w:id="291" w:name="_Toc184313287"/>
      <w:bookmarkEnd w:id="291"/>
      <w:bookmarkStart w:id="292" w:name="_Toc184310318"/>
      <w:bookmarkEnd w:id="292"/>
      <w:bookmarkStart w:id="293" w:name="_Toc184310294"/>
      <w:bookmarkEnd w:id="293"/>
      <w:bookmarkStart w:id="294" w:name="_Toc184314458"/>
      <w:bookmarkEnd w:id="294"/>
      <w:bookmarkStart w:id="295" w:name="_Toc184314464"/>
      <w:bookmarkEnd w:id="295"/>
      <w:bookmarkStart w:id="296" w:name="_Toc184313285"/>
      <w:bookmarkEnd w:id="296"/>
      <w:bookmarkStart w:id="297" w:name="_Toc184313263"/>
      <w:bookmarkEnd w:id="297"/>
      <w:bookmarkStart w:id="298" w:name="_Toc184313239"/>
      <w:bookmarkEnd w:id="298"/>
      <w:bookmarkStart w:id="299" w:name="_Toc184308075"/>
      <w:bookmarkEnd w:id="299"/>
      <w:bookmarkStart w:id="300" w:name="_Toc184310304"/>
      <w:bookmarkEnd w:id="300"/>
      <w:bookmarkStart w:id="301" w:name="_Toc184312133"/>
      <w:bookmarkEnd w:id="301"/>
      <w:bookmarkStart w:id="302" w:name="_Toc184308066"/>
      <w:bookmarkEnd w:id="302"/>
      <w:bookmarkStart w:id="303" w:name="_Toc184314438"/>
      <w:bookmarkEnd w:id="303"/>
      <w:bookmarkStart w:id="304" w:name="_Toc184308076"/>
      <w:bookmarkEnd w:id="304"/>
      <w:bookmarkStart w:id="305" w:name="_Toc184313266"/>
      <w:bookmarkEnd w:id="305"/>
      <w:bookmarkStart w:id="306" w:name="_Toc184313242"/>
      <w:bookmarkEnd w:id="306"/>
      <w:bookmarkStart w:id="307" w:name="_Toc184313249"/>
      <w:bookmarkEnd w:id="307"/>
      <w:bookmarkStart w:id="308" w:name="_Toc184313244"/>
      <w:bookmarkEnd w:id="308"/>
      <w:bookmarkStart w:id="309" w:name="_Toc184314453"/>
      <w:bookmarkEnd w:id="309"/>
      <w:bookmarkStart w:id="310" w:name="_Toc184314455"/>
      <w:bookmarkEnd w:id="310"/>
      <w:bookmarkStart w:id="311" w:name="_Toc184313272"/>
      <w:bookmarkEnd w:id="311"/>
      <w:bookmarkStart w:id="312" w:name="_Toc184314417"/>
      <w:bookmarkEnd w:id="312"/>
      <w:bookmarkStart w:id="313" w:name="_Toc184308085"/>
      <w:bookmarkEnd w:id="313"/>
      <w:bookmarkStart w:id="314" w:name="_Toc184312114"/>
      <w:bookmarkEnd w:id="314"/>
      <w:bookmarkStart w:id="315" w:name="_Toc184313245"/>
      <w:bookmarkEnd w:id="315"/>
      <w:bookmarkStart w:id="316" w:name="_Toc184310309"/>
      <w:bookmarkEnd w:id="316"/>
      <w:bookmarkStart w:id="317" w:name="_Toc184310310"/>
      <w:bookmarkEnd w:id="317"/>
      <w:bookmarkStart w:id="318" w:name="_Toc184312092"/>
      <w:bookmarkEnd w:id="318"/>
      <w:bookmarkStart w:id="319" w:name="_Toc184308070"/>
      <w:bookmarkEnd w:id="319"/>
      <w:bookmarkStart w:id="320" w:name="_Toc184314478"/>
      <w:bookmarkEnd w:id="320"/>
      <w:bookmarkStart w:id="321" w:name="_Toc184308092"/>
      <w:bookmarkEnd w:id="321"/>
      <w:bookmarkStart w:id="322" w:name="_Toc184314479"/>
      <w:bookmarkEnd w:id="322"/>
      <w:bookmarkStart w:id="323" w:name="_Toc184312075"/>
      <w:bookmarkEnd w:id="323"/>
      <w:bookmarkStart w:id="324" w:name="_Toc184308072"/>
      <w:bookmarkEnd w:id="324"/>
      <w:bookmarkStart w:id="325" w:name="_Toc184310325"/>
      <w:bookmarkEnd w:id="325"/>
      <w:bookmarkStart w:id="326" w:name="_Toc184312130"/>
      <w:bookmarkEnd w:id="326"/>
      <w:bookmarkStart w:id="327" w:name="_Toc184310299"/>
      <w:bookmarkEnd w:id="327"/>
      <w:bookmarkStart w:id="328" w:name="_Toc184314440"/>
      <w:bookmarkEnd w:id="328"/>
      <w:bookmarkStart w:id="329" w:name="_Toc184308081"/>
      <w:bookmarkEnd w:id="329"/>
      <w:bookmarkStart w:id="330" w:name="_Toc184312122"/>
      <w:bookmarkEnd w:id="330"/>
      <w:bookmarkStart w:id="331" w:name="_Toc184314457"/>
      <w:bookmarkEnd w:id="331"/>
      <w:bookmarkStart w:id="332" w:name="_Toc184314474"/>
      <w:bookmarkEnd w:id="332"/>
      <w:bookmarkStart w:id="333" w:name="_Toc184308047"/>
      <w:bookmarkEnd w:id="333"/>
      <w:bookmarkStart w:id="334" w:name="_Toc184314470"/>
      <w:bookmarkEnd w:id="334"/>
      <w:bookmarkStart w:id="335" w:name="_Toc184314446"/>
      <w:bookmarkEnd w:id="335"/>
      <w:bookmarkStart w:id="336" w:name="_Toc184308046"/>
      <w:bookmarkEnd w:id="336"/>
      <w:bookmarkStart w:id="337" w:name="_Toc184313268"/>
      <w:bookmarkEnd w:id="337"/>
      <w:bookmarkStart w:id="338" w:name="_Toc184313247"/>
      <w:bookmarkEnd w:id="338"/>
      <w:bookmarkStart w:id="339" w:name="_Toc184314427"/>
      <w:bookmarkEnd w:id="339"/>
      <w:bookmarkStart w:id="340" w:name="_Toc184310326"/>
      <w:bookmarkEnd w:id="340"/>
      <w:bookmarkStart w:id="341" w:name="_Toc184308058"/>
      <w:bookmarkEnd w:id="341"/>
      <w:bookmarkStart w:id="342" w:name="_Toc184312088"/>
      <w:bookmarkEnd w:id="342"/>
      <w:bookmarkStart w:id="343" w:name="_Toc184312120"/>
      <w:bookmarkEnd w:id="343"/>
      <w:bookmarkStart w:id="344" w:name="_Toc184313292"/>
      <w:bookmarkEnd w:id="344"/>
      <w:bookmarkStart w:id="345" w:name="_Toc184314435"/>
      <w:bookmarkEnd w:id="345"/>
      <w:bookmarkStart w:id="346" w:name="_Toc184314461"/>
      <w:bookmarkEnd w:id="346"/>
      <w:bookmarkStart w:id="347" w:name="_Toc184308049"/>
      <w:bookmarkEnd w:id="347"/>
      <w:bookmarkStart w:id="348" w:name="_Toc184314480"/>
      <w:bookmarkEnd w:id="348"/>
      <w:bookmarkStart w:id="349" w:name="_Toc184314476"/>
      <w:bookmarkEnd w:id="349"/>
      <w:bookmarkStart w:id="350" w:name="_Toc184313308"/>
      <w:bookmarkEnd w:id="350"/>
      <w:bookmarkStart w:id="351" w:name="_Toc184314467"/>
      <w:bookmarkEnd w:id="351"/>
      <w:bookmarkStart w:id="352" w:name="_Toc184310286"/>
      <w:bookmarkEnd w:id="352"/>
      <w:bookmarkStart w:id="353" w:name="_Toc184312080"/>
      <w:bookmarkEnd w:id="353"/>
      <w:bookmarkStart w:id="354" w:name="_Toc184314454"/>
      <w:bookmarkEnd w:id="354"/>
      <w:bookmarkStart w:id="355" w:name="_Toc184310277"/>
      <w:bookmarkEnd w:id="355"/>
      <w:bookmarkStart w:id="356" w:name="_Toc184310278"/>
      <w:bookmarkEnd w:id="356"/>
      <w:bookmarkStart w:id="357" w:name="_Toc184310314"/>
      <w:bookmarkEnd w:id="357"/>
      <w:bookmarkStart w:id="358" w:name="_Toc184312076"/>
      <w:bookmarkEnd w:id="358"/>
      <w:bookmarkStart w:id="359" w:name="_Toc184314445"/>
      <w:bookmarkEnd w:id="359"/>
      <w:bookmarkStart w:id="360" w:name="_Toc184310323"/>
      <w:bookmarkEnd w:id="360"/>
      <w:bookmarkStart w:id="361" w:name="_Toc184314416"/>
      <w:bookmarkEnd w:id="361"/>
      <w:bookmarkStart w:id="362" w:name="_Toc184314472"/>
      <w:bookmarkEnd w:id="362"/>
      <w:bookmarkStart w:id="363" w:name="_Toc184312079"/>
      <w:bookmarkEnd w:id="363"/>
      <w:bookmarkStart w:id="364" w:name="_Toc184308099"/>
      <w:bookmarkEnd w:id="364"/>
      <w:bookmarkStart w:id="365" w:name="_Toc184312105"/>
      <w:bookmarkEnd w:id="365"/>
      <w:bookmarkStart w:id="366" w:name="_Toc184308037"/>
      <w:bookmarkEnd w:id="366"/>
      <w:bookmarkStart w:id="367" w:name="_Toc184308069"/>
      <w:bookmarkEnd w:id="367"/>
      <w:bookmarkStart w:id="368" w:name="_Toc184310338"/>
      <w:bookmarkEnd w:id="368"/>
      <w:bookmarkStart w:id="369" w:name="_Toc184314459"/>
      <w:bookmarkEnd w:id="369"/>
      <w:bookmarkStart w:id="370" w:name="_Toc184313246"/>
      <w:bookmarkEnd w:id="370"/>
      <w:bookmarkStart w:id="371" w:name="_Toc184314465"/>
      <w:bookmarkEnd w:id="371"/>
      <w:bookmarkStart w:id="372" w:name="_Toc184312111"/>
      <w:bookmarkEnd w:id="372"/>
      <w:bookmarkStart w:id="373" w:name="_Toc184313258"/>
      <w:bookmarkEnd w:id="373"/>
      <w:bookmarkStart w:id="374" w:name="_Toc184312072"/>
      <w:bookmarkEnd w:id="374"/>
      <w:bookmarkStart w:id="375" w:name="_Toc184312089"/>
      <w:bookmarkEnd w:id="375"/>
      <w:bookmarkStart w:id="376" w:name="_Toc184308082"/>
      <w:bookmarkEnd w:id="376"/>
      <w:bookmarkStart w:id="377" w:name="_Toc184310302"/>
      <w:bookmarkEnd w:id="377"/>
      <w:bookmarkStart w:id="378" w:name="_Toc184310285"/>
      <w:bookmarkEnd w:id="378"/>
      <w:bookmarkStart w:id="379" w:name="_Toc184308095"/>
      <w:bookmarkEnd w:id="379"/>
      <w:bookmarkStart w:id="380" w:name="_Toc184314412"/>
      <w:bookmarkEnd w:id="380"/>
      <w:bookmarkStart w:id="381" w:name="_Toc184308053"/>
      <w:bookmarkEnd w:id="381"/>
      <w:bookmarkStart w:id="382" w:name="_Toc184312093"/>
      <w:bookmarkEnd w:id="382"/>
      <w:bookmarkStart w:id="383" w:name="_Toc184313276"/>
      <w:bookmarkEnd w:id="383"/>
      <w:bookmarkStart w:id="384" w:name="_Toc184313241"/>
      <w:bookmarkEnd w:id="384"/>
      <w:bookmarkStart w:id="385" w:name="_Toc184308103"/>
      <w:bookmarkEnd w:id="385"/>
      <w:bookmarkStart w:id="386" w:name="_Toc184308078"/>
      <w:bookmarkEnd w:id="386"/>
      <w:bookmarkStart w:id="387" w:name="_Toc184310283"/>
      <w:bookmarkEnd w:id="387"/>
      <w:bookmarkStart w:id="388" w:name="_Toc184314444"/>
      <w:bookmarkEnd w:id="388"/>
      <w:bookmarkStart w:id="389" w:name="_Toc184314447"/>
      <w:bookmarkEnd w:id="389"/>
      <w:bookmarkStart w:id="390" w:name="_Toc184308062"/>
      <w:bookmarkEnd w:id="390"/>
      <w:bookmarkStart w:id="391" w:name="_Toc184310321"/>
      <w:bookmarkEnd w:id="391"/>
      <w:bookmarkStart w:id="392" w:name="_Toc184308108"/>
      <w:bookmarkEnd w:id="392"/>
      <w:bookmarkStart w:id="393" w:name="_Toc184313283"/>
      <w:bookmarkEnd w:id="393"/>
      <w:bookmarkStart w:id="394" w:name="_Toc184312099"/>
      <w:bookmarkEnd w:id="394"/>
      <w:bookmarkStart w:id="395" w:name="_Toc184314436"/>
      <w:bookmarkEnd w:id="395"/>
      <w:bookmarkStart w:id="396" w:name="_Toc184312134"/>
      <w:bookmarkEnd w:id="396"/>
      <w:r>
        <w:rPr>
          <w:rFonts w:hint="eastAsia" w:ascii="宋体" w:hAnsi="宋体" w:eastAsia="宋体" w:cs="宋体"/>
          <w:b/>
          <w:color w:val="auto"/>
          <w:sz w:val="36"/>
          <w:szCs w:val="36"/>
          <w:highlight w:val="none"/>
        </w:rPr>
        <w:t>评标办法</w:t>
      </w:r>
      <w:bookmarkEnd w:id="31"/>
    </w:p>
    <w:p>
      <w:pPr>
        <w:pageBreakBefore w:val="0"/>
        <w:kinsoku/>
        <w:wordWrap/>
        <w:overflowPunct/>
        <w:topLinePunct w:val="0"/>
        <w:autoSpaceDE/>
        <w:autoSpaceDN/>
        <w:bidi w:val="0"/>
        <w:snapToGrid w:val="0"/>
        <w:spacing w:line="400" w:lineRule="exact"/>
        <w:jc w:val="center"/>
        <w:textAlignment w:val="auto"/>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评标办法前附表</w:t>
      </w:r>
    </w:p>
    <w:tbl>
      <w:tblPr>
        <w:tblStyle w:val="21"/>
        <w:tblpPr w:leftFromText="180" w:rightFromText="180" w:vertAnchor="text" w:horzAnchor="page" w:tblpXSpec="center" w:tblpY="82"/>
        <w:tblW w:w="9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018"/>
        <w:gridCol w:w="4175"/>
        <w:gridCol w:w="962"/>
        <w:gridCol w:w="705"/>
        <w:gridCol w:w="1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835" w:type="dxa"/>
            <w:vAlign w:val="center"/>
          </w:tcPr>
          <w:p>
            <w:pPr>
              <w:pageBreakBefore w:val="0"/>
              <w:kinsoku/>
              <w:wordWrap/>
              <w:overflowPunct/>
              <w:topLinePunct w:val="0"/>
              <w:autoSpaceDE/>
              <w:autoSpaceDN/>
              <w:bidi w:val="0"/>
              <w:spacing w:line="400" w:lineRule="exact"/>
              <w:jc w:val="center"/>
              <w:textAlignment w:val="auto"/>
              <w:outlineLvl w:val="0"/>
              <w:rPr>
                <w:rFonts w:hint="eastAsia" w:ascii="宋体" w:hAnsi="宋体" w:eastAsia="宋体" w:cs="宋体"/>
                <w:b/>
                <w:bCs w:val="0"/>
                <w:color w:val="auto"/>
                <w:sz w:val="21"/>
                <w:szCs w:val="21"/>
                <w:highlight w:val="none"/>
              </w:rPr>
            </w:pPr>
            <w:bookmarkStart w:id="397" w:name="_Toc22895"/>
            <w:bookmarkStart w:id="398" w:name="_Toc22412"/>
            <w:bookmarkStart w:id="399" w:name="_Toc25451"/>
            <w:r>
              <w:rPr>
                <w:rFonts w:hint="eastAsia" w:ascii="宋体" w:hAnsi="宋体" w:eastAsia="宋体" w:cs="宋体"/>
                <w:b/>
                <w:bCs w:val="0"/>
                <w:color w:val="auto"/>
                <w:sz w:val="21"/>
                <w:szCs w:val="21"/>
                <w:highlight w:val="none"/>
              </w:rPr>
              <w:t>序号</w:t>
            </w:r>
            <w:bookmarkEnd w:id="397"/>
            <w:bookmarkEnd w:id="398"/>
            <w:bookmarkEnd w:id="399"/>
          </w:p>
        </w:tc>
        <w:tc>
          <w:tcPr>
            <w:tcW w:w="5193" w:type="dxa"/>
            <w:gridSpan w:val="2"/>
            <w:vAlign w:val="center"/>
          </w:tcPr>
          <w:p>
            <w:pPr>
              <w:pageBreakBefore w:val="0"/>
              <w:kinsoku/>
              <w:wordWrap/>
              <w:overflowPunct/>
              <w:topLinePunct w:val="0"/>
              <w:autoSpaceDE/>
              <w:autoSpaceDN/>
              <w:bidi w:val="0"/>
              <w:spacing w:line="400" w:lineRule="exact"/>
              <w:jc w:val="center"/>
              <w:textAlignment w:val="auto"/>
              <w:outlineLvl w:val="0"/>
              <w:rPr>
                <w:rFonts w:hint="eastAsia" w:ascii="宋体" w:hAnsi="宋体" w:eastAsia="宋体" w:cs="宋体"/>
                <w:b/>
                <w:bCs w:val="0"/>
                <w:color w:val="auto"/>
                <w:sz w:val="21"/>
                <w:szCs w:val="21"/>
                <w:highlight w:val="none"/>
              </w:rPr>
            </w:pPr>
            <w:bookmarkStart w:id="400" w:name="_Toc29006"/>
            <w:bookmarkStart w:id="401" w:name="_Toc9984"/>
            <w:bookmarkStart w:id="402" w:name="_Toc8524"/>
            <w:r>
              <w:rPr>
                <w:rFonts w:hint="eastAsia" w:ascii="宋体" w:hAnsi="宋体" w:eastAsia="宋体" w:cs="宋体"/>
                <w:b/>
                <w:bCs w:val="0"/>
                <w:color w:val="auto"/>
                <w:sz w:val="21"/>
                <w:szCs w:val="21"/>
                <w:highlight w:val="none"/>
              </w:rPr>
              <w:t>评标标准</w:t>
            </w:r>
            <w:bookmarkEnd w:id="400"/>
            <w:bookmarkEnd w:id="401"/>
            <w:bookmarkEnd w:id="402"/>
          </w:p>
        </w:tc>
        <w:tc>
          <w:tcPr>
            <w:tcW w:w="962" w:type="dxa"/>
            <w:vAlign w:val="center"/>
          </w:tcPr>
          <w:p>
            <w:pPr>
              <w:pageBreakBefore w:val="0"/>
              <w:kinsoku/>
              <w:wordWrap/>
              <w:overflowPunct/>
              <w:topLinePunct w:val="0"/>
              <w:autoSpaceDE/>
              <w:autoSpaceDN/>
              <w:bidi w:val="0"/>
              <w:spacing w:line="400" w:lineRule="exact"/>
              <w:ind w:firstLine="0"/>
              <w:jc w:val="center"/>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lang w:val="en-US" w:eastAsia="zh-CN" w:bidi="ar-SA"/>
              </w:rPr>
              <w:t>主观分/客观分</w:t>
            </w:r>
          </w:p>
        </w:tc>
        <w:tc>
          <w:tcPr>
            <w:tcW w:w="705" w:type="dxa"/>
            <w:vAlign w:val="center"/>
          </w:tcPr>
          <w:p>
            <w:pPr>
              <w:pageBreakBefore w:val="0"/>
              <w:kinsoku/>
              <w:wordWrap/>
              <w:overflowPunct/>
              <w:topLinePunct w:val="0"/>
              <w:autoSpaceDE/>
              <w:autoSpaceDN/>
              <w:bidi w:val="0"/>
              <w:spacing w:line="400" w:lineRule="exact"/>
              <w:textAlignment w:val="auto"/>
              <w:outlineLvl w:val="0"/>
              <w:rPr>
                <w:rFonts w:hint="eastAsia" w:ascii="宋体" w:hAnsi="宋体" w:eastAsia="宋体" w:cs="宋体"/>
                <w:b/>
                <w:bCs w:val="0"/>
                <w:color w:val="auto"/>
                <w:sz w:val="21"/>
                <w:szCs w:val="21"/>
                <w:highlight w:val="none"/>
              </w:rPr>
            </w:pPr>
            <w:bookmarkStart w:id="403" w:name="_Toc4954"/>
            <w:bookmarkStart w:id="404" w:name="_Toc32053"/>
            <w:bookmarkStart w:id="405" w:name="_Toc8469"/>
            <w:r>
              <w:rPr>
                <w:rFonts w:hint="eastAsia" w:ascii="宋体" w:hAnsi="宋体" w:eastAsia="宋体" w:cs="宋体"/>
                <w:b/>
                <w:bCs w:val="0"/>
                <w:color w:val="auto"/>
                <w:sz w:val="21"/>
                <w:szCs w:val="21"/>
                <w:highlight w:val="none"/>
              </w:rPr>
              <w:t>权重</w:t>
            </w:r>
            <w:bookmarkEnd w:id="403"/>
            <w:bookmarkEnd w:id="404"/>
            <w:bookmarkEnd w:id="405"/>
          </w:p>
        </w:tc>
        <w:tc>
          <w:tcPr>
            <w:tcW w:w="1947" w:type="dxa"/>
            <w:vAlign w:val="center"/>
          </w:tcPr>
          <w:p>
            <w:pPr>
              <w:pageBreakBefore w:val="0"/>
              <w:kinsoku/>
              <w:wordWrap/>
              <w:overflowPunct/>
              <w:topLinePunct w:val="0"/>
              <w:autoSpaceDE/>
              <w:autoSpaceDN/>
              <w:bidi w:val="0"/>
              <w:spacing w:line="400" w:lineRule="exact"/>
              <w:jc w:val="center"/>
              <w:textAlignment w:val="auto"/>
              <w:outlineLvl w:val="0"/>
              <w:rPr>
                <w:rFonts w:hint="eastAsia" w:ascii="宋体" w:hAnsi="宋体" w:eastAsia="宋体" w:cs="宋体"/>
                <w:b/>
                <w:bCs w:val="0"/>
                <w:color w:val="auto"/>
                <w:sz w:val="21"/>
                <w:szCs w:val="21"/>
                <w:highlight w:val="none"/>
              </w:rPr>
            </w:pPr>
            <w:bookmarkStart w:id="406" w:name="_Toc18736"/>
            <w:bookmarkStart w:id="407" w:name="_Toc3500"/>
            <w:bookmarkStart w:id="408" w:name="_Toc25421"/>
            <w:r>
              <w:rPr>
                <w:rFonts w:hint="eastAsia" w:ascii="宋体" w:hAnsi="宋体" w:eastAsia="宋体" w:cs="宋体"/>
                <w:b/>
                <w:bCs w:val="0"/>
                <w:color w:val="auto"/>
                <w:sz w:val="21"/>
                <w:szCs w:val="21"/>
                <w:highlight w:val="none"/>
                <w:lang w:eastAsia="zh-CN"/>
              </w:rPr>
              <w:t>磋商响应文件</w:t>
            </w:r>
            <w:r>
              <w:rPr>
                <w:rFonts w:hint="eastAsia" w:ascii="宋体" w:hAnsi="宋体" w:eastAsia="宋体" w:cs="宋体"/>
                <w:b/>
                <w:bCs w:val="0"/>
                <w:color w:val="auto"/>
                <w:sz w:val="21"/>
                <w:szCs w:val="21"/>
                <w:highlight w:val="none"/>
              </w:rPr>
              <w:t>中评标标准相应的商务技术资料目录</w:t>
            </w:r>
            <w:r>
              <w:rPr>
                <w:rFonts w:hint="eastAsia" w:ascii="宋体" w:hAnsi="宋体" w:eastAsia="宋体" w:cs="宋体"/>
                <w:b/>
                <w:bCs w:val="0"/>
                <w:color w:val="auto"/>
                <w:sz w:val="21"/>
                <w:szCs w:val="21"/>
                <w:highlight w:val="none"/>
                <w:shd w:val="clear" w:color="auto" w:fill="FFFFFF"/>
              </w:rPr>
              <w:t>*</w:t>
            </w:r>
            <w:bookmarkEnd w:id="406"/>
            <w:bookmarkEnd w:id="407"/>
            <w:bookmarkEnd w:id="40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8" w:hRule="atLeast"/>
          <w:jc w:val="center"/>
        </w:trPr>
        <w:tc>
          <w:tcPr>
            <w:tcW w:w="835" w:type="dxa"/>
            <w:vAlign w:val="center"/>
          </w:tcPr>
          <w:p>
            <w:pPr>
              <w:pageBreakBefore w:val="0"/>
              <w:numPr>
                <w:ilvl w:val="0"/>
                <w:numId w:val="0"/>
              </w:numPr>
              <w:kinsoku/>
              <w:wordWrap/>
              <w:overflowPunct/>
              <w:topLinePunct w:val="0"/>
              <w:autoSpaceDE/>
              <w:autoSpaceDN/>
              <w:bidi w:val="0"/>
              <w:spacing w:line="400" w:lineRule="exact"/>
              <w:ind w:leftChars="0"/>
              <w:jc w:val="center"/>
              <w:textAlignment w:val="auto"/>
              <w:outlineLvl w:val="0"/>
              <w:rPr>
                <w:rFonts w:hint="eastAsia" w:ascii="宋体" w:hAnsi="宋体" w:eastAsia="宋体" w:cs="宋体"/>
                <w:color w:val="auto"/>
                <w:sz w:val="21"/>
                <w:szCs w:val="21"/>
                <w:highlight w:val="none"/>
                <w:lang w:val="en-US" w:eastAsia="zh-CN"/>
              </w:rPr>
            </w:pPr>
            <w:bookmarkStart w:id="409" w:name="_Toc20078"/>
            <w:bookmarkEnd w:id="409"/>
            <w:bookmarkStart w:id="410" w:name="_Toc29606"/>
            <w:bookmarkEnd w:id="410"/>
            <w:bookmarkStart w:id="411" w:name="_Toc21998"/>
            <w:bookmarkEnd w:id="411"/>
            <w:r>
              <w:rPr>
                <w:rFonts w:hint="eastAsia" w:ascii="宋体" w:hAnsi="宋体" w:cs="宋体"/>
                <w:color w:val="auto"/>
                <w:sz w:val="21"/>
                <w:szCs w:val="21"/>
                <w:highlight w:val="none"/>
                <w:lang w:val="en-US" w:eastAsia="zh-CN"/>
              </w:rPr>
              <w:t>1.</w:t>
            </w:r>
          </w:p>
        </w:tc>
        <w:tc>
          <w:tcPr>
            <w:tcW w:w="5193" w:type="dxa"/>
            <w:gridSpan w:val="2"/>
            <w:vAlign w:val="center"/>
          </w:tcPr>
          <w:p>
            <w:pPr>
              <w:keepNext w:val="0"/>
              <w:keepLines w:val="0"/>
              <w:pageBreakBefore w:val="0"/>
              <w:widowControl/>
              <w:kinsoku/>
              <w:wordWrap/>
              <w:overflowPunct/>
              <w:topLinePunct w:val="0"/>
              <w:autoSpaceDE w:val="0"/>
              <w:autoSpaceDN/>
              <w:bidi w:val="0"/>
              <w:adjustRightInd/>
              <w:snapToGrid/>
              <w:spacing w:line="400" w:lineRule="exact"/>
              <w:textAlignment w:val="auto"/>
              <w:rPr>
                <w:rFonts w:hint="eastAsia" w:ascii="宋体" w:hAnsi="宋体" w:eastAsia="宋体" w:cs="宋体"/>
                <w:color w:val="auto"/>
                <w:szCs w:val="21"/>
              </w:rPr>
            </w:pPr>
            <w:r>
              <w:rPr>
                <w:rFonts w:hint="eastAsia" w:ascii="宋体" w:hAnsi="宋体" w:eastAsia="宋体" w:cs="宋体"/>
                <w:color w:val="auto"/>
                <w:szCs w:val="21"/>
              </w:rPr>
              <w:t>磋商供应商具有有效质量管理体系认证、环境管理体系认证、职业健康安全管理体系认证证书，得3分，缺一不得分。</w:t>
            </w:r>
          </w:p>
          <w:p>
            <w:pPr>
              <w:pageBreakBefore w:val="0"/>
              <w:kinsoku/>
              <w:wordWrap/>
              <w:overflowPunct/>
              <w:topLinePunct w:val="0"/>
              <w:autoSpaceDE/>
              <w:autoSpaceDN/>
              <w:bidi w:val="0"/>
              <w:spacing w:line="400" w:lineRule="exact"/>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Cs w:val="21"/>
              </w:rPr>
              <w:t>（注：提供以上证书复印件及官网认证查询系统内查询到相关证书信息提供截图证明加盖公章，否则不得分。</w:t>
            </w:r>
            <w:r>
              <w:rPr>
                <w:rFonts w:hint="eastAsia" w:ascii="宋体" w:hAnsi="宋体" w:eastAsia="宋体" w:cs="宋体"/>
                <w:b/>
                <w:bCs/>
                <w:color w:val="auto"/>
                <w:szCs w:val="21"/>
                <w:lang w:val="zh-CN"/>
              </w:rPr>
              <w:t>）</w:t>
            </w:r>
          </w:p>
        </w:tc>
        <w:tc>
          <w:tcPr>
            <w:tcW w:w="962" w:type="dxa"/>
            <w:vAlign w:val="center"/>
          </w:tcPr>
          <w:p>
            <w:pPr>
              <w:pageBreakBefore w:val="0"/>
              <w:kinsoku/>
              <w:wordWrap/>
              <w:overflowPunct/>
              <w:topLinePunct w:val="0"/>
              <w:autoSpaceDE/>
              <w:autoSpaceDN/>
              <w:bidi w:val="0"/>
              <w:spacing w:line="400" w:lineRule="exact"/>
              <w:jc w:val="center"/>
              <w:textAlignment w:val="auto"/>
              <w:outlineLvl w:val="0"/>
              <w:rPr>
                <w:rFonts w:hint="eastAsia" w:ascii="宋体" w:hAnsi="宋体" w:eastAsia="宋体" w:cs="宋体"/>
                <w:color w:val="auto"/>
                <w:sz w:val="21"/>
                <w:szCs w:val="21"/>
                <w:highlight w:val="none"/>
              </w:rPr>
            </w:pPr>
            <w:bookmarkStart w:id="412" w:name="_Toc19610"/>
            <w:bookmarkStart w:id="413" w:name="_Toc21660"/>
            <w:bookmarkStart w:id="414" w:name="_Toc18578"/>
            <w:r>
              <w:rPr>
                <w:rFonts w:hint="eastAsia" w:ascii="宋体" w:hAnsi="宋体" w:eastAsia="宋体" w:cs="宋体"/>
                <w:bCs/>
                <w:color w:val="auto"/>
                <w:kern w:val="2"/>
                <w:sz w:val="21"/>
                <w:szCs w:val="21"/>
                <w:highlight w:val="none"/>
                <w:lang w:val="en-US" w:eastAsia="zh-CN" w:bidi="ar-SA"/>
              </w:rPr>
              <w:t>客观分</w:t>
            </w:r>
            <w:bookmarkEnd w:id="412"/>
            <w:bookmarkEnd w:id="413"/>
            <w:bookmarkEnd w:id="414"/>
          </w:p>
        </w:tc>
        <w:tc>
          <w:tcPr>
            <w:tcW w:w="705" w:type="dxa"/>
            <w:vAlign w:val="center"/>
          </w:tcPr>
          <w:p>
            <w:pPr>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p>
        </w:tc>
        <w:tc>
          <w:tcPr>
            <w:tcW w:w="1947" w:type="dxa"/>
            <w:vAlign w:val="center"/>
          </w:tcPr>
          <w:p>
            <w:pPr>
              <w:pageBreakBefore w:val="0"/>
              <w:kinsoku/>
              <w:wordWrap/>
              <w:overflowPunct/>
              <w:topLinePunct w:val="0"/>
              <w:autoSpaceDE/>
              <w:autoSpaceDN/>
              <w:bidi w:val="0"/>
              <w:spacing w:line="400" w:lineRule="exact"/>
              <w:jc w:val="center"/>
              <w:textAlignment w:val="auto"/>
              <w:outlineLvl w:val="0"/>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jc w:val="center"/>
        </w:trPr>
        <w:tc>
          <w:tcPr>
            <w:tcW w:w="835" w:type="dxa"/>
            <w:vMerge w:val="restart"/>
            <w:vAlign w:val="center"/>
          </w:tcPr>
          <w:p>
            <w:pPr>
              <w:pageBreakBefore w:val="0"/>
              <w:numPr>
                <w:ilvl w:val="0"/>
                <w:numId w:val="0"/>
              </w:numPr>
              <w:kinsoku/>
              <w:wordWrap/>
              <w:overflowPunct/>
              <w:topLinePunct w:val="0"/>
              <w:autoSpaceDE/>
              <w:autoSpaceDN/>
              <w:bidi w:val="0"/>
              <w:spacing w:line="400" w:lineRule="exact"/>
              <w:ind w:leftChars="0"/>
              <w:jc w:val="center"/>
              <w:textAlignment w:val="auto"/>
              <w:outlineLvl w:val="0"/>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5193" w:type="dxa"/>
            <w:gridSpan w:val="2"/>
            <w:vAlign w:val="center"/>
          </w:tcPr>
          <w:p>
            <w:pPr>
              <w:pageBreakBefore w:val="0"/>
              <w:kinsoku/>
              <w:wordWrap/>
              <w:overflowPunct/>
              <w:topLinePunct w:val="0"/>
              <w:autoSpaceDE/>
              <w:autoSpaceDN/>
              <w:bidi w:val="0"/>
              <w:spacing w:line="400" w:lineRule="exact"/>
              <w:textAlignment w:val="auto"/>
              <w:outlineLvl w:val="0"/>
              <w:rPr>
                <w:rFonts w:hint="eastAsia" w:ascii="宋体" w:hAnsi="宋体" w:eastAsia="宋体" w:cs="宋体"/>
                <w:b/>
                <w:bCs/>
                <w:color w:val="auto"/>
                <w:szCs w:val="21"/>
              </w:rPr>
            </w:pPr>
            <w:r>
              <w:rPr>
                <w:rFonts w:hint="eastAsia" w:ascii="宋体" w:hAnsi="宋体" w:eastAsia="宋体" w:cs="宋体"/>
                <w:color w:val="auto"/>
                <w:szCs w:val="21"/>
              </w:rPr>
              <w:t>磋商供应商202</w:t>
            </w:r>
            <w:r>
              <w:rPr>
                <w:rFonts w:hint="eastAsia" w:ascii="宋体" w:hAnsi="宋体" w:cs="宋体"/>
                <w:color w:val="auto"/>
                <w:szCs w:val="21"/>
                <w:lang w:eastAsia="zh-CN"/>
              </w:rPr>
              <w:t>1</w:t>
            </w:r>
            <w:r>
              <w:rPr>
                <w:rFonts w:hint="eastAsia" w:ascii="宋体" w:hAnsi="宋体" w:eastAsia="宋体" w:cs="宋体"/>
                <w:color w:val="auto"/>
                <w:szCs w:val="21"/>
              </w:rPr>
              <w:t>年1月1日以来的同类项目业绩：每提供1个业绩得0.5分，最高得</w:t>
            </w:r>
            <w:r>
              <w:rPr>
                <w:rFonts w:hint="eastAsia" w:ascii="宋体" w:hAnsi="宋体" w:cs="宋体"/>
                <w:color w:val="auto"/>
                <w:szCs w:val="21"/>
                <w:lang w:val="en-US" w:eastAsia="zh-CN"/>
              </w:rPr>
              <w:t>1</w:t>
            </w:r>
            <w:r>
              <w:rPr>
                <w:rFonts w:hint="eastAsia" w:ascii="宋体" w:hAnsi="宋体" w:eastAsia="宋体" w:cs="宋体"/>
                <w:color w:val="auto"/>
                <w:szCs w:val="21"/>
              </w:rPr>
              <w:t>分。</w:t>
            </w:r>
            <w:r>
              <w:rPr>
                <w:rFonts w:hint="eastAsia" w:ascii="宋体" w:hAnsi="宋体" w:eastAsia="宋体" w:cs="宋体"/>
                <w:b/>
                <w:bCs/>
                <w:color w:val="auto"/>
                <w:szCs w:val="21"/>
              </w:rPr>
              <w:t>（注：业绩有效性认定：</w:t>
            </w:r>
            <w:r>
              <w:rPr>
                <w:rFonts w:hint="eastAsia" w:ascii="宋体" w:hAnsi="宋体" w:eastAsia="宋体" w:cs="宋体"/>
                <w:b/>
                <w:bCs/>
                <w:color w:val="auto"/>
                <w:szCs w:val="21"/>
                <w:lang w:val="zh-CN"/>
              </w:rPr>
              <w:t>1、以合同签订时间为准；2、提供中标（成交）通知书和合同扫描件加盖电子签章，或者合同和任一期进度款发票扫描件加盖电子签章。）</w:t>
            </w:r>
          </w:p>
        </w:tc>
        <w:tc>
          <w:tcPr>
            <w:tcW w:w="962" w:type="dxa"/>
            <w:vAlign w:val="center"/>
          </w:tcPr>
          <w:p>
            <w:pPr>
              <w:pageBreakBefore w:val="0"/>
              <w:kinsoku/>
              <w:wordWrap/>
              <w:overflowPunct/>
              <w:topLinePunct w:val="0"/>
              <w:autoSpaceDE/>
              <w:autoSpaceDN/>
              <w:bidi w:val="0"/>
              <w:spacing w:line="400" w:lineRule="exact"/>
              <w:jc w:val="center"/>
              <w:textAlignment w:val="auto"/>
              <w:outlineLvl w:val="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客观分</w:t>
            </w:r>
          </w:p>
        </w:tc>
        <w:tc>
          <w:tcPr>
            <w:tcW w:w="705" w:type="dxa"/>
            <w:vAlign w:val="center"/>
          </w:tcPr>
          <w:p>
            <w:pPr>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1947" w:type="dxa"/>
            <w:vAlign w:val="center"/>
          </w:tcPr>
          <w:p>
            <w:pPr>
              <w:pageBreakBefore w:val="0"/>
              <w:kinsoku/>
              <w:wordWrap/>
              <w:overflowPunct/>
              <w:topLinePunct w:val="0"/>
              <w:autoSpaceDE/>
              <w:autoSpaceDN/>
              <w:bidi w:val="0"/>
              <w:spacing w:line="400" w:lineRule="exact"/>
              <w:jc w:val="center"/>
              <w:textAlignment w:val="auto"/>
              <w:outlineLvl w:val="0"/>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jc w:val="center"/>
        </w:trPr>
        <w:tc>
          <w:tcPr>
            <w:tcW w:w="835" w:type="dxa"/>
            <w:vMerge w:val="continue"/>
            <w:vAlign w:val="center"/>
          </w:tcPr>
          <w:p>
            <w:pPr>
              <w:pageBreakBefore w:val="0"/>
              <w:kinsoku/>
              <w:wordWrap/>
              <w:overflowPunct/>
              <w:topLinePunct w:val="0"/>
              <w:autoSpaceDE/>
              <w:autoSpaceDN/>
              <w:bidi w:val="0"/>
              <w:spacing w:line="400" w:lineRule="exact"/>
              <w:jc w:val="center"/>
              <w:textAlignment w:val="auto"/>
              <w:outlineLvl w:val="0"/>
              <w:rPr>
                <w:color w:val="auto"/>
              </w:rPr>
            </w:pPr>
          </w:p>
        </w:tc>
        <w:tc>
          <w:tcPr>
            <w:tcW w:w="5193" w:type="dxa"/>
            <w:gridSpan w:val="2"/>
            <w:vAlign w:val="center"/>
          </w:tcPr>
          <w:p>
            <w:pPr>
              <w:pageBreakBefore w:val="0"/>
              <w:kinsoku/>
              <w:wordWrap/>
              <w:overflowPunct/>
              <w:topLinePunct w:val="0"/>
              <w:autoSpaceDE/>
              <w:autoSpaceDN/>
              <w:bidi w:val="0"/>
              <w:spacing w:line="400" w:lineRule="exact"/>
              <w:textAlignment w:val="auto"/>
              <w:outlineLvl w:val="0"/>
              <w:rPr>
                <w:rFonts w:hint="default" w:ascii="宋体" w:hAnsi="宋体" w:eastAsia="宋体" w:cs="宋体"/>
                <w:color w:val="auto"/>
                <w:szCs w:val="21"/>
                <w:lang w:val="en-US" w:eastAsia="zh-CN"/>
              </w:rPr>
            </w:pPr>
            <w:r>
              <w:rPr>
                <w:rFonts w:hint="eastAsia" w:ascii="宋体" w:hAnsi="宋体" w:cs="宋体"/>
                <w:color w:val="auto"/>
                <w:szCs w:val="21"/>
                <w:lang w:val="en-US" w:eastAsia="zh-CN"/>
              </w:rPr>
              <w:t>磋商供应商</w:t>
            </w:r>
            <w:r>
              <w:rPr>
                <w:rFonts w:hint="eastAsia" w:ascii="宋体" w:hAnsi="宋体" w:eastAsia="宋体" w:cs="宋体"/>
                <w:color w:val="auto"/>
                <w:szCs w:val="21"/>
              </w:rPr>
              <w:t>完成过的装饰装修项目获得过县市级优秀装饰工程奖的每个项目得</w:t>
            </w:r>
            <w:r>
              <w:rPr>
                <w:rFonts w:hint="eastAsia" w:ascii="宋体" w:hAnsi="宋体" w:cs="宋体"/>
                <w:color w:val="auto"/>
                <w:szCs w:val="21"/>
                <w:lang w:val="en-US" w:eastAsia="zh-CN"/>
              </w:rPr>
              <w:t>1</w:t>
            </w:r>
            <w:r>
              <w:rPr>
                <w:rFonts w:hint="eastAsia" w:ascii="宋体" w:hAnsi="宋体" w:eastAsia="宋体" w:cs="宋体"/>
                <w:color w:val="auto"/>
                <w:szCs w:val="21"/>
              </w:rPr>
              <w:t>分，获得过获得过省级优秀装饰工程奖的每个项目得</w:t>
            </w:r>
            <w:r>
              <w:rPr>
                <w:rFonts w:hint="eastAsia" w:ascii="宋体" w:hAnsi="宋体" w:cs="宋体"/>
                <w:color w:val="auto"/>
                <w:szCs w:val="21"/>
                <w:lang w:val="en-US" w:eastAsia="zh-CN"/>
              </w:rPr>
              <w:t>2</w:t>
            </w:r>
            <w:r>
              <w:rPr>
                <w:rFonts w:hint="eastAsia" w:ascii="宋体" w:hAnsi="宋体" w:eastAsia="宋体" w:cs="宋体"/>
                <w:color w:val="auto"/>
                <w:szCs w:val="21"/>
              </w:rPr>
              <w:t>分，最高得</w:t>
            </w:r>
            <w:r>
              <w:rPr>
                <w:rFonts w:hint="eastAsia" w:ascii="宋体" w:hAnsi="宋体" w:cs="宋体"/>
                <w:color w:val="auto"/>
                <w:szCs w:val="21"/>
                <w:lang w:val="en-US" w:eastAsia="zh-CN"/>
              </w:rPr>
              <w:t>2</w:t>
            </w:r>
            <w:r>
              <w:rPr>
                <w:rFonts w:hint="eastAsia" w:ascii="宋体" w:hAnsi="宋体" w:eastAsia="宋体" w:cs="宋体"/>
                <w:color w:val="auto"/>
                <w:szCs w:val="21"/>
              </w:rPr>
              <w:t>分；</w:t>
            </w:r>
            <w:r>
              <w:rPr>
                <w:rFonts w:hint="eastAsia" w:ascii="宋体" w:hAnsi="宋体" w:cs="宋体"/>
                <w:color w:val="auto"/>
                <w:szCs w:val="21"/>
                <w:lang w:val="en-US" w:eastAsia="zh-CN"/>
              </w:rPr>
              <w:t>提供相关证明文件并加盖电子公章</w:t>
            </w:r>
            <w:r>
              <w:rPr>
                <w:rFonts w:ascii="宋体" w:hAnsi="宋体"/>
                <w:color w:val="auto"/>
              </w:rPr>
              <w:t>，否则不得分。</w:t>
            </w:r>
          </w:p>
        </w:tc>
        <w:tc>
          <w:tcPr>
            <w:tcW w:w="962" w:type="dxa"/>
            <w:vAlign w:val="center"/>
          </w:tcPr>
          <w:p>
            <w:pPr>
              <w:pageBreakBefore w:val="0"/>
              <w:kinsoku/>
              <w:wordWrap/>
              <w:overflowPunct/>
              <w:topLinePunct w:val="0"/>
              <w:autoSpaceDE/>
              <w:autoSpaceDN/>
              <w:bidi w:val="0"/>
              <w:spacing w:line="400" w:lineRule="exact"/>
              <w:textAlignment w:val="auto"/>
              <w:outlineLvl w:val="0"/>
              <w:rPr>
                <w:rFonts w:hint="eastAsia" w:ascii="宋体" w:hAnsi="宋体" w:eastAsia="宋体" w:cs="宋体"/>
                <w:color w:val="auto"/>
                <w:szCs w:val="21"/>
              </w:rPr>
            </w:pPr>
            <w:r>
              <w:rPr>
                <w:rFonts w:hint="eastAsia" w:ascii="宋体" w:hAnsi="宋体" w:eastAsia="宋体" w:cs="宋体"/>
                <w:bCs/>
                <w:color w:val="auto"/>
                <w:kern w:val="2"/>
                <w:sz w:val="21"/>
                <w:szCs w:val="21"/>
                <w:highlight w:val="none"/>
                <w:lang w:val="en-US" w:eastAsia="zh-CN" w:bidi="ar-SA"/>
              </w:rPr>
              <w:t>客观分</w:t>
            </w:r>
          </w:p>
        </w:tc>
        <w:tc>
          <w:tcPr>
            <w:tcW w:w="705" w:type="dxa"/>
            <w:vAlign w:val="center"/>
          </w:tcPr>
          <w:p>
            <w:pPr>
              <w:pageBreakBefore w:val="0"/>
              <w:kinsoku/>
              <w:wordWrap/>
              <w:overflowPunct/>
              <w:topLinePunct w:val="0"/>
              <w:autoSpaceDE/>
              <w:autoSpaceDN/>
              <w:bidi w:val="0"/>
              <w:spacing w:line="400" w:lineRule="exact"/>
              <w:jc w:val="center"/>
              <w:textAlignment w:val="auto"/>
              <w:outlineLvl w:val="0"/>
              <w:rPr>
                <w:rFonts w:hint="eastAsia" w:ascii="宋体" w:hAnsi="宋体" w:cs="宋体"/>
                <w:color w:val="auto"/>
                <w:szCs w:val="21"/>
                <w:lang w:val="en-US" w:eastAsia="zh-CN"/>
              </w:rPr>
            </w:pPr>
            <w:r>
              <w:rPr>
                <w:rFonts w:hint="eastAsia" w:ascii="宋体" w:hAnsi="宋体" w:cs="宋体"/>
                <w:color w:val="auto"/>
                <w:szCs w:val="21"/>
                <w:lang w:val="en-US" w:eastAsia="zh-CN"/>
              </w:rPr>
              <w:t>2</w:t>
            </w:r>
          </w:p>
          <w:p>
            <w:pPr>
              <w:pageBreakBefore w:val="0"/>
              <w:kinsoku/>
              <w:wordWrap/>
              <w:overflowPunct/>
              <w:topLinePunct w:val="0"/>
              <w:autoSpaceDE/>
              <w:autoSpaceDN/>
              <w:bidi w:val="0"/>
              <w:spacing w:line="400" w:lineRule="exact"/>
              <w:jc w:val="center"/>
              <w:textAlignment w:val="auto"/>
              <w:outlineLvl w:val="0"/>
              <w:rPr>
                <w:rFonts w:hint="eastAsia" w:ascii="宋体" w:hAnsi="宋体" w:eastAsia="宋体" w:cs="宋体"/>
                <w:color w:val="auto"/>
                <w:szCs w:val="21"/>
                <w:lang w:val="en-US" w:eastAsia="zh-CN"/>
              </w:rPr>
            </w:pPr>
          </w:p>
        </w:tc>
        <w:tc>
          <w:tcPr>
            <w:tcW w:w="1947" w:type="dxa"/>
            <w:vAlign w:val="center"/>
          </w:tcPr>
          <w:p>
            <w:pPr>
              <w:pageBreakBefore w:val="0"/>
              <w:kinsoku/>
              <w:wordWrap/>
              <w:overflowPunct/>
              <w:topLinePunct w:val="0"/>
              <w:autoSpaceDE/>
              <w:autoSpaceDN/>
              <w:bidi w:val="0"/>
              <w:spacing w:line="400" w:lineRule="exact"/>
              <w:jc w:val="center"/>
              <w:textAlignment w:val="auto"/>
              <w:outlineLvl w:val="0"/>
              <w:rPr>
                <w:rFonts w:hint="eastAsia" w:ascii="宋体" w:hAnsi="宋体" w:cs="宋体"/>
                <w:color w:val="auto"/>
                <w:szCs w:val="21"/>
                <w:lang w:val="en-US" w:eastAsia="zh-CN"/>
              </w:rPr>
            </w:pPr>
            <w:r>
              <w:rPr>
                <w:rFonts w:hint="eastAsia" w:ascii="宋体" w:hAnsi="宋体" w:cs="宋体"/>
                <w:color w:val="auto"/>
                <w:szCs w:val="21"/>
                <w:lang w:val="en-US" w:eastAsia="zh-CN"/>
              </w:rPr>
              <w:t>获奖荣誉</w:t>
            </w:r>
          </w:p>
          <w:p>
            <w:pPr>
              <w:pageBreakBefore w:val="0"/>
              <w:kinsoku/>
              <w:wordWrap/>
              <w:overflowPunct/>
              <w:topLinePunct w:val="0"/>
              <w:autoSpaceDE/>
              <w:autoSpaceDN/>
              <w:bidi w:val="0"/>
              <w:spacing w:line="400" w:lineRule="exact"/>
              <w:jc w:val="center"/>
              <w:textAlignment w:val="auto"/>
              <w:outlineLvl w:val="0"/>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835" w:type="dxa"/>
            <w:vMerge w:val="restart"/>
            <w:vAlign w:val="center"/>
          </w:tcPr>
          <w:p>
            <w:pPr>
              <w:pageBreakBefore w:val="0"/>
              <w:numPr>
                <w:ilvl w:val="0"/>
                <w:numId w:val="0"/>
              </w:numPr>
              <w:kinsoku/>
              <w:wordWrap/>
              <w:overflowPunct/>
              <w:topLinePunct w:val="0"/>
              <w:autoSpaceDE/>
              <w:autoSpaceDN/>
              <w:bidi w:val="0"/>
              <w:spacing w:line="400" w:lineRule="exact"/>
              <w:ind w:leftChars="0"/>
              <w:jc w:val="center"/>
              <w:textAlignment w:val="auto"/>
              <w:outlineLvl w:val="0"/>
              <w:rPr>
                <w:rFonts w:hint="default" w:ascii="宋体" w:hAnsi="宋体" w:eastAsia="宋体" w:cs="宋体"/>
                <w:color w:val="auto"/>
                <w:sz w:val="21"/>
                <w:szCs w:val="21"/>
                <w:highlight w:val="none"/>
                <w:lang w:val="en-US" w:eastAsia="zh-CN"/>
              </w:rPr>
            </w:pPr>
            <w:bookmarkStart w:id="415" w:name="_Toc32375"/>
            <w:bookmarkEnd w:id="415"/>
            <w:bookmarkStart w:id="416" w:name="_Toc13936"/>
            <w:bookmarkEnd w:id="416"/>
            <w:bookmarkStart w:id="417" w:name="_Toc27778"/>
            <w:bookmarkEnd w:id="417"/>
            <w:bookmarkStart w:id="418" w:name="_Toc11315"/>
            <w:bookmarkEnd w:id="418"/>
            <w:bookmarkStart w:id="419" w:name="_Toc22260"/>
            <w:bookmarkEnd w:id="419"/>
            <w:bookmarkStart w:id="420" w:name="_Toc18829"/>
            <w:bookmarkEnd w:id="420"/>
            <w:r>
              <w:rPr>
                <w:rFonts w:hint="eastAsia" w:ascii="宋体" w:hAnsi="宋体" w:eastAsia="宋体" w:cs="宋体"/>
                <w:color w:val="auto"/>
                <w:sz w:val="21"/>
                <w:szCs w:val="21"/>
                <w:highlight w:val="none"/>
                <w:lang w:val="en-US" w:eastAsia="zh-CN"/>
              </w:rPr>
              <w:t>3.</w:t>
            </w:r>
          </w:p>
        </w:tc>
        <w:tc>
          <w:tcPr>
            <w:tcW w:w="1018" w:type="dxa"/>
            <w:vMerge w:val="restart"/>
            <w:vAlign w:val="center"/>
          </w:tcPr>
          <w:p>
            <w:pPr>
              <w:pageBreakBefore w:val="0"/>
              <w:kinsoku/>
              <w:wordWrap/>
              <w:overflowPunct/>
              <w:topLinePunct w:val="0"/>
              <w:autoSpaceDE/>
              <w:autoSpaceDN/>
              <w:bidi w:val="0"/>
              <w:spacing w:line="400" w:lineRule="exact"/>
              <w:jc w:val="center"/>
              <w:textAlignment w:val="auto"/>
              <w:outlineLvl w:val="0"/>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项目实施方案</w:t>
            </w:r>
          </w:p>
        </w:tc>
        <w:tc>
          <w:tcPr>
            <w:tcW w:w="4175" w:type="dxa"/>
            <w:vAlign w:val="center"/>
          </w:tcPr>
          <w:p>
            <w:pPr>
              <w:pStyle w:val="12"/>
              <w:pageBreakBefore w:val="0"/>
              <w:kinsoku/>
              <w:wordWrap/>
              <w:overflowPunct/>
              <w:topLinePunct w:val="0"/>
              <w:autoSpaceDE/>
              <w:autoSpaceDN/>
              <w:bidi w:val="0"/>
              <w:spacing w:after="0" w:line="400" w:lineRule="exact"/>
              <w:ind w:left="0" w:leftChars="0" w:firstLine="0" w:firstLineChars="0"/>
              <w:textAlignment w:val="auto"/>
              <w:rPr>
                <w:rFonts w:hint="eastAsia" w:ascii="宋体" w:hAnsi="宋体" w:eastAsia="宋体" w:cs="宋体"/>
                <w:bCs/>
                <w:color w:val="auto"/>
                <w:spacing w:val="-6"/>
                <w:kern w:val="28"/>
                <w:sz w:val="21"/>
                <w:szCs w:val="21"/>
                <w:highlight w:val="none"/>
              </w:rPr>
            </w:pPr>
            <w:bookmarkStart w:id="421" w:name="_Toc22963"/>
            <w:bookmarkStart w:id="422" w:name="_Toc26513"/>
            <w:bookmarkStart w:id="423" w:name="_Toc26721"/>
            <w:r>
              <w:rPr>
                <w:rFonts w:hint="eastAsia" w:ascii="宋体" w:hAnsi="宋体" w:eastAsia="宋体" w:cs="宋体"/>
                <w:bCs/>
                <w:color w:val="auto"/>
                <w:spacing w:val="-6"/>
                <w:kern w:val="28"/>
                <w:sz w:val="21"/>
                <w:szCs w:val="21"/>
                <w:highlight w:val="none"/>
              </w:rPr>
              <w:t>根据磋商供应商主要设备配置计划</w:t>
            </w:r>
            <w:r>
              <w:rPr>
                <w:rFonts w:hint="eastAsia" w:cs="宋体"/>
                <w:bCs/>
                <w:color w:val="auto"/>
                <w:spacing w:val="-6"/>
                <w:kern w:val="28"/>
                <w:sz w:val="21"/>
                <w:szCs w:val="21"/>
                <w:highlight w:val="none"/>
                <w:lang w:eastAsia="zh-CN"/>
              </w:rPr>
              <w:t>、</w:t>
            </w:r>
            <w:r>
              <w:rPr>
                <w:rFonts w:hint="eastAsia" w:ascii="宋体" w:hAnsi="宋体" w:eastAsia="宋体" w:cs="宋体"/>
                <w:snapToGrid w:val="0"/>
                <w:color w:val="auto"/>
                <w:sz w:val="21"/>
                <w:szCs w:val="21"/>
                <w:highlight w:val="none"/>
              </w:rPr>
              <w:t>施工进度计划的描述</w:t>
            </w:r>
            <w:r>
              <w:rPr>
                <w:rFonts w:hint="eastAsia" w:ascii="宋体" w:hAnsi="宋体" w:eastAsia="宋体" w:cs="宋体"/>
                <w:color w:val="auto"/>
                <w:sz w:val="21"/>
                <w:szCs w:val="21"/>
                <w:highlight w:val="none"/>
              </w:rPr>
              <w:t>，进行评分</w:t>
            </w:r>
            <w:r>
              <w:rPr>
                <w:rFonts w:hint="eastAsia" w:ascii="宋体" w:hAnsi="宋体" w:eastAsia="宋体" w:cs="宋体"/>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计划</w:t>
            </w:r>
            <w:r>
              <w:rPr>
                <w:rFonts w:hint="eastAsia" w:ascii="宋体" w:hAnsi="宋体" w:eastAsia="宋体" w:cs="宋体"/>
                <w:color w:val="auto"/>
                <w:highlight w:val="none"/>
              </w:rPr>
              <w:t>全面、科学，</w:t>
            </w:r>
            <w:r>
              <w:rPr>
                <w:rFonts w:hint="eastAsia" w:ascii="宋体" w:hAnsi="宋体" w:eastAsia="宋体" w:cs="宋体"/>
                <w:color w:val="auto"/>
                <w:highlight w:val="none"/>
                <w:lang w:val="en-US" w:eastAsia="zh-CN"/>
              </w:rPr>
              <w:t>具有</w:t>
            </w:r>
            <w:r>
              <w:rPr>
                <w:rFonts w:hint="eastAsia" w:ascii="宋体" w:hAnsi="宋体" w:eastAsia="宋体" w:cs="宋体"/>
                <w:color w:val="auto"/>
                <w:highlight w:val="none"/>
              </w:rPr>
              <w:t>可靠性的，得</w:t>
            </w:r>
            <w:r>
              <w:rPr>
                <w:rFonts w:hint="eastAsia" w:ascii="宋体" w:hAnsi="宋体" w:cs="宋体"/>
                <w:color w:val="auto"/>
                <w:highlight w:val="none"/>
                <w:lang w:val="en-US" w:eastAsia="zh-CN"/>
              </w:rPr>
              <w:t>5</w:t>
            </w:r>
            <w:r>
              <w:rPr>
                <w:rFonts w:hint="eastAsia" w:ascii="宋体" w:hAnsi="宋体" w:eastAsia="宋体" w:cs="宋体"/>
                <w:color w:val="auto"/>
                <w:highlight w:val="none"/>
              </w:rPr>
              <w:t>分；</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计划</w:t>
            </w:r>
            <w:r>
              <w:rPr>
                <w:rFonts w:hint="eastAsia" w:ascii="宋体" w:hAnsi="宋体" w:eastAsia="宋体" w:cs="宋体"/>
                <w:color w:val="auto"/>
                <w:highlight w:val="none"/>
              </w:rPr>
              <w:t>较为全面、科学，</w:t>
            </w:r>
            <w:r>
              <w:rPr>
                <w:rFonts w:hint="eastAsia" w:ascii="宋体" w:hAnsi="宋体" w:eastAsia="宋体" w:cs="宋体"/>
                <w:color w:val="auto"/>
                <w:highlight w:val="none"/>
                <w:lang w:val="en-US" w:eastAsia="zh-CN"/>
              </w:rPr>
              <w:t>合理</w:t>
            </w:r>
            <w:r>
              <w:rPr>
                <w:rFonts w:hint="eastAsia" w:ascii="宋体" w:hAnsi="宋体" w:eastAsia="宋体" w:cs="宋体"/>
                <w:color w:val="auto"/>
                <w:highlight w:val="none"/>
              </w:rPr>
              <w:t>的，得</w:t>
            </w:r>
            <w:r>
              <w:rPr>
                <w:rFonts w:hint="eastAsia" w:ascii="宋体" w:hAnsi="宋体" w:cs="宋体"/>
                <w:color w:val="auto"/>
                <w:highlight w:val="none"/>
                <w:lang w:val="en-US" w:eastAsia="zh-CN"/>
              </w:rPr>
              <w:t>4</w:t>
            </w:r>
            <w:r>
              <w:rPr>
                <w:rFonts w:hint="eastAsia" w:ascii="宋体" w:hAnsi="宋体" w:eastAsia="宋体" w:cs="宋体"/>
                <w:color w:val="auto"/>
                <w:highlight w:val="none"/>
              </w:rPr>
              <w:t>分；</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计划</w:t>
            </w:r>
            <w:r>
              <w:rPr>
                <w:rFonts w:hint="eastAsia" w:ascii="宋体" w:hAnsi="宋体" w:eastAsia="宋体" w:cs="宋体"/>
                <w:color w:val="auto"/>
                <w:highlight w:val="none"/>
              </w:rPr>
              <w:t>基本全面、科学，</w:t>
            </w:r>
            <w:r>
              <w:rPr>
                <w:rFonts w:hint="eastAsia" w:ascii="宋体" w:hAnsi="宋体" w:eastAsia="宋体" w:cs="宋体"/>
                <w:color w:val="auto"/>
                <w:highlight w:val="none"/>
                <w:lang w:val="en-US" w:eastAsia="zh-CN"/>
              </w:rPr>
              <w:t>存在欠缺</w:t>
            </w:r>
            <w:r>
              <w:rPr>
                <w:rFonts w:hint="eastAsia" w:ascii="宋体" w:hAnsi="宋体" w:eastAsia="宋体" w:cs="宋体"/>
                <w:color w:val="auto"/>
                <w:highlight w:val="none"/>
              </w:rPr>
              <w:t>的，得</w:t>
            </w:r>
            <w:r>
              <w:rPr>
                <w:rFonts w:hint="eastAsia" w:ascii="宋体" w:hAnsi="宋体" w:cs="宋体"/>
                <w:color w:val="auto"/>
                <w:highlight w:val="none"/>
                <w:lang w:val="en-US" w:eastAsia="zh-CN"/>
              </w:rPr>
              <w:t>3</w:t>
            </w:r>
            <w:r>
              <w:rPr>
                <w:rFonts w:hint="eastAsia" w:ascii="宋体" w:hAnsi="宋体" w:eastAsia="宋体" w:cs="宋体"/>
                <w:color w:val="auto"/>
                <w:highlight w:val="none"/>
              </w:rPr>
              <w:t>分；</w:t>
            </w:r>
          </w:p>
          <w:p>
            <w:pPr>
              <w:pageBreakBefore w:val="0"/>
              <w:kinsoku/>
              <w:wordWrap/>
              <w:overflowPunct/>
              <w:topLinePunct w:val="0"/>
              <w:autoSpaceDE/>
              <w:autoSpaceDN/>
              <w:bidi w:val="0"/>
              <w:spacing w:line="400" w:lineRule="exact"/>
              <w:textAlignment w:val="auto"/>
              <w:outlineLvl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4、计划简单或存在缺漏的，得</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w:t>
            </w:r>
          </w:p>
          <w:p>
            <w:pPr>
              <w:pageBreakBefore w:val="0"/>
              <w:kinsoku/>
              <w:wordWrap/>
              <w:overflowPunct/>
              <w:topLinePunct w:val="0"/>
              <w:autoSpaceDE/>
              <w:autoSpaceDN/>
              <w:bidi w:val="0"/>
              <w:spacing w:line="400" w:lineRule="exact"/>
              <w:textAlignment w:val="auto"/>
              <w:outlineLvl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5、未提供的不得分。</w:t>
            </w:r>
          </w:p>
        </w:tc>
        <w:tc>
          <w:tcPr>
            <w:tcW w:w="962" w:type="dxa"/>
            <w:vAlign w:val="center"/>
          </w:tcPr>
          <w:p>
            <w:pPr>
              <w:pageBreakBefore w:val="0"/>
              <w:kinsoku/>
              <w:wordWrap/>
              <w:overflowPunct/>
              <w:topLinePunct w:val="0"/>
              <w:autoSpaceDE/>
              <w:autoSpaceDN/>
              <w:bidi w:val="0"/>
              <w:spacing w:line="400" w:lineRule="exact"/>
              <w:jc w:val="center"/>
              <w:textAlignment w:val="auto"/>
              <w:outlineLvl w:val="0"/>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lang w:val="en-US" w:eastAsia="zh-CN" w:bidi="ar-SA"/>
              </w:rPr>
              <w:t>主观分</w:t>
            </w:r>
            <w:bookmarkEnd w:id="421"/>
            <w:bookmarkEnd w:id="422"/>
            <w:bookmarkEnd w:id="423"/>
          </w:p>
        </w:tc>
        <w:tc>
          <w:tcPr>
            <w:tcW w:w="705" w:type="dxa"/>
            <w:vAlign w:val="center"/>
          </w:tcPr>
          <w:p>
            <w:pPr>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p>
          <w:p>
            <w:pPr>
              <w:pageBreakBefore w:val="0"/>
              <w:kinsoku/>
              <w:wordWrap/>
              <w:overflowPunct/>
              <w:topLinePunct w:val="0"/>
              <w:autoSpaceDE/>
              <w:autoSpaceDN/>
              <w:bidi w:val="0"/>
              <w:spacing w:line="400" w:lineRule="exact"/>
              <w:ind w:firstLine="210" w:firstLineChars="100"/>
              <w:jc w:val="both"/>
              <w:textAlignment w:val="auto"/>
              <w:outlineLvl w:val="0"/>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947" w:type="dxa"/>
            <w:vAlign w:val="center"/>
          </w:tcPr>
          <w:p>
            <w:pPr>
              <w:pageBreakBefore w:val="0"/>
              <w:kinsoku/>
              <w:wordWrap/>
              <w:overflowPunct/>
              <w:topLinePunct w:val="0"/>
              <w:autoSpaceDE/>
              <w:autoSpaceDN/>
              <w:bidi w:val="0"/>
              <w:spacing w:line="400" w:lineRule="exact"/>
              <w:jc w:val="center"/>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pacing w:val="-6"/>
                <w:kern w:val="28"/>
                <w:sz w:val="21"/>
                <w:szCs w:val="21"/>
                <w:highlight w:val="none"/>
              </w:rPr>
              <w:t>设备配置计划</w:t>
            </w:r>
            <w:r>
              <w:rPr>
                <w:rFonts w:hint="eastAsia" w:cs="宋体"/>
                <w:bCs/>
                <w:color w:val="auto"/>
                <w:spacing w:val="-6"/>
                <w:kern w:val="28"/>
                <w:sz w:val="21"/>
                <w:szCs w:val="21"/>
                <w:highlight w:val="none"/>
                <w:lang w:eastAsia="zh-CN"/>
              </w:rPr>
              <w:t>、</w:t>
            </w:r>
            <w:r>
              <w:rPr>
                <w:rFonts w:hint="eastAsia" w:ascii="宋体" w:hAnsi="宋体" w:eastAsia="宋体" w:cs="宋体"/>
                <w:snapToGrid w:val="0"/>
                <w:color w:val="auto"/>
                <w:sz w:val="21"/>
                <w:szCs w:val="21"/>
                <w:highlight w:val="none"/>
              </w:rPr>
              <w:t>施工进度计划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835" w:type="dxa"/>
            <w:vMerge w:val="continue"/>
            <w:vAlign w:val="center"/>
          </w:tcPr>
          <w:p>
            <w:pPr>
              <w:pageBreakBefore w:val="0"/>
              <w:numPr>
                <w:ilvl w:val="0"/>
                <w:numId w:val="0"/>
              </w:numPr>
              <w:kinsoku/>
              <w:wordWrap/>
              <w:overflowPunct/>
              <w:topLinePunct w:val="0"/>
              <w:autoSpaceDE/>
              <w:autoSpaceDN/>
              <w:bidi w:val="0"/>
              <w:spacing w:line="400" w:lineRule="exact"/>
              <w:ind w:leftChars="0"/>
              <w:jc w:val="center"/>
              <w:textAlignment w:val="auto"/>
              <w:outlineLvl w:val="0"/>
              <w:rPr>
                <w:rFonts w:hint="eastAsia" w:ascii="宋体" w:hAnsi="宋体" w:eastAsia="宋体" w:cs="宋体"/>
                <w:color w:val="auto"/>
                <w:sz w:val="21"/>
                <w:szCs w:val="21"/>
                <w:highlight w:val="none"/>
              </w:rPr>
            </w:pPr>
            <w:bookmarkStart w:id="424" w:name="_Toc331"/>
            <w:bookmarkEnd w:id="424"/>
            <w:bookmarkStart w:id="425" w:name="_Toc19603"/>
            <w:bookmarkEnd w:id="425"/>
            <w:bookmarkStart w:id="426" w:name="_Toc10600"/>
            <w:bookmarkEnd w:id="426"/>
          </w:p>
        </w:tc>
        <w:tc>
          <w:tcPr>
            <w:tcW w:w="1018" w:type="dxa"/>
            <w:vMerge w:val="continue"/>
            <w:vAlign w:val="center"/>
          </w:tcPr>
          <w:p>
            <w:pPr>
              <w:pageBreakBefore w:val="0"/>
              <w:kinsoku/>
              <w:wordWrap/>
              <w:overflowPunct/>
              <w:topLinePunct w:val="0"/>
              <w:autoSpaceDE/>
              <w:autoSpaceDN/>
              <w:bidi w:val="0"/>
              <w:spacing w:line="400" w:lineRule="exact"/>
              <w:textAlignment w:val="auto"/>
              <w:rPr>
                <w:rFonts w:hint="eastAsia" w:ascii="宋体" w:hAnsi="宋体" w:eastAsia="宋体" w:cs="宋体"/>
                <w:color w:val="auto"/>
                <w:sz w:val="21"/>
                <w:szCs w:val="21"/>
                <w:highlight w:val="none"/>
              </w:rPr>
            </w:pPr>
          </w:p>
        </w:tc>
        <w:tc>
          <w:tcPr>
            <w:tcW w:w="4175" w:type="dxa"/>
            <w:vAlign w:val="center"/>
          </w:tcPr>
          <w:p>
            <w:pPr>
              <w:pStyle w:val="12"/>
              <w:pageBreakBefore w:val="0"/>
              <w:kinsoku/>
              <w:wordWrap/>
              <w:overflowPunct/>
              <w:topLinePunct w:val="0"/>
              <w:autoSpaceDE/>
              <w:autoSpaceDN/>
              <w:bidi w:val="0"/>
              <w:spacing w:after="0" w:line="400" w:lineRule="exact"/>
              <w:ind w:left="0" w:leftChars="0" w:firstLine="0" w:firstLineChars="0"/>
              <w:textAlignment w:val="auto"/>
              <w:rPr>
                <w:rFonts w:hint="eastAsia" w:ascii="宋体" w:hAnsi="宋体" w:eastAsia="宋体" w:cs="宋体"/>
                <w:bCs/>
                <w:color w:val="auto"/>
                <w:spacing w:val="-6"/>
                <w:kern w:val="28"/>
                <w:sz w:val="21"/>
                <w:szCs w:val="21"/>
                <w:highlight w:val="none"/>
              </w:rPr>
            </w:pPr>
            <w:r>
              <w:rPr>
                <w:rFonts w:hint="eastAsia" w:ascii="宋体" w:hAnsi="宋体" w:eastAsia="宋体" w:cs="宋体"/>
                <w:bCs/>
                <w:color w:val="auto"/>
                <w:spacing w:val="-6"/>
                <w:kern w:val="28"/>
                <w:sz w:val="21"/>
                <w:szCs w:val="21"/>
                <w:highlight w:val="none"/>
              </w:rPr>
              <w:t>根据</w:t>
            </w:r>
            <w:r>
              <w:rPr>
                <w:rFonts w:hint="eastAsia" w:cs="宋体"/>
                <w:bCs/>
                <w:color w:val="auto"/>
                <w:spacing w:val="-6"/>
                <w:kern w:val="28"/>
                <w:sz w:val="21"/>
                <w:szCs w:val="21"/>
                <w:highlight w:val="none"/>
                <w:lang w:eastAsia="zh-CN"/>
              </w:rPr>
              <w:t>磋商供应商</w:t>
            </w:r>
            <w:r>
              <w:rPr>
                <w:rFonts w:hint="eastAsia" w:ascii="宋体" w:hAnsi="宋体" w:eastAsia="宋体" w:cs="宋体"/>
                <w:bCs/>
                <w:color w:val="auto"/>
                <w:spacing w:val="-6"/>
                <w:kern w:val="28"/>
                <w:sz w:val="21"/>
                <w:szCs w:val="21"/>
                <w:highlight w:val="none"/>
              </w:rPr>
              <w:t>派驻现场的工程技术、管理人员的配置</w:t>
            </w:r>
            <w:r>
              <w:rPr>
                <w:rFonts w:hint="eastAsia" w:ascii="宋体" w:hAnsi="宋体" w:eastAsia="宋体" w:cs="宋体"/>
                <w:color w:val="auto"/>
                <w:sz w:val="21"/>
                <w:szCs w:val="21"/>
                <w:highlight w:val="none"/>
              </w:rPr>
              <w:t>，进行评分</w:t>
            </w:r>
            <w:r>
              <w:rPr>
                <w:rFonts w:hint="eastAsia" w:ascii="宋体" w:hAnsi="宋体" w:eastAsia="宋体" w:cs="宋体"/>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人员配置</w:t>
            </w:r>
            <w:r>
              <w:rPr>
                <w:rFonts w:hint="eastAsia" w:ascii="宋体" w:hAnsi="宋体" w:eastAsia="宋体" w:cs="宋体"/>
                <w:color w:val="auto"/>
                <w:highlight w:val="none"/>
              </w:rPr>
              <w:t>全面、科学，</w:t>
            </w:r>
            <w:r>
              <w:rPr>
                <w:rFonts w:hint="eastAsia" w:ascii="宋体" w:hAnsi="宋体" w:eastAsia="宋体" w:cs="宋体"/>
                <w:color w:val="auto"/>
                <w:highlight w:val="none"/>
                <w:lang w:val="en-US" w:eastAsia="zh-CN"/>
              </w:rPr>
              <w:t>具有</w:t>
            </w:r>
            <w:r>
              <w:rPr>
                <w:rFonts w:hint="eastAsia" w:ascii="宋体" w:hAnsi="宋体" w:eastAsia="宋体" w:cs="宋体"/>
                <w:color w:val="auto"/>
                <w:highlight w:val="none"/>
              </w:rPr>
              <w:t>可靠性的，得</w:t>
            </w:r>
            <w:r>
              <w:rPr>
                <w:rFonts w:hint="eastAsia" w:ascii="宋体" w:hAnsi="宋体" w:cs="宋体"/>
                <w:color w:val="auto"/>
                <w:highlight w:val="none"/>
                <w:lang w:val="en-US" w:eastAsia="zh-CN"/>
              </w:rPr>
              <w:t>5</w:t>
            </w:r>
            <w:r>
              <w:rPr>
                <w:rFonts w:hint="eastAsia" w:ascii="宋体" w:hAnsi="宋体" w:eastAsia="宋体" w:cs="宋体"/>
                <w:color w:val="auto"/>
                <w:highlight w:val="none"/>
              </w:rPr>
              <w:t>分；</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人员配置</w:t>
            </w:r>
            <w:r>
              <w:rPr>
                <w:rFonts w:hint="eastAsia" w:ascii="宋体" w:hAnsi="宋体" w:eastAsia="宋体" w:cs="宋体"/>
                <w:color w:val="auto"/>
                <w:highlight w:val="none"/>
              </w:rPr>
              <w:t>较为全面、科学，</w:t>
            </w:r>
            <w:r>
              <w:rPr>
                <w:rFonts w:hint="eastAsia" w:ascii="宋体" w:hAnsi="宋体" w:eastAsia="宋体" w:cs="宋体"/>
                <w:color w:val="auto"/>
                <w:highlight w:val="none"/>
                <w:lang w:val="en-US" w:eastAsia="zh-CN"/>
              </w:rPr>
              <w:t>合理</w:t>
            </w:r>
            <w:r>
              <w:rPr>
                <w:rFonts w:hint="eastAsia" w:ascii="宋体" w:hAnsi="宋体" w:eastAsia="宋体" w:cs="宋体"/>
                <w:color w:val="auto"/>
                <w:highlight w:val="none"/>
              </w:rPr>
              <w:t>的，得</w:t>
            </w:r>
            <w:r>
              <w:rPr>
                <w:rFonts w:hint="eastAsia" w:ascii="宋体" w:hAnsi="宋体" w:cs="宋体"/>
                <w:color w:val="auto"/>
                <w:highlight w:val="none"/>
                <w:lang w:val="en-US" w:eastAsia="zh-CN"/>
              </w:rPr>
              <w:t>4</w:t>
            </w:r>
            <w:r>
              <w:rPr>
                <w:rFonts w:hint="eastAsia" w:ascii="宋体" w:hAnsi="宋体" w:eastAsia="宋体" w:cs="宋体"/>
                <w:color w:val="auto"/>
                <w:highlight w:val="none"/>
              </w:rPr>
              <w:t>分；</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人员配置</w:t>
            </w:r>
            <w:r>
              <w:rPr>
                <w:rFonts w:hint="eastAsia" w:ascii="宋体" w:hAnsi="宋体" w:eastAsia="宋体" w:cs="宋体"/>
                <w:color w:val="auto"/>
                <w:highlight w:val="none"/>
              </w:rPr>
              <w:t>基本全面、科学，</w:t>
            </w:r>
            <w:r>
              <w:rPr>
                <w:rFonts w:hint="eastAsia" w:ascii="宋体" w:hAnsi="宋体" w:eastAsia="宋体" w:cs="宋体"/>
                <w:color w:val="auto"/>
                <w:highlight w:val="none"/>
                <w:lang w:val="en-US" w:eastAsia="zh-CN"/>
              </w:rPr>
              <w:t>存在欠缺</w:t>
            </w:r>
            <w:r>
              <w:rPr>
                <w:rFonts w:hint="eastAsia" w:ascii="宋体" w:hAnsi="宋体" w:eastAsia="宋体" w:cs="宋体"/>
                <w:color w:val="auto"/>
                <w:highlight w:val="none"/>
              </w:rPr>
              <w:t>的，得</w:t>
            </w:r>
            <w:r>
              <w:rPr>
                <w:rFonts w:hint="eastAsia" w:ascii="宋体" w:hAnsi="宋体" w:cs="宋体"/>
                <w:color w:val="auto"/>
                <w:highlight w:val="none"/>
                <w:lang w:val="en-US" w:eastAsia="zh-CN"/>
              </w:rPr>
              <w:t>2</w:t>
            </w:r>
            <w:r>
              <w:rPr>
                <w:rFonts w:hint="eastAsia" w:ascii="宋体" w:hAnsi="宋体" w:eastAsia="宋体" w:cs="宋体"/>
                <w:color w:val="auto"/>
                <w:highlight w:val="none"/>
              </w:rPr>
              <w:t>分；</w:t>
            </w:r>
          </w:p>
          <w:p>
            <w:pPr>
              <w:pageBreakBefore w:val="0"/>
              <w:kinsoku/>
              <w:wordWrap/>
              <w:overflowPunct/>
              <w:topLinePunct w:val="0"/>
              <w:autoSpaceDE/>
              <w:autoSpaceDN/>
              <w:bidi w:val="0"/>
              <w:spacing w:line="400" w:lineRule="exact"/>
              <w:textAlignment w:val="auto"/>
              <w:outlineLvl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4、人员配置简单或存在缺漏的，得</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w:t>
            </w:r>
          </w:p>
          <w:p>
            <w:pPr>
              <w:pageBreakBefore w:val="0"/>
              <w:kinsoku/>
              <w:wordWrap/>
              <w:overflowPunct/>
              <w:topLinePunct w:val="0"/>
              <w:autoSpaceDE/>
              <w:autoSpaceDN/>
              <w:bidi w:val="0"/>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5、未提供的不得分。</w:t>
            </w:r>
          </w:p>
        </w:tc>
        <w:tc>
          <w:tcPr>
            <w:tcW w:w="962" w:type="dxa"/>
            <w:vAlign w:val="center"/>
          </w:tcPr>
          <w:p>
            <w:pPr>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lang w:val="en-US" w:eastAsia="zh-CN" w:bidi="ar-SA"/>
              </w:rPr>
              <w:t>主观分</w:t>
            </w:r>
          </w:p>
        </w:tc>
        <w:tc>
          <w:tcPr>
            <w:tcW w:w="705" w:type="dxa"/>
            <w:vAlign w:val="center"/>
          </w:tcPr>
          <w:p>
            <w:pPr>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p>
        </w:tc>
        <w:tc>
          <w:tcPr>
            <w:tcW w:w="1947" w:type="dxa"/>
            <w:vAlign w:val="center"/>
          </w:tcPr>
          <w:p>
            <w:pPr>
              <w:pageBreakBefore w:val="0"/>
              <w:kinsoku/>
              <w:wordWrap/>
              <w:overflowPunct/>
              <w:topLinePunct w:val="0"/>
              <w:autoSpaceDE/>
              <w:autoSpaceDN/>
              <w:bidi w:val="0"/>
              <w:spacing w:line="400" w:lineRule="exact"/>
              <w:jc w:val="center"/>
              <w:textAlignment w:val="auto"/>
              <w:outlineLvl w:val="0"/>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人员配备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835" w:type="dxa"/>
            <w:vMerge w:val="continue"/>
            <w:vAlign w:val="center"/>
          </w:tcPr>
          <w:p>
            <w:pPr>
              <w:pageBreakBefore w:val="0"/>
              <w:numPr>
                <w:ilvl w:val="0"/>
                <w:numId w:val="0"/>
              </w:numPr>
              <w:kinsoku/>
              <w:wordWrap/>
              <w:overflowPunct/>
              <w:topLinePunct w:val="0"/>
              <w:autoSpaceDE/>
              <w:autoSpaceDN/>
              <w:bidi w:val="0"/>
              <w:spacing w:line="400" w:lineRule="exact"/>
              <w:ind w:leftChars="0"/>
              <w:jc w:val="center"/>
              <w:textAlignment w:val="auto"/>
              <w:outlineLvl w:val="0"/>
              <w:rPr>
                <w:rFonts w:hint="eastAsia" w:ascii="宋体" w:hAnsi="宋体" w:eastAsia="宋体" w:cs="宋体"/>
                <w:color w:val="auto"/>
                <w:sz w:val="21"/>
                <w:szCs w:val="21"/>
                <w:highlight w:val="none"/>
              </w:rPr>
            </w:pPr>
            <w:bookmarkStart w:id="427" w:name="_Toc13160"/>
            <w:bookmarkEnd w:id="427"/>
            <w:bookmarkStart w:id="428" w:name="_Toc30797"/>
            <w:bookmarkEnd w:id="428"/>
            <w:bookmarkStart w:id="429" w:name="_Toc21013"/>
            <w:bookmarkEnd w:id="429"/>
          </w:p>
        </w:tc>
        <w:tc>
          <w:tcPr>
            <w:tcW w:w="1018" w:type="dxa"/>
            <w:vMerge w:val="continue"/>
            <w:vAlign w:val="center"/>
          </w:tcPr>
          <w:p>
            <w:pPr>
              <w:pageBreakBefore w:val="0"/>
              <w:kinsoku/>
              <w:wordWrap/>
              <w:overflowPunct/>
              <w:topLinePunct w:val="0"/>
              <w:autoSpaceDE/>
              <w:autoSpaceDN/>
              <w:bidi w:val="0"/>
              <w:spacing w:line="400" w:lineRule="exact"/>
              <w:textAlignment w:val="auto"/>
              <w:rPr>
                <w:rFonts w:hint="eastAsia" w:ascii="宋体" w:hAnsi="宋体" w:eastAsia="宋体" w:cs="宋体"/>
                <w:bCs/>
                <w:color w:val="auto"/>
                <w:spacing w:val="-6"/>
                <w:kern w:val="28"/>
                <w:sz w:val="21"/>
                <w:szCs w:val="21"/>
                <w:highlight w:val="none"/>
                <w:lang w:eastAsia="zh-CN"/>
              </w:rPr>
            </w:pPr>
          </w:p>
        </w:tc>
        <w:tc>
          <w:tcPr>
            <w:tcW w:w="4175" w:type="dxa"/>
            <w:vAlign w:val="center"/>
          </w:tcPr>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施工工艺的符合性、先进性、科学性、稳定性、可靠性，进行评分</w:t>
            </w:r>
            <w:r>
              <w:rPr>
                <w:rFonts w:hint="eastAsia" w:ascii="宋体" w:hAnsi="宋体" w:eastAsia="宋体" w:cs="宋体"/>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描述全面、科学，</w:t>
            </w:r>
            <w:r>
              <w:rPr>
                <w:rFonts w:hint="eastAsia" w:ascii="宋体" w:hAnsi="宋体" w:eastAsia="宋体" w:cs="宋体"/>
                <w:color w:val="auto"/>
                <w:highlight w:val="none"/>
                <w:lang w:val="en-US" w:eastAsia="zh-CN"/>
              </w:rPr>
              <w:t>具有</w:t>
            </w:r>
            <w:r>
              <w:rPr>
                <w:rFonts w:hint="eastAsia" w:ascii="宋体" w:hAnsi="宋体" w:eastAsia="宋体" w:cs="宋体"/>
                <w:color w:val="auto"/>
                <w:highlight w:val="none"/>
              </w:rPr>
              <w:t>可靠性的，得</w:t>
            </w:r>
            <w:r>
              <w:rPr>
                <w:rFonts w:hint="eastAsia" w:ascii="宋体" w:hAnsi="宋体" w:cs="宋体"/>
                <w:color w:val="auto"/>
                <w:highlight w:val="none"/>
                <w:lang w:val="en-US" w:eastAsia="zh-CN"/>
              </w:rPr>
              <w:t>6</w:t>
            </w:r>
            <w:r>
              <w:rPr>
                <w:rFonts w:hint="eastAsia" w:ascii="宋体" w:hAnsi="宋体" w:eastAsia="宋体" w:cs="宋体"/>
                <w:color w:val="auto"/>
                <w:highlight w:val="none"/>
              </w:rPr>
              <w:t>分；</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描述较为全面、科学，</w:t>
            </w:r>
            <w:r>
              <w:rPr>
                <w:rFonts w:hint="eastAsia" w:ascii="宋体" w:hAnsi="宋体" w:eastAsia="宋体" w:cs="宋体"/>
                <w:color w:val="auto"/>
                <w:highlight w:val="none"/>
                <w:lang w:val="en-US" w:eastAsia="zh-CN"/>
              </w:rPr>
              <w:t>合理</w:t>
            </w:r>
            <w:r>
              <w:rPr>
                <w:rFonts w:hint="eastAsia" w:ascii="宋体" w:hAnsi="宋体" w:eastAsia="宋体" w:cs="宋体"/>
                <w:color w:val="auto"/>
                <w:highlight w:val="none"/>
              </w:rPr>
              <w:t>的，得</w:t>
            </w:r>
            <w:r>
              <w:rPr>
                <w:rFonts w:hint="eastAsia" w:ascii="宋体" w:hAnsi="宋体" w:cs="宋体"/>
                <w:color w:val="auto"/>
                <w:highlight w:val="none"/>
                <w:lang w:val="en-US" w:eastAsia="zh-CN"/>
              </w:rPr>
              <w:t>4.5</w:t>
            </w:r>
            <w:r>
              <w:rPr>
                <w:rFonts w:hint="eastAsia" w:ascii="宋体" w:hAnsi="宋体" w:eastAsia="宋体" w:cs="宋体"/>
                <w:color w:val="auto"/>
                <w:highlight w:val="none"/>
              </w:rPr>
              <w:t>分；</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描述基本全面、科学，</w:t>
            </w:r>
            <w:r>
              <w:rPr>
                <w:rFonts w:hint="eastAsia" w:ascii="宋体" w:hAnsi="宋体" w:eastAsia="宋体" w:cs="宋体"/>
                <w:color w:val="auto"/>
                <w:highlight w:val="none"/>
                <w:lang w:val="en-US" w:eastAsia="zh-CN"/>
              </w:rPr>
              <w:t>存在欠缺</w:t>
            </w:r>
            <w:r>
              <w:rPr>
                <w:rFonts w:hint="eastAsia" w:ascii="宋体" w:hAnsi="宋体" w:eastAsia="宋体" w:cs="宋体"/>
                <w:color w:val="auto"/>
                <w:highlight w:val="none"/>
              </w:rPr>
              <w:t>的，得</w:t>
            </w:r>
            <w:r>
              <w:rPr>
                <w:rFonts w:hint="eastAsia" w:ascii="宋体" w:hAnsi="宋体" w:cs="宋体"/>
                <w:color w:val="auto"/>
                <w:highlight w:val="none"/>
                <w:lang w:val="en-US" w:eastAsia="zh-CN"/>
              </w:rPr>
              <w:t>3</w:t>
            </w:r>
            <w:r>
              <w:rPr>
                <w:rFonts w:hint="eastAsia" w:ascii="宋体" w:hAnsi="宋体" w:eastAsia="宋体" w:cs="宋体"/>
                <w:color w:val="auto"/>
                <w:highlight w:val="none"/>
              </w:rPr>
              <w:t>分；</w:t>
            </w:r>
          </w:p>
          <w:p>
            <w:pPr>
              <w:pageBreakBefore w:val="0"/>
              <w:kinsoku/>
              <w:wordWrap/>
              <w:overflowPunct/>
              <w:topLinePunct w:val="0"/>
              <w:autoSpaceDE/>
              <w:autoSpaceDN/>
              <w:bidi w:val="0"/>
              <w:spacing w:line="400" w:lineRule="exact"/>
              <w:textAlignment w:val="auto"/>
              <w:outlineLvl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4、描述简单或存在缺漏的，得</w:t>
            </w:r>
            <w:r>
              <w:rPr>
                <w:rFonts w:hint="eastAsia" w:ascii="宋体" w:hAnsi="宋体" w:cs="宋体"/>
                <w:color w:val="auto"/>
                <w:highlight w:val="none"/>
                <w:lang w:val="en-US" w:eastAsia="zh-CN"/>
              </w:rPr>
              <w:t>1.5</w:t>
            </w:r>
            <w:r>
              <w:rPr>
                <w:rFonts w:hint="eastAsia" w:ascii="宋体" w:hAnsi="宋体" w:eastAsia="宋体" w:cs="宋体"/>
                <w:color w:val="auto"/>
                <w:highlight w:val="none"/>
                <w:lang w:val="en-US" w:eastAsia="zh-CN"/>
              </w:rPr>
              <w:t>分；</w:t>
            </w:r>
          </w:p>
          <w:p>
            <w:pPr>
              <w:pageBreakBefore w:val="0"/>
              <w:kinsoku/>
              <w:wordWrap/>
              <w:overflowPunct/>
              <w:topLinePunct w:val="0"/>
              <w:autoSpaceDE/>
              <w:autoSpaceDN/>
              <w:bidi w:val="0"/>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5、未提供的不得分。</w:t>
            </w:r>
          </w:p>
        </w:tc>
        <w:tc>
          <w:tcPr>
            <w:tcW w:w="962" w:type="dxa"/>
            <w:vAlign w:val="center"/>
          </w:tcPr>
          <w:p>
            <w:pPr>
              <w:pageBreakBefore w:val="0"/>
              <w:kinsoku/>
              <w:wordWrap/>
              <w:overflowPunct/>
              <w:topLinePunct w:val="0"/>
              <w:autoSpaceDE/>
              <w:autoSpaceDN/>
              <w:bidi w:val="0"/>
              <w:spacing w:line="400" w:lineRule="exact"/>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主观分</w:t>
            </w:r>
          </w:p>
        </w:tc>
        <w:tc>
          <w:tcPr>
            <w:tcW w:w="705" w:type="dxa"/>
            <w:vAlign w:val="center"/>
          </w:tcPr>
          <w:p>
            <w:pPr>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947" w:type="dxa"/>
            <w:vAlign w:val="center"/>
          </w:tcPr>
          <w:p>
            <w:pPr>
              <w:pageBreakBefore w:val="0"/>
              <w:kinsoku/>
              <w:wordWrap/>
              <w:overflowPunct/>
              <w:topLinePunct w:val="0"/>
              <w:autoSpaceDE/>
              <w:autoSpaceDN/>
              <w:bidi w:val="0"/>
              <w:spacing w:line="400" w:lineRule="exact"/>
              <w:jc w:val="center"/>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施工工艺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835" w:type="dxa"/>
            <w:vMerge w:val="continue"/>
            <w:vAlign w:val="center"/>
          </w:tcPr>
          <w:p>
            <w:pPr>
              <w:pageBreakBefore w:val="0"/>
              <w:numPr>
                <w:ilvl w:val="0"/>
                <w:numId w:val="0"/>
              </w:numPr>
              <w:kinsoku/>
              <w:wordWrap/>
              <w:overflowPunct/>
              <w:topLinePunct w:val="0"/>
              <w:autoSpaceDE/>
              <w:autoSpaceDN/>
              <w:bidi w:val="0"/>
              <w:spacing w:line="400" w:lineRule="exact"/>
              <w:ind w:leftChars="0"/>
              <w:jc w:val="center"/>
              <w:textAlignment w:val="auto"/>
              <w:outlineLvl w:val="0"/>
              <w:rPr>
                <w:rFonts w:hint="eastAsia" w:ascii="宋体" w:hAnsi="宋体" w:eastAsia="宋体" w:cs="宋体"/>
                <w:color w:val="auto"/>
                <w:sz w:val="21"/>
                <w:szCs w:val="21"/>
                <w:highlight w:val="none"/>
              </w:rPr>
            </w:pPr>
            <w:bookmarkStart w:id="430" w:name="_Toc18746"/>
            <w:bookmarkEnd w:id="430"/>
            <w:bookmarkStart w:id="431" w:name="_Toc28892"/>
            <w:bookmarkEnd w:id="431"/>
            <w:bookmarkStart w:id="432" w:name="_Toc15217"/>
            <w:bookmarkEnd w:id="432"/>
          </w:p>
        </w:tc>
        <w:tc>
          <w:tcPr>
            <w:tcW w:w="1018" w:type="dxa"/>
            <w:vMerge w:val="continue"/>
            <w:vAlign w:val="center"/>
          </w:tcPr>
          <w:p>
            <w:pPr>
              <w:pageBreakBefore w:val="0"/>
              <w:kinsoku/>
              <w:wordWrap/>
              <w:overflowPunct/>
              <w:topLinePunct w:val="0"/>
              <w:autoSpaceDE/>
              <w:autoSpaceDN/>
              <w:bidi w:val="0"/>
              <w:spacing w:line="400" w:lineRule="exact"/>
              <w:textAlignment w:val="auto"/>
              <w:rPr>
                <w:rFonts w:hint="eastAsia" w:ascii="宋体" w:hAnsi="宋体" w:eastAsia="宋体" w:cs="宋体"/>
                <w:bCs/>
                <w:color w:val="auto"/>
                <w:spacing w:val="-6"/>
                <w:kern w:val="28"/>
                <w:sz w:val="21"/>
                <w:szCs w:val="21"/>
                <w:highlight w:val="none"/>
                <w:lang w:eastAsia="zh-CN"/>
              </w:rPr>
            </w:pPr>
          </w:p>
        </w:tc>
        <w:tc>
          <w:tcPr>
            <w:tcW w:w="4175" w:type="dxa"/>
            <w:vAlign w:val="center"/>
          </w:tcPr>
          <w:p>
            <w:pPr>
              <w:pageBreakBefore w:val="0"/>
              <w:kinsoku/>
              <w:wordWrap/>
              <w:overflowPunct/>
              <w:topLinePunct w:val="0"/>
              <w:autoSpaceDE/>
              <w:autoSpaceDN/>
              <w:bidi w:val="0"/>
              <w:spacing w:line="400" w:lineRule="exact"/>
              <w:textAlignment w:val="auto"/>
              <w:rPr>
                <w:rFonts w:hint="eastAsia" w:ascii="宋体" w:hAnsi="宋体" w:eastAsia="宋体" w:cs="宋体"/>
                <w:snapToGrid w:val="0"/>
                <w:color w:val="auto"/>
                <w:spacing w:val="-10"/>
                <w:sz w:val="21"/>
                <w:szCs w:val="21"/>
                <w:highlight w:val="none"/>
                <w:lang w:eastAsia="zh-CN"/>
              </w:rPr>
            </w:pPr>
            <w:r>
              <w:rPr>
                <w:rFonts w:hint="eastAsia" w:ascii="宋体" w:hAnsi="宋体" w:eastAsia="宋体" w:cs="宋体"/>
                <w:snapToGrid w:val="0"/>
                <w:color w:val="auto"/>
                <w:spacing w:val="-10"/>
                <w:sz w:val="21"/>
                <w:szCs w:val="21"/>
                <w:highlight w:val="none"/>
              </w:rPr>
              <w:t>根据磋商供应商针对本工程重难点分析及提出的解决方案</w:t>
            </w:r>
            <w:r>
              <w:rPr>
                <w:rFonts w:hint="eastAsia" w:ascii="宋体" w:hAnsi="宋体" w:eastAsia="宋体" w:cs="宋体"/>
                <w:color w:val="auto"/>
                <w:sz w:val="21"/>
                <w:szCs w:val="21"/>
                <w:highlight w:val="none"/>
              </w:rPr>
              <w:t>，进行评分</w:t>
            </w:r>
            <w:r>
              <w:rPr>
                <w:rFonts w:hint="eastAsia" w:ascii="宋体" w:hAnsi="宋体" w:eastAsia="宋体" w:cs="宋体"/>
                <w:color w:val="auto"/>
                <w:sz w:val="21"/>
                <w:szCs w:val="21"/>
                <w:highlight w:val="none"/>
                <w:lang w:eastAsia="zh-CN"/>
              </w:rPr>
              <w:t>：</w:t>
            </w:r>
          </w:p>
          <w:p>
            <w:pPr>
              <w:pageBreakBefore w:val="0"/>
              <w:kinsoku/>
              <w:wordWrap/>
              <w:overflowPunct/>
              <w:topLinePunct w:val="0"/>
              <w:autoSpaceDE/>
              <w:autoSpaceDN/>
              <w:bidi w:val="0"/>
              <w:spacing w:line="400" w:lineRule="exact"/>
              <w:textAlignment w:val="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1、有详细的重难点分析和解决方案，</w:t>
            </w:r>
            <w:r>
              <w:rPr>
                <w:rFonts w:hint="eastAsia" w:ascii="宋体" w:hAnsi="宋体" w:cs="宋体"/>
                <w:snapToGrid w:val="0"/>
                <w:color w:val="auto"/>
                <w:sz w:val="21"/>
                <w:szCs w:val="21"/>
                <w:highlight w:val="none"/>
                <w:lang w:val="en-US" w:eastAsia="zh-CN"/>
              </w:rPr>
              <w:t>19</w:t>
            </w:r>
            <w:r>
              <w:rPr>
                <w:rFonts w:hint="eastAsia" w:ascii="宋体" w:hAnsi="宋体" w:eastAsia="宋体" w:cs="宋体"/>
                <w:snapToGrid w:val="0"/>
                <w:color w:val="auto"/>
                <w:sz w:val="21"/>
                <w:szCs w:val="21"/>
                <w:highlight w:val="none"/>
              </w:rPr>
              <w:t>分；</w:t>
            </w:r>
          </w:p>
          <w:p>
            <w:pPr>
              <w:pageBreakBefore w:val="0"/>
              <w:kinsoku/>
              <w:wordWrap/>
              <w:overflowPunct/>
              <w:topLinePunct w:val="0"/>
              <w:autoSpaceDE/>
              <w:autoSpaceDN/>
              <w:bidi w:val="0"/>
              <w:spacing w:line="400" w:lineRule="exact"/>
              <w:textAlignment w:val="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2、有较详细的重难点分析和解决方案，得</w:t>
            </w:r>
            <w:r>
              <w:rPr>
                <w:rFonts w:hint="eastAsia" w:ascii="宋体" w:hAnsi="宋体" w:cs="宋体"/>
                <w:snapToGrid w:val="0"/>
                <w:color w:val="auto"/>
                <w:sz w:val="21"/>
                <w:szCs w:val="21"/>
                <w:highlight w:val="none"/>
                <w:lang w:val="en-US" w:eastAsia="zh-CN"/>
              </w:rPr>
              <w:t>14</w:t>
            </w:r>
            <w:r>
              <w:rPr>
                <w:rFonts w:hint="eastAsia" w:ascii="宋体" w:hAnsi="宋体" w:eastAsia="宋体" w:cs="宋体"/>
                <w:snapToGrid w:val="0"/>
                <w:color w:val="auto"/>
                <w:sz w:val="21"/>
                <w:szCs w:val="21"/>
                <w:highlight w:val="none"/>
              </w:rPr>
              <w:t>分；</w:t>
            </w:r>
          </w:p>
          <w:p>
            <w:pPr>
              <w:pageBreakBefore w:val="0"/>
              <w:kinsoku/>
              <w:wordWrap/>
              <w:overflowPunct/>
              <w:topLinePunct w:val="0"/>
              <w:autoSpaceDE/>
              <w:autoSpaceDN/>
              <w:bidi w:val="0"/>
              <w:spacing w:line="400" w:lineRule="exact"/>
              <w:textAlignment w:val="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3、有基本详细的重难点分析和解决方案，得</w:t>
            </w:r>
            <w:r>
              <w:rPr>
                <w:rFonts w:hint="eastAsia" w:ascii="宋体" w:hAnsi="宋体" w:cs="宋体"/>
                <w:snapToGrid w:val="0"/>
                <w:color w:val="auto"/>
                <w:sz w:val="21"/>
                <w:szCs w:val="21"/>
                <w:highlight w:val="none"/>
                <w:lang w:val="en-US" w:eastAsia="zh-CN"/>
              </w:rPr>
              <w:t>9</w:t>
            </w:r>
            <w:r>
              <w:rPr>
                <w:rFonts w:hint="eastAsia" w:ascii="宋体" w:hAnsi="宋体" w:eastAsia="宋体" w:cs="宋体"/>
                <w:snapToGrid w:val="0"/>
                <w:color w:val="auto"/>
                <w:sz w:val="21"/>
                <w:szCs w:val="21"/>
                <w:highlight w:val="none"/>
              </w:rPr>
              <w:t>分；</w:t>
            </w:r>
          </w:p>
          <w:p>
            <w:pPr>
              <w:pageBreakBefore w:val="0"/>
              <w:kinsoku/>
              <w:wordWrap/>
              <w:overflowPunct/>
              <w:topLinePunct w:val="0"/>
              <w:autoSpaceDE/>
              <w:autoSpaceDN/>
              <w:bidi w:val="0"/>
              <w:spacing w:line="400" w:lineRule="exact"/>
              <w:textAlignment w:val="auto"/>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rPr>
              <w:t>4、重难点分析及解决方案简单或缺少，得</w:t>
            </w:r>
            <w:r>
              <w:rPr>
                <w:rFonts w:hint="eastAsia" w:ascii="宋体" w:hAnsi="宋体" w:cs="宋体"/>
                <w:snapToGrid w:val="0"/>
                <w:color w:val="auto"/>
                <w:sz w:val="21"/>
                <w:szCs w:val="21"/>
                <w:highlight w:val="none"/>
                <w:lang w:val="en-US" w:eastAsia="zh-CN"/>
              </w:rPr>
              <w:t>5</w:t>
            </w:r>
            <w:r>
              <w:rPr>
                <w:rFonts w:hint="eastAsia" w:ascii="宋体" w:hAnsi="宋体" w:eastAsia="宋体" w:cs="宋体"/>
                <w:snapToGrid w:val="0"/>
                <w:color w:val="auto"/>
                <w:sz w:val="21"/>
                <w:szCs w:val="21"/>
                <w:highlight w:val="none"/>
              </w:rPr>
              <w:t>分</w:t>
            </w:r>
            <w:r>
              <w:rPr>
                <w:rFonts w:hint="eastAsia" w:ascii="宋体" w:hAnsi="宋体" w:eastAsia="宋体" w:cs="宋体"/>
                <w:snapToGrid w:val="0"/>
                <w:color w:val="auto"/>
                <w:sz w:val="21"/>
                <w:szCs w:val="21"/>
                <w:highlight w:val="none"/>
                <w:lang w:eastAsia="zh-CN"/>
              </w:rPr>
              <w:t>；</w:t>
            </w:r>
          </w:p>
          <w:p>
            <w:pPr>
              <w:pageBreakBefore w:val="0"/>
              <w:kinsoku/>
              <w:wordWrap/>
              <w:overflowPunct/>
              <w:topLinePunct w:val="0"/>
              <w:autoSpaceDE/>
              <w:autoSpaceDN/>
              <w:bidi w:val="0"/>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5、未提供的不得分。</w:t>
            </w:r>
          </w:p>
        </w:tc>
        <w:tc>
          <w:tcPr>
            <w:tcW w:w="962" w:type="dxa"/>
            <w:vAlign w:val="center"/>
          </w:tcPr>
          <w:p>
            <w:pPr>
              <w:pageBreakBefore w:val="0"/>
              <w:kinsoku/>
              <w:wordWrap/>
              <w:overflowPunct/>
              <w:topLinePunct w:val="0"/>
              <w:autoSpaceDE/>
              <w:autoSpaceDN/>
              <w:bidi w:val="0"/>
              <w:spacing w:line="400" w:lineRule="exact"/>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主观分</w:t>
            </w:r>
          </w:p>
        </w:tc>
        <w:tc>
          <w:tcPr>
            <w:tcW w:w="705" w:type="dxa"/>
            <w:vAlign w:val="center"/>
          </w:tcPr>
          <w:p>
            <w:pPr>
              <w:pageBreakBefore w:val="0"/>
              <w:kinsoku/>
              <w:wordWrap/>
              <w:overflowPunct/>
              <w:topLinePunct w:val="0"/>
              <w:autoSpaceDE/>
              <w:autoSpaceDN/>
              <w:bidi w:val="0"/>
              <w:spacing w:line="40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19</w:t>
            </w:r>
          </w:p>
        </w:tc>
        <w:tc>
          <w:tcPr>
            <w:tcW w:w="1947" w:type="dxa"/>
            <w:vAlign w:val="center"/>
          </w:tcPr>
          <w:p>
            <w:pPr>
              <w:pageBreakBefore w:val="0"/>
              <w:kinsoku/>
              <w:wordWrap/>
              <w:overflowPunct/>
              <w:topLinePunct w:val="0"/>
              <w:autoSpaceDE/>
              <w:autoSpaceDN/>
              <w:bidi w:val="0"/>
              <w:spacing w:line="400" w:lineRule="exact"/>
              <w:jc w:val="center"/>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spacing w:val="-10"/>
                <w:sz w:val="21"/>
                <w:szCs w:val="21"/>
                <w:highlight w:val="none"/>
              </w:rPr>
              <w:t>工程重难点分析及提出的解决方案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835" w:type="dxa"/>
            <w:vMerge w:val="continue"/>
            <w:vAlign w:val="center"/>
          </w:tcPr>
          <w:p>
            <w:pPr>
              <w:pageBreakBefore w:val="0"/>
              <w:numPr>
                <w:ilvl w:val="0"/>
                <w:numId w:val="0"/>
              </w:numPr>
              <w:kinsoku/>
              <w:wordWrap/>
              <w:overflowPunct/>
              <w:topLinePunct w:val="0"/>
              <w:autoSpaceDE/>
              <w:autoSpaceDN/>
              <w:bidi w:val="0"/>
              <w:spacing w:line="400" w:lineRule="exact"/>
              <w:ind w:leftChars="0"/>
              <w:jc w:val="center"/>
              <w:textAlignment w:val="auto"/>
              <w:outlineLvl w:val="0"/>
              <w:rPr>
                <w:rFonts w:hint="eastAsia" w:ascii="宋体" w:hAnsi="宋体" w:eastAsia="宋体" w:cs="宋体"/>
                <w:color w:val="auto"/>
                <w:sz w:val="21"/>
                <w:szCs w:val="21"/>
                <w:highlight w:val="none"/>
              </w:rPr>
            </w:pPr>
            <w:bookmarkStart w:id="433" w:name="_Toc27862"/>
            <w:bookmarkEnd w:id="433"/>
            <w:bookmarkStart w:id="434" w:name="_Toc13857"/>
            <w:bookmarkEnd w:id="434"/>
            <w:bookmarkStart w:id="435" w:name="_Toc26946"/>
            <w:bookmarkEnd w:id="435"/>
          </w:p>
        </w:tc>
        <w:tc>
          <w:tcPr>
            <w:tcW w:w="1018" w:type="dxa"/>
            <w:vMerge w:val="continue"/>
            <w:vAlign w:val="center"/>
          </w:tcPr>
          <w:p>
            <w:pPr>
              <w:pageBreakBefore w:val="0"/>
              <w:kinsoku/>
              <w:wordWrap/>
              <w:overflowPunct/>
              <w:topLinePunct w:val="0"/>
              <w:autoSpaceDE/>
              <w:autoSpaceDN/>
              <w:bidi w:val="0"/>
              <w:spacing w:line="400" w:lineRule="exact"/>
              <w:ind w:right="3" w:rightChars="0"/>
              <w:textAlignment w:val="auto"/>
              <w:rPr>
                <w:rFonts w:hint="eastAsia" w:ascii="宋体" w:hAnsi="宋体" w:eastAsia="宋体" w:cs="宋体"/>
                <w:bCs/>
                <w:color w:val="auto"/>
                <w:spacing w:val="-6"/>
                <w:kern w:val="28"/>
                <w:sz w:val="21"/>
                <w:szCs w:val="21"/>
                <w:highlight w:val="none"/>
                <w:lang w:eastAsia="zh-CN"/>
              </w:rPr>
            </w:pPr>
          </w:p>
        </w:tc>
        <w:tc>
          <w:tcPr>
            <w:tcW w:w="4175" w:type="dxa"/>
            <w:vAlign w:val="center"/>
          </w:tcPr>
          <w:p>
            <w:pPr>
              <w:pageBreakBefore w:val="0"/>
              <w:kinsoku/>
              <w:wordWrap/>
              <w:overflowPunct/>
              <w:topLinePunct w:val="0"/>
              <w:autoSpaceDE/>
              <w:autoSpaceDN/>
              <w:bidi w:val="0"/>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根据</w:t>
            </w:r>
            <w:r>
              <w:rPr>
                <w:rFonts w:hint="eastAsia" w:ascii="宋体" w:hAnsi="宋体" w:cs="宋体"/>
                <w:color w:val="auto"/>
                <w:sz w:val="21"/>
                <w:szCs w:val="21"/>
                <w:highlight w:val="none"/>
                <w:lang w:eastAsia="zh-CN"/>
              </w:rPr>
              <w:t>磋商供应商</w:t>
            </w:r>
            <w:r>
              <w:rPr>
                <w:rFonts w:hint="eastAsia" w:ascii="宋体" w:hAnsi="宋体" w:eastAsia="宋体" w:cs="宋体"/>
                <w:color w:val="auto"/>
                <w:sz w:val="21"/>
                <w:szCs w:val="21"/>
                <w:highlight w:val="none"/>
              </w:rPr>
              <w:t>工程质量保证措施，进行评分</w:t>
            </w:r>
            <w:r>
              <w:rPr>
                <w:rFonts w:hint="eastAsia" w:ascii="宋体" w:hAnsi="宋体" w:eastAsia="宋体" w:cs="宋体"/>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描述全面、科学，</w:t>
            </w:r>
            <w:r>
              <w:rPr>
                <w:rFonts w:hint="eastAsia" w:ascii="宋体" w:hAnsi="宋体" w:eastAsia="宋体" w:cs="宋体"/>
                <w:color w:val="auto"/>
                <w:highlight w:val="none"/>
                <w:lang w:val="en-US" w:eastAsia="zh-CN"/>
              </w:rPr>
              <w:t>具有</w:t>
            </w:r>
            <w:r>
              <w:rPr>
                <w:rFonts w:hint="eastAsia" w:ascii="宋体" w:hAnsi="宋体" w:eastAsia="宋体" w:cs="宋体"/>
                <w:color w:val="auto"/>
                <w:highlight w:val="none"/>
              </w:rPr>
              <w:t>可靠性的，得</w:t>
            </w:r>
            <w:r>
              <w:rPr>
                <w:rFonts w:hint="eastAsia" w:ascii="宋体" w:hAnsi="宋体" w:cs="宋体"/>
                <w:color w:val="auto"/>
                <w:highlight w:val="none"/>
                <w:lang w:val="en-US" w:eastAsia="zh-CN"/>
              </w:rPr>
              <w:t>6</w:t>
            </w:r>
            <w:r>
              <w:rPr>
                <w:rFonts w:hint="eastAsia" w:ascii="宋体" w:hAnsi="宋体" w:eastAsia="宋体" w:cs="宋体"/>
                <w:color w:val="auto"/>
                <w:highlight w:val="none"/>
              </w:rPr>
              <w:t>分；</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描述较为全面、科学，</w:t>
            </w:r>
            <w:r>
              <w:rPr>
                <w:rFonts w:hint="eastAsia" w:ascii="宋体" w:hAnsi="宋体" w:eastAsia="宋体" w:cs="宋体"/>
                <w:color w:val="auto"/>
                <w:highlight w:val="none"/>
                <w:lang w:val="en-US" w:eastAsia="zh-CN"/>
              </w:rPr>
              <w:t>合理</w:t>
            </w:r>
            <w:r>
              <w:rPr>
                <w:rFonts w:hint="eastAsia" w:ascii="宋体" w:hAnsi="宋体" w:eastAsia="宋体" w:cs="宋体"/>
                <w:color w:val="auto"/>
                <w:highlight w:val="none"/>
              </w:rPr>
              <w:t>的，得</w:t>
            </w:r>
            <w:r>
              <w:rPr>
                <w:rFonts w:hint="eastAsia" w:ascii="宋体" w:hAnsi="宋体" w:cs="宋体"/>
                <w:color w:val="auto"/>
                <w:highlight w:val="none"/>
                <w:lang w:val="en-US" w:eastAsia="zh-CN"/>
              </w:rPr>
              <w:t>4.5</w:t>
            </w:r>
            <w:r>
              <w:rPr>
                <w:rFonts w:hint="eastAsia" w:ascii="宋体" w:hAnsi="宋体" w:eastAsia="宋体" w:cs="宋体"/>
                <w:color w:val="auto"/>
                <w:highlight w:val="none"/>
              </w:rPr>
              <w:t>分；</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描述基本全面、科学，</w:t>
            </w:r>
            <w:r>
              <w:rPr>
                <w:rFonts w:hint="eastAsia" w:ascii="宋体" w:hAnsi="宋体" w:eastAsia="宋体" w:cs="宋体"/>
                <w:color w:val="auto"/>
                <w:highlight w:val="none"/>
                <w:lang w:val="en-US" w:eastAsia="zh-CN"/>
              </w:rPr>
              <w:t>存在欠缺</w:t>
            </w:r>
            <w:r>
              <w:rPr>
                <w:rFonts w:hint="eastAsia" w:ascii="宋体" w:hAnsi="宋体" w:eastAsia="宋体" w:cs="宋体"/>
                <w:color w:val="auto"/>
                <w:highlight w:val="none"/>
              </w:rPr>
              <w:t>的，得</w:t>
            </w:r>
            <w:r>
              <w:rPr>
                <w:rFonts w:hint="eastAsia" w:ascii="宋体" w:hAnsi="宋体" w:cs="宋体"/>
                <w:color w:val="auto"/>
                <w:highlight w:val="none"/>
                <w:lang w:val="en-US" w:eastAsia="zh-CN"/>
              </w:rPr>
              <w:t>3</w:t>
            </w:r>
            <w:r>
              <w:rPr>
                <w:rFonts w:hint="eastAsia" w:ascii="宋体" w:hAnsi="宋体" w:eastAsia="宋体" w:cs="宋体"/>
                <w:color w:val="auto"/>
                <w:highlight w:val="none"/>
              </w:rPr>
              <w:t>分；</w:t>
            </w:r>
          </w:p>
          <w:p>
            <w:pPr>
              <w:pageBreakBefore w:val="0"/>
              <w:kinsoku/>
              <w:wordWrap/>
              <w:overflowPunct/>
              <w:topLinePunct w:val="0"/>
              <w:autoSpaceDE/>
              <w:autoSpaceDN/>
              <w:bidi w:val="0"/>
              <w:spacing w:line="400" w:lineRule="exact"/>
              <w:textAlignment w:val="auto"/>
              <w:outlineLvl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4、描述简单或存在缺漏的，得</w:t>
            </w:r>
            <w:r>
              <w:rPr>
                <w:rFonts w:hint="eastAsia" w:ascii="宋体" w:hAnsi="宋体" w:cs="宋体"/>
                <w:color w:val="auto"/>
                <w:highlight w:val="none"/>
                <w:lang w:val="en-US" w:eastAsia="zh-CN"/>
              </w:rPr>
              <w:t>1.5</w:t>
            </w:r>
            <w:r>
              <w:rPr>
                <w:rFonts w:hint="eastAsia" w:ascii="宋体" w:hAnsi="宋体" w:eastAsia="宋体" w:cs="宋体"/>
                <w:color w:val="auto"/>
                <w:highlight w:val="none"/>
                <w:lang w:val="en-US" w:eastAsia="zh-CN"/>
              </w:rPr>
              <w:t>分；</w:t>
            </w:r>
          </w:p>
          <w:p>
            <w:pPr>
              <w:pageBreakBefore w:val="0"/>
              <w:kinsoku/>
              <w:wordWrap/>
              <w:overflowPunct/>
              <w:topLinePunct w:val="0"/>
              <w:autoSpaceDE/>
              <w:autoSpaceDN/>
              <w:bidi w:val="0"/>
              <w:spacing w:line="400" w:lineRule="exact"/>
              <w:ind w:right="3" w:rightChars="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5、未提供的不得分</w:t>
            </w:r>
            <w:r>
              <w:rPr>
                <w:rFonts w:hint="eastAsia" w:ascii="宋体" w:hAnsi="宋体" w:cs="宋体"/>
                <w:color w:val="auto"/>
                <w:highlight w:val="none"/>
                <w:lang w:val="en-US" w:eastAsia="zh-CN"/>
              </w:rPr>
              <w:t>。</w:t>
            </w:r>
          </w:p>
        </w:tc>
        <w:tc>
          <w:tcPr>
            <w:tcW w:w="962" w:type="dxa"/>
            <w:vAlign w:val="center"/>
          </w:tcPr>
          <w:p>
            <w:pPr>
              <w:pageBreakBefore w:val="0"/>
              <w:kinsoku/>
              <w:wordWrap/>
              <w:overflowPunct/>
              <w:topLinePunct w:val="0"/>
              <w:autoSpaceDE/>
              <w:autoSpaceDN/>
              <w:bidi w:val="0"/>
              <w:spacing w:line="400" w:lineRule="exact"/>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主观分</w:t>
            </w:r>
          </w:p>
        </w:tc>
        <w:tc>
          <w:tcPr>
            <w:tcW w:w="705" w:type="dxa"/>
            <w:vAlign w:val="center"/>
          </w:tcPr>
          <w:p>
            <w:pPr>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947" w:type="dxa"/>
            <w:vAlign w:val="center"/>
          </w:tcPr>
          <w:p>
            <w:pPr>
              <w:pageBreakBefore w:val="0"/>
              <w:kinsoku/>
              <w:wordWrap/>
              <w:overflowPunct/>
              <w:topLinePunct w:val="0"/>
              <w:autoSpaceDE/>
              <w:autoSpaceDN/>
              <w:bidi w:val="0"/>
              <w:spacing w:line="400" w:lineRule="exact"/>
              <w:jc w:val="center"/>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质量保证措施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835" w:type="dxa"/>
            <w:vMerge w:val="continue"/>
            <w:vAlign w:val="center"/>
          </w:tcPr>
          <w:p>
            <w:pPr>
              <w:pageBreakBefore w:val="0"/>
              <w:numPr>
                <w:ilvl w:val="0"/>
                <w:numId w:val="0"/>
              </w:numPr>
              <w:kinsoku/>
              <w:wordWrap/>
              <w:overflowPunct/>
              <w:topLinePunct w:val="0"/>
              <w:autoSpaceDE/>
              <w:autoSpaceDN/>
              <w:bidi w:val="0"/>
              <w:spacing w:line="400" w:lineRule="exact"/>
              <w:ind w:leftChars="0"/>
              <w:jc w:val="center"/>
              <w:textAlignment w:val="auto"/>
              <w:outlineLvl w:val="0"/>
              <w:rPr>
                <w:rFonts w:hint="eastAsia" w:ascii="宋体" w:hAnsi="宋体" w:eastAsia="宋体" w:cs="宋体"/>
                <w:color w:val="auto"/>
                <w:sz w:val="21"/>
                <w:szCs w:val="21"/>
                <w:highlight w:val="none"/>
              </w:rPr>
            </w:pPr>
            <w:bookmarkStart w:id="436" w:name="_Toc21785"/>
            <w:bookmarkEnd w:id="436"/>
            <w:bookmarkStart w:id="437" w:name="_Toc18672"/>
            <w:bookmarkEnd w:id="437"/>
            <w:bookmarkStart w:id="438" w:name="_Toc15340"/>
            <w:bookmarkEnd w:id="438"/>
          </w:p>
        </w:tc>
        <w:tc>
          <w:tcPr>
            <w:tcW w:w="1018" w:type="dxa"/>
            <w:vMerge w:val="continue"/>
            <w:vAlign w:val="center"/>
          </w:tcPr>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bCs/>
                <w:color w:val="auto"/>
                <w:spacing w:val="-6"/>
                <w:kern w:val="28"/>
                <w:sz w:val="21"/>
                <w:szCs w:val="21"/>
                <w:highlight w:val="none"/>
                <w:lang w:eastAsia="zh-CN"/>
              </w:rPr>
            </w:pPr>
          </w:p>
        </w:tc>
        <w:tc>
          <w:tcPr>
            <w:tcW w:w="4175" w:type="dxa"/>
            <w:vAlign w:val="center"/>
          </w:tcPr>
          <w:p>
            <w:pPr>
              <w:pageBreakBefore w:val="0"/>
              <w:kinsoku/>
              <w:wordWrap/>
              <w:overflowPunct/>
              <w:topLinePunct w:val="0"/>
              <w:autoSpaceDE/>
              <w:autoSpaceDN/>
              <w:bidi w:val="0"/>
              <w:spacing w:line="400" w:lineRule="exact"/>
              <w:textAlignment w:val="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根据磋商供应商生产施工应急措施的描述</w:t>
            </w:r>
            <w:r>
              <w:rPr>
                <w:rFonts w:hint="eastAsia" w:ascii="宋体" w:hAnsi="宋体" w:eastAsia="宋体" w:cs="宋体"/>
                <w:color w:val="auto"/>
                <w:sz w:val="21"/>
                <w:szCs w:val="21"/>
                <w:highlight w:val="none"/>
              </w:rPr>
              <w:t>，进行评分</w:t>
            </w:r>
            <w:r>
              <w:rPr>
                <w:rFonts w:hint="eastAsia" w:ascii="宋体" w:hAnsi="宋体" w:eastAsia="宋体" w:cs="宋体"/>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描述全面、科学，</w:t>
            </w:r>
            <w:r>
              <w:rPr>
                <w:rFonts w:hint="eastAsia" w:ascii="宋体" w:hAnsi="宋体" w:eastAsia="宋体" w:cs="宋体"/>
                <w:color w:val="auto"/>
                <w:highlight w:val="none"/>
                <w:lang w:val="en-US" w:eastAsia="zh-CN"/>
              </w:rPr>
              <w:t>具有</w:t>
            </w:r>
            <w:r>
              <w:rPr>
                <w:rFonts w:hint="eastAsia" w:ascii="宋体" w:hAnsi="宋体" w:eastAsia="宋体" w:cs="宋体"/>
                <w:color w:val="auto"/>
                <w:highlight w:val="none"/>
              </w:rPr>
              <w:t>可靠性的，得</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分；</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描述较为全面、科学，</w:t>
            </w:r>
            <w:r>
              <w:rPr>
                <w:rFonts w:hint="eastAsia" w:ascii="宋体" w:hAnsi="宋体" w:eastAsia="宋体" w:cs="宋体"/>
                <w:color w:val="auto"/>
                <w:highlight w:val="none"/>
                <w:lang w:val="en-US" w:eastAsia="zh-CN"/>
              </w:rPr>
              <w:t>合理</w:t>
            </w:r>
            <w:r>
              <w:rPr>
                <w:rFonts w:hint="eastAsia" w:ascii="宋体" w:hAnsi="宋体" w:eastAsia="宋体" w:cs="宋体"/>
                <w:color w:val="auto"/>
                <w:highlight w:val="none"/>
              </w:rPr>
              <w:t>的，得</w:t>
            </w:r>
            <w:r>
              <w:rPr>
                <w:rFonts w:hint="eastAsia" w:ascii="宋体" w:hAnsi="宋体" w:cs="宋体"/>
                <w:color w:val="auto"/>
                <w:highlight w:val="none"/>
                <w:lang w:val="en-US" w:eastAsia="zh-CN"/>
              </w:rPr>
              <w:t>4.5</w:t>
            </w:r>
            <w:r>
              <w:rPr>
                <w:rFonts w:hint="eastAsia" w:ascii="宋体" w:hAnsi="宋体" w:eastAsia="宋体" w:cs="宋体"/>
                <w:color w:val="auto"/>
                <w:highlight w:val="none"/>
              </w:rPr>
              <w:t>分；</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描述基本全面、科学，</w:t>
            </w:r>
            <w:r>
              <w:rPr>
                <w:rFonts w:hint="eastAsia" w:ascii="宋体" w:hAnsi="宋体" w:eastAsia="宋体" w:cs="宋体"/>
                <w:color w:val="auto"/>
                <w:highlight w:val="none"/>
                <w:lang w:val="en-US" w:eastAsia="zh-CN"/>
              </w:rPr>
              <w:t>存在欠缺</w:t>
            </w:r>
            <w:r>
              <w:rPr>
                <w:rFonts w:hint="eastAsia" w:ascii="宋体" w:hAnsi="宋体" w:eastAsia="宋体" w:cs="宋体"/>
                <w:color w:val="auto"/>
                <w:highlight w:val="none"/>
              </w:rPr>
              <w:t>的，得</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分；</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4、描述简单或存在缺漏的，得</w:t>
            </w:r>
            <w:r>
              <w:rPr>
                <w:rFonts w:hint="eastAsia" w:ascii="宋体" w:hAnsi="宋体" w:cs="宋体"/>
                <w:color w:val="auto"/>
                <w:highlight w:val="none"/>
                <w:lang w:val="en-US" w:eastAsia="zh-CN"/>
              </w:rPr>
              <w:t>1.5</w:t>
            </w:r>
            <w:r>
              <w:rPr>
                <w:rFonts w:hint="eastAsia" w:ascii="宋体" w:hAnsi="宋体" w:eastAsia="宋体" w:cs="宋体"/>
                <w:color w:val="auto"/>
                <w:highlight w:val="none"/>
                <w:lang w:val="en-US" w:eastAsia="zh-CN"/>
              </w:rPr>
              <w:t>分；</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5、未提供的不得分。</w:t>
            </w:r>
          </w:p>
        </w:tc>
        <w:tc>
          <w:tcPr>
            <w:tcW w:w="962" w:type="dxa"/>
            <w:vAlign w:val="center"/>
          </w:tcPr>
          <w:p>
            <w:pPr>
              <w:pageBreakBefore w:val="0"/>
              <w:kinsoku/>
              <w:wordWrap/>
              <w:overflowPunct/>
              <w:topLinePunct w:val="0"/>
              <w:autoSpaceDE/>
              <w:autoSpaceDN/>
              <w:bidi w:val="0"/>
              <w:spacing w:line="400" w:lineRule="exact"/>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主观分</w:t>
            </w:r>
          </w:p>
        </w:tc>
        <w:tc>
          <w:tcPr>
            <w:tcW w:w="705" w:type="dxa"/>
            <w:vAlign w:val="center"/>
          </w:tcPr>
          <w:p>
            <w:pPr>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947" w:type="dxa"/>
            <w:vAlign w:val="center"/>
          </w:tcPr>
          <w:p>
            <w:pPr>
              <w:pageBreakBefore w:val="0"/>
              <w:kinsoku/>
              <w:wordWrap/>
              <w:overflowPunct/>
              <w:topLinePunct w:val="0"/>
              <w:autoSpaceDE/>
              <w:autoSpaceDN/>
              <w:bidi w:val="0"/>
              <w:spacing w:line="400" w:lineRule="exact"/>
              <w:jc w:val="center"/>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sz w:val="21"/>
                <w:szCs w:val="21"/>
                <w:highlight w:val="none"/>
              </w:rPr>
              <w:t>生产施工应急措施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35" w:type="dxa"/>
            <w:vMerge w:val="continue"/>
            <w:vAlign w:val="center"/>
          </w:tcPr>
          <w:p>
            <w:pPr>
              <w:pageBreakBefore w:val="0"/>
              <w:kinsoku/>
              <w:wordWrap/>
              <w:overflowPunct/>
              <w:topLinePunct w:val="0"/>
              <w:autoSpaceDE/>
              <w:autoSpaceDN/>
              <w:bidi w:val="0"/>
              <w:spacing w:line="400" w:lineRule="exact"/>
              <w:ind w:left="425" w:leftChars="0" w:hanging="425" w:firstLineChars="0"/>
              <w:jc w:val="center"/>
              <w:textAlignment w:val="auto"/>
              <w:outlineLvl w:val="0"/>
              <w:rPr>
                <w:rFonts w:hint="eastAsia" w:ascii="宋体" w:hAnsi="宋体" w:eastAsia="宋体" w:cs="宋体"/>
                <w:color w:val="auto"/>
                <w:sz w:val="21"/>
                <w:szCs w:val="21"/>
                <w:highlight w:val="none"/>
              </w:rPr>
            </w:pPr>
            <w:bookmarkStart w:id="439" w:name="_Toc10499"/>
            <w:bookmarkEnd w:id="439"/>
            <w:bookmarkStart w:id="440" w:name="_Toc12729"/>
            <w:bookmarkEnd w:id="440"/>
          </w:p>
        </w:tc>
        <w:tc>
          <w:tcPr>
            <w:tcW w:w="1018" w:type="dxa"/>
            <w:vMerge w:val="continue"/>
            <w:vAlign w:val="center"/>
          </w:tcPr>
          <w:p>
            <w:pPr>
              <w:pageBreakBefore w:val="0"/>
              <w:tabs>
                <w:tab w:val="left" w:pos="1462"/>
              </w:tabs>
              <w:kinsoku/>
              <w:wordWrap/>
              <w:overflowPunct/>
              <w:topLinePunct w:val="0"/>
              <w:autoSpaceDE/>
              <w:autoSpaceDN/>
              <w:bidi w:val="0"/>
              <w:spacing w:line="400" w:lineRule="exact"/>
              <w:textAlignment w:val="auto"/>
              <w:rPr>
                <w:rFonts w:hint="eastAsia" w:ascii="宋体" w:hAnsi="宋体" w:eastAsia="宋体" w:cs="宋体"/>
                <w:bCs/>
                <w:color w:val="auto"/>
                <w:spacing w:val="-6"/>
                <w:kern w:val="28"/>
                <w:sz w:val="21"/>
                <w:szCs w:val="21"/>
                <w:highlight w:val="none"/>
                <w:lang w:eastAsia="zh-CN"/>
              </w:rPr>
            </w:pPr>
          </w:p>
        </w:tc>
        <w:tc>
          <w:tcPr>
            <w:tcW w:w="4175" w:type="dxa"/>
            <w:vAlign w:val="center"/>
          </w:tcPr>
          <w:p>
            <w:pPr>
              <w:pageBreakBefore w:val="0"/>
              <w:kinsoku/>
              <w:wordWrap/>
              <w:overflowPunct/>
              <w:topLinePunct w:val="0"/>
              <w:autoSpaceDE/>
              <w:autoSpaceDN/>
              <w:bidi w:val="0"/>
              <w:spacing w:line="400" w:lineRule="exact"/>
              <w:textAlignment w:val="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根据磋商供应商安全文明施工保证措施的描述</w:t>
            </w:r>
            <w:r>
              <w:rPr>
                <w:rFonts w:hint="eastAsia" w:ascii="宋体" w:hAnsi="宋体" w:eastAsia="宋体" w:cs="宋体"/>
                <w:color w:val="auto"/>
                <w:sz w:val="21"/>
                <w:szCs w:val="21"/>
                <w:highlight w:val="none"/>
              </w:rPr>
              <w:t>，进行评分</w:t>
            </w:r>
            <w:r>
              <w:rPr>
                <w:rFonts w:hint="eastAsia" w:ascii="宋体" w:hAnsi="宋体" w:eastAsia="宋体" w:cs="宋体"/>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描述全面、科学，</w:t>
            </w:r>
            <w:r>
              <w:rPr>
                <w:rFonts w:hint="eastAsia" w:ascii="宋体" w:hAnsi="宋体" w:eastAsia="宋体" w:cs="宋体"/>
                <w:color w:val="auto"/>
                <w:highlight w:val="none"/>
                <w:lang w:val="en-US" w:eastAsia="zh-CN"/>
              </w:rPr>
              <w:t>具有</w:t>
            </w:r>
            <w:r>
              <w:rPr>
                <w:rFonts w:hint="eastAsia" w:ascii="宋体" w:hAnsi="宋体" w:eastAsia="宋体" w:cs="宋体"/>
                <w:color w:val="auto"/>
                <w:highlight w:val="none"/>
              </w:rPr>
              <w:t>可靠性的，得</w:t>
            </w:r>
            <w:r>
              <w:rPr>
                <w:rFonts w:hint="eastAsia" w:ascii="宋体" w:hAnsi="宋体" w:cs="宋体"/>
                <w:color w:val="auto"/>
                <w:highlight w:val="none"/>
                <w:lang w:val="en-US" w:eastAsia="zh-CN"/>
              </w:rPr>
              <w:t>12</w:t>
            </w:r>
            <w:r>
              <w:rPr>
                <w:rFonts w:hint="eastAsia" w:ascii="宋体" w:hAnsi="宋体" w:eastAsia="宋体" w:cs="宋体"/>
                <w:color w:val="auto"/>
                <w:highlight w:val="none"/>
              </w:rPr>
              <w:t>分；</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描述较为全面、科学，</w:t>
            </w:r>
            <w:r>
              <w:rPr>
                <w:rFonts w:hint="eastAsia" w:ascii="宋体" w:hAnsi="宋体" w:eastAsia="宋体" w:cs="宋体"/>
                <w:color w:val="auto"/>
                <w:highlight w:val="none"/>
                <w:lang w:val="en-US" w:eastAsia="zh-CN"/>
              </w:rPr>
              <w:t>合理</w:t>
            </w:r>
            <w:r>
              <w:rPr>
                <w:rFonts w:hint="eastAsia" w:ascii="宋体" w:hAnsi="宋体" w:eastAsia="宋体" w:cs="宋体"/>
                <w:color w:val="auto"/>
                <w:highlight w:val="none"/>
              </w:rPr>
              <w:t>的，得</w:t>
            </w:r>
            <w:r>
              <w:rPr>
                <w:rFonts w:hint="eastAsia" w:ascii="宋体" w:hAnsi="宋体" w:cs="宋体"/>
                <w:color w:val="auto"/>
                <w:highlight w:val="none"/>
                <w:lang w:val="en-US" w:eastAsia="zh-CN"/>
              </w:rPr>
              <w:t>8</w:t>
            </w:r>
            <w:r>
              <w:rPr>
                <w:rFonts w:hint="eastAsia" w:ascii="宋体" w:hAnsi="宋体" w:eastAsia="宋体" w:cs="宋体"/>
                <w:color w:val="auto"/>
                <w:highlight w:val="none"/>
              </w:rPr>
              <w:t>分；</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描述基本全面、科学，</w:t>
            </w:r>
            <w:r>
              <w:rPr>
                <w:rFonts w:hint="eastAsia" w:ascii="宋体" w:hAnsi="宋体" w:eastAsia="宋体" w:cs="宋体"/>
                <w:color w:val="auto"/>
                <w:highlight w:val="none"/>
                <w:lang w:val="en-US" w:eastAsia="zh-CN"/>
              </w:rPr>
              <w:t>存在欠缺</w:t>
            </w:r>
            <w:r>
              <w:rPr>
                <w:rFonts w:hint="eastAsia" w:ascii="宋体" w:hAnsi="宋体" w:eastAsia="宋体" w:cs="宋体"/>
                <w:color w:val="auto"/>
                <w:highlight w:val="none"/>
              </w:rPr>
              <w:t>的，得</w:t>
            </w:r>
            <w:r>
              <w:rPr>
                <w:rFonts w:hint="eastAsia" w:ascii="宋体" w:hAnsi="宋体" w:cs="宋体"/>
                <w:color w:val="auto"/>
                <w:highlight w:val="none"/>
                <w:lang w:val="en-US" w:eastAsia="zh-CN"/>
              </w:rPr>
              <w:t>4</w:t>
            </w:r>
            <w:r>
              <w:rPr>
                <w:rFonts w:hint="eastAsia" w:ascii="宋体" w:hAnsi="宋体" w:eastAsia="宋体" w:cs="宋体"/>
                <w:color w:val="auto"/>
                <w:highlight w:val="none"/>
              </w:rPr>
              <w:t>分；</w:t>
            </w:r>
          </w:p>
          <w:p>
            <w:pPr>
              <w:pageBreakBefore w:val="0"/>
              <w:kinsoku/>
              <w:wordWrap/>
              <w:overflowPunct/>
              <w:topLinePunct w:val="0"/>
              <w:autoSpaceDE/>
              <w:autoSpaceDN/>
              <w:bidi w:val="0"/>
              <w:spacing w:line="400" w:lineRule="exact"/>
              <w:textAlignment w:val="auto"/>
              <w:outlineLvl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4、描述简单或存在缺漏的，得</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w:t>
            </w:r>
          </w:p>
          <w:p>
            <w:pPr>
              <w:pageBreakBefore w:val="0"/>
              <w:tabs>
                <w:tab w:val="left" w:pos="1462"/>
              </w:tabs>
              <w:kinsoku/>
              <w:wordWrap/>
              <w:overflowPunct/>
              <w:topLinePunct w:val="0"/>
              <w:autoSpaceDE/>
              <w:autoSpaceDN/>
              <w:bidi w:val="0"/>
              <w:spacing w:line="40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5、未提供的不得分。</w:t>
            </w:r>
          </w:p>
        </w:tc>
        <w:tc>
          <w:tcPr>
            <w:tcW w:w="962" w:type="dxa"/>
            <w:vAlign w:val="center"/>
          </w:tcPr>
          <w:p>
            <w:pPr>
              <w:pageBreakBefore w:val="0"/>
              <w:kinsoku/>
              <w:wordWrap/>
              <w:overflowPunct/>
              <w:topLinePunct w:val="0"/>
              <w:autoSpaceDE/>
              <w:autoSpaceDN/>
              <w:bidi w:val="0"/>
              <w:spacing w:line="400" w:lineRule="exact"/>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主观分</w:t>
            </w:r>
          </w:p>
        </w:tc>
        <w:tc>
          <w:tcPr>
            <w:tcW w:w="705" w:type="dxa"/>
            <w:vAlign w:val="center"/>
          </w:tcPr>
          <w:p>
            <w:pPr>
              <w:pageBreakBefore w:val="0"/>
              <w:kinsoku/>
              <w:wordWrap/>
              <w:overflowPunct/>
              <w:topLinePunct w:val="0"/>
              <w:autoSpaceDE/>
              <w:autoSpaceDN/>
              <w:bidi w:val="0"/>
              <w:spacing w:line="40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1947" w:type="dxa"/>
            <w:vAlign w:val="center"/>
          </w:tcPr>
          <w:p>
            <w:pPr>
              <w:pageBreakBefore w:val="0"/>
              <w:kinsoku/>
              <w:wordWrap/>
              <w:overflowPunct/>
              <w:topLinePunct w:val="0"/>
              <w:autoSpaceDE/>
              <w:autoSpaceDN/>
              <w:bidi w:val="0"/>
              <w:spacing w:line="400" w:lineRule="exact"/>
              <w:jc w:val="center"/>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sz w:val="21"/>
                <w:szCs w:val="21"/>
                <w:highlight w:val="none"/>
              </w:rPr>
              <w:t>安全文明施工保证措施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835" w:type="dxa"/>
            <w:vAlign w:val="center"/>
          </w:tcPr>
          <w:p>
            <w:pPr>
              <w:pageBreakBefore w:val="0"/>
              <w:numPr>
                <w:ilvl w:val="0"/>
                <w:numId w:val="0"/>
              </w:numPr>
              <w:kinsoku/>
              <w:wordWrap/>
              <w:overflowPunct/>
              <w:topLinePunct w:val="0"/>
              <w:autoSpaceDE/>
              <w:autoSpaceDN/>
              <w:bidi w:val="0"/>
              <w:spacing w:line="400" w:lineRule="exact"/>
              <w:ind w:leftChars="0"/>
              <w:jc w:val="center"/>
              <w:textAlignment w:val="auto"/>
              <w:outlineLvl w:val="0"/>
              <w:rPr>
                <w:rFonts w:hint="default" w:ascii="宋体" w:hAnsi="宋体" w:eastAsia="宋体" w:cs="宋体"/>
                <w:color w:val="auto"/>
                <w:sz w:val="21"/>
                <w:szCs w:val="21"/>
                <w:highlight w:val="none"/>
                <w:lang w:val="en-US" w:eastAsia="zh-CN"/>
              </w:rPr>
            </w:pPr>
            <w:bookmarkStart w:id="441" w:name="_Toc11574"/>
            <w:bookmarkEnd w:id="441"/>
            <w:bookmarkStart w:id="442" w:name="_Toc32714"/>
            <w:bookmarkEnd w:id="442"/>
            <w:bookmarkStart w:id="443" w:name="_Toc6354"/>
            <w:bookmarkEnd w:id="443"/>
            <w:bookmarkStart w:id="444" w:name="_Toc23324"/>
            <w:bookmarkEnd w:id="444"/>
            <w:bookmarkStart w:id="445" w:name="_Toc11540"/>
            <w:bookmarkEnd w:id="445"/>
            <w:bookmarkStart w:id="446" w:name="_Toc26382"/>
            <w:bookmarkEnd w:id="446"/>
            <w:r>
              <w:rPr>
                <w:rFonts w:hint="eastAsia" w:ascii="宋体" w:hAnsi="宋体" w:cs="宋体"/>
                <w:color w:val="auto"/>
                <w:sz w:val="21"/>
                <w:szCs w:val="21"/>
                <w:highlight w:val="none"/>
                <w:lang w:val="en-US" w:eastAsia="zh-CN"/>
              </w:rPr>
              <w:t>4.</w:t>
            </w:r>
          </w:p>
        </w:tc>
        <w:tc>
          <w:tcPr>
            <w:tcW w:w="5193" w:type="dxa"/>
            <w:gridSpan w:val="2"/>
            <w:vAlign w:val="center"/>
          </w:tcPr>
          <w:p>
            <w:pPr>
              <w:pStyle w:val="38"/>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根据磋商供应商提供售后服务承诺的范围和完善程度（包括保修部件范围，保修服务标准，故障响应修复时间方式及保障措施）等售后服务情况</w:t>
            </w:r>
            <w:r>
              <w:rPr>
                <w:rFonts w:hint="eastAsia" w:ascii="宋体" w:hAnsi="宋体" w:eastAsia="宋体" w:cs="宋体"/>
                <w:color w:val="auto"/>
                <w:sz w:val="21"/>
                <w:szCs w:val="21"/>
                <w:highlight w:val="none"/>
              </w:rPr>
              <w:t>，进行评分</w:t>
            </w:r>
            <w:r>
              <w:rPr>
                <w:rFonts w:hint="eastAsia" w:ascii="宋体" w:hAnsi="宋体" w:eastAsia="宋体" w:cs="宋体"/>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描述全面、科学，</w:t>
            </w:r>
            <w:r>
              <w:rPr>
                <w:rFonts w:hint="eastAsia" w:ascii="宋体" w:hAnsi="宋体" w:eastAsia="宋体" w:cs="宋体"/>
                <w:color w:val="auto"/>
                <w:highlight w:val="none"/>
                <w:lang w:val="en-US" w:eastAsia="zh-CN"/>
              </w:rPr>
              <w:t>具有</w:t>
            </w:r>
            <w:r>
              <w:rPr>
                <w:rFonts w:hint="eastAsia" w:ascii="宋体" w:hAnsi="宋体" w:eastAsia="宋体" w:cs="宋体"/>
                <w:color w:val="auto"/>
                <w:highlight w:val="none"/>
              </w:rPr>
              <w:t>可靠性的，得</w:t>
            </w:r>
            <w:r>
              <w:rPr>
                <w:rFonts w:hint="eastAsia" w:ascii="宋体" w:hAnsi="宋体" w:cs="宋体"/>
                <w:color w:val="auto"/>
                <w:highlight w:val="none"/>
                <w:lang w:val="en-US" w:eastAsia="zh-CN"/>
              </w:rPr>
              <w:t>5</w:t>
            </w:r>
            <w:r>
              <w:rPr>
                <w:rFonts w:hint="eastAsia" w:ascii="宋体" w:hAnsi="宋体" w:eastAsia="宋体" w:cs="宋体"/>
                <w:color w:val="auto"/>
                <w:highlight w:val="none"/>
              </w:rPr>
              <w:t>分；</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描述较为全面、科学，</w:t>
            </w:r>
            <w:r>
              <w:rPr>
                <w:rFonts w:hint="eastAsia" w:ascii="宋体" w:hAnsi="宋体" w:eastAsia="宋体" w:cs="宋体"/>
                <w:color w:val="auto"/>
                <w:highlight w:val="none"/>
                <w:lang w:val="en-US" w:eastAsia="zh-CN"/>
              </w:rPr>
              <w:t>合理</w:t>
            </w:r>
            <w:r>
              <w:rPr>
                <w:rFonts w:hint="eastAsia" w:ascii="宋体" w:hAnsi="宋体" w:eastAsia="宋体" w:cs="宋体"/>
                <w:color w:val="auto"/>
                <w:highlight w:val="none"/>
              </w:rPr>
              <w:t>的，得</w:t>
            </w:r>
            <w:r>
              <w:rPr>
                <w:rFonts w:hint="eastAsia" w:ascii="宋体" w:hAnsi="宋体" w:cs="宋体"/>
                <w:color w:val="auto"/>
                <w:highlight w:val="none"/>
                <w:lang w:val="en-US" w:eastAsia="zh-CN"/>
              </w:rPr>
              <w:t>3</w:t>
            </w:r>
            <w:r>
              <w:rPr>
                <w:rFonts w:hint="eastAsia" w:ascii="宋体" w:hAnsi="宋体" w:eastAsia="宋体" w:cs="宋体"/>
                <w:color w:val="auto"/>
                <w:highlight w:val="none"/>
              </w:rPr>
              <w:t>分；</w:t>
            </w:r>
          </w:p>
          <w:p>
            <w:pPr>
              <w:keepNext w:val="0"/>
              <w:keepLines w:val="0"/>
              <w:pageBreakBefore w:val="0"/>
              <w:kinsoku/>
              <w:wordWrap/>
              <w:overflowPunct/>
              <w:topLinePunct w:val="0"/>
              <w:autoSpaceDE/>
              <w:autoSpaceDN/>
              <w:bidi w:val="0"/>
              <w:adjustRightInd/>
              <w:snapToGrid/>
              <w:spacing w:line="400" w:lineRule="exact"/>
              <w:ind w:right="3"/>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描述基本全面、科学，</w:t>
            </w:r>
            <w:r>
              <w:rPr>
                <w:rFonts w:hint="eastAsia" w:ascii="宋体" w:hAnsi="宋体" w:eastAsia="宋体" w:cs="宋体"/>
                <w:color w:val="auto"/>
                <w:highlight w:val="none"/>
                <w:lang w:val="en-US" w:eastAsia="zh-CN"/>
              </w:rPr>
              <w:t>存在欠缺</w:t>
            </w:r>
            <w:r>
              <w:rPr>
                <w:rFonts w:hint="eastAsia" w:ascii="宋体" w:hAnsi="宋体" w:eastAsia="宋体" w:cs="宋体"/>
                <w:color w:val="auto"/>
                <w:highlight w:val="none"/>
              </w:rPr>
              <w:t>的，得</w:t>
            </w:r>
            <w:r>
              <w:rPr>
                <w:rFonts w:hint="eastAsia" w:ascii="宋体" w:hAnsi="宋体" w:cs="宋体"/>
                <w:color w:val="auto"/>
                <w:highlight w:val="none"/>
                <w:lang w:val="en-US" w:eastAsia="zh-CN"/>
              </w:rPr>
              <w:t>2</w:t>
            </w:r>
            <w:r>
              <w:rPr>
                <w:rFonts w:hint="eastAsia" w:ascii="宋体" w:hAnsi="宋体" w:eastAsia="宋体" w:cs="宋体"/>
                <w:color w:val="auto"/>
                <w:highlight w:val="none"/>
              </w:rPr>
              <w:t>分；</w:t>
            </w:r>
          </w:p>
          <w:p>
            <w:pPr>
              <w:pageBreakBefore w:val="0"/>
              <w:kinsoku/>
              <w:wordWrap/>
              <w:overflowPunct/>
              <w:topLinePunct w:val="0"/>
              <w:autoSpaceDE/>
              <w:autoSpaceDN/>
              <w:bidi w:val="0"/>
              <w:spacing w:line="400" w:lineRule="exact"/>
              <w:textAlignment w:val="auto"/>
              <w:outlineLvl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4、描述简单或存在缺漏的，得</w:t>
            </w:r>
            <w:r>
              <w:rPr>
                <w:rFonts w:hint="eastAsia" w:ascii="宋体" w:hAnsi="宋体" w:cs="宋体"/>
                <w:color w:val="auto"/>
                <w:highlight w:val="none"/>
                <w:lang w:val="en-US" w:eastAsia="zh-CN"/>
              </w:rPr>
              <w:t>1</w:t>
            </w:r>
            <w:r>
              <w:rPr>
                <w:rFonts w:hint="eastAsia" w:ascii="宋体" w:hAnsi="宋体" w:eastAsia="宋体" w:cs="宋体"/>
                <w:color w:val="auto"/>
                <w:highlight w:val="none"/>
                <w:lang w:val="en-US" w:eastAsia="zh-CN"/>
              </w:rPr>
              <w:t>分；</w:t>
            </w:r>
          </w:p>
          <w:p>
            <w:pPr>
              <w:pageBreakBefore w:val="0"/>
              <w:kinsoku/>
              <w:wordWrap/>
              <w:overflowPunct/>
              <w:topLinePunct w:val="0"/>
              <w:autoSpaceDE/>
              <w:autoSpaceDN/>
              <w:bidi w:val="0"/>
              <w:spacing w:line="400" w:lineRule="exact"/>
              <w:ind w:right="3" w:rightChars="0"/>
              <w:textAlignment w:val="auto"/>
              <w:rPr>
                <w:rFonts w:hint="eastAsia" w:ascii="宋体" w:hAnsi="宋体" w:eastAsia="宋体" w:cs="宋体"/>
                <w:bCs/>
                <w:color w:val="auto"/>
                <w:spacing w:val="-6"/>
                <w:kern w:val="28"/>
                <w:sz w:val="21"/>
                <w:szCs w:val="21"/>
                <w:highlight w:val="none"/>
                <w:lang w:eastAsia="zh-CN"/>
              </w:rPr>
            </w:pPr>
            <w:r>
              <w:rPr>
                <w:rFonts w:hint="eastAsia" w:ascii="宋体" w:hAnsi="宋体" w:eastAsia="宋体" w:cs="宋体"/>
                <w:color w:val="auto"/>
                <w:highlight w:val="none"/>
                <w:lang w:val="en-US" w:eastAsia="zh-CN"/>
              </w:rPr>
              <w:t>5、未提供的不得分。</w:t>
            </w:r>
          </w:p>
        </w:tc>
        <w:tc>
          <w:tcPr>
            <w:tcW w:w="962" w:type="dxa"/>
            <w:vAlign w:val="center"/>
          </w:tcPr>
          <w:p>
            <w:pPr>
              <w:pageBreakBefore w:val="0"/>
              <w:kinsoku/>
              <w:wordWrap/>
              <w:overflowPunct/>
              <w:topLinePunct w:val="0"/>
              <w:autoSpaceDE/>
              <w:autoSpaceDN/>
              <w:bidi w:val="0"/>
              <w:spacing w:line="400" w:lineRule="exact"/>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主观分</w:t>
            </w:r>
          </w:p>
        </w:tc>
        <w:tc>
          <w:tcPr>
            <w:tcW w:w="705" w:type="dxa"/>
            <w:vAlign w:val="center"/>
          </w:tcPr>
          <w:p>
            <w:pPr>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947" w:type="dxa"/>
            <w:vAlign w:val="center"/>
          </w:tcPr>
          <w:p>
            <w:pPr>
              <w:pageBreakBefore w:val="0"/>
              <w:kinsoku/>
              <w:wordWrap/>
              <w:overflowPunct/>
              <w:topLinePunct w:val="0"/>
              <w:autoSpaceDE/>
              <w:autoSpaceDN/>
              <w:bidi w:val="0"/>
              <w:spacing w:line="400" w:lineRule="exact"/>
              <w:jc w:val="center"/>
              <w:textAlignment w:val="auto"/>
              <w:outlineLvl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售后服务承诺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jc w:val="center"/>
        </w:trPr>
        <w:tc>
          <w:tcPr>
            <w:tcW w:w="835" w:type="dxa"/>
            <w:vAlign w:val="center"/>
          </w:tcPr>
          <w:p>
            <w:pPr>
              <w:pageBreakBefore w:val="0"/>
              <w:numPr>
                <w:ilvl w:val="0"/>
                <w:numId w:val="0"/>
              </w:numPr>
              <w:kinsoku/>
              <w:wordWrap/>
              <w:overflowPunct/>
              <w:topLinePunct w:val="0"/>
              <w:autoSpaceDE/>
              <w:autoSpaceDN/>
              <w:bidi w:val="0"/>
              <w:spacing w:line="400" w:lineRule="exact"/>
              <w:ind w:leftChars="0"/>
              <w:jc w:val="center"/>
              <w:textAlignment w:val="auto"/>
              <w:outlineLvl w:val="0"/>
              <w:rPr>
                <w:rFonts w:hint="eastAsia" w:ascii="宋体" w:hAnsi="宋体" w:eastAsia="宋体" w:cs="宋体"/>
                <w:b/>
                <w:bCs/>
                <w:color w:val="auto"/>
                <w:sz w:val="21"/>
                <w:szCs w:val="21"/>
                <w:highlight w:val="none"/>
              </w:rPr>
            </w:pPr>
            <w:bookmarkStart w:id="447" w:name="_Toc3023"/>
            <w:bookmarkEnd w:id="447"/>
            <w:bookmarkStart w:id="448" w:name="_Toc24694"/>
            <w:bookmarkEnd w:id="448"/>
            <w:bookmarkStart w:id="449" w:name="_Toc29190"/>
            <w:bookmarkEnd w:id="449"/>
            <w:r>
              <w:rPr>
                <w:rFonts w:hint="eastAsia" w:ascii="宋体" w:hAnsi="宋体" w:cs="宋体"/>
                <w:b/>
                <w:bCs/>
                <w:color w:val="auto"/>
                <w:sz w:val="21"/>
                <w:szCs w:val="21"/>
                <w:highlight w:val="none"/>
                <w:lang w:val="en-US" w:eastAsia="zh-CN"/>
              </w:rPr>
              <w:t>5.</w:t>
            </w:r>
            <w:bookmarkStart w:id="450" w:name="_Toc26375"/>
            <w:bookmarkEnd w:id="450"/>
            <w:bookmarkStart w:id="451" w:name="_Toc1366"/>
            <w:bookmarkEnd w:id="451"/>
            <w:bookmarkStart w:id="452" w:name="_Toc10506"/>
            <w:bookmarkEnd w:id="452"/>
          </w:p>
        </w:tc>
        <w:tc>
          <w:tcPr>
            <w:tcW w:w="5193" w:type="dxa"/>
            <w:gridSpan w:val="2"/>
            <w:vAlign w:val="top"/>
          </w:tcPr>
          <w:p>
            <w:pPr>
              <w:pageBreakBefore w:val="0"/>
              <w:kinsoku/>
              <w:wordWrap/>
              <w:overflowPunct/>
              <w:topLinePunct w:val="0"/>
              <w:autoSpaceDE/>
              <w:autoSpaceDN/>
              <w:bidi w:val="0"/>
              <w:spacing w:line="400" w:lineRule="exact"/>
              <w:textAlignment w:val="auto"/>
              <w:outlineLvl w:val="0"/>
              <w:rPr>
                <w:rFonts w:hint="eastAsia" w:ascii="宋体" w:hAnsi="宋体" w:eastAsia="宋体" w:cs="宋体"/>
                <w:b/>
                <w:bCs/>
                <w:color w:val="auto"/>
                <w:sz w:val="21"/>
                <w:szCs w:val="21"/>
                <w:highlight w:val="none"/>
              </w:rPr>
            </w:pPr>
            <w:bookmarkStart w:id="453" w:name="_Toc23084"/>
            <w:bookmarkStart w:id="454" w:name="_Toc6682"/>
            <w:bookmarkStart w:id="455" w:name="_Toc4998"/>
            <w:r>
              <w:rPr>
                <w:rFonts w:hint="eastAsia" w:ascii="宋体" w:hAnsi="宋体" w:eastAsia="宋体" w:cs="宋体"/>
                <w:b/>
                <w:bCs/>
                <w:color w:val="auto"/>
                <w:sz w:val="21"/>
                <w:szCs w:val="21"/>
                <w:highlight w:val="none"/>
              </w:rPr>
              <w:t>有效</w:t>
            </w:r>
            <w:r>
              <w:rPr>
                <w:rFonts w:hint="eastAsia" w:ascii="宋体" w:hAnsi="宋体" w:eastAsia="宋体" w:cs="宋体"/>
                <w:b/>
                <w:bCs/>
                <w:color w:val="auto"/>
                <w:sz w:val="21"/>
                <w:szCs w:val="21"/>
                <w:highlight w:val="none"/>
                <w:lang w:eastAsia="zh-CN"/>
              </w:rPr>
              <w:t>报价</w:t>
            </w:r>
            <w:r>
              <w:rPr>
                <w:rFonts w:hint="eastAsia" w:ascii="宋体" w:hAnsi="宋体" w:eastAsia="宋体" w:cs="宋体"/>
                <w:b/>
                <w:bCs/>
                <w:color w:val="auto"/>
                <w:sz w:val="21"/>
                <w:szCs w:val="21"/>
                <w:highlight w:val="none"/>
              </w:rPr>
              <w:t>的最低价作为评标基准价，其最低报价为满分；按［</w:t>
            </w:r>
            <w:r>
              <w:rPr>
                <w:rFonts w:hint="eastAsia" w:ascii="宋体" w:hAnsi="宋体" w:eastAsia="宋体" w:cs="宋体"/>
                <w:b/>
                <w:bCs/>
                <w:color w:val="auto"/>
                <w:sz w:val="21"/>
                <w:szCs w:val="21"/>
                <w:highlight w:val="none"/>
                <w:lang w:eastAsia="zh-CN"/>
              </w:rPr>
              <w:t>报价</w:t>
            </w:r>
            <w:r>
              <w:rPr>
                <w:rFonts w:hint="eastAsia" w:ascii="宋体" w:hAnsi="宋体" w:eastAsia="宋体" w:cs="宋体"/>
                <w:b/>
                <w:bCs/>
                <w:color w:val="auto"/>
                <w:sz w:val="21"/>
                <w:szCs w:val="21"/>
                <w:highlight w:val="none"/>
              </w:rPr>
              <w:t>得分=（评标基准价/</w:t>
            </w:r>
            <w:r>
              <w:rPr>
                <w:rFonts w:hint="eastAsia" w:ascii="宋体" w:hAnsi="宋体" w:eastAsia="宋体" w:cs="宋体"/>
                <w:b/>
                <w:bCs/>
                <w:color w:val="auto"/>
                <w:sz w:val="21"/>
                <w:szCs w:val="21"/>
                <w:highlight w:val="none"/>
                <w:lang w:eastAsia="zh-CN"/>
              </w:rPr>
              <w:t>报价</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权重</w:t>
            </w:r>
            <w:r>
              <w:rPr>
                <w:rFonts w:hint="eastAsia" w:ascii="宋体" w:hAnsi="宋体" w:eastAsia="宋体" w:cs="宋体"/>
                <w:b/>
                <w:bCs/>
                <w:color w:val="auto"/>
                <w:sz w:val="21"/>
                <w:szCs w:val="21"/>
                <w:highlight w:val="none"/>
              </w:rPr>
              <w:t>］的计算公式计算。</w:t>
            </w:r>
            <w:bookmarkEnd w:id="453"/>
            <w:bookmarkEnd w:id="454"/>
            <w:bookmarkEnd w:id="455"/>
          </w:p>
          <w:p>
            <w:pPr>
              <w:pageBreakBefore w:val="0"/>
              <w:widowControl/>
              <w:shd w:val="clear" w:color="auto" w:fill="FFFFFF"/>
              <w:kinsoku/>
              <w:wordWrap/>
              <w:overflowPunct/>
              <w:topLinePunct w:val="0"/>
              <w:autoSpaceDE/>
              <w:autoSpaceDN/>
              <w:bidi w:val="0"/>
              <w:adjustRightInd/>
              <w:spacing w:after="225" w:line="400" w:lineRule="exact"/>
              <w:ind w:firstLine="42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评标过程中，不得去掉报价中的最高报价和最低报价。</w:t>
            </w:r>
          </w:p>
        </w:tc>
        <w:tc>
          <w:tcPr>
            <w:tcW w:w="962" w:type="dxa"/>
            <w:vAlign w:val="center"/>
          </w:tcPr>
          <w:p>
            <w:pPr>
              <w:pageBreakBefore w:val="0"/>
              <w:widowControl/>
              <w:shd w:val="clear" w:color="auto" w:fill="FFFFFF"/>
              <w:kinsoku/>
              <w:wordWrap/>
              <w:overflowPunct/>
              <w:topLinePunct w:val="0"/>
              <w:autoSpaceDE/>
              <w:autoSpaceDN/>
              <w:bidi w:val="0"/>
              <w:adjustRightInd/>
              <w:spacing w:after="0" w:line="400" w:lineRule="exact"/>
              <w:ind w:firstLine="0"/>
              <w:jc w:val="both"/>
              <w:textAlignment w:val="auto"/>
              <w:rPr>
                <w:rFonts w:hint="eastAsia" w:ascii="宋体" w:hAnsi="宋体" w:eastAsia="宋体" w:cs="宋体"/>
                <w:b/>
                <w:bCs/>
                <w:i/>
                <w:iCs/>
                <w:color w:val="auto"/>
                <w:sz w:val="21"/>
                <w:szCs w:val="21"/>
                <w:highlight w:val="none"/>
                <w:lang w:eastAsia="zh-CN"/>
              </w:rPr>
            </w:pPr>
          </w:p>
        </w:tc>
        <w:tc>
          <w:tcPr>
            <w:tcW w:w="705" w:type="dxa"/>
            <w:vAlign w:val="center"/>
          </w:tcPr>
          <w:p>
            <w:pPr>
              <w:pageBreakBefore w:val="0"/>
              <w:kinsoku/>
              <w:wordWrap/>
              <w:overflowPunct/>
              <w:topLinePunct w:val="0"/>
              <w:autoSpaceDE/>
              <w:autoSpaceDN/>
              <w:bidi w:val="0"/>
              <w:spacing w:line="400" w:lineRule="exact"/>
              <w:ind w:firstLine="105" w:firstLineChars="50"/>
              <w:jc w:val="both"/>
              <w:textAlignment w:val="auto"/>
              <w:outlineLvl w:val="0"/>
              <w:rPr>
                <w:rFonts w:hint="eastAsia" w:ascii="宋体" w:hAnsi="宋体" w:eastAsia="宋体" w:cs="宋体"/>
                <w:b/>
                <w:bCs/>
                <w:color w:val="auto"/>
                <w:sz w:val="21"/>
                <w:szCs w:val="21"/>
                <w:highlight w:val="none"/>
                <w:lang w:val="en-US" w:eastAsia="zh-CN"/>
              </w:rPr>
            </w:pPr>
            <w:bookmarkStart w:id="456" w:name="_Toc19118"/>
            <w:bookmarkStart w:id="457" w:name="_Toc5553"/>
            <w:bookmarkStart w:id="458" w:name="_Toc4546"/>
            <w:r>
              <w:rPr>
                <w:rFonts w:hint="eastAsia" w:ascii="宋体" w:hAnsi="宋体" w:eastAsia="宋体" w:cs="宋体"/>
                <w:b/>
                <w:bCs/>
                <w:color w:val="auto"/>
                <w:sz w:val="21"/>
                <w:szCs w:val="21"/>
                <w:highlight w:val="none"/>
                <w:lang w:val="en-US" w:eastAsia="zh-CN"/>
              </w:rPr>
              <w:t>30</w:t>
            </w:r>
            <w:bookmarkEnd w:id="456"/>
            <w:bookmarkEnd w:id="457"/>
            <w:bookmarkEnd w:id="458"/>
          </w:p>
        </w:tc>
        <w:tc>
          <w:tcPr>
            <w:tcW w:w="1947" w:type="dxa"/>
            <w:vAlign w:val="center"/>
          </w:tcPr>
          <w:p>
            <w:pPr>
              <w:pageBreakBefore w:val="0"/>
              <w:kinsoku/>
              <w:wordWrap/>
              <w:overflowPunct/>
              <w:topLinePunct w:val="0"/>
              <w:autoSpaceDE/>
              <w:autoSpaceDN/>
              <w:bidi w:val="0"/>
              <w:spacing w:line="400" w:lineRule="exact"/>
              <w:jc w:val="center"/>
              <w:textAlignment w:val="auto"/>
              <w:outlineLvl w:val="0"/>
              <w:rPr>
                <w:rFonts w:hint="eastAsia" w:ascii="宋体" w:hAnsi="宋体" w:eastAsia="宋体" w:cs="宋体"/>
                <w:b/>
                <w:bCs/>
                <w:color w:val="auto"/>
                <w:sz w:val="21"/>
                <w:szCs w:val="21"/>
                <w:highlight w:val="none"/>
                <w:lang w:val="en-US" w:eastAsia="zh-CN"/>
              </w:rPr>
            </w:pPr>
            <w:bookmarkStart w:id="459" w:name="_Toc12130"/>
            <w:bookmarkStart w:id="460" w:name="_Toc22933"/>
            <w:bookmarkStart w:id="461" w:name="_Toc4660"/>
            <w:r>
              <w:rPr>
                <w:rFonts w:hint="eastAsia" w:ascii="宋体" w:hAnsi="宋体" w:eastAsia="宋体" w:cs="宋体"/>
                <w:b/>
                <w:bCs/>
                <w:color w:val="auto"/>
                <w:sz w:val="21"/>
                <w:szCs w:val="21"/>
                <w:highlight w:val="none"/>
                <w:lang w:val="en-US" w:eastAsia="zh-CN"/>
              </w:rPr>
              <w:t>/</w:t>
            </w:r>
            <w:bookmarkEnd w:id="459"/>
            <w:bookmarkEnd w:id="460"/>
            <w:bookmarkEnd w:id="461"/>
          </w:p>
        </w:tc>
      </w:tr>
    </w:tbl>
    <w:p>
      <w:pPr>
        <w:pageBreakBefore w:val="0"/>
        <w:kinsoku/>
        <w:wordWrap/>
        <w:overflowPunct/>
        <w:topLinePunct w:val="0"/>
        <w:autoSpaceDE/>
        <w:autoSpaceDN/>
        <w:bidi w:val="0"/>
        <w:snapToGrid w:val="0"/>
        <w:spacing w:line="400" w:lineRule="exac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shd w:val="clear" w:color="auto" w:fill="FFFFFF"/>
        </w:rPr>
        <w:t> *</w:t>
      </w:r>
      <w:r>
        <w:rPr>
          <w:rFonts w:hint="eastAsia" w:ascii="宋体" w:hAnsi="宋体" w:eastAsia="宋体" w:cs="宋体"/>
          <w:b/>
          <w:color w:val="auto"/>
          <w:sz w:val="21"/>
          <w:szCs w:val="21"/>
          <w:highlight w:val="none"/>
        </w:rPr>
        <w:t>备注：</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编制</w:t>
      </w:r>
      <w:r>
        <w:rPr>
          <w:rFonts w:hint="eastAsia" w:ascii="宋体" w:hAnsi="宋体" w:eastAsia="宋体" w:cs="宋体"/>
          <w:color w:val="auto"/>
          <w:sz w:val="21"/>
          <w:szCs w:val="21"/>
          <w:highlight w:val="none"/>
          <w:lang w:eastAsia="zh-CN"/>
        </w:rPr>
        <w:t>磋商响应文件</w:t>
      </w:r>
      <w:r>
        <w:rPr>
          <w:rFonts w:hint="eastAsia" w:ascii="宋体" w:hAnsi="宋体" w:eastAsia="宋体" w:cs="宋体"/>
          <w:color w:val="auto"/>
          <w:sz w:val="21"/>
          <w:szCs w:val="21"/>
          <w:highlight w:val="none"/>
        </w:rPr>
        <w:t>（商务技术文件部分）时，建议按此目录（序号和内容）提供评标标准相应的商务技术资料。 </w:t>
      </w:r>
    </w:p>
    <w:p>
      <w:pPr>
        <w:keepNext w:val="0"/>
        <w:keepLines w:val="0"/>
        <w:pageBreakBefore w:val="0"/>
        <w:widowControl w:val="0"/>
        <w:numPr>
          <w:ilvl w:val="0"/>
          <w:numId w:val="32"/>
        </w:numPr>
        <w:kinsoku/>
        <w:wordWrap/>
        <w:overflowPunct/>
        <w:topLinePunct w:val="0"/>
        <w:autoSpaceDE/>
        <w:autoSpaceDN/>
        <w:bidi w:val="0"/>
        <w:adjustRightInd w:val="0"/>
        <w:snapToGrid w:val="0"/>
        <w:spacing w:beforeLines="50" w:afterLines="50" w:line="400" w:lineRule="exact"/>
        <w:ind w:left="0" w:leftChars="0" w:firstLine="0" w:firstLineChars="0"/>
        <w:textAlignment w:val="auto"/>
        <w:outlineLvl w:val="9"/>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32"/>
          <w:highlight w:val="none"/>
        </w:rPr>
        <w:t>评标方法</w:t>
      </w:r>
    </w:p>
    <w:p>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1.本项目采用综合评分法。</w:t>
      </w:r>
      <w:r>
        <w:rPr>
          <w:rFonts w:hint="eastAsia" w:ascii="宋体" w:hAnsi="宋体" w:eastAsia="宋体" w:cs="宋体"/>
          <w:color w:val="auto"/>
          <w:kern w:val="0"/>
          <w:sz w:val="21"/>
          <w:szCs w:val="21"/>
          <w:highlight w:val="none"/>
        </w:rPr>
        <w:t>综合评分法，是指</w:t>
      </w:r>
      <w:r>
        <w:rPr>
          <w:rFonts w:hint="eastAsia" w:ascii="宋体" w:hAnsi="宋体" w:eastAsia="宋体" w:cs="宋体"/>
          <w:color w:val="auto"/>
          <w:kern w:val="0"/>
          <w:sz w:val="21"/>
          <w:szCs w:val="21"/>
          <w:highlight w:val="none"/>
          <w:lang w:eastAsia="zh-CN"/>
        </w:rPr>
        <w:t>磋商响应文件</w:t>
      </w:r>
      <w:r>
        <w:rPr>
          <w:rFonts w:hint="eastAsia" w:ascii="宋体" w:hAnsi="宋体" w:eastAsia="宋体" w:cs="宋体"/>
          <w:color w:val="auto"/>
          <w:kern w:val="0"/>
          <w:sz w:val="21"/>
          <w:szCs w:val="21"/>
          <w:highlight w:val="none"/>
        </w:rPr>
        <w:t>满足</w:t>
      </w:r>
      <w:r>
        <w:rPr>
          <w:rFonts w:hint="eastAsia" w:ascii="宋体" w:hAnsi="宋体" w:eastAsia="宋体" w:cs="宋体"/>
          <w:color w:val="auto"/>
          <w:kern w:val="0"/>
          <w:sz w:val="21"/>
          <w:szCs w:val="21"/>
          <w:highlight w:val="none"/>
          <w:lang w:eastAsia="zh-CN"/>
        </w:rPr>
        <w:t>磋商文件</w:t>
      </w:r>
      <w:r>
        <w:rPr>
          <w:rFonts w:hint="eastAsia" w:ascii="宋体" w:hAnsi="宋体" w:eastAsia="宋体" w:cs="宋体"/>
          <w:color w:val="auto"/>
          <w:kern w:val="0"/>
          <w:sz w:val="21"/>
          <w:szCs w:val="21"/>
          <w:highlight w:val="none"/>
        </w:rPr>
        <w:t>全部实质性要求，且按照评审因素的量化指标评审得分最高的</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为</w:t>
      </w:r>
      <w:r>
        <w:rPr>
          <w:rFonts w:hint="eastAsia" w:ascii="宋体" w:hAnsi="宋体" w:cs="宋体"/>
          <w:color w:val="auto"/>
          <w:kern w:val="0"/>
          <w:sz w:val="21"/>
          <w:szCs w:val="21"/>
          <w:highlight w:val="none"/>
          <w:lang w:eastAsia="zh-CN"/>
        </w:rPr>
        <w:t>成交候选人</w:t>
      </w:r>
      <w:r>
        <w:rPr>
          <w:rFonts w:hint="eastAsia" w:ascii="宋体" w:hAnsi="宋体" w:eastAsia="宋体" w:cs="宋体"/>
          <w:color w:val="auto"/>
          <w:kern w:val="0"/>
          <w:sz w:val="21"/>
          <w:szCs w:val="21"/>
          <w:highlight w:val="none"/>
        </w:rPr>
        <w:t>的评标方法。</w:t>
      </w:r>
    </w:p>
    <w:p>
      <w:pPr>
        <w:keepNext w:val="0"/>
        <w:keepLines w:val="0"/>
        <w:pageBreakBefore w:val="0"/>
        <w:widowControl w:val="0"/>
        <w:numPr>
          <w:ilvl w:val="0"/>
          <w:numId w:val="32"/>
        </w:numPr>
        <w:kinsoku/>
        <w:wordWrap/>
        <w:overflowPunct/>
        <w:topLinePunct w:val="0"/>
        <w:autoSpaceDE/>
        <w:autoSpaceDN/>
        <w:bidi w:val="0"/>
        <w:adjustRightInd w:val="0"/>
        <w:snapToGrid w:val="0"/>
        <w:spacing w:beforeLines="50" w:afterLines="50" w:line="400" w:lineRule="exact"/>
        <w:ind w:left="0" w:leftChars="0" w:firstLine="0" w:firstLineChars="0"/>
        <w:textAlignment w:val="auto"/>
        <w:outlineLvl w:val="9"/>
        <w:rPr>
          <w:rFonts w:hint="eastAsia" w:ascii="宋体" w:hAnsi="宋体" w:eastAsia="宋体" w:cs="宋体"/>
          <w:b/>
          <w:bCs w:val="0"/>
          <w:color w:val="auto"/>
          <w:sz w:val="32"/>
          <w:highlight w:val="none"/>
        </w:rPr>
      </w:pPr>
      <w:r>
        <w:rPr>
          <w:rFonts w:hint="eastAsia" w:ascii="宋体" w:hAnsi="宋体" w:eastAsia="宋体" w:cs="宋体"/>
          <w:b/>
          <w:bCs w:val="0"/>
          <w:color w:val="auto"/>
          <w:sz w:val="32"/>
          <w:highlight w:val="none"/>
        </w:rPr>
        <w:t>评标标准</w:t>
      </w:r>
    </w:p>
    <w:p>
      <w:pPr>
        <w:pageBreakBefore w:val="0"/>
        <w:kinsoku/>
        <w:wordWrap/>
        <w:overflowPunct/>
        <w:topLinePunct w:val="0"/>
        <w:autoSpaceDE/>
        <w:autoSpaceDN/>
        <w:bidi w:val="0"/>
        <w:spacing w:line="400" w:lineRule="exact"/>
        <w:ind w:firstLine="413" w:firstLineChars="196"/>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color w:val="auto"/>
          <w:sz w:val="21"/>
          <w:szCs w:val="21"/>
          <w:highlight w:val="none"/>
        </w:rPr>
        <w:t xml:space="preserve"> </w:t>
      </w:r>
      <w:r>
        <w:rPr>
          <w:rFonts w:hint="eastAsia" w:ascii="宋体" w:hAnsi="宋体" w:eastAsia="宋体" w:cs="宋体"/>
          <w:b/>
          <w:color w:val="auto"/>
          <w:sz w:val="21"/>
          <w:szCs w:val="21"/>
          <w:highlight w:val="none"/>
        </w:rPr>
        <w:t>评标标准：</w:t>
      </w:r>
      <w:r>
        <w:rPr>
          <w:rFonts w:hint="eastAsia" w:ascii="宋体" w:hAnsi="宋体" w:eastAsia="宋体" w:cs="宋体"/>
          <w:color w:val="auto"/>
          <w:kern w:val="0"/>
          <w:sz w:val="21"/>
          <w:szCs w:val="21"/>
          <w:highlight w:val="none"/>
        </w:rPr>
        <w:t>见评标办法前附表。</w:t>
      </w:r>
    </w:p>
    <w:p>
      <w:pPr>
        <w:keepNext w:val="0"/>
        <w:keepLines w:val="0"/>
        <w:pageBreakBefore w:val="0"/>
        <w:widowControl w:val="0"/>
        <w:numPr>
          <w:ilvl w:val="0"/>
          <w:numId w:val="32"/>
        </w:numPr>
        <w:kinsoku/>
        <w:wordWrap/>
        <w:overflowPunct/>
        <w:topLinePunct w:val="0"/>
        <w:autoSpaceDE/>
        <w:autoSpaceDN/>
        <w:bidi w:val="0"/>
        <w:adjustRightInd w:val="0"/>
        <w:snapToGrid w:val="0"/>
        <w:spacing w:beforeLines="50" w:afterLines="50" w:line="400" w:lineRule="exact"/>
        <w:ind w:left="0" w:leftChars="0" w:firstLine="0" w:firstLineChars="0"/>
        <w:textAlignment w:val="auto"/>
        <w:outlineLvl w:val="9"/>
        <w:rPr>
          <w:rFonts w:hint="eastAsia" w:ascii="宋体" w:hAnsi="宋体" w:eastAsia="宋体" w:cs="宋体"/>
          <w:b/>
          <w:bCs w:val="0"/>
          <w:color w:val="auto"/>
          <w:sz w:val="32"/>
          <w:highlight w:val="none"/>
        </w:rPr>
      </w:pPr>
      <w:bookmarkStart w:id="462" w:name="_Toc14338"/>
      <w:bookmarkStart w:id="463" w:name="_Toc10091"/>
      <w:bookmarkStart w:id="464" w:name="_Toc4466"/>
      <w:r>
        <w:rPr>
          <w:rFonts w:hint="eastAsia" w:ascii="宋体" w:hAnsi="宋体" w:eastAsia="宋体" w:cs="宋体"/>
          <w:b/>
          <w:bCs w:val="0"/>
          <w:color w:val="auto"/>
          <w:sz w:val="32"/>
          <w:highlight w:val="none"/>
        </w:rPr>
        <w:t>评标程序</w:t>
      </w:r>
      <w:bookmarkEnd w:id="462"/>
      <w:bookmarkEnd w:id="463"/>
      <w:bookmarkEnd w:id="464"/>
    </w:p>
    <w:p>
      <w:pPr>
        <w:keepNext w:val="0"/>
        <w:keepLines w:val="0"/>
        <w:pageBreakBefore w:val="0"/>
        <w:widowControl w:val="0"/>
        <w:numPr>
          <w:ilvl w:val="0"/>
          <w:numId w:val="33"/>
        </w:numPr>
        <w:kinsoku/>
        <w:wordWrap/>
        <w:overflowPunct/>
        <w:topLinePunct w:val="0"/>
        <w:autoSpaceDE/>
        <w:autoSpaceDN/>
        <w:bidi w:val="0"/>
        <w:adjustRightInd w:val="0"/>
        <w:snapToGrid/>
        <w:spacing w:line="400" w:lineRule="exact"/>
        <w:ind w:left="425" w:leftChars="0" w:hanging="5" w:firstLineChars="0"/>
        <w:textAlignment w:val="auto"/>
        <w:outlineLvl w:val="9"/>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符合性审查。</w:t>
      </w:r>
    </w:p>
    <w:p>
      <w:pPr>
        <w:keepNext w:val="0"/>
        <w:keepLines w:val="0"/>
        <w:pageBreakBefore w:val="0"/>
        <w:widowControl w:val="0"/>
        <w:kinsoku/>
        <w:wordWrap/>
        <w:overflowPunct/>
        <w:topLinePunct w:val="0"/>
        <w:autoSpaceDE/>
        <w:autoSpaceDN/>
        <w:bidi w:val="0"/>
        <w:adjustRightInd w:val="0"/>
        <w:snapToGrid/>
        <w:spacing w:line="400" w:lineRule="exact"/>
        <w:ind w:firstLine="411" w:firstLineChars="196"/>
        <w:textAlignment w:val="auto"/>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lang w:eastAsia="zh-CN"/>
        </w:rPr>
        <w:t>磋商小组</w:t>
      </w:r>
      <w:r>
        <w:rPr>
          <w:rFonts w:hint="eastAsia" w:ascii="宋体" w:hAnsi="宋体" w:eastAsia="宋体" w:cs="宋体"/>
          <w:color w:val="auto"/>
          <w:kern w:val="0"/>
          <w:sz w:val="21"/>
          <w:szCs w:val="21"/>
          <w:highlight w:val="none"/>
        </w:rPr>
        <w:t>应当对符合资格的</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的</w:t>
      </w:r>
      <w:r>
        <w:rPr>
          <w:rFonts w:hint="eastAsia" w:ascii="宋体" w:hAnsi="宋体" w:eastAsia="宋体" w:cs="宋体"/>
          <w:color w:val="auto"/>
          <w:kern w:val="0"/>
          <w:sz w:val="21"/>
          <w:szCs w:val="21"/>
          <w:highlight w:val="none"/>
          <w:lang w:eastAsia="zh-CN"/>
        </w:rPr>
        <w:t>磋商响应文件</w:t>
      </w:r>
      <w:r>
        <w:rPr>
          <w:rFonts w:hint="eastAsia" w:ascii="宋体" w:hAnsi="宋体" w:eastAsia="宋体" w:cs="宋体"/>
          <w:color w:val="auto"/>
          <w:kern w:val="0"/>
          <w:sz w:val="21"/>
          <w:szCs w:val="21"/>
          <w:highlight w:val="none"/>
        </w:rPr>
        <w:t>进行符合性审查，以确定其是否满足</w:t>
      </w:r>
      <w:r>
        <w:rPr>
          <w:rFonts w:hint="eastAsia" w:ascii="宋体" w:hAnsi="宋体" w:eastAsia="宋体" w:cs="宋体"/>
          <w:color w:val="auto"/>
          <w:kern w:val="0"/>
          <w:sz w:val="21"/>
          <w:szCs w:val="21"/>
          <w:highlight w:val="none"/>
          <w:lang w:eastAsia="zh-CN"/>
        </w:rPr>
        <w:t>磋商文件</w:t>
      </w:r>
      <w:r>
        <w:rPr>
          <w:rFonts w:hint="eastAsia" w:ascii="宋体" w:hAnsi="宋体" w:eastAsia="宋体" w:cs="宋体"/>
          <w:color w:val="auto"/>
          <w:kern w:val="0"/>
          <w:sz w:val="21"/>
          <w:szCs w:val="21"/>
          <w:highlight w:val="none"/>
        </w:rPr>
        <w:t>的实质性要求。</w:t>
      </w:r>
      <w:r>
        <w:rPr>
          <w:rFonts w:hint="eastAsia" w:ascii="宋体" w:hAnsi="宋体" w:eastAsia="宋体" w:cs="宋体"/>
          <w:b/>
          <w:bCs/>
          <w:color w:val="auto"/>
          <w:kern w:val="0"/>
          <w:sz w:val="21"/>
          <w:szCs w:val="21"/>
          <w:highlight w:val="none"/>
        </w:rPr>
        <w:t>不满足</w:t>
      </w:r>
      <w:r>
        <w:rPr>
          <w:rFonts w:hint="eastAsia" w:ascii="宋体" w:hAnsi="宋体" w:eastAsia="宋体" w:cs="宋体"/>
          <w:b/>
          <w:bCs/>
          <w:color w:val="auto"/>
          <w:kern w:val="0"/>
          <w:sz w:val="21"/>
          <w:szCs w:val="21"/>
          <w:highlight w:val="none"/>
          <w:lang w:eastAsia="zh-CN"/>
        </w:rPr>
        <w:t>磋商文件</w:t>
      </w:r>
      <w:r>
        <w:rPr>
          <w:rFonts w:hint="eastAsia" w:ascii="宋体" w:hAnsi="宋体" w:eastAsia="宋体" w:cs="宋体"/>
          <w:b/>
          <w:bCs/>
          <w:color w:val="auto"/>
          <w:kern w:val="0"/>
          <w:sz w:val="21"/>
          <w:szCs w:val="21"/>
          <w:highlight w:val="none"/>
        </w:rPr>
        <w:t>的实质性要求的，</w:t>
      </w:r>
      <w:r>
        <w:rPr>
          <w:rFonts w:hint="eastAsia" w:ascii="宋体" w:hAnsi="宋体" w:cs="宋体"/>
          <w:b/>
          <w:bCs/>
          <w:color w:val="auto"/>
          <w:kern w:val="0"/>
          <w:sz w:val="21"/>
          <w:szCs w:val="21"/>
          <w:highlight w:val="none"/>
          <w:lang w:eastAsia="zh-CN"/>
        </w:rPr>
        <w:t>响应无效</w:t>
      </w:r>
      <w:r>
        <w:rPr>
          <w:rFonts w:hint="eastAsia" w:ascii="宋体" w:hAnsi="宋体" w:eastAsia="宋体" w:cs="宋体"/>
          <w:b/>
          <w:bCs/>
          <w:color w:val="auto"/>
          <w:kern w:val="0"/>
          <w:sz w:val="21"/>
          <w:szCs w:val="21"/>
          <w:highlight w:val="none"/>
        </w:rPr>
        <w:t>。</w:t>
      </w:r>
    </w:p>
    <w:p>
      <w:pPr>
        <w:keepNext w:val="0"/>
        <w:keepLines w:val="0"/>
        <w:pageBreakBefore w:val="0"/>
        <w:widowControl w:val="0"/>
        <w:numPr>
          <w:ilvl w:val="0"/>
          <w:numId w:val="33"/>
        </w:numPr>
        <w:kinsoku/>
        <w:wordWrap/>
        <w:overflowPunct/>
        <w:topLinePunct w:val="0"/>
        <w:autoSpaceDE/>
        <w:autoSpaceDN/>
        <w:bidi w:val="0"/>
        <w:adjustRightInd w:val="0"/>
        <w:snapToGrid/>
        <w:spacing w:line="400" w:lineRule="exact"/>
        <w:ind w:left="425" w:leftChars="0" w:hanging="5" w:firstLineChars="0"/>
        <w:textAlignment w:val="auto"/>
        <w:outlineLvl w:val="9"/>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lang w:val="en-US" w:eastAsia="zh-CN"/>
        </w:rPr>
        <w:t>磋商评审</w:t>
      </w:r>
      <w:r>
        <w:rPr>
          <w:rFonts w:hint="eastAsia" w:ascii="宋体" w:hAnsi="宋体" w:eastAsia="宋体" w:cs="宋体"/>
          <w:b/>
          <w:color w:val="auto"/>
          <w:kern w:val="0"/>
          <w:sz w:val="21"/>
          <w:szCs w:val="21"/>
          <w:highlight w:val="none"/>
        </w:rPr>
        <w:t>。</w:t>
      </w:r>
    </w:p>
    <w:p>
      <w:pPr>
        <w:keepNext w:val="0"/>
        <w:keepLines w:val="0"/>
        <w:pageBreakBefore w:val="0"/>
        <w:widowControl w:val="0"/>
        <w:numPr>
          <w:ilvl w:val="0"/>
          <w:numId w:val="34"/>
        </w:numPr>
        <w:tabs>
          <w:tab w:val="left" w:pos="0"/>
          <w:tab w:val="clear" w:pos="420"/>
        </w:tabs>
        <w:kinsoku/>
        <w:wordWrap/>
        <w:overflowPunct/>
        <w:topLinePunct w:val="0"/>
        <w:autoSpaceDE/>
        <w:autoSpaceDN/>
        <w:bidi w:val="0"/>
        <w:adjustRightInd w:val="0"/>
        <w:snapToGrid/>
        <w:spacing w:line="400" w:lineRule="exact"/>
        <w:ind w:left="5" w:leftChars="0" w:firstLine="415" w:firstLineChars="0"/>
        <w:textAlignment w:val="auto"/>
        <w:outlineLvl w:val="9"/>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磋商小组所有成员集中与单一磋商供应商分别进行磋商。磋商的顺序，按供应商解密响应文件时间的先后顺序进行在线磋商。在磋商中，磋商的任何一方不得透露与磋商有关的其他磋商供应商的技术资料、价格和其他信息。</w:t>
      </w:r>
    </w:p>
    <w:p>
      <w:pPr>
        <w:keepNext w:val="0"/>
        <w:keepLines w:val="0"/>
        <w:pageBreakBefore w:val="0"/>
        <w:widowControl w:val="0"/>
        <w:numPr>
          <w:ilvl w:val="0"/>
          <w:numId w:val="34"/>
        </w:numPr>
        <w:tabs>
          <w:tab w:val="left" w:pos="0"/>
          <w:tab w:val="clear" w:pos="420"/>
        </w:tabs>
        <w:kinsoku/>
        <w:wordWrap/>
        <w:overflowPunct/>
        <w:topLinePunct w:val="0"/>
        <w:autoSpaceDE/>
        <w:autoSpaceDN/>
        <w:bidi w:val="0"/>
        <w:adjustRightInd w:val="0"/>
        <w:snapToGrid/>
        <w:spacing w:line="400" w:lineRule="exact"/>
        <w:ind w:left="5" w:leftChars="0" w:firstLine="415" w:firstLineChars="0"/>
        <w:textAlignment w:val="auto"/>
        <w:outlineLvl w:val="9"/>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在磋商过程中，磋商小组可以根据磋商文件和磋商情况实质性变动采购需求中的技术、服务要求以及合同草案条款。对磋商文件作出的实质性变动是磋商文件的有效组成部分，供应商应当按照磋商文件的变动情况和磋商小组的要求重新提交响应文件，并由其法定代表人或授权代表签字或者加盖电子签章。由授权代表签字的，应当附法定代表人授权书。供应商为自然人的，应当由本人签字并附身份证明。</w:t>
      </w:r>
    </w:p>
    <w:p>
      <w:pPr>
        <w:keepNext w:val="0"/>
        <w:keepLines w:val="0"/>
        <w:pageBreakBefore w:val="0"/>
        <w:widowControl w:val="0"/>
        <w:numPr>
          <w:ilvl w:val="0"/>
          <w:numId w:val="34"/>
        </w:numPr>
        <w:tabs>
          <w:tab w:val="left" w:pos="0"/>
          <w:tab w:val="clear" w:pos="420"/>
        </w:tabs>
        <w:kinsoku/>
        <w:wordWrap/>
        <w:overflowPunct/>
        <w:topLinePunct w:val="0"/>
        <w:autoSpaceDE/>
        <w:autoSpaceDN/>
        <w:bidi w:val="0"/>
        <w:adjustRightInd w:val="0"/>
        <w:snapToGrid/>
        <w:spacing w:line="400" w:lineRule="exact"/>
        <w:ind w:left="5" w:leftChars="0" w:firstLine="415" w:firstLineChars="0"/>
        <w:textAlignment w:val="auto"/>
        <w:outlineLvl w:val="9"/>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磋商结束后，磋商小组要求所有实质性响应的供应商在规定时间内在线提交最后报价。最后报价是供应商响应文件的有效组成部分。</w:t>
      </w:r>
    </w:p>
    <w:p>
      <w:pPr>
        <w:keepNext w:val="0"/>
        <w:keepLines w:val="0"/>
        <w:pageBreakBefore w:val="0"/>
        <w:widowControl w:val="0"/>
        <w:numPr>
          <w:ilvl w:val="0"/>
          <w:numId w:val="34"/>
        </w:numPr>
        <w:tabs>
          <w:tab w:val="left" w:pos="0"/>
          <w:tab w:val="clear" w:pos="420"/>
        </w:tabs>
        <w:kinsoku/>
        <w:wordWrap/>
        <w:overflowPunct/>
        <w:topLinePunct w:val="0"/>
        <w:autoSpaceDE/>
        <w:autoSpaceDN/>
        <w:bidi w:val="0"/>
        <w:adjustRightInd w:val="0"/>
        <w:snapToGrid/>
        <w:spacing w:line="400" w:lineRule="exact"/>
        <w:ind w:left="5" w:leftChars="0" w:firstLine="415" w:firstLineChars="0"/>
        <w:textAlignment w:val="auto"/>
        <w:outlineLvl w:val="9"/>
        <w:rPr>
          <w:rFonts w:hint="eastAsia" w:ascii="宋体" w:hAnsi="宋体" w:cs="宋体"/>
          <w:color w:val="auto"/>
          <w:sz w:val="21"/>
          <w:szCs w:val="21"/>
          <w:highlight w:val="none"/>
          <w:lang w:val="zh-CN"/>
        </w:rPr>
      </w:pPr>
      <w:r>
        <w:rPr>
          <w:rFonts w:hint="eastAsia" w:ascii="宋体" w:hAnsi="宋体" w:cs="宋体"/>
          <w:color w:val="auto"/>
          <w:sz w:val="21"/>
          <w:szCs w:val="21"/>
          <w:highlight w:val="none"/>
          <w:lang w:val="zh-CN"/>
        </w:rPr>
        <w:t>最后一轮报价时，各项报价均按比例调整。每一轮报价需在规定时间内提交，否则视为放弃该轮报价，以上一轮报价为准。首次报价不公开。</w:t>
      </w:r>
    </w:p>
    <w:p>
      <w:pPr>
        <w:keepNext w:val="0"/>
        <w:keepLines w:val="0"/>
        <w:pageBreakBefore w:val="0"/>
        <w:widowControl w:val="0"/>
        <w:numPr>
          <w:ilvl w:val="0"/>
          <w:numId w:val="34"/>
        </w:numPr>
        <w:tabs>
          <w:tab w:val="left" w:pos="0"/>
          <w:tab w:val="clear" w:pos="420"/>
        </w:tabs>
        <w:kinsoku/>
        <w:wordWrap/>
        <w:overflowPunct/>
        <w:topLinePunct w:val="0"/>
        <w:autoSpaceDE/>
        <w:autoSpaceDN/>
        <w:bidi w:val="0"/>
        <w:adjustRightInd w:val="0"/>
        <w:snapToGrid/>
        <w:spacing w:line="400" w:lineRule="exact"/>
        <w:ind w:left="5" w:leftChars="0" w:firstLine="415" w:firstLineChars="0"/>
        <w:textAlignment w:val="auto"/>
        <w:outlineLvl w:val="9"/>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如磋商小组一致认为某个磋商供应商的报价明显不合理，有降低服务质量、不能诚信履行及不正当竞争的可能时，磋商小组有权通知磋商供应商限期进行解释。若该磋商供应商未在规定期限内做出解释，或做出的解释不合理并拒绝改变，经磋商小组取得一致意见后，可确定拒绝该报价。</w:t>
      </w:r>
    </w:p>
    <w:p>
      <w:pPr>
        <w:keepNext w:val="0"/>
        <w:keepLines w:val="0"/>
        <w:pageBreakBefore w:val="0"/>
        <w:widowControl w:val="0"/>
        <w:numPr>
          <w:ilvl w:val="0"/>
          <w:numId w:val="34"/>
        </w:numPr>
        <w:tabs>
          <w:tab w:val="left" w:pos="0"/>
          <w:tab w:val="clear" w:pos="420"/>
        </w:tabs>
        <w:kinsoku/>
        <w:wordWrap/>
        <w:overflowPunct/>
        <w:topLinePunct w:val="0"/>
        <w:autoSpaceDE/>
        <w:autoSpaceDN/>
        <w:bidi w:val="0"/>
        <w:adjustRightInd w:val="0"/>
        <w:snapToGrid/>
        <w:spacing w:line="400" w:lineRule="exact"/>
        <w:ind w:left="5" w:leftChars="0" w:firstLine="415" w:firstLineChars="0"/>
        <w:textAlignment w:val="auto"/>
        <w:outlineLvl w:val="9"/>
        <w:rPr>
          <w:rFonts w:hint="eastAsia" w:ascii="宋体" w:hAnsi="宋体" w:eastAsia="宋体" w:cs="宋体"/>
          <w:b w:val="0"/>
          <w:bCs/>
          <w:color w:val="auto"/>
          <w:kern w:val="0"/>
          <w:sz w:val="21"/>
          <w:szCs w:val="21"/>
          <w:highlight w:val="none"/>
        </w:rPr>
      </w:pPr>
      <w:r>
        <w:rPr>
          <w:rFonts w:hint="eastAsia" w:ascii="宋体" w:hAnsi="宋体" w:eastAsia="宋体" w:cs="宋体"/>
          <w:b w:val="0"/>
          <w:bCs/>
          <w:color w:val="auto"/>
          <w:kern w:val="0"/>
          <w:sz w:val="21"/>
          <w:szCs w:val="21"/>
          <w:highlight w:val="none"/>
        </w:rPr>
        <w:t>经磋商确定最终采购需求和提交最后报价的供应商后，由磋商小组采用综合评分法对提交最后报价的供应商的响应文件和最后报价进行综合评分。</w:t>
      </w:r>
    </w:p>
    <w:p>
      <w:pPr>
        <w:keepNext w:val="0"/>
        <w:keepLines w:val="0"/>
        <w:pageBreakBefore w:val="0"/>
        <w:widowControl w:val="0"/>
        <w:numPr>
          <w:ilvl w:val="0"/>
          <w:numId w:val="33"/>
        </w:numPr>
        <w:kinsoku/>
        <w:wordWrap/>
        <w:overflowPunct/>
        <w:topLinePunct w:val="0"/>
        <w:autoSpaceDE/>
        <w:autoSpaceDN/>
        <w:bidi w:val="0"/>
        <w:adjustRightInd w:val="0"/>
        <w:snapToGrid/>
        <w:spacing w:line="400" w:lineRule="exact"/>
        <w:ind w:left="425" w:leftChars="0" w:hanging="5" w:firstLineChars="0"/>
        <w:textAlignment w:val="auto"/>
        <w:outlineLvl w:val="9"/>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比较与评价。</w:t>
      </w:r>
    </w:p>
    <w:p>
      <w:pPr>
        <w:keepNext w:val="0"/>
        <w:keepLines w:val="0"/>
        <w:pageBreakBefore w:val="0"/>
        <w:widowControl w:val="0"/>
        <w:kinsoku/>
        <w:wordWrap/>
        <w:overflowPunct/>
        <w:topLinePunct w:val="0"/>
        <w:autoSpaceDE/>
        <w:autoSpaceDN/>
        <w:bidi w:val="0"/>
        <w:adjustRightInd w:val="0"/>
        <w:snapToGrid/>
        <w:spacing w:line="400" w:lineRule="exact"/>
        <w:ind w:firstLine="411" w:firstLineChars="196"/>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磋商小组</w:t>
      </w:r>
      <w:r>
        <w:rPr>
          <w:rFonts w:hint="eastAsia" w:ascii="宋体" w:hAnsi="宋体" w:eastAsia="宋体" w:cs="宋体"/>
          <w:color w:val="auto"/>
          <w:kern w:val="0"/>
          <w:sz w:val="21"/>
          <w:szCs w:val="21"/>
          <w:highlight w:val="none"/>
        </w:rPr>
        <w:t>应当按照</w:t>
      </w:r>
      <w:r>
        <w:rPr>
          <w:rFonts w:hint="eastAsia" w:ascii="宋体" w:hAnsi="宋体" w:eastAsia="宋体" w:cs="宋体"/>
          <w:color w:val="auto"/>
          <w:kern w:val="0"/>
          <w:sz w:val="21"/>
          <w:szCs w:val="21"/>
          <w:highlight w:val="none"/>
          <w:lang w:eastAsia="zh-CN"/>
        </w:rPr>
        <w:t>磋商文件</w:t>
      </w:r>
      <w:r>
        <w:rPr>
          <w:rFonts w:hint="eastAsia" w:ascii="宋体" w:hAnsi="宋体" w:eastAsia="宋体" w:cs="宋体"/>
          <w:color w:val="auto"/>
          <w:kern w:val="0"/>
          <w:sz w:val="21"/>
          <w:szCs w:val="21"/>
          <w:highlight w:val="none"/>
        </w:rPr>
        <w:t>中规定的评标方法和标准，对符合性审查合格的</w:t>
      </w:r>
      <w:r>
        <w:rPr>
          <w:rFonts w:hint="eastAsia" w:ascii="宋体" w:hAnsi="宋体" w:eastAsia="宋体" w:cs="宋体"/>
          <w:color w:val="auto"/>
          <w:kern w:val="0"/>
          <w:sz w:val="21"/>
          <w:szCs w:val="21"/>
          <w:highlight w:val="none"/>
          <w:lang w:eastAsia="zh-CN"/>
        </w:rPr>
        <w:t>磋商响应文件</w:t>
      </w:r>
      <w:r>
        <w:rPr>
          <w:rFonts w:hint="eastAsia" w:ascii="宋体" w:hAnsi="宋体" w:eastAsia="宋体" w:cs="宋体"/>
          <w:color w:val="auto"/>
          <w:kern w:val="0"/>
          <w:sz w:val="21"/>
          <w:szCs w:val="21"/>
          <w:highlight w:val="none"/>
        </w:rPr>
        <w:t>进行商务和技术评估，综合比较与评价。</w:t>
      </w:r>
    </w:p>
    <w:p>
      <w:pPr>
        <w:keepNext w:val="0"/>
        <w:keepLines w:val="0"/>
        <w:pageBreakBefore w:val="0"/>
        <w:widowControl w:val="0"/>
        <w:numPr>
          <w:ilvl w:val="0"/>
          <w:numId w:val="33"/>
        </w:numPr>
        <w:kinsoku/>
        <w:wordWrap/>
        <w:overflowPunct/>
        <w:topLinePunct w:val="0"/>
        <w:autoSpaceDE/>
        <w:autoSpaceDN/>
        <w:bidi w:val="0"/>
        <w:adjustRightInd w:val="0"/>
        <w:snapToGrid/>
        <w:spacing w:line="400" w:lineRule="exact"/>
        <w:ind w:left="425" w:leftChars="0" w:hanging="5" w:firstLineChars="0"/>
        <w:textAlignment w:val="auto"/>
        <w:outlineLvl w:val="9"/>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汇总商务技术得分。</w:t>
      </w:r>
    </w:p>
    <w:p>
      <w:pPr>
        <w:keepNext w:val="0"/>
        <w:keepLines w:val="0"/>
        <w:pageBreakBefore w:val="0"/>
        <w:widowControl w:val="0"/>
        <w:kinsoku/>
        <w:wordWrap/>
        <w:overflowPunct/>
        <w:topLinePunct w:val="0"/>
        <w:autoSpaceDE/>
        <w:autoSpaceDN/>
        <w:bidi w:val="0"/>
        <w:adjustRightInd w:val="0"/>
        <w:snapToGrid/>
        <w:spacing w:line="400" w:lineRule="exact"/>
        <w:ind w:firstLine="411" w:firstLineChars="196"/>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磋商小组</w:t>
      </w:r>
      <w:r>
        <w:rPr>
          <w:rFonts w:hint="eastAsia" w:ascii="宋体" w:hAnsi="宋体" w:eastAsia="宋体" w:cs="宋体"/>
          <w:color w:val="auto"/>
          <w:kern w:val="0"/>
          <w:sz w:val="21"/>
          <w:szCs w:val="21"/>
          <w:highlight w:val="none"/>
        </w:rPr>
        <w:t>各成员应当独立对每个</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的商务和技术文件进行评价，并汇总商务技术得分情况。</w:t>
      </w:r>
    </w:p>
    <w:p>
      <w:pPr>
        <w:keepNext w:val="0"/>
        <w:keepLines w:val="0"/>
        <w:pageBreakBefore w:val="0"/>
        <w:widowControl w:val="0"/>
        <w:numPr>
          <w:ilvl w:val="0"/>
          <w:numId w:val="33"/>
        </w:numPr>
        <w:kinsoku/>
        <w:wordWrap/>
        <w:overflowPunct/>
        <w:topLinePunct w:val="0"/>
        <w:autoSpaceDE/>
        <w:autoSpaceDN/>
        <w:bidi w:val="0"/>
        <w:adjustRightInd w:val="0"/>
        <w:snapToGrid/>
        <w:spacing w:line="400" w:lineRule="exact"/>
        <w:ind w:left="425" w:leftChars="0" w:hanging="5" w:firstLineChars="0"/>
        <w:textAlignment w:val="auto"/>
        <w:outlineLvl w:val="9"/>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报价评审。</w:t>
      </w:r>
    </w:p>
    <w:p>
      <w:pPr>
        <w:pStyle w:val="29"/>
        <w:keepNext w:val="0"/>
        <w:keepLines w:val="0"/>
        <w:pageBreakBefore w:val="0"/>
        <w:widowControl w:val="0"/>
        <w:numPr>
          <w:ilvl w:val="0"/>
          <w:numId w:val="35"/>
        </w:numPr>
        <w:kinsoku/>
        <w:wordWrap/>
        <w:overflowPunct/>
        <w:topLinePunct w:val="0"/>
        <w:autoSpaceDE/>
        <w:autoSpaceDN/>
        <w:bidi w:val="0"/>
        <w:adjustRightInd w:val="0"/>
        <w:snapToGrid/>
        <w:spacing w:before="0" w:line="400" w:lineRule="exact"/>
        <w:ind w:left="425" w:leftChars="0" w:hanging="5"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磋商响应文件</w:t>
      </w:r>
      <w:r>
        <w:rPr>
          <w:rFonts w:hint="eastAsia" w:ascii="宋体" w:hAnsi="宋体" w:eastAsia="宋体" w:cs="宋体"/>
          <w:color w:val="auto"/>
          <w:kern w:val="0"/>
          <w:sz w:val="21"/>
          <w:szCs w:val="21"/>
          <w:highlight w:val="none"/>
        </w:rPr>
        <w:t>报价出现前后不一致的，按照下列规定修正：</w:t>
      </w:r>
    </w:p>
    <w:p>
      <w:pPr>
        <w:pStyle w:val="29"/>
        <w:keepNext w:val="0"/>
        <w:keepLines w:val="0"/>
        <w:pageBreakBefore w:val="0"/>
        <w:widowControl w:val="0"/>
        <w:numPr>
          <w:ilvl w:val="0"/>
          <w:numId w:val="36"/>
        </w:numPr>
        <w:tabs>
          <w:tab w:val="left" w:pos="0"/>
          <w:tab w:val="clear" w:pos="420"/>
        </w:tabs>
        <w:kinsoku/>
        <w:wordWrap/>
        <w:overflowPunct/>
        <w:topLinePunct w:val="0"/>
        <w:autoSpaceDE/>
        <w:autoSpaceDN/>
        <w:bidi w:val="0"/>
        <w:adjustRightInd w:val="0"/>
        <w:snapToGrid/>
        <w:spacing w:before="0" w:line="400" w:lineRule="exact"/>
        <w:ind w:left="5" w:leftChars="0" w:firstLine="415"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磋商响应文件</w:t>
      </w:r>
      <w:r>
        <w:rPr>
          <w:rFonts w:hint="eastAsia" w:ascii="宋体" w:hAnsi="宋体" w:eastAsia="宋体" w:cs="宋体"/>
          <w:color w:val="auto"/>
          <w:kern w:val="0"/>
          <w:sz w:val="21"/>
          <w:szCs w:val="21"/>
          <w:highlight w:val="none"/>
        </w:rPr>
        <w:t>中开标一览表(报价表)内容与</w:t>
      </w:r>
      <w:r>
        <w:rPr>
          <w:rFonts w:hint="eastAsia" w:ascii="宋体" w:hAnsi="宋体" w:eastAsia="宋体" w:cs="宋体"/>
          <w:color w:val="auto"/>
          <w:kern w:val="0"/>
          <w:sz w:val="21"/>
          <w:szCs w:val="21"/>
          <w:highlight w:val="none"/>
          <w:lang w:eastAsia="zh-CN"/>
        </w:rPr>
        <w:t>磋商响应文件</w:t>
      </w:r>
      <w:r>
        <w:rPr>
          <w:rFonts w:hint="eastAsia" w:ascii="宋体" w:hAnsi="宋体" w:eastAsia="宋体" w:cs="宋体"/>
          <w:color w:val="auto"/>
          <w:kern w:val="0"/>
          <w:sz w:val="21"/>
          <w:szCs w:val="21"/>
          <w:highlight w:val="none"/>
        </w:rPr>
        <w:t>中相应内容不一致的，以开标一览表(报价表)为准</w:t>
      </w:r>
      <w:r>
        <w:rPr>
          <w:rFonts w:hint="eastAsia" w:ascii="宋体" w:hAnsi="宋体" w:cs="宋体"/>
          <w:color w:val="auto"/>
          <w:kern w:val="0"/>
          <w:sz w:val="21"/>
          <w:szCs w:val="21"/>
          <w:highlight w:val="none"/>
          <w:lang w:eastAsia="zh-CN"/>
        </w:rPr>
        <w:t>；</w:t>
      </w:r>
    </w:p>
    <w:p>
      <w:pPr>
        <w:pStyle w:val="29"/>
        <w:keepNext w:val="0"/>
        <w:keepLines w:val="0"/>
        <w:pageBreakBefore w:val="0"/>
        <w:widowControl w:val="0"/>
        <w:numPr>
          <w:ilvl w:val="0"/>
          <w:numId w:val="36"/>
        </w:numPr>
        <w:tabs>
          <w:tab w:val="left" w:pos="0"/>
          <w:tab w:val="clear" w:pos="420"/>
        </w:tabs>
        <w:kinsoku/>
        <w:wordWrap/>
        <w:overflowPunct/>
        <w:topLinePunct w:val="0"/>
        <w:autoSpaceDE/>
        <w:autoSpaceDN/>
        <w:bidi w:val="0"/>
        <w:adjustRightInd w:val="0"/>
        <w:snapToGrid/>
        <w:spacing w:before="0" w:line="400" w:lineRule="exact"/>
        <w:ind w:left="5" w:leftChars="0" w:firstLine="415"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大写金额和小写金额不一致的，以大写金额为准</w:t>
      </w:r>
      <w:r>
        <w:rPr>
          <w:rFonts w:hint="eastAsia" w:ascii="宋体" w:hAnsi="宋体" w:cs="宋体"/>
          <w:color w:val="auto"/>
          <w:kern w:val="0"/>
          <w:sz w:val="21"/>
          <w:szCs w:val="21"/>
          <w:highlight w:val="none"/>
          <w:lang w:eastAsia="zh-CN"/>
        </w:rPr>
        <w:t>；</w:t>
      </w:r>
    </w:p>
    <w:p>
      <w:pPr>
        <w:pStyle w:val="29"/>
        <w:keepNext w:val="0"/>
        <w:keepLines w:val="0"/>
        <w:pageBreakBefore w:val="0"/>
        <w:widowControl w:val="0"/>
        <w:numPr>
          <w:ilvl w:val="0"/>
          <w:numId w:val="36"/>
        </w:numPr>
        <w:tabs>
          <w:tab w:val="left" w:pos="0"/>
          <w:tab w:val="clear" w:pos="420"/>
        </w:tabs>
        <w:kinsoku/>
        <w:wordWrap/>
        <w:overflowPunct/>
        <w:topLinePunct w:val="0"/>
        <w:autoSpaceDE/>
        <w:autoSpaceDN/>
        <w:bidi w:val="0"/>
        <w:adjustRightInd w:val="0"/>
        <w:snapToGrid/>
        <w:spacing w:before="0" w:line="400" w:lineRule="exact"/>
        <w:ind w:left="5" w:leftChars="0" w:firstLine="415"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单价金额小数点或者百分比有明显错位的，以开标一览表的总价为准，并修改单价</w:t>
      </w:r>
      <w:r>
        <w:rPr>
          <w:rFonts w:hint="eastAsia" w:ascii="宋体" w:hAnsi="宋体" w:cs="宋体"/>
          <w:color w:val="auto"/>
          <w:kern w:val="0"/>
          <w:sz w:val="21"/>
          <w:szCs w:val="21"/>
          <w:highlight w:val="none"/>
          <w:lang w:eastAsia="zh-CN"/>
        </w:rPr>
        <w:t>；</w:t>
      </w:r>
    </w:p>
    <w:p>
      <w:pPr>
        <w:pStyle w:val="29"/>
        <w:keepNext w:val="0"/>
        <w:keepLines w:val="0"/>
        <w:pageBreakBefore w:val="0"/>
        <w:widowControl w:val="0"/>
        <w:numPr>
          <w:ilvl w:val="0"/>
          <w:numId w:val="36"/>
        </w:numPr>
        <w:tabs>
          <w:tab w:val="left" w:pos="0"/>
          <w:tab w:val="clear" w:pos="420"/>
        </w:tabs>
        <w:kinsoku/>
        <w:wordWrap/>
        <w:overflowPunct/>
        <w:topLinePunct w:val="0"/>
        <w:autoSpaceDE/>
        <w:autoSpaceDN/>
        <w:bidi w:val="0"/>
        <w:adjustRightInd w:val="0"/>
        <w:snapToGrid/>
        <w:spacing w:before="0" w:line="400" w:lineRule="exact"/>
        <w:ind w:left="5" w:leftChars="0" w:firstLine="415" w:firstLineChars="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总价金额与按单价汇总金额不一致的，以单价金额计算结果为准</w:t>
      </w:r>
      <w:r>
        <w:rPr>
          <w:rFonts w:hint="eastAsia" w:ascii="宋体" w:hAnsi="宋体" w:cs="宋体"/>
          <w:color w:val="auto"/>
          <w:kern w:val="0"/>
          <w:sz w:val="21"/>
          <w:szCs w:val="21"/>
          <w:highlight w:val="none"/>
          <w:lang w:eastAsia="zh-CN"/>
        </w:rPr>
        <w:t>；</w:t>
      </w:r>
    </w:p>
    <w:p>
      <w:pPr>
        <w:pStyle w:val="29"/>
        <w:keepNext w:val="0"/>
        <w:keepLines w:val="0"/>
        <w:pageBreakBefore w:val="0"/>
        <w:widowControl w:val="0"/>
        <w:numPr>
          <w:ilvl w:val="0"/>
          <w:numId w:val="36"/>
        </w:numPr>
        <w:tabs>
          <w:tab w:val="left" w:pos="0"/>
          <w:tab w:val="clear" w:pos="420"/>
        </w:tabs>
        <w:kinsoku/>
        <w:wordWrap/>
        <w:overflowPunct/>
        <w:topLinePunct w:val="0"/>
        <w:autoSpaceDE/>
        <w:autoSpaceDN/>
        <w:bidi w:val="0"/>
        <w:adjustRightInd w:val="0"/>
        <w:snapToGrid/>
        <w:spacing w:before="0" w:line="400" w:lineRule="exact"/>
        <w:ind w:left="5" w:leftChars="0" w:firstLine="415" w:firstLineChars="0"/>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同时出现两种以上不一致的，按照3.</w:t>
      </w: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.1规定的顺序修正。</w:t>
      </w:r>
      <w:r>
        <w:rPr>
          <w:rFonts w:hint="eastAsia" w:ascii="宋体" w:hAnsi="宋体" w:cs="宋体"/>
          <w:color w:val="auto"/>
          <w:kern w:val="0"/>
          <w:sz w:val="21"/>
          <w:szCs w:val="21"/>
          <w:highlight w:val="none"/>
          <w:lang w:eastAsia="zh-CN"/>
        </w:rPr>
        <w:t>供应商修正后的报价采用书面形式，并电子签章，或者由法定代表人或其授权的代表签字后扫描上传。供应商不确认的，其响应无效。</w:t>
      </w:r>
    </w:p>
    <w:p>
      <w:pPr>
        <w:pStyle w:val="29"/>
        <w:keepNext w:val="0"/>
        <w:keepLines w:val="0"/>
        <w:pageBreakBefore w:val="0"/>
        <w:widowControl w:val="0"/>
        <w:numPr>
          <w:ilvl w:val="0"/>
          <w:numId w:val="35"/>
        </w:numPr>
        <w:tabs>
          <w:tab w:val="left" w:pos="0"/>
          <w:tab w:val="clear" w:pos="420"/>
        </w:tabs>
        <w:kinsoku/>
        <w:wordWrap/>
        <w:overflowPunct/>
        <w:topLinePunct w:val="0"/>
        <w:autoSpaceDE/>
        <w:autoSpaceDN/>
        <w:bidi w:val="0"/>
        <w:adjustRightInd w:val="0"/>
        <w:snapToGrid/>
        <w:spacing w:before="0" w:line="400" w:lineRule="exact"/>
        <w:ind w:left="5" w:leftChars="0" w:firstLine="415" w:firstLineChars="0"/>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磋商响应文件出现不是唯一的、有选择性</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lang w:eastAsia="zh-CN"/>
        </w:rPr>
        <w:t>的，</w:t>
      </w:r>
      <w:r>
        <w:rPr>
          <w:rFonts w:hint="eastAsia" w:ascii="宋体" w:hAnsi="宋体" w:cs="宋体"/>
          <w:color w:val="auto"/>
          <w:kern w:val="0"/>
          <w:sz w:val="21"/>
          <w:szCs w:val="21"/>
          <w:highlight w:val="none"/>
          <w:lang w:eastAsia="zh-CN"/>
        </w:rPr>
        <w:t>响应无效</w:t>
      </w:r>
      <w:r>
        <w:rPr>
          <w:rFonts w:hint="eastAsia" w:ascii="宋体" w:hAnsi="宋体" w:eastAsia="宋体" w:cs="宋体"/>
          <w:color w:val="auto"/>
          <w:kern w:val="0"/>
          <w:sz w:val="21"/>
          <w:szCs w:val="21"/>
          <w:highlight w:val="none"/>
          <w:lang w:eastAsia="zh-CN"/>
        </w:rPr>
        <w:t>。</w:t>
      </w:r>
    </w:p>
    <w:p>
      <w:pPr>
        <w:pStyle w:val="29"/>
        <w:keepNext w:val="0"/>
        <w:keepLines w:val="0"/>
        <w:pageBreakBefore w:val="0"/>
        <w:widowControl w:val="0"/>
        <w:numPr>
          <w:ilvl w:val="0"/>
          <w:numId w:val="35"/>
        </w:numPr>
        <w:tabs>
          <w:tab w:val="left" w:pos="0"/>
          <w:tab w:val="clear" w:pos="420"/>
        </w:tabs>
        <w:kinsoku/>
        <w:wordWrap/>
        <w:overflowPunct/>
        <w:topLinePunct w:val="0"/>
        <w:autoSpaceDE/>
        <w:autoSpaceDN/>
        <w:bidi w:val="0"/>
        <w:adjustRightInd w:val="0"/>
        <w:snapToGrid/>
        <w:spacing w:before="0" w:line="400" w:lineRule="exact"/>
        <w:ind w:left="5" w:leftChars="0" w:firstLine="415" w:firstLineChars="0"/>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lang w:eastAsia="zh-CN"/>
        </w:rPr>
        <w:t>超过磋商文件中规定的预算金额或者最高限价的，</w:t>
      </w:r>
      <w:r>
        <w:rPr>
          <w:rFonts w:hint="eastAsia" w:ascii="宋体" w:hAnsi="宋体" w:cs="宋体"/>
          <w:color w:val="auto"/>
          <w:kern w:val="0"/>
          <w:sz w:val="21"/>
          <w:szCs w:val="21"/>
          <w:highlight w:val="none"/>
          <w:lang w:eastAsia="zh-CN"/>
        </w:rPr>
        <w:t>响应无效</w:t>
      </w:r>
      <w:r>
        <w:rPr>
          <w:rFonts w:hint="eastAsia" w:ascii="宋体" w:hAnsi="宋体" w:eastAsia="宋体" w:cs="宋体"/>
          <w:color w:val="auto"/>
          <w:kern w:val="0"/>
          <w:sz w:val="21"/>
          <w:szCs w:val="21"/>
          <w:highlight w:val="none"/>
          <w:lang w:eastAsia="zh-CN"/>
        </w:rPr>
        <w:t>。</w:t>
      </w:r>
    </w:p>
    <w:p>
      <w:pPr>
        <w:pStyle w:val="29"/>
        <w:keepNext w:val="0"/>
        <w:keepLines w:val="0"/>
        <w:pageBreakBefore w:val="0"/>
        <w:widowControl w:val="0"/>
        <w:numPr>
          <w:ilvl w:val="0"/>
          <w:numId w:val="35"/>
        </w:numPr>
        <w:tabs>
          <w:tab w:val="left" w:pos="0"/>
          <w:tab w:val="clear" w:pos="420"/>
        </w:tabs>
        <w:kinsoku/>
        <w:wordWrap/>
        <w:overflowPunct/>
        <w:topLinePunct w:val="0"/>
        <w:autoSpaceDE/>
        <w:autoSpaceDN/>
        <w:bidi w:val="0"/>
        <w:adjustRightInd w:val="0"/>
        <w:snapToGrid/>
        <w:spacing w:before="0" w:line="400" w:lineRule="exact"/>
        <w:ind w:left="5" w:leftChars="0" w:firstLine="415" w:firstLineChars="0"/>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磋商小组认为磋商供应商的报价明显低于其他通过符合性审查磋商供应商的报价，有可能影响产品质量或者不能诚信履约的，应当要求其在合理的时间内提供书面说明，必要时提交相关证明材料;磋商供应商不能证明其报价合理性的，磋商小组应当将其作为无效投标处理。</w:t>
      </w:r>
    </w:p>
    <w:p>
      <w:pPr>
        <w:pStyle w:val="29"/>
        <w:keepNext w:val="0"/>
        <w:keepLines w:val="0"/>
        <w:pageBreakBefore w:val="0"/>
        <w:widowControl w:val="0"/>
        <w:numPr>
          <w:ilvl w:val="0"/>
          <w:numId w:val="35"/>
        </w:numPr>
        <w:tabs>
          <w:tab w:val="left" w:pos="0"/>
          <w:tab w:val="clear" w:pos="420"/>
        </w:tabs>
        <w:kinsoku/>
        <w:wordWrap/>
        <w:overflowPunct/>
        <w:topLinePunct w:val="0"/>
        <w:autoSpaceDE/>
        <w:autoSpaceDN/>
        <w:bidi w:val="0"/>
        <w:adjustRightInd w:val="0"/>
        <w:snapToGrid/>
        <w:spacing w:before="0" w:line="400" w:lineRule="exact"/>
        <w:ind w:left="5" w:leftChars="0" w:firstLine="415" w:firstLineChars="0"/>
        <w:textAlignment w:val="auto"/>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对于未预留份额专门面向中小企业的政府采购</w:t>
      </w:r>
      <w:r>
        <w:rPr>
          <w:rFonts w:hint="eastAsia" w:ascii="宋体" w:hAnsi="宋体" w:cs="宋体"/>
          <w:color w:val="auto"/>
          <w:kern w:val="0"/>
          <w:sz w:val="21"/>
          <w:szCs w:val="21"/>
          <w:highlight w:val="none"/>
          <w:lang w:eastAsia="zh-CN"/>
        </w:rPr>
        <w:t>工程</w:t>
      </w:r>
      <w:r>
        <w:rPr>
          <w:rFonts w:hint="eastAsia" w:ascii="宋体" w:hAnsi="宋体" w:eastAsia="宋体" w:cs="宋体"/>
          <w:color w:val="auto"/>
          <w:kern w:val="0"/>
          <w:sz w:val="21"/>
          <w:szCs w:val="21"/>
          <w:highlight w:val="none"/>
          <w:lang w:eastAsia="zh-CN"/>
        </w:rPr>
        <w:t>项目，以及预留份额政府采购</w:t>
      </w:r>
      <w:r>
        <w:rPr>
          <w:rFonts w:hint="eastAsia" w:ascii="宋体" w:hAnsi="宋体" w:cs="宋体"/>
          <w:color w:val="auto"/>
          <w:kern w:val="0"/>
          <w:sz w:val="21"/>
          <w:szCs w:val="21"/>
          <w:highlight w:val="none"/>
          <w:lang w:eastAsia="zh-CN"/>
        </w:rPr>
        <w:t>工程</w:t>
      </w:r>
      <w:r>
        <w:rPr>
          <w:rFonts w:hint="eastAsia" w:ascii="宋体" w:hAnsi="宋体" w:eastAsia="宋体" w:cs="宋体"/>
          <w:color w:val="auto"/>
          <w:kern w:val="0"/>
          <w:sz w:val="21"/>
          <w:szCs w:val="21"/>
          <w:highlight w:val="none"/>
          <w:lang w:eastAsia="zh-CN"/>
        </w:rPr>
        <w:t>项目中的非预留部分标项，对小型和微型企业的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lang w:eastAsia="zh-CN"/>
        </w:rPr>
        <w:t>给予</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eastAsia="zh-CN"/>
        </w:rPr>
        <w:t>的扣除，用扣除后的价格参与评审。接受大中型企业与小微企业组成联合体或者允许大中型企业向一家或者多家小微企业分包的政府采购</w:t>
      </w:r>
      <w:r>
        <w:rPr>
          <w:rFonts w:hint="eastAsia" w:ascii="宋体" w:hAnsi="宋体" w:cs="宋体"/>
          <w:color w:val="auto"/>
          <w:kern w:val="0"/>
          <w:sz w:val="21"/>
          <w:szCs w:val="21"/>
          <w:highlight w:val="none"/>
          <w:lang w:eastAsia="zh-CN"/>
        </w:rPr>
        <w:t>工程</w:t>
      </w:r>
      <w:r>
        <w:rPr>
          <w:rFonts w:hint="eastAsia" w:ascii="宋体" w:hAnsi="宋体" w:eastAsia="宋体" w:cs="宋体"/>
          <w:color w:val="auto"/>
          <w:kern w:val="0"/>
          <w:sz w:val="21"/>
          <w:szCs w:val="21"/>
          <w:highlight w:val="none"/>
          <w:lang w:eastAsia="zh-CN"/>
        </w:rPr>
        <w:t>项目，对于联合协议或者分包意向协议约定小微企业的合同份额占到合同总金额30%以上的，对联合体或者大中型企业的报价给予</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eastAsia="zh-CN"/>
        </w:rPr>
        <w:t>的扣除，用扣除后的价格参加评审。组成联合体或者接受分包的小微企业与联合体内其他企业、分包企业之间存在直接控股、管理关系的，不享受价格扣除优惠政策。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adjustRightInd w:val="0"/>
        <w:snapToGrid/>
        <w:spacing w:line="400" w:lineRule="exact"/>
        <w:ind w:firstLine="422" w:firstLineChars="200"/>
        <w:textAlignment w:val="auto"/>
        <w:outlineLvl w:val="9"/>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3.5排序与推荐。</w:t>
      </w:r>
    </w:p>
    <w:p>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采用综合评分法的，评标结果按评审后得分由高到低顺序排列。得分相同的，按</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由低到高顺序排列。得分且</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相同的并列。</w:t>
      </w:r>
      <w:r>
        <w:rPr>
          <w:rFonts w:hint="eastAsia" w:ascii="宋体" w:hAnsi="宋体" w:eastAsia="宋体" w:cs="宋体"/>
          <w:color w:val="auto"/>
          <w:kern w:val="0"/>
          <w:sz w:val="21"/>
          <w:szCs w:val="21"/>
          <w:highlight w:val="none"/>
          <w:lang w:eastAsia="zh-CN"/>
        </w:rPr>
        <w:t>磋商响应文件</w:t>
      </w:r>
      <w:r>
        <w:rPr>
          <w:rFonts w:hint="eastAsia" w:ascii="宋体" w:hAnsi="宋体" w:eastAsia="宋体" w:cs="宋体"/>
          <w:color w:val="auto"/>
          <w:kern w:val="0"/>
          <w:sz w:val="21"/>
          <w:szCs w:val="21"/>
          <w:highlight w:val="none"/>
        </w:rPr>
        <w:t>满足</w:t>
      </w:r>
      <w:r>
        <w:rPr>
          <w:rFonts w:hint="eastAsia" w:ascii="宋体" w:hAnsi="宋体" w:eastAsia="宋体" w:cs="宋体"/>
          <w:color w:val="auto"/>
          <w:kern w:val="0"/>
          <w:sz w:val="21"/>
          <w:szCs w:val="21"/>
          <w:highlight w:val="none"/>
          <w:lang w:eastAsia="zh-CN"/>
        </w:rPr>
        <w:t>磋商文件</w:t>
      </w:r>
      <w:r>
        <w:rPr>
          <w:rFonts w:hint="eastAsia" w:ascii="宋体" w:hAnsi="宋体" w:eastAsia="宋体" w:cs="宋体"/>
          <w:color w:val="auto"/>
          <w:kern w:val="0"/>
          <w:sz w:val="21"/>
          <w:szCs w:val="21"/>
          <w:highlight w:val="none"/>
        </w:rPr>
        <w:t>全部实质性要求，且按照评审因素的量化指标评审得分最高的</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为排名第一的</w:t>
      </w:r>
      <w:r>
        <w:rPr>
          <w:rFonts w:hint="eastAsia" w:ascii="宋体" w:hAnsi="宋体" w:cs="宋体"/>
          <w:color w:val="auto"/>
          <w:kern w:val="0"/>
          <w:sz w:val="21"/>
          <w:szCs w:val="21"/>
          <w:highlight w:val="none"/>
          <w:lang w:eastAsia="zh-CN"/>
        </w:rPr>
        <w:t>成交候选人</w:t>
      </w:r>
      <w:r>
        <w:rPr>
          <w:rFonts w:hint="eastAsia" w:ascii="宋体" w:hAnsi="宋体" w:eastAsia="宋体" w:cs="宋体"/>
          <w:color w:val="auto"/>
          <w:kern w:val="0"/>
          <w:sz w:val="21"/>
          <w:szCs w:val="21"/>
          <w:highlight w:val="none"/>
        </w:rPr>
        <w:t>。</w:t>
      </w:r>
    </w:p>
    <w:p>
      <w:pPr>
        <w:keepNext w:val="0"/>
        <w:keepLines w:val="0"/>
        <w:pageBreakBefore w:val="0"/>
        <w:widowControl w:val="0"/>
        <w:kinsoku/>
        <w:wordWrap/>
        <w:overflowPunct/>
        <w:topLinePunct w:val="0"/>
        <w:autoSpaceDE/>
        <w:autoSpaceDN/>
        <w:bidi w:val="0"/>
        <w:adjustRightInd w:val="0"/>
        <w:snapToGrid/>
        <w:spacing w:line="400" w:lineRule="exact"/>
        <w:ind w:firstLine="420" w:firstLineChars="200"/>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多家</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提供相同品牌产品（单一产品采购项目中的该产品或者非单一产品采购项目的核心产品）且通过资格审查、符合性审查的不同</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参加同一合同项下投标的，按一家</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计算，评审后得分最高的同品牌</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获得</w:t>
      </w:r>
      <w:r>
        <w:rPr>
          <w:rFonts w:hint="eastAsia" w:ascii="宋体" w:hAnsi="宋体" w:eastAsia="宋体" w:cs="宋体"/>
          <w:color w:val="auto"/>
          <w:kern w:val="0"/>
          <w:sz w:val="21"/>
          <w:szCs w:val="21"/>
          <w:highlight w:val="none"/>
          <w:lang w:eastAsia="zh-CN"/>
        </w:rPr>
        <w:t>成交供应商</w:t>
      </w:r>
      <w:r>
        <w:rPr>
          <w:rFonts w:hint="eastAsia" w:ascii="宋体" w:hAnsi="宋体" w:eastAsia="宋体" w:cs="宋体"/>
          <w:color w:val="auto"/>
          <w:kern w:val="0"/>
          <w:sz w:val="21"/>
          <w:szCs w:val="21"/>
          <w:highlight w:val="none"/>
        </w:rPr>
        <w:t>推荐资格；评审得分相同的，采取随机抽取方式确定，其他同品牌</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不作为</w:t>
      </w:r>
      <w:r>
        <w:rPr>
          <w:rFonts w:hint="eastAsia" w:ascii="宋体" w:hAnsi="宋体" w:cs="宋体"/>
          <w:color w:val="auto"/>
          <w:kern w:val="0"/>
          <w:sz w:val="21"/>
          <w:szCs w:val="21"/>
          <w:highlight w:val="none"/>
          <w:lang w:eastAsia="zh-CN"/>
        </w:rPr>
        <w:t>成交候选人</w:t>
      </w:r>
      <w:r>
        <w:rPr>
          <w:rFonts w:hint="eastAsia" w:ascii="宋体" w:hAnsi="宋体" w:eastAsia="宋体" w:cs="宋体"/>
          <w:color w:val="auto"/>
          <w:kern w:val="0"/>
          <w:sz w:val="21"/>
          <w:szCs w:val="21"/>
          <w:highlight w:val="none"/>
        </w:rPr>
        <w:t>。</w:t>
      </w:r>
    </w:p>
    <w:p>
      <w:pPr>
        <w:keepNext w:val="0"/>
        <w:keepLines w:val="0"/>
        <w:pageBreakBefore w:val="0"/>
        <w:widowControl w:val="0"/>
        <w:kinsoku/>
        <w:wordWrap/>
        <w:overflowPunct/>
        <w:topLinePunct w:val="0"/>
        <w:autoSpaceDE/>
        <w:autoSpaceDN/>
        <w:bidi w:val="0"/>
        <w:adjustRightInd w:val="0"/>
        <w:snapToGrid/>
        <w:spacing w:line="400" w:lineRule="exact"/>
        <w:ind w:firstLine="413" w:firstLineChars="196"/>
        <w:textAlignment w:val="auto"/>
        <w:outlineLvl w:val="9"/>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3.6编写评标报告。</w:t>
      </w:r>
    </w:p>
    <w:p>
      <w:pPr>
        <w:keepNext w:val="0"/>
        <w:keepLines w:val="0"/>
        <w:pageBreakBefore w:val="0"/>
        <w:widowControl w:val="0"/>
        <w:kinsoku/>
        <w:wordWrap/>
        <w:overflowPunct/>
        <w:topLinePunct w:val="0"/>
        <w:autoSpaceDE/>
        <w:autoSpaceDN/>
        <w:bidi w:val="0"/>
        <w:adjustRightInd w:val="0"/>
        <w:snapToGrid/>
        <w:spacing w:line="400" w:lineRule="exact"/>
        <w:ind w:firstLine="411" w:firstLineChars="196"/>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磋商小组</w:t>
      </w:r>
      <w:r>
        <w:rPr>
          <w:rFonts w:hint="eastAsia" w:ascii="宋体" w:hAnsi="宋体" w:eastAsia="宋体" w:cs="宋体"/>
          <w:color w:val="auto"/>
          <w:kern w:val="0"/>
          <w:sz w:val="21"/>
          <w:szCs w:val="21"/>
          <w:highlight w:val="none"/>
        </w:rPr>
        <w:t>根据全体评标成员签字的原始评标记录和评标结果</w:t>
      </w:r>
      <w:r>
        <w:rPr>
          <w:rFonts w:hint="eastAsia" w:ascii="宋体" w:hAnsi="宋体" w:eastAsia="宋体" w:cs="宋体"/>
          <w:color w:val="auto"/>
          <w:kern w:val="0"/>
          <w:sz w:val="21"/>
          <w:szCs w:val="21"/>
          <w:highlight w:val="none"/>
          <w:lang w:eastAsia="zh-CN"/>
        </w:rPr>
        <w:t>，</w:t>
      </w:r>
      <w:r>
        <w:rPr>
          <w:rFonts w:hint="eastAsia" w:ascii="宋体" w:hAnsi="宋体" w:eastAsia="宋体" w:cs="宋体"/>
          <w:b/>
          <w:bCs/>
          <w:color w:val="auto"/>
          <w:kern w:val="0"/>
          <w:sz w:val="21"/>
          <w:szCs w:val="21"/>
          <w:highlight w:val="none"/>
          <w:lang w:val="en-US" w:eastAsia="zh-CN"/>
        </w:rPr>
        <w:t>按照评审得分由高到低推荐中标候选供应商，</w:t>
      </w:r>
      <w:r>
        <w:rPr>
          <w:rFonts w:hint="eastAsia" w:ascii="宋体" w:hAnsi="宋体" w:eastAsia="宋体" w:cs="宋体"/>
          <w:color w:val="auto"/>
          <w:kern w:val="0"/>
          <w:sz w:val="21"/>
          <w:szCs w:val="21"/>
          <w:highlight w:val="none"/>
          <w:lang w:val="en-US" w:eastAsia="zh-CN"/>
        </w:rPr>
        <w:t>并</w:t>
      </w:r>
      <w:r>
        <w:rPr>
          <w:rFonts w:hint="eastAsia" w:ascii="宋体" w:hAnsi="宋体" w:eastAsia="宋体" w:cs="宋体"/>
          <w:color w:val="auto"/>
          <w:kern w:val="0"/>
          <w:sz w:val="21"/>
          <w:szCs w:val="21"/>
          <w:highlight w:val="none"/>
        </w:rPr>
        <w:t>编写评标报告。</w:t>
      </w:r>
      <w:r>
        <w:rPr>
          <w:rFonts w:hint="eastAsia" w:ascii="宋体" w:hAnsi="宋体" w:eastAsia="宋体" w:cs="宋体"/>
          <w:color w:val="auto"/>
          <w:kern w:val="0"/>
          <w:sz w:val="21"/>
          <w:szCs w:val="21"/>
          <w:highlight w:val="none"/>
          <w:lang w:eastAsia="zh-CN"/>
        </w:rPr>
        <w:t>磋商小组</w:t>
      </w:r>
      <w:r>
        <w:rPr>
          <w:rFonts w:hint="eastAsia" w:ascii="宋体" w:hAnsi="宋体" w:eastAsia="宋体" w:cs="宋体"/>
          <w:color w:val="auto"/>
          <w:kern w:val="0"/>
          <w:sz w:val="21"/>
          <w:szCs w:val="21"/>
          <w:highlight w:val="none"/>
        </w:rPr>
        <w:t>成员对需要共同认定的事项存在争议的，应当按照少数服从多数的原则作出结论。持不同意见的</w:t>
      </w:r>
      <w:r>
        <w:rPr>
          <w:rFonts w:hint="eastAsia" w:ascii="宋体" w:hAnsi="宋体" w:eastAsia="宋体" w:cs="宋体"/>
          <w:color w:val="auto"/>
          <w:kern w:val="0"/>
          <w:sz w:val="21"/>
          <w:szCs w:val="21"/>
          <w:highlight w:val="none"/>
          <w:lang w:eastAsia="zh-CN"/>
        </w:rPr>
        <w:t>磋商小组</w:t>
      </w:r>
      <w:r>
        <w:rPr>
          <w:rFonts w:hint="eastAsia" w:ascii="宋体" w:hAnsi="宋体" w:eastAsia="宋体" w:cs="宋体"/>
          <w:color w:val="auto"/>
          <w:kern w:val="0"/>
          <w:sz w:val="21"/>
          <w:szCs w:val="21"/>
          <w:highlight w:val="none"/>
        </w:rPr>
        <w:t>成员应当在评标报告上签署不同意见及理由，否则视为同意评标报告。</w:t>
      </w:r>
    </w:p>
    <w:p>
      <w:pPr>
        <w:keepNext w:val="0"/>
        <w:keepLines w:val="0"/>
        <w:pageBreakBefore w:val="0"/>
        <w:widowControl w:val="0"/>
        <w:numPr>
          <w:ilvl w:val="0"/>
          <w:numId w:val="32"/>
        </w:numPr>
        <w:kinsoku/>
        <w:wordWrap/>
        <w:overflowPunct/>
        <w:topLinePunct w:val="0"/>
        <w:autoSpaceDE/>
        <w:autoSpaceDN/>
        <w:bidi w:val="0"/>
        <w:adjustRightInd w:val="0"/>
        <w:snapToGrid w:val="0"/>
        <w:spacing w:beforeLines="50" w:afterLines="50" w:line="400" w:lineRule="exact"/>
        <w:ind w:left="0" w:leftChars="0" w:firstLine="0" w:firstLineChars="0"/>
        <w:textAlignment w:val="auto"/>
        <w:outlineLvl w:val="9"/>
        <w:rPr>
          <w:rFonts w:hint="eastAsia" w:ascii="宋体" w:hAnsi="宋体" w:eastAsia="宋体" w:cs="宋体"/>
          <w:b/>
          <w:bCs w:val="0"/>
          <w:color w:val="auto"/>
          <w:sz w:val="32"/>
          <w:highlight w:val="none"/>
        </w:rPr>
      </w:pPr>
      <w:r>
        <w:rPr>
          <w:rFonts w:hint="eastAsia" w:ascii="宋体" w:hAnsi="宋体" w:eastAsia="宋体" w:cs="宋体"/>
          <w:b/>
          <w:bCs w:val="0"/>
          <w:color w:val="auto"/>
          <w:sz w:val="32"/>
          <w:highlight w:val="none"/>
        </w:rPr>
        <w:t>评标中的其他事项</w:t>
      </w:r>
    </w:p>
    <w:p>
      <w:pPr>
        <w:pStyle w:val="29"/>
        <w:pageBreakBefore w:val="0"/>
        <w:numPr>
          <w:ilvl w:val="0"/>
          <w:numId w:val="37"/>
        </w:numPr>
        <w:kinsoku/>
        <w:wordWrap/>
        <w:overflowPunct/>
        <w:topLinePunct w:val="0"/>
        <w:autoSpaceDE/>
        <w:autoSpaceDN/>
        <w:bidi w:val="0"/>
        <w:spacing w:before="0" w:line="400" w:lineRule="exact"/>
        <w:ind w:left="425" w:leftChars="0" w:hanging="5" w:firstLineChars="0"/>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lang w:eastAsia="zh-CN"/>
        </w:rPr>
        <w:t>磋商供应商</w:t>
      </w:r>
      <w:r>
        <w:rPr>
          <w:rFonts w:hint="eastAsia" w:ascii="宋体" w:hAnsi="宋体" w:eastAsia="宋体" w:cs="宋体"/>
          <w:b/>
          <w:color w:val="auto"/>
          <w:kern w:val="0"/>
          <w:sz w:val="21"/>
          <w:szCs w:val="21"/>
          <w:highlight w:val="none"/>
        </w:rPr>
        <w:t>澄清、说明或者补正。</w:t>
      </w:r>
    </w:p>
    <w:p>
      <w:pPr>
        <w:pStyle w:val="29"/>
        <w:pageBreakBefore w:val="0"/>
        <w:numPr>
          <w:ilvl w:val="0"/>
          <w:numId w:val="38"/>
        </w:numPr>
        <w:tabs>
          <w:tab w:val="left" w:pos="0"/>
          <w:tab w:val="clear" w:pos="420"/>
        </w:tabs>
        <w:kinsoku/>
        <w:wordWrap/>
        <w:overflowPunct/>
        <w:topLinePunct w:val="0"/>
        <w:autoSpaceDE/>
        <w:autoSpaceDN/>
        <w:bidi w:val="0"/>
        <w:spacing w:before="0" w:line="400" w:lineRule="exact"/>
        <w:ind w:left="5" w:leftChars="0" w:firstLine="415"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对于</w:t>
      </w:r>
      <w:r>
        <w:rPr>
          <w:rFonts w:hint="eastAsia" w:ascii="宋体" w:hAnsi="宋体" w:eastAsia="宋体" w:cs="宋体"/>
          <w:color w:val="auto"/>
          <w:kern w:val="0"/>
          <w:sz w:val="21"/>
          <w:szCs w:val="21"/>
          <w:highlight w:val="none"/>
          <w:lang w:eastAsia="zh-CN"/>
        </w:rPr>
        <w:t>磋商响应文件</w:t>
      </w:r>
      <w:r>
        <w:rPr>
          <w:rFonts w:hint="eastAsia" w:ascii="宋体" w:hAnsi="宋体" w:eastAsia="宋体" w:cs="宋体"/>
          <w:color w:val="auto"/>
          <w:kern w:val="0"/>
          <w:sz w:val="21"/>
          <w:szCs w:val="21"/>
          <w:highlight w:val="none"/>
        </w:rPr>
        <w:t>中含义不明确、同类问题表述不一致或者有明显文字和计算错误的内容需要</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作出必要的澄清、说明或者补正的，</w:t>
      </w:r>
      <w:r>
        <w:rPr>
          <w:rFonts w:hint="eastAsia" w:ascii="宋体" w:hAnsi="宋体" w:eastAsia="宋体" w:cs="宋体"/>
          <w:color w:val="auto"/>
          <w:kern w:val="0"/>
          <w:sz w:val="21"/>
          <w:szCs w:val="21"/>
          <w:highlight w:val="none"/>
          <w:lang w:eastAsia="zh-CN"/>
        </w:rPr>
        <w:t>磋商小组</w:t>
      </w:r>
      <w:r>
        <w:rPr>
          <w:rFonts w:hint="eastAsia" w:ascii="宋体" w:hAnsi="宋体" w:eastAsia="宋体" w:cs="宋体"/>
          <w:color w:val="auto"/>
          <w:kern w:val="0"/>
          <w:sz w:val="21"/>
          <w:szCs w:val="21"/>
          <w:highlight w:val="none"/>
        </w:rPr>
        <w:t>和</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通过电子交易平台交换数据电文，</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提交使用电子签名的相关数据电文或通过平台上传加盖公章的扫描件。给予</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提交澄清、说明或补正的时间不得少于半小时，</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已经明确表示澄清说明或补正完毕的除外。</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的澄清、说明或者补正不得超出</w:t>
      </w:r>
      <w:r>
        <w:rPr>
          <w:rFonts w:hint="eastAsia" w:ascii="宋体" w:hAnsi="宋体" w:eastAsia="宋体" w:cs="宋体"/>
          <w:color w:val="auto"/>
          <w:kern w:val="0"/>
          <w:sz w:val="21"/>
          <w:szCs w:val="21"/>
          <w:highlight w:val="none"/>
          <w:lang w:eastAsia="zh-CN"/>
        </w:rPr>
        <w:t>磋商响应文件</w:t>
      </w:r>
      <w:r>
        <w:rPr>
          <w:rFonts w:hint="eastAsia" w:ascii="宋体" w:hAnsi="宋体" w:eastAsia="宋体" w:cs="宋体"/>
          <w:color w:val="auto"/>
          <w:kern w:val="0"/>
          <w:sz w:val="21"/>
          <w:szCs w:val="21"/>
          <w:highlight w:val="none"/>
        </w:rPr>
        <w:t>的范围或者改变</w:t>
      </w:r>
      <w:r>
        <w:rPr>
          <w:rFonts w:hint="eastAsia" w:ascii="宋体" w:hAnsi="宋体" w:eastAsia="宋体" w:cs="宋体"/>
          <w:color w:val="auto"/>
          <w:kern w:val="0"/>
          <w:sz w:val="21"/>
          <w:szCs w:val="21"/>
          <w:highlight w:val="none"/>
          <w:lang w:eastAsia="zh-CN"/>
        </w:rPr>
        <w:t>磋商响应文件</w:t>
      </w:r>
      <w:r>
        <w:rPr>
          <w:rFonts w:hint="eastAsia" w:ascii="宋体" w:hAnsi="宋体" w:eastAsia="宋体" w:cs="宋体"/>
          <w:color w:val="auto"/>
          <w:kern w:val="0"/>
          <w:sz w:val="21"/>
          <w:szCs w:val="21"/>
          <w:highlight w:val="none"/>
        </w:rPr>
        <w:t>的实质性内容。</w:t>
      </w:r>
    </w:p>
    <w:p>
      <w:pPr>
        <w:pStyle w:val="29"/>
        <w:pageBreakBefore w:val="0"/>
        <w:numPr>
          <w:ilvl w:val="0"/>
          <w:numId w:val="38"/>
        </w:numPr>
        <w:tabs>
          <w:tab w:val="left" w:pos="0"/>
          <w:tab w:val="clear" w:pos="420"/>
        </w:tabs>
        <w:kinsoku/>
        <w:wordWrap/>
        <w:overflowPunct/>
        <w:topLinePunct w:val="0"/>
        <w:autoSpaceDE/>
        <w:autoSpaceDN/>
        <w:bidi w:val="0"/>
        <w:spacing w:before="0" w:line="400" w:lineRule="exact"/>
        <w:ind w:left="5" w:leftChars="0" w:firstLine="415" w:firstLineChars="0"/>
        <w:textAlignment w:val="auto"/>
        <w:rPr>
          <w:rFonts w:hint="eastAsia" w:ascii="宋体" w:hAnsi="宋体" w:eastAsia="宋体" w:cs="宋体"/>
          <w:color w:val="auto"/>
          <w:kern w:val="0"/>
          <w:sz w:val="21"/>
          <w:szCs w:val="21"/>
          <w:highlight w:val="none"/>
          <w:u w:val="wave"/>
        </w:rPr>
      </w:pPr>
      <w:r>
        <w:rPr>
          <w:rFonts w:hint="eastAsia" w:ascii="宋体" w:hAnsi="宋体" w:eastAsia="宋体" w:cs="宋体"/>
          <w:color w:val="auto"/>
          <w:kern w:val="0"/>
          <w:sz w:val="21"/>
          <w:szCs w:val="21"/>
          <w:highlight w:val="none"/>
          <w:u w:val="wave"/>
        </w:rPr>
        <w:t>磋商小组在详细评审时，发现因磋商供应商原因造成</w:t>
      </w:r>
      <w:r>
        <w:rPr>
          <w:rFonts w:hint="eastAsia" w:ascii="宋体" w:hAnsi="宋体" w:cs="宋体"/>
          <w:color w:val="auto"/>
          <w:kern w:val="0"/>
          <w:sz w:val="21"/>
          <w:szCs w:val="21"/>
          <w:highlight w:val="none"/>
          <w:u w:val="wave"/>
          <w:lang w:eastAsia="zh-CN"/>
        </w:rPr>
        <w:t>报价</w:t>
      </w:r>
      <w:r>
        <w:rPr>
          <w:rFonts w:hint="eastAsia" w:ascii="宋体" w:hAnsi="宋体" w:eastAsia="宋体" w:cs="宋体"/>
          <w:color w:val="auto"/>
          <w:kern w:val="0"/>
          <w:sz w:val="21"/>
          <w:szCs w:val="21"/>
          <w:highlight w:val="none"/>
          <w:u w:val="wave"/>
        </w:rPr>
        <w:t>及其综合单价遗漏工程内容、工程数量、费用或发生算术错误、漏算、冒算、多报费用等，累计</w:t>
      </w:r>
      <w:r>
        <w:rPr>
          <w:rFonts w:hint="eastAsia" w:ascii="宋体" w:hAnsi="宋体" w:cs="宋体"/>
          <w:color w:val="auto"/>
          <w:kern w:val="0"/>
          <w:sz w:val="21"/>
          <w:szCs w:val="21"/>
          <w:highlight w:val="none"/>
          <w:u w:val="wave"/>
          <w:lang w:eastAsia="zh-CN"/>
        </w:rPr>
        <w:t>报价</w:t>
      </w:r>
      <w:r>
        <w:rPr>
          <w:rFonts w:hint="eastAsia" w:ascii="宋体" w:hAnsi="宋体" w:eastAsia="宋体" w:cs="宋体"/>
          <w:color w:val="auto"/>
          <w:kern w:val="0"/>
          <w:sz w:val="21"/>
          <w:szCs w:val="21"/>
          <w:highlight w:val="none"/>
          <w:u w:val="wave"/>
        </w:rPr>
        <w:t>错误绝对值总额（冒算、多报费用不得抵消缺漏费用）占</w:t>
      </w:r>
      <w:r>
        <w:rPr>
          <w:rFonts w:hint="eastAsia" w:ascii="宋体" w:hAnsi="宋体" w:cs="宋体"/>
          <w:color w:val="auto"/>
          <w:kern w:val="0"/>
          <w:sz w:val="21"/>
          <w:szCs w:val="21"/>
          <w:highlight w:val="none"/>
          <w:u w:val="wave"/>
          <w:lang w:eastAsia="zh-CN"/>
        </w:rPr>
        <w:t>报价</w:t>
      </w:r>
      <w:r>
        <w:rPr>
          <w:rFonts w:hint="eastAsia" w:ascii="宋体" w:hAnsi="宋体" w:eastAsia="宋体" w:cs="宋体"/>
          <w:color w:val="auto"/>
          <w:kern w:val="0"/>
          <w:sz w:val="21"/>
          <w:szCs w:val="21"/>
          <w:highlight w:val="none"/>
          <w:u w:val="wave"/>
        </w:rPr>
        <w:t>3%（含3%）以上者，作为重大偏差判定作无效标处理，错误绝对值累计占</w:t>
      </w:r>
      <w:r>
        <w:rPr>
          <w:rFonts w:hint="eastAsia" w:ascii="宋体" w:hAnsi="宋体" w:cs="宋体"/>
          <w:color w:val="auto"/>
          <w:kern w:val="0"/>
          <w:sz w:val="21"/>
          <w:szCs w:val="21"/>
          <w:highlight w:val="none"/>
          <w:u w:val="wave"/>
          <w:lang w:eastAsia="zh-CN"/>
        </w:rPr>
        <w:t>报价</w:t>
      </w:r>
      <w:r>
        <w:rPr>
          <w:rFonts w:hint="eastAsia" w:ascii="宋体" w:hAnsi="宋体" w:eastAsia="宋体" w:cs="宋体"/>
          <w:color w:val="auto"/>
          <w:kern w:val="0"/>
          <w:sz w:val="21"/>
          <w:szCs w:val="21"/>
          <w:highlight w:val="none"/>
          <w:u w:val="wave"/>
        </w:rPr>
        <w:t>3%以内则视为该项费用已分配到其它工程量报价中，评标时对</w:t>
      </w:r>
      <w:r>
        <w:rPr>
          <w:rFonts w:hint="eastAsia" w:ascii="宋体" w:hAnsi="宋体" w:cs="宋体"/>
          <w:color w:val="auto"/>
          <w:kern w:val="0"/>
          <w:sz w:val="21"/>
          <w:szCs w:val="21"/>
          <w:highlight w:val="none"/>
          <w:u w:val="wave"/>
          <w:lang w:eastAsia="zh-CN"/>
        </w:rPr>
        <w:t>报价</w:t>
      </w:r>
      <w:r>
        <w:rPr>
          <w:rFonts w:hint="eastAsia" w:ascii="宋体" w:hAnsi="宋体" w:eastAsia="宋体" w:cs="宋体"/>
          <w:color w:val="auto"/>
          <w:kern w:val="0"/>
          <w:sz w:val="21"/>
          <w:szCs w:val="21"/>
          <w:highlight w:val="none"/>
          <w:u w:val="wave"/>
        </w:rPr>
        <w:t>不作调整。</w:t>
      </w:r>
      <w:r>
        <w:rPr>
          <w:rFonts w:hint="eastAsia" w:ascii="宋体" w:hAnsi="宋体" w:eastAsia="宋体" w:cs="宋体"/>
          <w:color w:val="auto"/>
          <w:kern w:val="0"/>
          <w:sz w:val="21"/>
          <w:szCs w:val="21"/>
          <w:highlight w:val="none"/>
          <w:u w:val="wave"/>
        </w:rPr>
        <w:cr/>
      </w:r>
      <w:r>
        <w:rPr>
          <w:rFonts w:hint="eastAsia" w:ascii="宋体" w:hAnsi="宋体" w:eastAsia="宋体" w:cs="宋体"/>
          <w:color w:val="auto"/>
          <w:kern w:val="0"/>
          <w:sz w:val="21"/>
          <w:szCs w:val="21"/>
          <w:highlight w:val="none"/>
          <w:u w:val="wave"/>
        </w:rPr>
        <w:t>凡磋商文件要求或工程造价组成应计算的费用而磋商供应商未报，且响应文件中未阐明充分理由并提供足够证据者，均视为缺漏费用。</w:t>
      </w:r>
      <w:r>
        <w:rPr>
          <w:rFonts w:hint="eastAsia" w:ascii="宋体" w:hAnsi="宋体" w:eastAsia="宋体" w:cs="宋体"/>
          <w:color w:val="auto"/>
          <w:kern w:val="0"/>
          <w:sz w:val="21"/>
          <w:szCs w:val="21"/>
          <w:highlight w:val="none"/>
          <w:u w:val="wave"/>
        </w:rPr>
        <w:cr/>
      </w:r>
      <w:r>
        <w:rPr>
          <w:rFonts w:hint="eastAsia" w:ascii="宋体" w:hAnsi="宋体" w:eastAsia="宋体" w:cs="宋体"/>
          <w:color w:val="auto"/>
          <w:kern w:val="0"/>
          <w:sz w:val="21"/>
          <w:szCs w:val="21"/>
          <w:highlight w:val="none"/>
          <w:u w:val="wave"/>
        </w:rPr>
        <w:t>对工程量清单漏算的造价计算原则是：漏项的工程量×评审范围内有效磋商供应商中该项最高综合单价后计算税金；对工程量变动的造价计算原则是：增加或减少的数量×该项综合单价后计算税金。</w:t>
      </w:r>
    </w:p>
    <w:p>
      <w:pPr>
        <w:pStyle w:val="29"/>
        <w:pageBreakBefore w:val="0"/>
        <w:numPr>
          <w:ilvl w:val="0"/>
          <w:numId w:val="37"/>
        </w:numPr>
        <w:kinsoku/>
        <w:wordWrap/>
        <w:overflowPunct/>
        <w:topLinePunct w:val="0"/>
        <w:autoSpaceDE/>
        <w:autoSpaceDN/>
        <w:bidi w:val="0"/>
        <w:spacing w:before="0" w:line="400" w:lineRule="exact"/>
        <w:ind w:left="425" w:leftChars="0" w:hanging="5" w:firstLineChars="0"/>
        <w:textAlignment w:val="auto"/>
        <w:rPr>
          <w:rFonts w:hint="eastAsia" w:ascii="宋体" w:hAnsi="宋体" w:eastAsia="宋体" w:cs="宋体"/>
          <w:b/>
          <w:color w:val="auto"/>
          <w:kern w:val="0"/>
          <w:sz w:val="21"/>
          <w:szCs w:val="21"/>
          <w:highlight w:val="none"/>
          <w:lang w:eastAsia="zh-CN"/>
        </w:rPr>
      </w:pPr>
      <w:r>
        <w:rPr>
          <w:rFonts w:hint="eastAsia" w:ascii="宋体" w:hAnsi="宋体" w:cs="宋体"/>
          <w:b/>
          <w:color w:val="auto"/>
          <w:kern w:val="0"/>
          <w:sz w:val="21"/>
          <w:szCs w:val="21"/>
          <w:highlight w:val="none"/>
          <w:lang w:eastAsia="zh-CN"/>
        </w:rPr>
        <w:t>响应无效</w:t>
      </w:r>
      <w:r>
        <w:rPr>
          <w:rFonts w:hint="eastAsia" w:ascii="宋体" w:hAnsi="宋体" w:eastAsia="宋体" w:cs="宋体"/>
          <w:b/>
          <w:color w:val="auto"/>
          <w:kern w:val="0"/>
          <w:sz w:val="21"/>
          <w:szCs w:val="21"/>
          <w:highlight w:val="none"/>
          <w:lang w:eastAsia="zh-CN"/>
        </w:rPr>
        <w:t>。▲有下列情况之一的，</w:t>
      </w:r>
      <w:r>
        <w:rPr>
          <w:rFonts w:hint="eastAsia" w:ascii="宋体" w:hAnsi="宋体" w:cs="宋体"/>
          <w:b/>
          <w:color w:val="auto"/>
          <w:kern w:val="0"/>
          <w:sz w:val="21"/>
          <w:szCs w:val="21"/>
          <w:highlight w:val="none"/>
          <w:lang w:eastAsia="zh-CN"/>
        </w:rPr>
        <w:t>响应无效</w:t>
      </w:r>
      <w:r>
        <w:rPr>
          <w:rFonts w:hint="eastAsia" w:ascii="宋体" w:hAnsi="宋体" w:eastAsia="宋体" w:cs="宋体"/>
          <w:b/>
          <w:color w:val="auto"/>
          <w:kern w:val="0"/>
          <w:sz w:val="21"/>
          <w:szCs w:val="21"/>
          <w:highlight w:val="none"/>
          <w:lang w:eastAsia="zh-CN"/>
        </w:rPr>
        <w:t>：</w:t>
      </w:r>
    </w:p>
    <w:p>
      <w:pPr>
        <w:pageBreakBefore w:val="0"/>
        <w:numPr>
          <w:ilvl w:val="0"/>
          <w:numId w:val="39"/>
        </w:numPr>
        <w:tabs>
          <w:tab w:val="left" w:pos="0"/>
          <w:tab w:val="clear" w:pos="420"/>
        </w:tabs>
        <w:kinsoku/>
        <w:wordWrap/>
        <w:overflowPunct/>
        <w:topLinePunct w:val="0"/>
        <w:autoSpaceDE/>
        <w:autoSpaceDN/>
        <w:bidi w:val="0"/>
        <w:spacing w:line="400" w:lineRule="exact"/>
        <w:ind w:left="5" w:leftChars="0" w:firstLine="415"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不具备</w:t>
      </w:r>
      <w:r>
        <w:rPr>
          <w:rFonts w:hint="eastAsia" w:ascii="宋体" w:hAnsi="宋体" w:eastAsia="宋体" w:cs="宋体"/>
          <w:color w:val="auto"/>
          <w:kern w:val="0"/>
          <w:sz w:val="21"/>
          <w:szCs w:val="21"/>
          <w:highlight w:val="none"/>
          <w:lang w:eastAsia="zh-CN"/>
        </w:rPr>
        <w:t>磋商文件</w:t>
      </w:r>
      <w:r>
        <w:rPr>
          <w:rFonts w:hint="eastAsia" w:ascii="宋体" w:hAnsi="宋体" w:eastAsia="宋体" w:cs="宋体"/>
          <w:color w:val="auto"/>
          <w:kern w:val="0"/>
          <w:sz w:val="21"/>
          <w:szCs w:val="21"/>
          <w:highlight w:val="none"/>
        </w:rPr>
        <w:t>中规定的资格要求的（</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未提供有效的资格文件的，视为</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不具备</w:t>
      </w:r>
      <w:r>
        <w:rPr>
          <w:rFonts w:hint="eastAsia" w:ascii="宋体" w:hAnsi="宋体" w:eastAsia="宋体" w:cs="宋体"/>
          <w:color w:val="auto"/>
          <w:kern w:val="0"/>
          <w:sz w:val="21"/>
          <w:szCs w:val="21"/>
          <w:highlight w:val="none"/>
          <w:lang w:eastAsia="zh-CN"/>
        </w:rPr>
        <w:t>磋商文件</w:t>
      </w:r>
      <w:r>
        <w:rPr>
          <w:rFonts w:hint="eastAsia" w:ascii="宋体" w:hAnsi="宋体" w:eastAsia="宋体" w:cs="宋体"/>
          <w:color w:val="auto"/>
          <w:kern w:val="0"/>
          <w:sz w:val="21"/>
          <w:szCs w:val="21"/>
          <w:highlight w:val="none"/>
        </w:rPr>
        <w:t>中规定的资格要求）；</w:t>
      </w:r>
    </w:p>
    <w:p>
      <w:pPr>
        <w:pageBreakBefore w:val="0"/>
        <w:numPr>
          <w:ilvl w:val="0"/>
          <w:numId w:val="39"/>
        </w:numPr>
        <w:tabs>
          <w:tab w:val="left" w:pos="0"/>
          <w:tab w:val="clear" w:pos="420"/>
        </w:tabs>
        <w:kinsoku/>
        <w:wordWrap/>
        <w:overflowPunct/>
        <w:topLinePunct w:val="0"/>
        <w:autoSpaceDE/>
        <w:autoSpaceDN/>
        <w:bidi w:val="0"/>
        <w:spacing w:line="400" w:lineRule="exact"/>
        <w:ind w:left="5" w:leftChars="0" w:firstLine="415"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磋商响应文件</w:t>
      </w:r>
      <w:r>
        <w:rPr>
          <w:rFonts w:hint="eastAsia" w:ascii="宋体" w:hAnsi="宋体" w:eastAsia="宋体" w:cs="宋体"/>
          <w:color w:val="auto"/>
          <w:kern w:val="0"/>
          <w:sz w:val="21"/>
          <w:szCs w:val="21"/>
          <w:highlight w:val="none"/>
        </w:rPr>
        <w:t>未按照</w:t>
      </w:r>
      <w:r>
        <w:rPr>
          <w:rFonts w:hint="eastAsia" w:ascii="宋体" w:hAnsi="宋体" w:eastAsia="宋体" w:cs="宋体"/>
          <w:color w:val="auto"/>
          <w:kern w:val="0"/>
          <w:sz w:val="21"/>
          <w:szCs w:val="21"/>
          <w:highlight w:val="none"/>
          <w:lang w:eastAsia="zh-CN"/>
        </w:rPr>
        <w:t>磋商文件</w:t>
      </w:r>
      <w:r>
        <w:rPr>
          <w:rFonts w:hint="eastAsia" w:ascii="宋体" w:hAnsi="宋体" w:eastAsia="宋体" w:cs="宋体"/>
          <w:color w:val="auto"/>
          <w:kern w:val="0"/>
          <w:sz w:val="21"/>
          <w:szCs w:val="21"/>
          <w:highlight w:val="none"/>
        </w:rPr>
        <w:t>要求签署、盖章的；</w:t>
      </w:r>
    </w:p>
    <w:p>
      <w:pPr>
        <w:pageBreakBefore w:val="0"/>
        <w:numPr>
          <w:ilvl w:val="0"/>
          <w:numId w:val="39"/>
        </w:numPr>
        <w:tabs>
          <w:tab w:val="left" w:pos="0"/>
          <w:tab w:val="clear" w:pos="420"/>
        </w:tabs>
        <w:kinsoku/>
        <w:wordWrap/>
        <w:overflowPunct/>
        <w:topLinePunct w:val="0"/>
        <w:autoSpaceDE/>
        <w:autoSpaceDN/>
        <w:bidi w:val="0"/>
        <w:spacing w:line="400" w:lineRule="exact"/>
        <w:ind w:left="5" w:leftChars="0" w:firstLine="415"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采购人拟采购的产品属于政府强制采购的节能产品品目清单范围的，</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未按</w:t>
      </w:r>
      <w:r>
        <w:rPr>
          <w:rFonts w:hint="eastAsia" w:ascii="宋体" w:hAnsi="宋体" w:eastAsia="宋体" w:cs="宋体"/>
          <w:color w:val="auto"/>
          <w:kern w:val="0"/>
          <w:sz w:val="21"/>
          <w:szCs w:val="21"/>
          <w:highlight w:val="none"/>
          <w:lang w:eastAsia="zh-CN"/>
        </w:rPr>
        <w:t>磋商文件</w:t>
      </w:r>
      <w:r>
        <w:rPr>
          <w:rFonts w:hint="eastAsia" w:ascii="宋体" w:hAnsi="宋体" w:eastAsia="宋体" w:cs="宋体"/>
          <w:color w:val="auto"/>
          <w:kern w:val="0"/>
          <w:sz w:val="21"/>
          <w:szCs w:val="21"/>
          <w:highlight w:val="none"/>
        </w:rPr>
        <w:t>要求提供国家确定的认证机构出具的、处于有效期之内的节能产品认证证书的；</w:t>
      </w:r>
    </w:p>
    <w:p>
      <w:pPr>
        <w:pageBreakBefore w:val="0"/>
        <w:numPr>
          <w:ilvl w:val="0"/>
          <w:numId w:val="39"/>
        </w:numPr>
        <w:tabs>
          <w:tab w:val="left" w:pos="0"/>
          <w:tab w:val="clear" w:pos="420"/>
        </w:tabs>
        <w:kinsoku/>
        <w:wordWrap/>
        <w:overflowPunct/>
        <w:topLinePunct w:val="0"/>
        <w:autoSpaceDE/>
        <w:autoSpaceDN/>
        <w:bidi w:val="0"/>
        <w:spacing w:line="400" w:lineRule="exact"/>
        <w:ind w:left="5" w:leftChars="0" w:firstLine="415"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磋商响应文件</w:t>
      </w:r>
      <w:r>
        <w:rPr>
          <w:rFonts w:hint="eastAsia" w:ascii="宋体" w:hAnsi="宋体" w:eastAsia="宋体" w:cs="宋体"/>
          <w:color w:val="auto"/>
          <w:kern w:val="0"/>
          <w:sz w:val="21"/>
          <w:szCs w:val="21"/>
          <w:highlight w:val="none"/>
        </w:rPr>
        <w:t>含有采购人不能接受的附加条件的；</w:t>
      </w:r>
    </w:p>
    <w:p>
      <w:pPr>
        <w:pageBreakBefore w:val="0"/>
        <w:numPr>
          <w:ilvl w:val="0"/>
          <w:numId w:val="39"/>
        </w:numPr>
        <w:tabs>
          <w:tab w:val="left" w:pos="0"/>
          <w:tab w:val="clear" w:pos="420"/>
        </w:tabs>
        <w:kinsoku/>
        <w:wordWrap/>
        <w:overflowPunct/>
        <w:topLinePunct w:val="0"/>
        <w:autoSpaceDE/>
        <w:autoSpaceDN/>
        <w:bidi w:val="0"/>
        <w:spacing w:line="400" w:lineRule="exact"/>
        <w:ind w:left="5" w:leftChars="0" w:firstLine="415"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磋商响应文件</w:t>
      </w:r>
      <w:r>
        <w:rPr>
          <w:rFonts w:hint="eastAsia" w:ascii="宋体" w:hAnsi="宋体" w:eastAsia="宋体" w:cs="宋体"/>
          <w:color w:val="auto"/>
          <w:kern w:val="0"/>
          <w:sz w:val="21"/>
          <w:szCs w:val="21"/>
          <w:highlight w:val="none"/>
        </w:rPr>
        <w:t>中承诺的投标有效期少于</w:t>
      </w:r>
      <w:r>
        <w:rPr>
          <w:rFonts w:hint="eastAsia" w:ascii="宋体" w:hAnsi="宋体" w:eastAsia="宋体" w:cs="宋体"/>
          <w:color w:val="auto"/>
          <w:kern w:val="0"/>
          <w:sz w:val="21"/>
          <w:szCs w:val="21"/>
          <w:highlight w:val="none"/>
          <w:lang w:eastAsia="zh-CN"/>
        </w:rPr>
        <w:t>磋商文件</w:t>
      </w:r>
      <w:r>
        <w:rPr>
          <w:rFonts w:hint="eastAsia" w:ascii="宋体" w:hAnsi="宋体" w:eastAsia="宋体" w:cs="宋体"/>
          <w:color w:val="auto"/>
          <w:kern w:val="0"/>
          <w:sz w:val="21"/>
          <w:szCs w:val="21"/>
          <w:highlight w:val="none"/>
        </w:rPr>
        <w:t>中载明的投标有效期的；</w:t>
      </w:r>
    </w:p>
    <w:p>
      <w:pPr>
        <w:pageBreakBefore w:val="0"/>
        <w:numPr>
          <w:ilvl w:val="0"/>
          <w:numId w:val="39"/>
        </w:numPr>
        <w:tabs>
          <w:tab w:val="left" w:pos="0"/>
          <w:tab w:val="clear" w:pos="420"/>
        </w:tabs>
        <w:kinsoku/>
        <w:wordWrap/>
        <w:overflowPunct/>
        <w:topLinePunct w:val="0"/>
        <w:autoSpaceDE/>
        <w:autoSpaceDN/>
        <w:bidi w:val="0"/>
        <w:snapToGrid w:val="0"/>
        <w:spacing w:line="400" w:lineRule="exact"/>
        <w:ind w:left="5" w:leftChars="0" w:firstLine="415" w:firstLineChars="0"/>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磋商响应文件</w:t>
      </w:r>
      <w:r>
        <w:rPr>
          <w:rFonts w:hint="eastAsia" w:ascii="宋体" w:hAnsi="宋体" w:eastAsia="宋体" w:cs="宋体"/>
          <w:color w:val="auto"/>
          <w:kern w:val="0"/>
          <w:sz w:val="21"/>
          <w:szCs w:val="21"/>
          <w:highlight w:val="none"/>
        </w:rPr>
        <w:t>出现不是唯一的、有选择性</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w:t>
      </w:r>
    </w:p>
    <w:p>
      <w:pPr>
        <w:pageBreakBefore w:val="0"/>
        <w:numPr>
          <w:ilvl w:val="0"/>
          <w:numId w:val="39"/>
        </w:numPr>
        <w:tabs>
          <w:tab w:val="left" w:pos="0"/>
          <w:tab w:val="clear" w:pos="420"/>
        </w:tabs>
        <w:kinsoku/>
        <w:wordWrap/>
        <w:overflowPunct/>
        <w:topLinePunct w:val="0"/>
        <w:autoSpaceDE/>
        <w:autoSpaceDN/>
        <w:bidi w:val="0"/>
        <w:spacing w:line="400" w:lineRule="exact"/>
        <w:ind w:left="5" w:leftChars="0" w:firstLine="415" w:firstLineChars="0"/>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超过</w:t>
      </w:r>
      <w:r>
        <w:rPr>
          <w:rFonts w:hint="eastAsia" w:ascii="宋体" w:hAnsi="宋体" w:eastAsia="宋体" w:cs="宋体"/>
          <w:color w:val="auto"/>
          <w:kern w:val="0"/>
          <w:sz w:val="21"/>
          <w:szCs w:val="21"/>
          <w:highlight w:val="none"/>
          <w:lang w:eastAsia="zh-CN"/>
        </w:rPr>
        <w:t>磋商文件</w:t>
      </w:r>
      <w:r>
        <w:rPr>
          <w:rFonts w:hint="eastAsia" w:ascii="宋体" w:hAnsi="宋体" w:eastAsia="宋体" w:cs="宋体"/>
          <w:color w:val="auto"/>
          <w:kern w:val="0"/>
          <w:sz w:val="21"/>
          <w:szCs w:val="21"/>
          <w:highlight w:val="none"/>
        </w:rPr>
        <w:t>中规定的预算金额或者最高限价的</w:t>
      </w:r>
      <w:r>
        <w:rPr>
          <w:rFonts w:hint="eastAsia" w:ascii="宋体" w:hAnsi="宋体" w:cs="宋体"/>
          <w:color w:val="auto"/>
          <w:kern w:val="0"/>
          <w:sz w:val="21"/>
          <w:szCs w:val="21"/>
          <w:highlight w:val="none"/>
          <w:lang w:eastAsia="zh-CN"/>
        </w:rPr>
        <w:t>；</w:t>
      </w:r>
    </w:p>
    <w:p>
      <w:pPr>
        <w:pageBreakBefore w:val="0"/>
        <w:numPr>
          <w:ilvl w:val="0"/>
          <w:numId w:val="39"/>
        </w:numPr>
        <w:tabs>
          <w:tab w:val="left" w:pos="0"/>
          <w:tab w:val="clear" w:pos="420"/>
        </w:tabs>
        <w:kinsoku/>
        <w:wordWrap/>
        <w:overflowPunct/>
        <w:topLinePunct w:val="0"/>
        <w:autoSpaceDE/>
        <w:autoSpaceDN/>
        <w:bidi w:val="0"/>
        <w:spacing w:line="400" w:lineRule="exact"/>
        <w:ind w:left="5" w:leftChars="0" w:firstLine="415" w:firstLineChars="0"/>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报价明显低于其他通过符合性审查</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的报价，有可能影响产品质量或者不能诚信履约的，未能按要求提供书面说明或者提交相关证明材料，不能证明其报价合理性的</w:t>
      </w:r>
      <w:r>
        <w:rPr>
          <w:rFonts w:hint="eastAsia" w:ascii="宋体" w:hAnsi="宋体" w:cs="宋体"/>
          <w:color w:val="auto"/>
          <w:kern w:val="0"/>
          <w:sz w:val="21"/>
          <w:szCs w:val="21"/>
          <w:highlight w:val="none"/>
          <w:lang w:eastAsia="zh-CN"/>
        </w:rPr>
        <w:t>；</w:t>
      </w:r>
    </w:p>
    <w:p>
      <w:pPr>
        <w:pageBreakBefore w:val="0"/>
        <w:numPr>
          <w:ilvl w:val="0"/>
          <w:numId w:val="39"/>
        </w:numPr>
        <w:tabs>
          <w:tab w:val="left" w:pos="0"/>
          <w:tab w:val="clear" w:pos="420"/>
        </w:tabs>
        <w:kinsoku/>
        <w:wordWrap/>
        <w:overflowPunct/>
        <w:topLinePunct w:val="0"/>
        <w:autoSpaceDE/>
        <w:autoSpaceDN/>
        <w:bidi w:val="0"/>
        <w:spacing w:line="400" w:lineRule="exact"/>
        <w:ind w:left="5" w:leftChars="0" w:firstLine="415"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对根据修正原则修正后的报价不确认的；</w:t>
      </w:r>
    </w:p>
    <w:p>
      <w:pPr>
        <w:pageBreakBefore w:val="0"/>
        <w:numPr>
          <w:ilvl w:val="0"/>
          <w:numId w:val="39"/>
        </w:numPr>
        <w:tabs>
          <w:tab w:val="left" w:pos="0"/>
          <w:tab w:val="clear" w:pos="420"/>
        </w:tabs>
        <w:kinsoku/>
        <w:wordWrap/>
        <w:overflowPunct/>
        <w:topLinePunct w:val="0"/>
        <w:autoSpaceDE/>
        <w:autoSpaceDN/>
        <w:bidi w:val="0"/>
        <w:spacing w:line="400" w:lineRule="exact"/>
        <w:ind w:left="5" w:leftChars="0" w:firstLine="415"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提供虚假材料投标的；</w:t>
      </w:r>
    </w:p>
    <w:p>
      <w:pPr>
        <w:pageBreakBefore w:val="0"/>
        <w:numPr>
          <w:ilvl w:val="0"/>
          <w:numId w:val="39"/>
        </w:numPr>
        <w:tabs>
          <w:tab w:val="left" w:pos="0"/>
          <w:tab w:val="clear" w:pos="420"/>
        </w:tabs>
        <w:kinsoku/>
        <w:wordWrap/>
        <w:overflowPunct/>
        <w:topLinePunct w:val="0"/>
        <w:autoSpaceDE/>
        <w:autoSpaceDN/>
        <w:bidi w:val="0"/>
        <w:spacing w:line="400" w:lineRule="exact"/>
        <w:ind w:left="5" w:leftChars="0" w:firstLine="415"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有恶意串通、妨碍其他</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的竞争行为、损害采购人或者其他</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的合法权益情形的；</w:t>
      </w:r>
    </w:p>
    <w:p>
      <w:pPr>
        <w:pageBreakBefore w:val="0"/>
        <w:numPr>
          <w:ilvl w:val="0"/>
          <w:numId w:val="39"/>
        </w:numPr>
        <w:tabs>
          <w:tab w:val="left" w:pos="0"/>
          <w:tab w:val="clear" w:pos="420"/>
        </w:tabs>
        <w:kinsoku/>
        <w:wordWrap/>
        <w:overflowPunct/>
        <w:topLinePunct w:val="0"/>
        <w:autoSpaceDE/>
        <w:autoSpaceDN/>
        <w:bidi w:val="0"/>
        <w:spacing w:line="400" w:lineRule="exact"/>
        <w:ind w:left="5" w:leftChars="0" w:firstLine="415" w:firstLineChars="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仅提交</w:t>
      </w:r>
      <w:r>
        <w:rPr>
          <w:rFonts w:hint="eastAsia" w:ascii="宋体" w:hAnsi="宋体" w:cs="宋体"/>
          <w:color w:val="auto"/>
          <w:kern w:val="0"/>
          <w:sz w:val="21"/>
          <w:szCs w:val="21"/>
          <w:highlight w:val="none"/>
          <w:lang w:eastAsia="zh-CN"/>
        </w:rPr>
        <w:t>备份响应文件</w:t>
      </w:r>
      <w:r>
        <w:rPr>
          <w:rFonts w:hint="eastAsia" w:ascii="宋体" w:hAnsi="宋体" w:eastAsia="宋体" w:cs="宋体"/>
          <w:color w:val="auto"/>
          <w:kern w:val="0"/>
          <w:sz w:val="21"/>
          <w:szCs w:val="21"/>
          <w:highlight w:val="none"/>
        </w:rPr>
        <w:t>，没有在电子交易平台传输递交</w:t>
      </w:r>
      <w:r>
        <w:rPr>
          <w:rFonts w:hint="eastAsia" w:ascii="宋体" w:hAnsi="宋体" w:eastAsia="宋体" w:cs="宋体"/>
          <w:color w:val="auto"/>
          <w:kern w:val="0"/>
          <w:sz w:val="21"/>
          <w:szCs w:val="21"/>
          <w:highlight w:val="none"/>
          <w:lang w:eastAsia="zh-CN"/>
        </w:rPr>
        <w:t>磋商响应文件</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响应无效</w:t>
      </w:r>
      <w:r>
        <w:rPr>
          <w:rFonts w:hint="eastAsia" w:ascii="宋体" w:hAnsi="宋体" w:eastAsia="宋体" w:cs="宋体"/>
          <w:color w:val="auto"/>
          <w:kern w:val="0"/>
          <w:sz w:val="21"/>
          <w:szCs w:val="21"/>
          <w:highlight w:val="none"/>
        </w:rPr>
        <w:t>；</w:t>
      </w:r>
    </w:p>
    <w:p>
      <w:pPr>
        <w:pStyle w:val="6"/>
        <w:pageBreakBefore w:val="0"/>
        <w:numPr>
          <w:ilvl w:val="0"/>
          <w:numId w:val="39"/>
        </w:numPr>
        <w:tabs>
          <w:tab w:val="left" w:pos="0"/>
          <w:tab w:val="clear" w:pos="420"/>
        </w:tabs>
        <w:kinsoku/>
        <w:wordWrap/>
        <w:overflowPunct/>
        <w:topLinePunct w:val="0"/>
        <w:autoSpaceDE/>
        <w:autoSpaceDN/>
        <w:bidi w:val="0"/>
        <w:spacing w:line="400" w:lineRule="exact"/>
        <w:ind w:left="5" w:leftChars="0" w:firstLine="415" w:firstLineChars="0"/>
        <w:textAlignment w:val="auto"/>
        <w:rPr>
          <w:rFonts w:hint="eastAsia" w:ascii="宋体" w:hAnsi="宋体" w:eastAsia="宋体" w:cs="宋体"/>
          <w:b w:val="0"/>
          <w:bCs w:val="0"/>
          <w:color w:val="auto"/>
          <w:kern w:val="0"/>
          <w:sz w:val="21"/>
          <w:szCs w:val="21"/>
          <w:highlight w:val="none"/>
          <w:lang w:val="en-US"/>
        </w:rPr>
      </w:pPr>
      <w:bookmarkStart w:id="465" w:name="_Toc30981"/>
      <w:r>
        <w:rPr>
          <w:rFonts w:hint="eastAsia" w:ascii="宋体" w:hAnsi="宋体" w:eastAsia="宋体" w:cs="宋体"/>
          <w:b w:val="0"/>
          <w:bCs w:val="0"/>
          <w:color w:val="auto"/>
          <w:kern w:val="0"/>
          <w:sz w:val="21"/>
          <w:szCs w:val="21"/>
          <w:highlight w:val="none"/>
          <w:lang w:val="en-US" w:eastAsia="zh-CN"/>
        </w:rPr>
        <w:t>磋商响应文件</w:t>
      </w:r>
      <w:r>
        <w:rPr>
          <w:rFonts w:hint="eastAsia" w:ascii="宋体" w:hAnsi="宋体" w:eastAsia="宋体" w:cs="宋体"/>
          <w:b w:val="0"/>
          <w:bCs w:val="0"/>
          <w:color w:val="auto"/>
          <w:kern w:val="0"/>
          <w:sz w:val="21"/>
          <w:szCs w:val="21"/>
          <w:highlight w:val="none"/>
          <w:lang w:val="en-US"/>
        </w:rPr>
        <w:t>不满足</w:t>
      </w:r>
      <w:r>
        <w:rPr>
          <w:rFonts w:hint="eastAsia" w:ascii="宋体" w:hAnsi="宋体" w:eastAsia="宋体" w:cs="宋体"/>
          <w:b w:val="0"/>
          <w:bCs w:val="0"/>
          <w:color w:val="auto"/>
          <w:kern w:val="0"/>
          <w:sz w:val="21"/>
          <w:szCs w:val="21"/>
          <w:highlight w:val="none"/>
          <w:lang w:val="en-US" w:eastAsia="zh-CN"/>
        </w:rPr>
        <w:t>磋商文件</w:t>
      </w:r>
      <w:r>
        <w:rPr>
          <w:rFonts w:hint="eastAsia" w:ascii="宋体" w:hAnsi="宋体" w:eastAsia="宋体" w:cs="宋体"/>
          <w:b w:val="0"/>
          <w:bCs w:val="0"/>
          <w:color w:val="auto"/>
          <w:kern w:val="0"/>
          <w:sz w:val="21"/>
          <w:szCs w:val="21"/>
          <w:highlight w:val="none"/>
          <w:lang w:val="en-US"/>
        </w:rPr>
        <w:t>的其它实质性要求的；</w:t>
      </w:r>
      <w:bookmarkEnd w:id="465"/>
    </w:p>
    <w:p>
      <w:pPr>
        <w:pageBreakBefore w:val="0"/>
        <w:numPr>
          <w:ilvl w:val="0"/>
          <w:numId w:val="39"/>
        </w:numPr>
        <w:tabs>
          <w:tab w:val="left" w:pos="0"/>
          <w:tab w:val="clear" w:pos="420"/>
        </w:tabs>
        <w:kinsoku/>
        <w:wordWrap/>
        <w:overflowPunct/>
        <w:topLinePunct w:val="0"/>
        <w:autoSpaceDE/>
        <w:autoSpaceDN/>
        <w:bidi w:val="0"/>
        <w:spacing w:line="400" w:lineRule="exact"/>
        <w:ind w:left="5" w:leftChars="0" w:firstLine="415"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法律、法规、规章（适用本市的）及省级以上规范性文件（适用本市的）规定的其他无效情形。</w:t>
      </w:r>
    </w:p>
    <w:p>
      <w:pPr>
        <w:pStyle w:val="29"/>
        <w:pageBreakBefore w:val="0"/>
        <w:numPr>
          <w:ilvl w:val="0"/>
          <w:numId w:val="37"/>
        </w:numPr>
        <w:kinsoku/>
        <w:wordWrap/>
        <w:overflowPunct/>
        <w:topLinePunct w:val="0"/>
        <w:autoSpaceDE/>
        <w:autoSpaceDN/>
        <w:bidi w:val="0"/>
        <w:spacing w:before="0" w:line="400" w:lineRule="exact"/>
        <w:ind w:left="425" w:leftChars="0" w:hanging="5" w:firstLineChars="0"/>
        <w:textAlignment w:val="auto"/>
        <w:rPr>
          <w:rFonts w:hint="eastAsia" w:ascii="宋体" w:hAnsi="宋体" w:eastAsia="宋体" w:cs="宋体"/>
          <w:b/>
          <w:color w:val="auto"/>
          <w:kern w:val="0"/>
          <w:sz w:val="21"/>
          <w:szCs w:val="21"/>
          <w:highlight w:val="none"/>
          <w:lang w:val="en-US" w:eastAsia="zh-CN"/>
        </w:rPr>
      </w:pP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lang w:val="en-US" w:eastAsia="zh-CN"/>
        </w:rPr>
        <w:t>有下列情形之一的，视为磋商供应商串通投标，其</w:t>
      </w:r>
      <w:r>
        <w:rPr>
          <w:rFonts w:hint="eastAsia" w:ascii="宋体" w:hAnsi="宋体" w:cs="宋体"/>
          <w:b/>
          <w:color w:val="auto"/>
          <w:kern w:val="0"/>
          <w:sz w:val="21"/>
          <w:szCs w:val="21"/>
          <w:highlight w:val="none"/>
          <w:lang w:val="en-US" w:eastAsia="zh-CN"/>
        </w:rPr>
        <w:t>响应无效</w:t>
      </w:r>
      <w:r>
        <w:rPr>
          <w:rFonts w:hint="eastAsia" w:ascii="宋体" w:hAnsi="宋体" w:eastAsia="宋体" w:cs="宋体"/>
          <w:b/>
          <w:color w:val="auto"/>
          <w:kern w:val="0"/>
          <w:sz w:val="21"/>
          <w:szCs w:val="21"/>
          <w:highlight w:val="none"/>
          <w:lang w:val="en-US" w:eastAsia="zh-CN"/>
        </w:rPr>
        <w:t>：</w:t>
      </w:r>
    </w:p>
    <w:p>
      <w:pPr>
        <w:pageBreakBefore w:val="0"/>
        <w:numPr>
          <w:ilvl w:val="0"/>
          <w:numId w:val="40"/>
        </w:numPr>
        <w:tabs>
          <w:tab w:val="left" w:pos="0"/>
          <w:tab w:val="clear" w:pos="420"/>
        </w:tabs>
        <w:kinsoku/>
        <w:wordWrap/>
        <w:overflowPunct/>
        <w:topLinePunct w:val="0"/>
        <w:autoSpaceDE/>
        <w:autoSpaceDN/>
        <w:bidi w:val="0"/>
        <w:spacing w:line="400" w:lineRule="exact"/>
        <w:ind w:left="5" w:leftChars="0" w:firstLine="415" w:firstLineChars="0"/>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rPr>
        <w:t>不同</w:t>
      </w:r>
      <w:r>
        <w:rPr>
          <w:rFonts w:hint="eastAsia" w:ascii="宋体" w:hAnsi="宋体" w:eastAsia="宋体" w:cs="宋体"/>
          <w:color w:val="auto"/>
          <w:kern w:val="0"/>
          <w:sz w:val="21"/>
          <w:szCs w:val="21"/>
          <w:highlight w:val="none"/>
          <w:lang w:val="en-US" w:eastAsia="zh-CN"/>
        </w:rPr>
        <w:t>磋商供应商</w:t>
      </w:r>
      <w:r>
        <w:rPr>
          <w:rFonts w:hint="eastAsia" w:ascii="宋体" w:hAnsi="宋体" w:eastAsia="宋体" w:cs="宋体"/>
          <w:color w:val="auto"/>
          <w:kern w:val="0"/>
          <w:sz w:val="21"/>
          <w:szCs w:val="21"/>
          <w:highlight w:val="none"/>
          <w:lang w:val="en-US"/>
        </w:rPr>
        <w:t>的</w:t>
      </w:r>
      <w:r>
        <w:rPr>
          <w:rFonts w:hint="eastAsia" w:ascii="宋体" w:hAnsi="宋体" w:eastAsia="宋体" w:cs="宋体"/>
          <w:color w:val="auto"/>
          <w:kern w:val="0"/>
          <w:sz w:val="21"/>
          <w:szCs w:val="21"/>
          <w:highlight w:val="none"/>
          <w:lang w:val="en-US" w:eastAsia="zh-CN"/>
        </w:rPr>
        <w:t>磋商响应文件</w:t>
      </w:r>
      <w:r>
        <w:rPr>
          <w:rFonts w:hint="eastAsia" w:ascii="宋体" w:hAnsi="宋体" w:eastAsia="宋体" w:cs="宋体"/>
          <w:color w:val="auto"/>
          <w:kern w:val="0"/>
          <w:sz w:val="21"/>
          <w:szCs w:val="21"/>
          <w:highlight w:val="none"/>
          <w:lang w:val="en-US"/>
        </w:rPr>
        <w:t>由同一单位或者个人编制；</w:t>
      </w:r>
    </w:p>
    <w:p>
      <w:pPr>
        <w:pageBreakBefore w:val="0"/>
        <w:numPr>
          <w:ilvl w:val="0"/>
          <w:numId w:val="40"/>
        </w:numPr>
        <w:tabs>
          <w:tab w:val="left" w:pos="0"/>
          <w:tab w:val="clear" w:pos="420"/>
        </w:tabs>
        <w:kinsoku/>
        <w:wordWrap/>
        <w:overflowPunct/>
        <w:topLinePunct w:val="0"/>
        <w:autoSpaceDE/>
        <w:autoSpaceDN/>
        <w:bidi w:val="0"/>
        <w:spacing w:line="400" w:lineRule="exact"/>
        <w:ind w:left="5" w:leftChars="0" w:firstLine="415" w:firstLineChars="0"/>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rPr>
        <w:t>不同</w:t>
      </w:r>
      <w:r>
        <w:rPr>
          <w:rFonts w:hint="eastAsia" w:ascii="宋体" w:hAnsi="宋体" w:eastAsia="宋体" w:cs="宋体"/>
          <w:color w:val="auto"/>
          <w:kern w:val="0"/>
          <w:sz w:val="21"/>
          <w:szCs w:val="21"/>
          <w:highlight w:val="none"/>
          <w:lang w:val="en-US" w:eastAsia="zh-CN"/>
        </w:rPr>
        <w:t>磋商供应商</w:t>
      </w:r>
      <w:r>
        <w:rPr>
          <w:rFonts w:hint="eastAsia" w:ascii="宋体" w:hAnsi="宋体" w:eastAsia="宋体" w:cs="宋体"/>
          <w:color w:val="auto"/>
          <w:kern w:val="0"/>
          <w:sz w:val="21"/>
          <w:szCs w:val="21"/>
          <w:highlight w:val="none"/>
          <w:lang w:val="en-US"/>
        </w:rPr>
        <w:t>委托同一单位或者个人办理投标事宜；</w:t>
      </w:r>
    </w:p>
    <w:p>
      <w:pPr>
        <w:pageBreakBefore w:val="0"/>
        <w:numPr>
          <w:ilvl w:val="0"/>
          <w:numId w:val="40"/>
        </w:numPr>
        <w:tabs>
          <w:tab w:val="left" w:pos="0"/>
          <w:tab w:val="clear" w:pos="420"/>
        </w:tabs>
        <w:kinsoku/>
        <w:wordWrap/>
        <w:overflowPunct/>
        <w:topLinePunct w:val="0"/>
        <w:autoSpaceDE/>
        <w:autoSpaceDN/>
        <w:bidi w:val="0"/>
        <w:spacing w:line="400" w:lineRule="exact"/>
        <w:ind w:left="5" w:leftChars="0" w:firstLine="415" w:firstLineChars="0"/>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rPr>
        <w:t>不同</w:t>
      </w:r>
      <w:r>
        <w:rPr>
          <w:rFonts w:hint="eastAsia" w:ascii="宋体" w:hAnsi="宋体" w:eastAsia="宋体" w:cs="宋体"/>
          <w:color w:val="auto"/>
          <w:kern w:val="0"/>
          <w:sz w:val="21"/>
          <w:szCs w:val="21"/>
          <w:highlight w:val="none"/>
          <w:lang w:val="en-US" w:eastAsia="zh-CN"/>
        </w:rPr>
        <w:t>磋商供应商</w:t>
      </w:r>
      <w:r>
        <w:rPr>
          <w:rFonts w:hint="eastAsia" w:ascii="宋体" w:hAnsi="宋体" w:eastAsia="宋体" w:cs="宋体"/>
          <w:color w:val="auto"/>
          <w:kern w:val="0"/>
          <w:sz w:val="21"/>
          <w:szCs w:val="21"/>
          <w:highlight w:val="none"/>
          <w:lang w:val="en-US"/>
        </w:rPr>
        <w:t>的</w:t>
      </w:r>
      <w:r>
        <w:rPr>
          <w:rFonts w:hint="eastAsia" w:ascii="宋体" w:hAnsi="宋体" w:eastAsia="宋体" w:cs="宋体"/>
          <w:color w:val="auto"/>
          <w:kern w:val="0"/>
          <w:sz w:val="21"/>
          <w:szCs w:val="21"/>
          <w:highlight w:val="none"/>
          <w:lang w:val="en-US" w:eastAsia="zh-CN"/>
        </w:rPr>
        <w:t>磋商响应文件</w:t>
      </w:r>
      <w:r>
        <w:rPr>
          <w:rFonts w:hint="eastAsia" w:ascii="宋体" w:hAnsi="宋体" w:eastAsia="宋体" w:cs="宋体"/>
          <w:color w:val="auto"/>
          <w:kern w:val="0"/>
          <w:sz w:val="21"/>
          <w:szCs w:val="21"/>
          <w:highlight w:val="none"/>
          <w:lang w:val="en-US"/>
        </w:rPr>
        <w:t>载明的项目管理成员或者联系人员为同一人；</w:t>
      </w:r>
    </w:p>
    <w:p>
      <w:pPr>
        <w:pageBreakBefore w:val="0"/>
        <w:numPr>
          <w:ilvl w:val="0"/>
          <w:numId w:val="40"/>
        </w:numPr>
        <w:tabs>
          <w:tab w:val="left" w:pos="0"/>
          <w:tab w:val="clear" w:pos="420"/>
        </w:tabs>
        <w:kinsoku/>
        <w:wordWrap/>
        <w:overflowPunct/>
        <w:topLinePunct w:val="0"/>
        <w:autoSpaceDE/>
        <w:autoSpaceDN/>
        <w:bidi w:val="0"/>
        <w:spacing w:line="400" w:lineRule="exact"/>
        <w:ind w:left="5" w:leftChars="0" w:firstLine="415" w:firstLineChars="0"/>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rPr>
        <w:t>不同</w:t>
      </w:r>
      <w:r>
        <w:rPr>
          <w:rFonts w:hint="eastAsia" w:ascii="宋体" w:hAnsi="宋体" w:eastAsia="宋体" w:cs="宋体"/>
          <w:color w:val="auto"/>
          <w:kern w:val="0"/>
          <w:sz w:val="21"/>
          <w:szCs w:val="21"/>
          <w:highlight w:val="none"/>
          <w:lang w:val="en-US" w:eastAsia="zh-CN"/>
        </w:rPr>
        <w:t>磋商供应商</w:t>
      </w:r>
      <w:r>
        <w:rPr>
          <w:rFonts w:hint="eastAsia" w:ascii="宋体" w:hAnsi="宋体" w:eastAsia="宋体" w:cs="宋体"/>
          <w:color w:val="auto"/>
          <w:kern w:val="0"/>
          <w:sz w:val="21"/>
          <w:szCs w:val="21"/>
          <w:highlight w:val="none"/>
          <w:lang w:val="en-US"/>
        </w:rPr>
        <w:t>的</w:t>
      </w:r>
      <w:r>
        <w:rPr>
          <w:rFonts w:hint="eastAsia" w:ascii="宋体" w:hAnsi="宋体" w:eastAsia="宋体" w:cs="宋体"/>
          <w:color w:val="auto"/>
          <w:kern w:val="0"/>
          <w:sz w:val="21"/>
          <w:szCs w:val="21"/>
          <w:highlight w:val="none"/>
          <w:lang w:val="en-US" w:eastAsia="zh-CN"/>
        </w:rPr>
        <w:t>磋商响应文件</w:t>
      </w:r>
      <w:r>
        <w:rPr>
          <w:rFonts w:hint="eastAsia" w:ascii="宋体" w:hAnsi="宋体" w:eastAsia="宋体" w:cs="宋体"/>
          <w:color w:val="auto"/>
          <w:kern w:val="0"/>
          <w:sz w:val="21"/>
          <w:szCs w:val="21"/>
          <w:highlight w:val="none"/>
          <w:lang w:val="en-US"/>
        </w:rPr>
        <w:t>异常一致或者</w:t>
      </w:r>
      <w:r>
        <w:rPr>
          <w:rFonts w:hint="eastAsia" w:ascii="宋体" w:hAnsi="宋体" w:cs="宋体"/>
          <w:color w:val="auto"/>
          <w:kern w:val="0"/>
          <w:sz w:val="21"/>
          <w:szCs w:val="21"/>
          <w:highlight w:val="none"/>
          <w:lang w:val="en-US" w:eastAsia="zh-CN"/>
        </w:rPr>
        <w:t>报价</w:t>
      </w:r>
      <w:r>
        <w:rPr>
          <w:rFonts w:hint="eastAsia" w:ascii="宋体" w:hAnsi="宋体" w:eastAsia="宋体" w:cs="宋体"/>
          <w:color w:val="auto"/>
          <w:kern w:val="0"/>
          <w:sz w:val="21"/>
          <w:szCs w:val="21"/>
          <w:highlight w:val="none"/>
          <w:lang w:val="en-US"/>
        </w:rPr>
        <w:t>呈规律性差异；</w:t>
      </w:r>
    </w:p>
    <w:p>
      <w:pPr>
        <w:pageBreakBefore w:val="0"/>
        <w:numPr>
          <w:ilvl w:val="0"/>
          <w:numId w:val="40"/>
        </w:numPr>
        <w:tabs>
          <w:tab w:val="left" w:pos="0"/>
          <w:tab w:val="clear" w:pos="420"/>
        </w:tabs>
        <w:kinsoku/>
        <w:wordWrap/>
        <w:overflowPunct/>
        <w:topLinePunct w:val="0"/>
        <w:autoSpaceDE/>
        <w:autoSpaceDN/>
        <w:bidi w:val="0"/>
        <w:spacing w:line="400" w:lineRule="exact"/>
        <w:ind w:left="5" w:leftChars="0" w:firstLine="415" w:firstLineChars="0"/>
        <w:textAlignment w:val="auto"/>
        <w:rPr>
          <w:rFonts w:hint="eastAsia"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rPr>
        <w:t>不同</w:t>
      </w:r>
      <w:r>
        <w:rPr>
          <w:rFonts w:hint="eastAsia" w:ascii="宋体" w:hAnsi="宋体" w:eastAsia="宋体" w:cs="宋体"/>
          <w:color w:val="auto"/>
          <w:kern w:val="0"/>
          <w:sz w:val="21"/>
          <w:szCs w:val="21"/>
          <w:highlight w:val="none"/>
          <w:lang w:val="en-US" w:eastAsia="zh-CN"/>
        </w:rPr>
        <w:t>磋商供应商</w:t>
      </w:r>
      <w:r>
        <w:rPr>
          <w:rFonts w:hint="eastAsia" w:ascii="宋体" w:hAnsi="宋体" w:eastAsia="宋体" w:cs="宋体"/>
          <w:color w:val="auto"/>
          <w:kern w:val="0"/>
          <w:sz w:val="21"/>
          <w:szCs w:val="21"/>
          <w:highlight w:val="none"/>
          <w:lang w:val="en-US"/>
        </w:rPr>
        <w:t>的</w:t>
      </w:r>
      <w:r>
        <w:rPr>
          <w:rFonts w:hint="eastAsia" w:ascii="宋体" w:hAnsi="宋体" w:eastAsia="宋体" w:cs="宋体"/>
          <w:color w:val="auto"/>
          <w:kern w:val="0"/>
          <w:sz w:val="21"/>
          <w:szCs w:val="21"/>
          <w:highlight w:val="none"/>
          <w:lang w:val="en-US" w:eastAsia="zh-CN"/>
        </w:rPr>
        <w:t>磋商响应文件</w:t>
      </w:r>
      <w:r>
        <w:rPr>
          <w:rFonts w:hint="eastAsia" w:ascii="宋体" w:hAnsi="宋体" w:eastAsia="宋体" w:cs="宋体"/>
          <w:color w:val="auto"/>
          <w:kern w:val="0"/>
          <w:sz w:val="21"/>
          <w:szCs w:val="21"/>
          <w:highlight w:val="none"/>
          <w:lang w:val="en-US"/>
        </w:rPr>
        <w:t>相互混装；</w:t>
      </w:r>
    </w:p>
    <w:p>
      <w:pPr>
        <w:pageBreakBefore w:val="0"/>
        <w:numPr>
          <w:ilvl w:val="0"/>
          <w:numId w:val="40"/>
        </w:numPr>
        <w:tabs>
          <w:tab w:val="left" w:pos="0"/>
          <w:tab w:val="clear" w:pos="420"/>
        </w:tabs>
        <w:kinsoku/>
        <w:wordWrap/>
        <w:overflowPunct/>
        <w:topLinePunct w:val="0"/>
        <w:autoSpaceDE/>
        <w:autoSpaceDN/>
        <w:bidi w:val="0"/>
        <w:spacing w:line="400" w:lineRule="exact"/>
        <w:ind w:left="5" w:leftChars="0" w:firstLine="415"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rPr>
        <w:t>不同</w:t>
      </w:r>
      <w:r>
        <w:rPr>
          <w:rFonts w:hint="eastAsia" w:ascii="宋体" w:hAnsi="宋体" w:eastAsia="宋体" w:cs="宋体"/>
          <w:color w:val="auto"/>
          <w:kern w:val="0"/>
          <w:sz w:val="21"/>
          <w:szCs w:val="21"/>
          <w:highlight w:val="none"/>
          <w:lang w:val="en-US" w:eastAsia="zh-CN"/>
        </w:rPr>
        <w:t>磋商供应商</w:t>
      </w:r>
      <w:r>
        <w:rPr>
          <w:rFonts w:hint="eastAsia" w:ascii="宋体" w:hAnsi="宋体" w:eastAsia="宋体" w:cs="宋体"/>
          <w:color w:val="auto"/>
          <w:kern w:val="0"/>
          <w:sz w:val="21"/>
          <w:szCs w:val="21"/>
          <w:highlight w:val="none"/>
          <w:lang w:val="en-US"/>
        </w:rPr>
        <w:t>的投标保证金从同一单位或者个人的账户转出。</w:t>
      </w:r>
    </w:p>
    <w:p>
      <w:pPr>
        <w:pStyle w:val="29"/>
        <w:pageBreakBefore w:val="0"/>
        <w:numPr>
          <w:ilvl w:val="0"/>
          <w:numId w:val="37"/>
        </w:numPr>
        <w:kinsoku/>
        <w:wordWrap/>
        <w:overflowPunct/>
        <w:topLinePunct w:val="0"/>
        <w:autoSpaceDE/>
        <w:autoSpaceDN/>
        <w:bidi w:val="0"/>
        <w:spacing w:before="0" w:line="400" w:lineRule="exact"/>
        <w:ind w:left="425" w:leftChars="0" w:hanging="5" w:firstLineChars="0"/>
        <w:textAlignment w:val="auto"/>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废标。</w:t>
      </w:r>
      <w:r>
        <w:rPr>
          <w:rFonts w:hint="eastAsia" w:ascii="宋体" w:hAnsi="宋体" w:eastAsia="宋体" w:cs="宋体"/>
          <w:b w:val="0"/>
          <w:bCs/>
          <w:color w:val="auto"/>
          <w:kern w:val="0"/>
          <w:sz w:val="21"/>
          <w:szCs w:val="21"/>
          <w:highlight w:val="none"/>
          <w:lang w:eastAsia="zh-CN"/>
        </w:rPr>
        <w:t>根据《中华人民共和国政府采购法》第三十六条之规定，在采购中，出现下列情形之一的，应予废标：</w:t>
      </w:r>
    </w:p>
    <w:p>
      <w:pPr>
        <w:pStyle w:val="12"/>
        <w:pageBreakBefore w:val="0"/>
        <w:numPr>
          <w:ilvl w:val="0"/>
          <w:numId w:val="41"/>
        </w:numPr>
        <w:tabs>
          <w:tab w:val="left" w:pos="0"/>
          <w:tab w:val="clear" w:pos="420"/>
        </w:tabs>
        <w:kinsoku/>
        <w:wordWrap/>
        <w:overflowPunct/>
        <w:topLinePunct w:val="0"/>
        <w:autoSpaceDE/>
        <w:autoSpaceDN/>
        <w:bidi w:val="0"/>
        <w:snapToGrid w:val="0"/>
        <w:spacing w:line="400" w:lineRule="exact"/>
        <w:ind w:left="5" w:leftChars="0" w:firstLine="41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符合专业条件的供应商或者对</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作实质响应的供应商不足3家的；</w:t>
      </w:r>
    </w:p>
    <w:p>
      <w:pPr>
        <w:pStyle w:val="12"/>
        <w:pageBreakBefore w:val="0"/>
        <w:numPr>
          <w:ilvl w:val="0"/>
          <w:numId w:val="41"/>
        </w:numPr>
        <w:tabs>
          <w:tab w:val="left" w:pos="0"/>
          <w:tab w:val="clear" w:pos="420"/>
        </w:tabs>
        <w:kinsoku/>
        <w:wordWrap/>
        <w:overflowPunct/>
        <w:topLinePunct w:val="0"/>
        <w:autoSpaceDE/>
        <w:autoSpaceDN/>
        <w:bidi w:val="0"/>
        <w:snapToGrid w:val="0"/>
        <w:spacing w:line="400" w:lineRule="exact"/>
        <w:ind w:left="5" w:leftChars="0" w:firstLine="41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出现影响采购公正的违法、违规行为的；</w:t>
      </w:r>
    </w:p>
    <w:p>
      <w:pPr>
        <w:pStyle w:val="12"/>
        <w:pageBreakBefore w:val="0"/>
        <w:numPr>
          <w:ilvl w:val="0"/>
          <w:numId w:val="41"/>
        </w:numPr>
        <w:tabs>
          <w:tab w:val="left" w:pos="0"/>
          <w:tab w:val="clear" w:pos="420"/>
        </w:tabs>
        <w:kinsoku/>
        <w:wordWrap/>
        <w:overflowPunct/>
        <w:topLinePunct w:val="0"/>
        <w:autoSpaceDE/>
        <w:autoSpaceDN/>
        <w:bidi w:val="0"/>
        <w:snapToGrid w:val="0"/>
        <w:spacing w:line="400" w:lineRule="exact"/>
        <w:ind w:left="5" w:leftChars="0" w:firstLine="41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的报价均超过了采购预算，采购人不能支付的；</w:t>
      </w:r>
    </w:p>
    <w:p>
      <w:pPr>
        <w:pStyle w:val="12"/>
        <w:pageBreakBefore w:val="0"/>
        <w:numPr>
          <w:ilvl w:val="0"/>
          <w:numId w:val="41"/>
        </w:numPr>
        <w:tabs>
          <w:tab w:val="left" w:pos="0"/>
          <w:tab w:val="clear" w:pos="420"/>
        </w:tabs>
        <w:kinsoku/>
        <w:wordWrap/>
        <w:overflowPunct/>
        <w:topLinePunct w:val="0"/>
        <w:autoSpaceDE/>
        <w:autoSpaceDN/>
        <w:bidi w:val="0"/>
        <w:snapToGrid w:val="0"/>
        <w:spacing w:line="400" w:lineRule="exact"/>
        <w:ind w:left="5" w:leftChars="0" w:firstLine="41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因重大变故，采购任务取消的。</w:t>
      </w:r>
    </w:p>
    <w:p>
      <w:pPr>
        <w:pStyle w:val="12"/>
        <w:pageBreakBefore w:val="0"/>
        <w:kinsoku/>
        <w:wordWrap/>
        <w:overflowPunct/>
        <w:topLinePunct w:val="0"/>
        <w:autoSpaceDE/>
        <w:autoSpaceDN/>
        <w:bidi w:val="0"/>
        <w:snapToGrid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废标后，</w:t>
      </w:r>
      <w:r>
        <w:rPr>
          <w:rFonts w:hint="eastAsia" w:ascii="宋体" w:hAnsi="宋体" w:eastAsia="宋体" w:cs="宋体"/>
          <w:color w:val="auto"/>
          <w:sz w:val="21"/>
          <w:szCs w:val="21"/>
          <w:highlight w:val="none"/>
          <w:lang w:eastAsia="zh-CN"/>
        </w:rPr>
        <w:t>采购代理机构</w:t>
      </w:r>
      <w:r>
        <w:rPr>
          <w:rFonts w:hint="eastAsia" w:ascii="宋体" w:hAnsi="宋体" w:eastAsia="宋体" w:cs="宋体"/>
          <w:color w:val="auto"/>
          <w:sz w:val="21"/>
          <w:szCs w:val="21"/>
          <w:highlight w:val="none"/>
        </w:rPr>
        <w:t>应当将废标理由通知所有</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w:t>
      </w:r>
    </w:p>
    <w:p>
      <w:pPr>
        <w:pStyle w:val="29"/>
        <w:pageBreakBefore w:val="0"/>
        <w:numPr>
          <w:ilvl w:val="0"/>
          <w:numId w:val="37"/>
        </w:numPr>
        <w:kinsoku/>
        <w:wordWrap/>
        <w:overflowPunct/>
        <w:topLinePunct w:val="0"/>
        <w:autoSpaceDE/>
        <w:autoSpaceDN/>
        <w:bidi w:val="0"/>
        <w:spacing w:before="0" w:line="400" w:lineRule="exact"/>
        <w:ind w:left="425" w:leftChars="0" w:hanging="5" w:firstLineChars="0"/>
        <w:textAlignment w:val="auto"/>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修改磋商文件，重新组织采购活动。</w:t>
      </w:r>
      <w:r>
        <w:rPr>
          <w:rFonts w:hint="eastAsia" w:ascii="宋体" w:hAnsi="宋体" w:eastAsia="宋体" w:cs="宋体"/>
          <w:b w:val="0"/>
          <w:bCs/>
          <w:color w:val="auto"/>
          <w:kern w:val="0"/>
          <w:sz w:val="21"/>
          <w:szCs w:val="21"/>
          <w:highlight w:val="none"/>
          <w:lang w:eastAsia="zh-CN"/>
        </w:rPr>
        <w:t>磋商小组发现磋商文件存在歧义、重大缺陷导致评标工作无法进行，或者磋商文件内容违反国家有关强制性规定的，将停止评标工作，并与采购人、采购代理机构沟通并作书面记录。采购人、采购代理机构确认后，将修改磋商文件，重新组织采购活动。</w:t>
      </w:r>
    </w:p>
    <w:p>
      <w:pPr>
        <w:pStyle w:val="29"/>
        <w:pageBreakBefore w:val="0"/>
        <w:numPr>
          <w:ilvl w:val="0"/>
          <w:numId w:val="37"/>
        </w:numPr>
        <w:kinsoku/>
        <w:wordWrap/>
        <w:overflowPunct/>
        <w:topLinePunct w:val="0"/>
        <w:autoSpaceDE/>
        <w:autoSpaceDN/>
        <w:bidi w:val="0"/>
        <w:spacing w:before="0" w:line="400" w:lineRule="exact"/>
        <w:ind w:left="425" w:leftChars="0" w:hanging="5" w:firstLineChars="0"/>
        <w:textAlignment w:val="auto"/>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重新开展采购。</w:t>
      </w:r>
      <w:r>
        <w:rPr>
          <w:rFonts w:hint="eastAsia" w:ascii="宋体" w:hAnsi="宋体" w:eastAsia="宋体" w:cs="宋体"/>
          <w:b w:val="0"/>
          <w:bCs/>
          <w:color w:val="auto"/>
          <w:kern w:val="0"/>
          <w:sz w:val="21"/>
          <w:szCs w:val="21"/>
          <w:highlight w:val="none"/>
          <w:lang w:eastAsia="zh-CN"/>
        </w:rPr>
        <w:t>有政府采购法第七十一条、第七十二条规定的违法行为之一，影响或者可能影响中标、成交结果的，依照下列规定处理：</w:t>
      </w:r>
    </w:p>
    <w:p>
      <w:pPr>
        <w:pStyle w:val="12"/>
        <w:pageBreakBefore w:val="0"/>
        <w:numPr>
          <w:ilvl w:val="0"/>
          <w:numId w:val="42"/>
        </w:numPr>
        <w:tabs>
          <w:tab w:val="left" w:pos="0"/>
          <w:tab w:val="clear" w:pos="420"/>
        </w:tabs>
        <w:kinsoku/>
        <w:wordWrap/>
        <w:overflowPunct/>
        <w:topLinePunct w:val="0"/>
        <w:autoSpaceDE/>
        <w:autoSpaceDN/>
        <w:bidi w:val="0"/>
        <w:snapToGrid w:val="0"/>
        <w:spacing w:line="400" w:lineRule="exact"/>
        <w:ind w:left="5" w:leftChars="0" w:firstLine="41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未确定中标或者</w:t>
      </w: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的，终止本次政府采购活动，重新开展政府采购活动。</w:t>
      </w:r>
    </w:p>
    <w:p>
      <w:pPr>
        <w:pStyle w:val="12"/>
        <w:pageBreakBefore w:val="0"/>
        <w:numPr>
          <w:ilvl w:val="0"/>
          <w:numId w:val="42"/>
        </w:numPr>
        <w:tabs>
          <w:tab w:val="left" w:pos="0"/>
          <w:tab w:val="clear" w:pos="420"/>
        </w:tabs>
        <w:kinsoku/>
        <w:wordWrap/>
        <w:overflowPunct/>
        <w:topLinePunct w:val="0"/>
        <w:autoSpaceDE/>
        <w:autoSpaceDN/>
        <w:bidi w:val="0"/>
        <w:snapToGrid w:val="0"/>
        <w:spacing w:line="400" w:lineRule="exact"/>
        <w:ind w:left="5" w:leftChars="0" w:firstLine="41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已确定中标或者</w:t>
      </w: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但尚未签订政府采购合同的，中标或者成交结果无效，从合格的中标或者成交候选人中另行确定中标或者</w:t>
      </w: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；没有合格的中标或者成交候选人的，重新开展政府采购活动。</w:t>
      </w:r>
    </w:p>
    <w:p>
      <w:pPr>
        <w:pStyle w:val="12"/>
        <w:pageBreakBefore w:val="0"/>
        <w:numPr>
          <w:ilvl w:val="0"/>
          <w:numId w:val="42"/>
        </w:numPr>
        <w:tabs>
          <w:tab w:val="left" w:pos="0"/>
          <w:tab w:val="clear" w:pos="420"/>
        </w:tabs>
        <w:kinsoku/>
        <w:wordWrap/>
        <w:overflowPunct/>
        <w:topLinePunct w:val="0"/>
        <w:autoSpaceDE/>
        <w:autoSpaceDN/>
        <w:bidi w:val="0"/>
        <w:snapToGrid w:val="0"/>
        <w:spacing w:line="400" w:lineRule="exact"/>
        <w:ind w:left="5" w:leftChars="0" w:firstLine="41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政府采购合同已签订但尚未履行的，撤销合同，从合格的中标或者成交候选人中另行确定中标或者</w:t>
      </w: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；没有合格的中标或者成交候选人的，重新开展政府采购活动。</w:t>
      </w:r>
    </w:p>
    <w:p>
      <w:pPr>
        <w:pStyle w:val="12"/>
        <w:pageBreakBefore w:val="0"/>
        <w:numPr>
          <w:ilvl w:val="0"/>
          <w:numId w:val="42"/>
        </w:numPr>
        <w:tabs>
          <w:tab w:val="left" w:pos="0"/>
          <w:tab w:val="clear" w:pos="420"/>
        </w:tabs>
        <w:kinsoku/>
        <w:wordWrap/>
        <w:overflowPunct/>
        <w:topLinePunct w:val="0"/>
        <w:autoSpaceDE/>
        <w:autoSpaceDN/>
        <w:bidi w:val="0"/>
        <w:snapToGrid w:val="0"/>
        <w:spacing w:line="400" w:lineRule="exact"/>
        <w:ind w:left="5" w:leftChars="0" w:firstLine="41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政府采购合同已经履行，给采购人、供应商造成损失的，由责任人承担赔偿责任。</w:t>
      </w:r>
    </w:p>
    <w:p>
      <w:pPr>
        <w:pStyle w:val="12"/>
        <w:pageBreakBefore w:val="0"/>
        <w:numPr>
          <w:ilvl w:val="0"/>
          <w:numId w:val="42"/>
        </w:numPr>
        <w:tabs>
          <w:tab w:val="left" w:pos="0"/>
          <w:tab w:val="clear" w:pos="420"/>
        </w:tabs>
        <w:kinsoku/>
        <w:wordWrap/>
        <w:overflowPunct/>
        <w:topLinePunct w:val="0"/>
        <w:autoSpaceDE/>
        <w:autoSpaceDN/>
        <w:bidi w:val="0"/>
        <w:snapToGrid w:val="0"/>
        <w:spacing w:line="400" w:lineRule="exact"/>
        <w:ind w:left="5" w:leftChars="0" w:firstLine="41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政府采购当事人有其他违反政府采购法</w:t>
      </w:r>
      <w:r>
        <w:rPr>
          <w:rFonts w:hint="eastAsia" w:ascii="宋体" w:hAnsi="宋体" w:eastAsia="宋体" w:cs="宋体"/>
          <w:color w:val="auto"/>
          <w:kern w:val="0"/>
          <w:sz w:val="21"/>
          <w:szCs w:val="21"/>
          <w:highlight w:val="none"/>
        </w:rPr>
        <w:t>或者政府采购法实施条例等法律法规规定</w:t>
      </w:r>
      <w:r>
        <w:rPr>
          <w:rFonts w:hint="eastAsia" w:ascii="宋体" w:hAnsi="宋体" w:eastAsia="宋体" w:cs="宋体"/>
          <w:color w:val="auto"/>
          <w:sz w:val="21"/>
          <w:szCs w:val="21"/>
          <w:highlight w:val="none"/>
        </w:rPr>
        <w:t>的行为，经改正后仍然影响或者可能影响中标、成交结果或者依法被认定为中标、成交无效的，依照</w:t>
      </w:r>
      <w:r>
        <w:rPr>
          <w:rFonts w:hint="eastAsia" w:cs="宋体"/>
          <w:color w:val="auto"/>
          <w:sz w:val="21"/>
          <w:szCs w:val="21"/>
          <w:highlight w:val="none"/>
          <w:lang w:val="en-US" w:eastAsia="zh-CN"/>
        </w:rPr>
        <w:t>4.6</w:t>
      </w:r>
      <w:r>
        <w:rPr>
          <w:rFonts w:hint="eastAsia" w:ascii="宋体" w:hAnsi="宋体" w:eastAsia="宋体" w:cs="宋体"/>
          <w:color w:val="auto"/>
          <w:sz w:val="21"/>
          <w:szCs w:val="21"/>
          <w:highlight w:val="none"/>
        </w:rPr>
        <w:t>.1-</w:t>
      </w:r>
      <w:r>
        <w:rPr>
          <w:rFonts w:hint="eastAsia" w:cs="宋体"/>
          <w:color w:val="auto"/>
          <w:sz w:val="21"/>
          <w:szCs w:val="21"/>
          <w:highlight w:val="none"/>
          <w:lang w:val="en-US" w:eastAsia="zh-CN"/>
        </w:rPr>
        <w:t>4.6</w:t>
      </w:r>
      <w:r>
        <w:rPr>
          <w:rFonts w:hint="eastAsia" w:ascii="宋体" w:hAnsi="宋体" w:eastAsia="宋体" w:cs="宋体"/>
          <w:color w:val="auto"/>
          <w:sz w:val="21"/>
          <w:szCs w:val="21"/>
          <w:highlight w:val="none"/>
        </w:rPr>
        <w:t>.4规定处理。</w:t>
      </w:r>
    </w:p>
    <w:p>
      <w:pPr>
        <w:pStyle w:val="12"/>
        <w:pageBreakBefore w:val="0"/>
        <w:numPr>
          <w:ilvl w:val="0"/>
          <w:numId w:val="0"/>
        </w:numPr>
        <w:tabs>
          <w:tab w:val="left" w:pos="0"/>
        </w:tabs>
        <w:kinsoku/>
        <w:wordWrap/>
        <w:overflowPunct/>
        <w:topLinePunct w:val="0"/>
        <w:autoSpaceDE/>
        <w:autoSpaceDN/>
        <w:bidi w:val="0"/>
        <w:snapToGrid w:val="0"/>
        <w:spacing w:line="400" w:lineRule="exact"/>
        <w:textAlignment w:val="auto"/>
        <w:rPr>
          <w:rFonts w:hint="eastAsia" w:ascii="宋体" w:hAnsi="宋体" w:eastAsia="宋体" w:cs="宋体"/>
          <w:color w:val="auto"/>
          <w:sz w:val="21"/>
          <w:szCs w:val="21"/>
          <w:highlight w:val="none"/>
        </w:rPr>
      </w:pPr>
    </w:p>
    <w:bookmarkEnd w:id="30"/>
    <w:p>
      <w:pPr>
        <w:spacing w:line="360" w:lineRule="auto"/>
        <w:jc w:val="both"/>
        <w:outlineLvl w:val="0"/>
        <w:rPr>
          <w:rFonts w:hint="eastAsia" w:ascii="宋体" w:hAnsi="宋体" w:eastAsia="宋体" w:cs="宋体"/>
          <w:b/>
          <w:color w:val="auto"/>
          <w:sz w:val="36"/>
          <w:szCs w:val="36"/>
          <w:highlight w:val="none"/>
        </w:rPr>
      </w:pPr>
      <w:bookmarkStart w:id="466" w:name="_Toc9891"/>
      <w:bookmarkStart w:id="467" w:name="_Toc20837"/>
      <w:bookmarkStart w:id="468" w:name="第五部分"/>
      <w:bookmarkStart w:id="469" w:name="_Toc86217003"/>
    </w:p>
    <w:p>
      <w:pPr>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第五部分 拟签订的合同文本</w:t>
      </w:r>
      <w:bookmarkEnd w:id="466"/>
      <w:bookmarkEnd w:id="467"/>
    </w:p>
    <w:p>
      <w:pPr>
        <w:pStyle w:val="6"/>
        <w:spacing w:before="72" w:after="72"/>
        <w:jc w:val="center"/>
        <w:rPr>
          <w:rFonts w:hint="eastAsia" w:ascii="宋体" w:hAnsi="宋体" w:eastAsia="宋体" w:cs="宋体"/>
          <w:color w:val="auto"/>
          <w:sz w:val="24"/>
          <w:szCs w:val="24"/>
          <w:highlight w:val="none"/>
        </w:rPr>
      </w:pPr>
      <w:bookmarkStart w:id="470" w:name="_Toc7673"/>
      <w:bookmarkStart w:id="471" w:name="_Toc5897"/>
      <w:bookmarkStart w:id="472" w:name="_Toc4201"/>
      <w:bookmarkStart w:id="473" w:name="_Toc3485"/>
      <w:bookmarkStart w:id="474" w:name="_Toc19247"/>
      <w:bookmarkStart w:id="475" w:name="_Toc23012"/>
      <w:bookmarkStart w:id="476" w:name="_Toc12644"/>
      <w:bookmarkStart w:id="477" w:name="_Toc32416"/>
      <w:bookmarkStart w:id="478" w:name="_Toc7103"/>
      <w:bookmarkStart w:id="479" w:name="_Toc9594"/>
      <w:bookmarkStart w:id="480" w:name="_Toc12834"/>
      <w:bookmarkStart w:id="481" w:name="_Toc3771"/>
      <w:bookmarkStart w:id="482" w:name="_Toc14694"/>
      <w:bookmarkStart w:id="483" w:name="_Toc22733"/>
      <w:bookmarkStart w:id="484" w:name="_Toc519510645"/>
      <w:bookmarkStart w:id="485" w:name="_Toc421260787"/>
      <w:bookmarkStart w:id="486" w:name="_Toc514329390"/>
      <w:r>
        <w:rPr>
          <w:rFonts w:hint="eastAsia" w:ascii="宋体" w:hAnsi="宋体" w:eastAsia="宋体" w:cs="宋体"/>
          <w:color w:val="auto"/>
          <w:sz w:val="24"/>
          <w:szCs w:val="24"/>
          <w:highlight w:val="none"/>
        </w:rPr>
        <w:t>《建设工程施工合同（示范文本）》（GF-2017-0201）</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bookmarkEnd w:id="484"/>
    <w:bookmarkEnd w:id="485"/>
    <w:bookmarkEnd w:id="486"/>
    <w:p>
      <w:pPr>
        <w:spacing w:line="360" w:lineRule="auto"/>
        <w:jc w:val="center"/>
        <w:rPr>
          <w:rFonts w:hint="eastAsia" w:ascii="宋体" w:hAnsi="宋体" w:cs="黑体"/>
          <w:b/>
          <w:color w:val="auto"/>
          <w:sz w:val="28"/>
          <w:szCs w:val="28"/>
          <w:highlight w:val="none"/>
        </w:rPr>
      </w:pPr>
      <w:r>
        <w:rPr>
          <w:rFonts w:hint="eastAsia" w:ascii="宋体" w:hAnsi="宋体" w:cs="宋体"/>
          <w:color w:val="auto"/>
          <w:sz w:val="24"/>
          <w:szCs w:val="24"/>
          <w:highlight w:val="none"/>
        </w:rPr>
        <w:t xml:space="preserve">   </w:t>
      </w:r>
      <w:bookmarkStart w:id="487" w:name="_Toc379980789"/>
      <w:bookmarkStart w:id="488" w:name="_Toc522549743"/>
      <w:bookmarkStart w:id="489" w:name="_Toc17493"/>
      <w:bookmarkStart w:id="490" w:name="_Toc379721035"/>
      <w:bookmarkStart w:id="491" w:name="_Toc1130955"/>
      <w:bookmarkStart w:id="492" w:name="_Toc885476"/>
      <w:r>
        <w:rPr>
          <w:rFonts w:hint="eastAsia" w:ascii="宋体" w:hAnsi="宋体" w:cs="黑体"/>
          <w:b/>
          <w:color w:val="auto"/>
          <w:sz w:val="28"/>
          <w:szCs w:val="28"/>
          <w:highlight w:val="none"/>
        </w:rPr>
        <w:t>第三节 专用合同条款</w:t>
      </w:r>
      <w:bookmarkEnd w:id="487"/>
      <w:bookmarkEnd w:id="488"/>
      <w:bookmarkEnd w:id="489"/>
      <w:bookmarkEnd w:id="490"/>
      <w:bookmarkEnd w:id="491"/>
      <w:bookmarkEnd w:id="492"/>
    </w:p>
    <w:p>
      <w:pPr>
        <w:pStyle w:val="6"/>
        <w:spacing w:before="0" w:after="0" w:line="400" w:lineRule="exact"/>
        <w:rPr>
          <w:rFonts w:hint="eastAsia" w:ascii="宋体" w:hAnsi="宋体" w:cs="宋体"/>
          <w:sz w:val="21"/>
          <w:szCs w:val="21"/>
        </w:rPr>
      </w:pPr>
      <w:bookmarkStart w:id="493" w:name="_Toc31329"/>
      <w:bookmarkStart w:id="494" w:name="_Toc421260788"/>
      <w:bookmarkStart w:id="495" w:name="_Toc13548"/>
      <w:bookmarkStart w:id="496" w:name="_Toc25443"/>
      <w:bookmarkStart w:id="497" w:name="_Toc514329391"/>
      <w:bookmarkStart w:id="498" w:name="_Toc31468"/>
      <w:bookmarkStart w:id="499" w:name="_Toc519510646"/>
      <w:bookmarkStart w:id="500" w:name="_Toc18399"/>
      <w:bookmarkStart w:id="501" w:name="_Toc2552"/>
      <w:bookmarkStart w:id="502" w:name="_Toc351203652"/>
      <w:r>
        <w:rPr>
          <w:rFonts w:hint="eastAsia" w:ascii="宋体" w:hAnsi="宋体" w:cs="宋体"/>
          <w:sz w:val="21"/>
          <w:szCs w:val="21"/>
        </w:rPr>
        <w:t>1. 一般约定</w:t>
      </w:r>
      <w:bookmarkEnd w:id="493"/>
      <w:bookmarkEnd w:id="494"/>
      <w:bookmarkEnd w:id="495"/>
      <w:bookmarkEnd w:id="496"/>
      <w:bookmarkEnd w:id="497"/>
      <w:bookmarkEnd w:id="498"/>
      <w:bookmarkEnd w:id="499"/>
      <w:bookmarkEnd w:id="500"/>
      <w:bookmarkEnd w:id="501"/>
    </w:p>
    <w:p>
      <w:pPr>
        <w:pStyle w:val="7"/>
        <w:spacing w:before="0" w:after="0" w:line="400" w:lineRule="exact"/>
        <w:rPr>
          <w:rFonts w:hint="eastAsia" w:ascii="宋体" w:hAnsi="宋体" w:cs="宋体"/>
          <w:sz w:val="21"/>
          <w:szCs w:val="21"/>
        </w:rPr>
      </w:pPr>
      <w:bookmarkStart w:id="503" w:name="_Toc13465"/>
      <w:bookmarkStart w:id="504" w:name="_Toc2802"/>
      <w:bookmarkStart w:id="505" w:name="_Toc21323"/>
      <w:bookmarkStart w:id="506" w:name="_Toc21272"/>
      <w:bookmarkStart w:id="507" w:name="_Toc23465"/>
      <w:bookmarkStart w:id="508" w:name="_Toc519510647"/>
      <w:r>
        <w:rPr>
          <w:rFonts w:hint="eastAsia" w:ascii="宋体" w:hAnsi="宋体" w:cs="宋体"/>
          <w:sz w:val="21"/>
          <w:szCs w:val="21"/>
        </w:rPr>
        <w:t>1.1 词语定义</w:t>
      </w:r>
      <w:bookmarkEnd w:id="503"/>
      <w:bookmarkEnd w:id="504"/>
      <w:bookmarkEnd w:id="505"/>
      <w:bookmarkEnd w:id="506"/>
      <w:bookmarkEnd w:id="507"/>
      <w:bookmarkEnd w:id="508"/>
    </w:p>
    <w:p>
      <w:pPr>
        <w:spacing w:line="360" w:lineRule="exact"/>
        <w:ind w:firstLine="420"/>
        <w:rPr>
          <w:rFonts w:hint="eastAsia" w:ascii="宋体" w:hAnsi="宋体" w:cs="宋体"/>
        </w:rPr>
      </w:pPr>
      <w:r>
        <w:rPr>
          <w:rFonts w:hint="eastAsia" w:ascii="宋体" w:hAnsi="宋体" w:cs="宋体"/>
        </w:rPr>
        <w:t>1.1.1合同</w:t>
      </w:r>
    </w:p>
    <w:p>
      <w:pPr>
        <w:spacing w:line="360" w:lineRule="exact"/>
        <w:ind w:firstLine="420"/>
        <w:rPr>
          <w:rFonts w:hint="eastAsia" w:ascii="宋体" w:hAnsi="宋体" w:cs="宋体"/>
          <w:szCs w:val="21"/>
          <w:u w:val="single"/>
        </w:rPr>
      </w:pPr>
      <w:r>
        <w:rPr>
          <w:rFonts w:hint="eastAsia" w:ascii="宋体" w:hAnsi="宋体" w:cs="宋体"/>
        </w:rPr>
        <w:t>1.1.1.10其他合同文件包括：</w:t>
      </w:r>
      <w:r>
        <w:rPr>
          <w:rFonts w:hint="eastAsia" w:ascii="宋体" w:hAnsi="宋体" w:cs="宋体"/>
          <w:u w:val="single"/>
        </w:rPr>
        <w:t xml:space="preserve">①磋商文件；②磋商文件的澄清、修改、补充文件；③经发包人审核确定的施工组织设计，双方签署的对合同内容有实质性影响的会议纪要、签证、设计变更、工程备忘录等资料 </w:t>
      </w:r>
      <w:r>
        <w:rPr>
          <w:rFonts w:hint="eastAsia" w:ascii="宋体" w:hAnsi="宋体" w:cs="宋体"/>
        </w:rPr>
        <w:t>。</w:t>
      </w:r>
    </w:p>
    <w:p>
      <w:pPr>
        <w:spacing w:line="360" w:lineRule="exact"/>
        <w:ind w:firstLine="420"/>
        <w:rPr>
          <w:rFonts w:hint="eastAsia" w:ascii="宋体" w:hAnsi="宋体" w:cs="宋体"/>
          <w:szCs w:val="21"/>
        </w:rPr>
      </w:pPr>
      <w:r>
        <w:rPr>
          <w:rFonts w:hint="eastAsia" w:ascii="宋体" w:hAnsi="宋体" w:cs="宋体"/>
          <w:szCs w:val="21"/>
        </w:rPr>
        <w:t>1.1.2 合同当事人及其他相关方</w:t>
      </w:r>
    </w:p>
    <w:p>
      <w:pPr>
        <w:spacing w:line="360" w:lineRule="exact"/>
        <w:ind w:firstLine="420"/>
        <w:rPr>
          <w:rFonts w:hint="eastAsia" w:ascii="宋体" w:hAnsi="宋体" w:cs="宋体"/>
          <w:szCs w:val="21"/>
        </w:rPr>
      </w:pPr>
      <w:r>
        <w:rPr>
          <w:rFonts w:hint="eastAsia" w:ascii="宋体" w:hAnsi="宋体" w:cs="宋体"/>
          <w:szCs w:val="21"/>
        </w:rPr>
        <w:t>1.1.2.4监理人：</w:t>
      </w:r>
    </w:p>
    <w:p>
      <w:pPr>
        <w:spacing w:line="360" w:lineRule="exact"/>
        <w:ind w:firstLine="420"/>
        <w:rPr>
          <w:rFonts w:hint="eastAsia" w:ascii="宋体" w:hAnsi="宋体" w:cs="宋体"/>
          <w:szCs w:val="21"/>
        </w:rPr>
      </w:pPr>
      <w:r>
        <w:rPr>
          <w:rFonts w:hint="eastAsia" w:ascii="宋体" w:hAnsi="宋体" w:cs="宋体"/>
          <w:szCs w:val="21"/>
        </w:rPr>
        <w:t>名    称：</w:t>
      </w:r>
      <w:r>
        <w:rPr>
          <w:rFonts w:hint="eastAsia" w:ascii="宋体" w:hAnsi="宋体" w:cs="宋体"/>
          <w:szCs w:val="21"/>
          <w:u w:val="single"/>
        </w:rPr>
        <w:t xml:space="preserve">                                                                 </w:t>
      </w:r>
      <w:r>
        <w:rPr>
          <w:rFonts w:hint="eastAsia" w:ascii="宋体" w:hAnsi="宋体" w:cs="宋体"/>
          <w:szCs w:val="21"/>
        </w:rPr>
        <w:t>。</w:t>
      </w:r>
    </w:p>
    <w:p>
      <w:pPr>
        <w:spacing w:line="360" w:lineRule="exact"/>
        <w:ind w:firstLine="420"/>
        <w:rPr>
          <w:rFonts w:hint="eastAsia" w:ascii="宋体" w:hAnsi="宋体" w:cs="宋体"/>
          <w:szCs w:val="21"/>
        </w:rPr>
      </w:pPr>
      <w:r>
        <w:rPr>
          <w:rFonts w:hint="eastAsia" w:ascii="宋体" w:hAnsi="宋体" w:cs="宋体"/>
          <w:szCs w:val="21"/>
        </w:rPr>
        <w:t>资质类别和等级：</w:t>
      </w:r>
      <w:r>
        <w:rPr>
          <w:rFonts w:hint="eastAsia" w:ascii="宋体" w:hAnsi="宋体" w:cs="宋体"/>
          <w:szCs w:val="21"/>
          <w:u w:val="single"/>
        </w:rPr>
        <w:t xml:space="preserve">                                       </w:t>
      </w:r>
      <w:r>
        <w:rPr>
          <w:rFonts w:hint="eastAsia" w:ascii="宋体" w:hAnsi="宋体" w:cs="宋体"/>
          <w:szCs w:val="21"/>
        </w:rPr>
        <w:t>。</w:t>
      </w:r>
    </w:p>
    <w:p>
      <w:pPr>
        <w:spacing w:line="360" w:lineRule="exact"/>
        <w:ind w:firstLine="420"/>
        <w:rPr>
          <w:rFonts w:hint="eastAsia" w:ascii="宋体" w:hAnsi="宋体" w:cs="宋体"/>
          <w:szCs w:val="21"/>
        </w:rPr>
      </w:pPr>
      <w:r>
        <w:rPr>
          <w:rFonts w:hint="eastAsia" w:ascii="宋体" w:hAnsi="宋体" w:cs="宋体"/>
          <w:szCs w:val="21"/>
        </w:rPr>
        <w:t>联系电话：</w:t>
      </w:r>
      <w:r>
        <w:rPr>
          <w:rFonts w:hint="eastAsia" w:ascii="宋体" w:hAnsi="宋体" w:cs="宋体"/>
          <w:szCs w:val="21"/>
          <w:u w:val="single"/>
        </w:rPr>
        <w:t xml:space="preserve">                                     </w:t>
      </w:r>
      <w:r>
        <w:rPr>
          <w:rFonts w:hint="eastAsia" w:ascii="宋体" w:hAnsi="宋体" w:cs="宋体"/>
          <w:szCs w:val="21"/>
        </w:rPr>
        <w:t>。</w:t>
      </w:r>
    </w:p>
    <w:p>
      <w:pPr>
        <w:spacing w:line="360" w:lineRule="exact"/>
        <w:ind w:firstLine="420"/>
        <w:rPr>
          <w:rFonts w:hint="eastAsia" w:ascii="宋体" w:hAnsi="宋体" w:cs="宋体"/>
          <w:szCs w:val="21"/>
        </w:rPr>
      </w:pPr>
      <w:r>
        <w:rPr>
          <w:rFonts w:hint="eastAsia" w:ascii="宋体" w:hAnsi="宋体" w:cs="宋体"/>
          <w:szCs w:val="21"/>
        </w:rPr>
        <w:t>电子信箱：</w:t>
      </w:r>
      <w:r>
        <w:rPr>
          <w:rFonts w:hint="eastAsia" w:ascii="宋体" w:hAnsi="宋体" w:cs="宋体"/>
          <w:szCs w:val="21"/>
          <w:u w:val="single"/>
        </w:rPr>
        <w:t xml:space="preserve">                                                                 </w:t>
      </w:r>
      <w:r>
        <w:rPr>
          <w:rFonts w:hint="eastAsia" w:ascii="宋体" w:hAnsi="宋体" w:cs="宋体"/>
          <w:szCs w:val="21"/>
        </w:rPr>
        <w:t>。</w:t>
      </w:r>
    </w:p>
    <w:p>
      <w:pPr>
        <w:spacing w:line="360" w:lineRule="exact"/>
        <w:ind w:firstLine="420"/>
        <w:rPr>
          <w:rFonts w:hint="eastAsia" w:ascii="宋体" w:hAnsi="宋体" w:cs="宋体"/>
          <w:szCs w:val="21"/>
        </w:rPr>
      </w:pPr>
      <w:r>
        <w:rPr>
          <w:rFonts w:hint="eastAsia" w:ascii="宋体" w:hAnsi="宋体" w:cs="宋体"/>
          <w:szCs w:val="21"/>
        </w:rPr>
        <w:t>通信地址：</w:t>
      </w:r>
      <w:r>
        <w:rPr>
          <w:rFonts w:hint="eastAsia" w:ascii="宋体" w:hAnsi="宋体" w:cs="宋体"/>
          <w:szCs w:val="21"/>
          <w:u w:val="single"/>
        </w:rPr>
        <w:t xml:space="preserve">                                     </w:t>
      </w:r>
      <w:r>
        <w:rPr>
          <w:rFonts w:hint="eastAsia" w:ascii="宋体" w:hAnsi="宋体" w:cs="宋体"/>
          <w:szCs w:val="21"/>
        </w:rPr>
        <w:t>。</w:t>
      </w:r>
    </w:p>
    <w:p>
      <w:pPr>
        <w:spacing w:line="360" w:lineRule="exact"/>
        <w:ind w:firstLine="420"/>
        <w:rPr>
          <w:rFonts w:hint="eastAsia" w:ascii="宋体" w:hAnsi="宋体" w:cs="宋体"/>
          <w:szCs w:val="21"/>
        </w:rPr>
      </w:pPr>
      <w:r>
        <w:rPr>
          <w:rFonts w:hint="eastAsia" w:ascii="宋体" w:hAnsi="宋体" w:cs="宋体"/>
          <w:szCs w:val="21"/>
        </w:rPr>
        <w:t>1.1.2.5 设计人：</w:t>
      </w:r>
    </w:p>
    <w:p>
      <w:pPr>
        <w:spacing w:line="360" w:lineRule="exact"/>
        <w:ind w:firstLine="420"/>
        <w:rPr>
          <w:rFonts w:hint="eastAsia" w:ascii="宋体" w:hAnsi="宋体" w:cs="宋体"/>
          <w:szCs w:val="21"/>
        </w:rPr>
      </w:pPr>
      <w:r>
        <w:rPr>
          <w:rFonts w:hint="eastAsia" w:ascii="宋体" w:hAnsi="宋体" w:cs="宋体"/>
          <w:szCs w:val="21"/>
        </w:rPr>
        <w:t>名    称：</w:t>
      </w:r>
      <w:r>
        <w:rPr>
          <w:rFonts w:hint="eastAsia" w:ascii="宋体" w:hAnsi="宋体" w:cs="宋体"/>
          <w:szCs w:val="21"/>
          <w:u w:val="single"/>
        </w:rPr>
        <w:t xml:space="preserve">                                     </w:t>
      </w:r>
      <w:r>
        <w:rPr>
          <w:rFonts w:hint="eastAsia" w:ascii="宋体" w:hAnsi="宋体" w:cs="宋体"/>
          <w:szCs w:val="21"/>
        </w:rPr>
        <w:t>。</w:t>
      </w:r>
    </w:p>
    <w:p>
      <w:pPr>
        <w:spacing w:line="360" w:lineRule="exact"/>
        <w:ind w:firstLine="420"/>
        <w:rPr>
          <w:rFonts w:hint="eastAsia" w:ascii="宋体" w:hAnsi="宋体" w:cs="宋体"/>
          <w:szCs w:val="21"/>
        </w:rPr>
      </w:pPr>
      <w:r>
        <w:rPr>
          <w:rFonts w:hint="eastAsia" w:ascii="宋体" w:hAnsi="宋体" w:cs="宋体"/>
          <w:szCs w:val="21"/>
        </w:rPr>
        <w:t>资质类别和等级：</w:t>
      </w:r>
      <w:r>
        <w:rPr>
          <w:rFonts w:hint="eastAsia" w:ascii="宋体" w:hAnsi="宋体" w:cs="宋体"/>
          <w:szCs w:val="21"/>
          <w:u w:val="single"/>
        </w:rPr>
        <w:t xml:space="preserve">                                     </w:t>
      </w:r>
      <w:r>
        <w:rPr>
          <w:rFonts w:hint="eastAsia" w:ascii="宋体" w:hAnsi="宋体" w:cs="宋体"/>
          <w:szCs w:val="21"/>
        </w:rPr>
        <w:t>。</w:t>
      </w:r>
    </w:p>
    <w:p>
      <w:pPr>
        <w:spacing w:line="360" w:lineRule="exact"/>
        <w:ind w:firstLine="420"/>
        <w:rPr>
          <w:rFonts w:hint="eastAsia" w:ascii="宋体" w:hAnsi="宋体" w:cs="宋体"/>
          <w:szCs w:val="21"/>
        </w:rPr>
      </w:pPr>
      <w:r>
        <w:rPr>
          <w:rFonts w:hint="eastAsia" w:ascii="宋体" w:hAnsi="宋体" w:cs="宋体"/>
          <w:szCs w:val="21"/>
        </w:rPr>
        <w:t>联系电话：</w:t>
      </w:r>
      <w:r>
        <w:rPr>
          <w:rFonts w:hint="eastAsia" w:ascii="宋体" w:hAnsi="宋体" w:cs="宋体"/>
          <w:szCs w:val="21"/>
          <w:u w:val="single"/>
        </w:rPr>
        <w:t xml:space="preserve">                                       </w:t>
      </w:r>
      <w:r>
        <w:rPr>
          <w:rFonts w:hint="eastAsia" w:ascii="宋体" w:hAnsi="宋体" w:cs="宋体"/>
          <w:szCs w:val="21"/>
        </w:rPr>
        <w:t>。</w:t>
      </w:r>
    </w:p>
    <w:p>
      <w:pPr>
        <w:spacing w:line="360" w:lineRule="exact"/>
        <w:ind w:firstLine="420"/>
        <w:rPr>
          <w:rFonts w:hint="eastAsia" w:ascii="宋体" w:hAnsi="宋体" w:cs="宋体"/>
          <w:szCs w:val="21"/>
        </w:rPr>
      </w:pPr>
      <w:r>
        <w:rPr>
          <w:rFonts w:hint="eastAsia" w:ascii="宋体" w:hAnsi="宋体" w:cs="宋体"/>
          <w:szCs w:val="21"/>
        </w:rPr>
        <w:t>电子信箱：</w:t>
      </w:r>
      <w:r>
        <w:rPr>
          <w:rFonts w:hint="eastAsia" w:ascii="宋体" w:hAnsi="宋体" w:cs="宋体"/>
          <w:szCs w:val="21"/>
          <w:u w:val="single"/>
        </w:rPr>
        <w:t xml:space="preserve">                                         </w:t>
      </w:r>
      <w:r>
        <w:rPr>
          <w:rFonts w:hint="eastAsia" w:ascii="宋体" w:hAnsi="宋体" w:cs="宋体"/>
          <w:szCs w:val="21"/>
        </w:rPr>
        <w:t>。</w:t>
      </w:r>
    </w:p>
    <w:p>
      <w:pPr>
        <w:spacing w:line="360" w:lineRule="exact"/>
        <w:ind w:firstLine="420"/>
        <w:rPr>
          <w:rFonts w:hint="eastAsia" w:ascii="宋体" w:hAnsi="宋体" w:cs="宋体"/>
          <w:szCs w:val="21"/>
        </w:rPr>
      </w:pPr>
      <w:r>
        <w:rPr>
          <w:rFonts w:hint="eastAsia" w:ascii="宋体" w:hAnsi="宋体" w:cs="宋体"/>
          <w:szCs w:val="21"/>
        </w:rPr>
        <w:t>通信地址：</w:t>
      </w:r>
      <w:r>
        <w:rPr>
          <w:rFonts w:hint="eastAsia" w:ascii="宋体" w:hAnsi="宋体" w:cs="宋体"/>
          <w:szCs w:val="21"/>
          <w:u w:val="single"/>
        </w:rPr>
        <w:t xml:space="preserve">                                       </w:t>
      </w:r>
      <w:r>
        <w:rPr>
          <w:rFonts w:hint="eastAsia" w:ascii="宋体" w:hAnsi="宋体" w:cs="宋体"/>
          <w:szCs w:val="21"/>
        </w:rPr>
        <w:t>。</w:t>
      </w:r>
    </w:p>
    <w:p>
      <w:pPr>
        <w:spacing w:line="360" w:lineRule="exact"/>
        <w:ind w:firstLine="420"/>
        <w:rPr>
          <w:rFonts w:hint="eastAsia" w:ascii="宋体" w:hAnsi="宋体" w:cs="宋体"/>
          <w:szCs w:val="21"/>
        </w:rPr>
      </w:pPr>
      <w:r>
        <w:rPr>
          <w:rFonts w:hint="eastAsia" w:ascii="宋体" w:hAnsi="宋体" w:cs="宋体"/>
          <w:szCs w:val="21"/>
        </w:rPr>
        <w:t>1.1.3 工程和设备</w:t>
      </w:r>
    </w:p>
    <w:p>
      <w:pPr>
        <w:spacing w:line="360" w:lineRule="exact"/>
        <w:ind w:firstLine="420"/>
        <w:rPr>
          <w:rFonts w:hint="eastAsia" w:ascii="宋体" w:hAnsi="宋体" w:cs="宋体"/>
          <w:szCs w:val="21"/>
        </w:rPr>
      </w:pPr>
      <w:r>
        <w:rPr>
          <w:rFonts w:hint="eastAsia" w:ascii="宋体" w:hAnsi="宋体" w:cs="宋体"/>
          <w:szCs w:val="21"/>
        </w:rPr>
        <w:t>1.1.3.7 作为施工现场组成部分的其他场所包括：</w:t>
      </w:r>
      <w:r>
        <w:rPr>
          <w:rFonts w:hint="eastAsia" w:ascii="宋体" w:hAnsi="宋体" w:cs="宋体"/>
          <w:szCs w:val="21"/>
          <w:u w:val="single"/>
          <w:lang w:val="en-US" w:eastAsia="zh-CN"/>
        </w:rPr>
        <w:t>无</w:t>
      </w:r>
      <w:r>
        <w:rPr>
          <w:rFonts w:hint="eastAsia" w:ascii="宋体" w:hAnsi="宋体" w:cs="宋体"/>
          <w:szCs w:val="21"/>
          <w:u w:val="single"/>
        </w:rPr>
        <w:t xml:space="preserve"> </w:t>
      </w:r>
      <w:r>
        <w:rPr>
          <w:rFonts w:hint="eastAsia" w:ascii="宋体" w:hAnsi="宋体" w:cs="宋体"/>
          <w:szCs w:val="21"/>
        </w:rPr>
        <w:t>。</w:t>
      </w:r>
    </w:p>
    <w:p>
      <w:pPr>
        <w:spacing w:line="360" w:lineRule="exact"/>
        <w:ind w:firstLine="420"/>
        <w:rPr>
          <w:rFonts w:hint="eastAsia" w:ascii="宋体" w:hAnsi="宋体" w:cs="宋体"/>
          <w:szCs w:val="21"/>
        </w:rPr>
      </w:pPr>
      <w:r>
        <w:rPr>
          <w:rFonts w:hint="eastAsia" w:ascii="宋体" w:hAnsi="宋体" w:cs="宋体"/>
          <w:szCs w:val="21"/>
        </w:rPr>
        <w:t>1.1.3.9 永久占地包括：</w:t>
      </w:r>
      <w:r>
        <w:rPr>
          <w:rFonts w:hint="default" w:ascii="宋体" w:hAnsi="宋体" w:eastAsia="宋体" w:cs="宋体"/>
          <w:szCs w:val="21"/>
          <w:u w:val="single"/>
        </w:rPr>
        <w:t>本工程用地红线内</w:t>
      </w:r>
      <w:r>
        <w:rPr>
          <w:rFonts w:hint="eastAsia" w:ascii="宋体" w:hAnsi="宋体" w:eastAsia="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w:t>
      </w:r>
    </w:p>
    <w:p>
      <w:pPr>
        <w:spacing w:line="360" w:lineRule="exact"/>
        <w:ind w:firstLine="420"/>
        <w:rPr>
          <w:rFonts w:hint="eastAsia" w:ascii="宋体" w:hAnsi="宋体" w:cs="宋体"/>
          <w:szCs w:val="21"/>
        </w:rPr>
      </w:pPr>
      <w:r>
        <w:rPr>
          <w:rFonts w:hint="eastAsia" w:ascii="宋体" w:hAnsi="宋体" w:cs="宋体"/>
          <w:szCs w:val="21"/>
        </w:rPr>
        <w:t>1.1.3.10 临时占地包括：</w:t>
      </w:r>
      <w:r>
        <w:rPr>
          <w:rFonts w:hint="eastAsia" w:ascii="宋体" w:hAnsi="宋体" w:cs="宋体"/>
          <w:szCs w:val="21"/>
          <w:u w:val="single"/>
          <w:lang w:val="en-US" w:eastAsia="zh-CN"/>
        </w:rPr>
        <w:t>无</w:t>
      </w:r>
      <w:r>
        <w:rPr>
          <w:rFonts w:hint="eastAsia" w:ascii="宋体" w:hAnsi="宋体" w:cs="宋体"/>
          <w:szCs w:val="21"/>
          <w:u w:val="single"/>
        </w:rPr>
        <w:t xml:space="preserve">  </w:t>
      </w:r>
      <w:r>
        <w:rPr>
          <w:rFonts w:hint="eastAsia" w:ascii="宋体" w:hAnsi="宋体" w:cs="宋体"/>
          <w:szCs w:val="21"/>
        </w:rPr>
        <w:t>。</w:t>
      </w:r>
    </w:p>
    <w:p>
      <w:pPr>
        <w:pStyle w:val="7"/>
        <w:widowControl w:val="0"/>
        <w:spacing w:line="360" w:lineRule="exact"/>
        <w:jc w:val="both"/>
        <w:rPr>
          <w:rFonts w:hint="eastAsia" w:ascii="宋体" w:hAnsi="宋体" w:cs="宋体"/>
          <w:sz w:val="28"/>
          <w:szCs w:val="28"/>
        </w:rPr>
      </w:pPr>
      <w:bookmarkStart w:id="509" w:name="_Toc9370"/>
      <w:bookmarkStart w:id="510" w:name="_Toc4780"/>
      <w:bookmarkStart w:id="511" w:name="_Toc28524"/>
      <w:bookmarkStart w:id="512" w:name="_Toc29492"/>
      <w:bookmarkStart w:id="513" w:name="_Toc24784"/>
      <w:bookmarkStart w:id="514" w:name="_Toc26180"/>
      <w:r>
        <w:rPr>
          <w:rFonts w:hint="eastAsia" w:ascii="宋体" w:hAnsi="宋体" w:cs="宋体"/>
          <w:sz w:val="28"/>
          <w:szCs w:val="28"/>
        </w:rPr>
        <w:t>1.3法律</w:t>
      </w:r>
      <w:bookmarkEnd w:id="509"/>
      <w:bookmarkEnd w:id="510"/>
      <w:bookmarkEnd w:id="511"/>
      <w:bookmarkEnd w:id="512"/>
      <w:bookmarkEnd w:id="513"/>
      <w:bookmarkEnd w:id="514"/>
      <w:r>
        <w:rPr>
          <w:rFonts w:hint="eastAsia" w:ascii="宋体" w:hAnsi="宋体" w:cs="宋体"/>
          <w:sz w:val="28"/>
          <w:szCs w:val="28"/>
        </w:rPr>
        <w:t xml:space="preserve"> </w:t>
      </w:r>
    </w:p>
    <w:p>
      <w:pPr>
        <w:spacing w:line="360" w:lineRule="exact"/>
        <w:ind w:firstLine="420"/>
        <w:rPr>
          <w:rFonts w:hint="eastAsia" w:ascii="宋体" w:hAnsi="宋体" w:cs="宋体"/>
        </w:rPr>
      </w:pPr>
      <w:r>
        <w:rPr>
          <w:rFonts w:hint="eastAsia" w:ascii="宋体" w:hAnsi="宋体" w:cs="宋体"/>
        </w:rPr>
        <w:t>适用于合同的其他规范性文件：</w:t>
      </w:r>
      <w:r>
        <w:rPr>
          <w:rFonts w:hint="eastAsia" w:ascii="宋体" w:hAnsi="宋体" w:cs="宋体"/>
          <w:u w:val="single"/>
        </w:rPr>
        <w:t></w:t>
      </w:r>
      <w:r>
        <w:rPr>
          <w:rFonts w:hint="eastAsia" w:ascii="宋体" w:hAnsi="宋体" w:cs="宋体"/>
          <w:u w:val="single"/>
          <w:lang w:val="en-US" w:eastAsia="zh-CN"/>
        </w:rPr>
        <w:t>无</w:t>
      </w:r>
      <w:r>
        <w:rPr>
          <w:rFonts w:hint="eastAsia" w:ascii="宋体" w:hAnsi="宋体" w:cs="宋体"/>
          <w:u w:val="single"/>
        </w:rPr>
        <w:t xml:space="preserve">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515" w:name="_Toc31808"/>
      <w:bookmarkStart w:id="516" w:name="_Toc10353"/>
      <w:bookmarkStart w:id="517" w:name="_Toc12504"/>
      <w:bookmarkStart w:id="518" w:name="_Toc883"/>
      <w:bookmarkStart w:id="519" w:name="_Toc16313"/>
      <w:bookmarkStart w:id="520" w:name="_Toc14472"/>
      <w:r>
        <w:rPr>
          <w:rFonts w:hint="eastAsia" w:ascii="宋体" w:hAnsi="宋体" w:cs="宋体"/>
          <w:sz w:val="28"/>
          <w:szCs w:val="28"/>
        </w:rPr>
        <w:t>1.4 标准和规范</w:t>
      </w:r>
      <w:bookmarkEnd w:id="515"/>
      <w:bookmarkEnd w:id="516"/>
      <w:bookmarkEnd w:id="517"/>
      <w:bookmarkEnd w:id="518"/>
      <w:bookmarkEnd w:id="519"/>
      <w:bookmarkEnd w:id="520"/>
    </w:p>
    <w:p>
      <w:pPr>
        <w:spacing w:line="360" w:lineRule="exact"/>
        <w:ind w:firstLine="420"/>
        <w:rPr>
          <w:rFonts w:hint="eastAsia" w:ascii="宋体" w:hAnsi="宋体" w:cs="宋体"/>
        </w:rPr>
      </w:pPr>
      <w:r>
        <w:rPr>
          <w:rFonts w:hint="eastAsia" w:ascii="宋体" w:hAnsi="宋体" w:cs="宋体"/>
        </w:rPr>
        <w:t>1.4.1适用于工程的标准规范包括：</w:t>
      </w:r>
      <w:r>
        <w:rPr>
          <w:rFonts w:hint="eastAsia" w:ascii="宋体" w:hAnsi="宋体" w:cs="宋体"/>
          <w:u w:val="single"/>
          <w:lang w:val="en-US" w:eastAsia="zh-CN"/>
        </w:rPr>
        <w:t>按通用条款执行</w:t>
      </w:r>
      <w:r>
        <w:rPr>
          <w:rFonts w:hint="eastAsia" w:ascii="宋体" w:hAnsi="宋体" w:cs="宋体"/>
          <w:u w:val="single"/>
        </w:rPr>
        <w:t xml:space="preserve">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1.4.2 发包人提供国外标准、规范的名称：</w:t>
      </w:r>
      <w:r>
        <w:rPr>
          <w:rFonts w:hint="eastAsia" w:ascii="宋体" w:hAnsi="宋体" w:cs="宋体"/>
          <w:u w:val="single"/>
        </w:rPr>
        <w:t xml:space="preserve">  无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发包人提供国外标准、规范的份数：</w:t>
      </w:r>
      <w:r>
        <w:rPr>
          <w:rFonts w:hint="eastAsia" w:ascii="宋体" w:hAnsi="宋体" w:cs="宋体"/>
          <w:u w:val="single"/>
        </w:rPr>
        <w:t xml:space="preserve">  无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发包人提供国外标准、规范的名称：</w:t>
      </w:r>
      <w:r>
        <w:rPr>
          <w:rFonts w:hint="eastAsia" w:ascii="宋体" w:hAnsi="宋体" w:cs="宋体"/>
          <w:u w:val="single"/>
        </w:rPr>
        <w:t xml:space="preserve">  无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1.4.3发包人对工程的技术标准和功能要求的特殊要求：</w:t>
      </w:r>
      <w:r>
        <w:rPr>
          <w:rFonts w:hint="eastAsia" w:ascii="宋体" w:hAnsi="宋体" w:cs="宋体"/>
          <w:u w:val="single"/>
        </w:rPr>
        <w:t xml:space="preserve">  无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521" w:name="_Toc407"/>
      <w:bookmarkStart w:id="522" w:name="_Toc24513"/>
      <w:bookmarkStart w:id="523" w:name="_Toc19622"/>
      <w:bookmarkStart w:id="524" w:name="_Toc19496"/>
      <w:bookmarkStart w:id="525" w:name="_Toc31472"/>
      <w:bookmarkStart w:id="526" w:name="_Toc10804"/>
      <w:r>
        <w:rPr>
          <w:rFonts w:hint="eastAsia" w:ascii="宋体" w:hAnsi="宋体" w:cs="宋体"/>
          <w:sz w:val="28"/>
          <w:szCs w:val="28"/>
        </w:rPr>
        <w:t>1.5 合同文件的优先顺序</w:t>
      </w:r>
      <w:bookmarkEnd w:id="521"/>
      <w:bookmarkEnd w:id="522"/>
      <w:bookmarkEnd w:id="523"/>
      <w:bookmarkEnd w:id="524"/>
      <w:bookmarkEnd w:id="525"/>
      <w:bookmarkEnd w:id="526"/>
    </w:p>
    <w:p>
      <w:pPr>
        <w:spacing w:line="360" w:lineRule="exact"/>
        <w:ind w:firstLine="420"/>
        <w:rPr>
          <w:rFonts w:hint="eastAsia" w:ascii="宋体" w:hAnsi="宋体" w:cs="宋体"/>
        </w:rPr>
      </w:pPr>
      <w:r>
        <w:rPr>
          <w:rFonts w:hint="eastAsia" w:ascii="宋体" w:hAnsi="宋体" w:cs="宋体"/>
        </w:rPr>
        <w:t>合同文件组成及优先顺序为：</w:t>
      </w:r>
      <w:r>
        <w:rPr>
          <w:rFonts w:hint="eastAsia" w:ascii="Arial" w:cs="Arial"/>
          <w:b/>
          <w:szCs w:val="21"/>
          <w:u w:val="single"/>
        </w:rPr>
        <w:t>按通用条款执行，另“其他合同文件”顺序排在（8）已标价工程量清单和预算书之前</w:t>
      </w:r>
      <w:r>
        <w:rPr>
          <w:rFonts w:hint="eastAsia" w:ascii="宋体" w:hAnsi="宋体" w:cs="宋体"/>
        </w:rPr>
        <w:t>。</w:t>
      </w:r>
    </w:p>
    <w:p>
      <w:pPr>
        <w:spacing w:line="360" w:lineRule="exact"/>
        <w:ind w:firstLine="420"/>
        <w:rPr>
          <w:rFonts w:hint="eastAsia" w:ascii="宋体" w:hAnsi="宋体" w:cs="宋体"/>
          <w:u w:val="single"/>
        </w:rPr>
      </w:pPr>
      <w:r>
        <w:rPr>
          <w:rFonts w:hint="eastAsia" w:ascii="宋体" w:hAnsi="宋体" w:cs="宋体"/>
        </w:rPr>
        <w:t>注：双方有关工程洽商、变更等书面协议或文件视为协议书的组成部分。</w:t>
      </w:r>
    </w:p>
    <w:p>
      <w:pPr>
        <w:pStyle w:val="7"/>
        <w:widowControl w:val="0"/>
        <w:numPr>
          <w:ilvl w:val="2"/>
          <w:numId w:val="0"/>
        </w:numPr>
        <w:spacing w:line="360" w:lineRule="exact"/>
        <w:jc w:val="both"/>
        <w:rPr>
          <w:rFonts w:hint="eastAsia" w:ascii="宋体" w:hAnsi="宋体" w:cs="宋体"/>
          <w:sz w:val="28"/>
          <w:szCs w:val="28"/>
        </w:rPr>
      </w:pPr>
      <w:bookmarkStart w:id="527" w:name="_Toc4498"/>
      <w:bookmarkStart w:id="528" w:name="_Toc29957"/>
      <w:bookmarkStart w:id="529" w:name="_Toc10995"/>
      <w:bookmarkStart w:id="530" w:name="_Toc8550"/>
      <w:bookmarkStart w:id="531" w:name="_Toc21431"/>
      <w:bookmarkStart w:id="532" w:name="_Toc6612"/>
      <w:r>
        <w:rPr>
          <w:rFonts w:hint="eastAsia" w:ascii="宋体" w:hAnsi="宋体" w:cs="宋体"/>
          <w:sz w:val="28"/>
          <w:szCs w:val="28"/>
        </w:rPr>
        <w:t>1.6 图纸和承包人文件</w:t>
      </w:r>
      <w:bookmarkEnd w:id="527"/>
      <w:bookmarkEnd w:id="528"/>
      <w:bookmarkEnd w:id="529"/>
      <w:bookmarkEnd w:id="530"/>
      <w:bookmarkEnd w:id="531"/>
      <w:bookmarkEnd w:id="532"/>
    </w:p>
    <w:p>
      <w:pPr>
        <w:spacing w:line="360" w:lineRule="exact"/>
        <w:ind w:firstLine="420"/>
        <w:rPr>
          <w:rFonts w:hint="eastAsia" w:ascii="宋体" w:hAnsi="宋体" w:cs="宋体"/>
        </w:rPr>
      </w:pPr>
      <w:r>
        <w:rPr>
          <w:rFonts w:hint="eastAsia" w:ascii="宋体" w:hAnsi="宋体" w:cs="宋体"/>
        </w:rPr>
        <w:t>1.6.1 图纸的提供</w:t>
      </w:r>
    </w:p>
    <w:p>
      <w:pPr>
        <w:spacing w:line="360" w:lineRule="exact"/>
        <w:ind w:firstLine="420"/>
        <w:rPr>
          <w:rFonts w:hint="eastAsia" w:ascii="宋体" w:hAnsi="宋体" w:cs="宋体"/>
        </w:rPr>
      </w:pPr>
      <w:r>
        <w:rPr>
          <w:rFonts w:hint="eastAsia" w:ascii="宋体" w:hAnsi="宋体" w:cs="宋体"/>
        </w:rPr>
        <w:t>发包人向承包人提供图纸的期限：</w:t>
      </w:r>
      <w:r>
        <w:rPr>
          <w:rFonts w:hint="eastAsia" w:ascii="宋体" w:hAnsi="宋体" w:cs="宋体"/>
          <w:u w:val="single"/>
        </w:rPr>
        <w:t xml:space="preserve">开工日期前15天提供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发包人向承包人提供图纸的数量：</w:t>
      </w:r>
      <w:r>
        <w:rPr>
          <w:rFonts w:hint="eastAsia" w:ascii="宋体" w:hAnsi="宋体" w:cs="宋体"/>
          <w:u w:val="single"/>
        </w:rPr>
        <w:t xml:space="preserve">施工图2套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发包人向承包人提供图纸的内容：</w:t>
      </w:r>
      <w:r>
        <w:rPr>
          <w:rFonts w:hint="eastAsia" w:ascii="宋体" w:hAnsi="宋体" w:cs="宋体"/>
          <w:u w:val="single"/>
        </w:rPr>
        <w:t xml:space="preserve">完整的施工图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1.6.4 承包人文件</w:t>
      </w:r>
    </w:p>
    <w:p>
      <w:pPr>
        <w:spacing w:line="360" w:lineRule="exact"/>
        <w:ind w:firstLine="420"/>
        <w:rPr>
          <w:rFonts w:hint="eastAsia" w:ascii="宋体" w:hAnsi="宋体" w:cs="宋体"/>
        </w:rPr>
      </w:pPr>
      <w:r>
        <w:rPr>
          <w:rFonts w:hint="eastAsia" w:ascii="宋体" w:hAnsi="宋体" w:cs="宋体"/>
        </w:rPr>
        <w:t>需要由承包人提供的文件，包括：</w:t>
      </w:r>
      <w:r>
        <w:rPr>
          <w:rFonts w:hint="eastAsia" w:ascii="宋体" w:hAnsi="宋体" w:cs="宋体"/>
          <w:u w:val="single"/>
        </w:rPr>
        <w:t xml:space="preserve">施工组织设计、施工总进度计划、月度施工计划、专项施工方案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承包人提供的文件的期限为：</w:t>
      </w:r>
      <w:r>
        <w:rPr>
          <w:rFonts w:hint="eastAsia" w:ascii="宋体" w:hAnsi="宋体" w:cs="宋体"/>
          <w:u w:val="single"/>
        </w:rPr>
        <w:t xml:space="preserve">施工组织设计和施工总进度计划在开工日期前7天内，月度施工计划在每月1日前，专项施工方案在该专项工程开工前7天内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承包人提供的文件的数量为：</w:t>
      </w:r>
      <w:r>
        <w:rPr>
          <w:rFonts w:hint="eastAsia" w:ascii="宋体" w:hAnsi="宋体" w:cs="宋体"/>
          <w:u w:val="single"/>
        </w:rPr>
        <w:t xml:space="preserve">一式五份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承包人提供的文件的形式为：</w:t>
      </w:r>
      <w:r>
        <w:rPr>
          <w:rFonts w:hint="eastAsia" w:ascii="宋体" w:hAnsi="宋体" w:cs="宋体"/>
          <w:u w:val="single"/>
        </w:rPr>
        <w:t xml:space="preserve">纸质文件及电子文件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发包人审批承包人文件的期限：</w:t>
      </w:r>
      <w:r>
        <w:rPr>
          <w:rFonts w:hint="eastAsia" w:ascii="宋体" w:hAnsi="宋体" w:cs="宋体"/>
          <w:u w:val="single"/>
        </w:rPr>
        <w:t xml:space="preserve">收到监理人转报的文件后7天内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1.6.5 现场图纸准备</w:t>
      </w:r>
    </w:p>
    <w:p>
      <w:pPr>
        <w:spacing w:line="360" w:lineRule="exact"/>
        <w:ind w:firstLine="420"/>
        <w:rPr>
          <w:rFonts w:hint="eastAsia" w:ascii="宋体" w:hAnsi="宋体" w:cs="宋体"/>
        </w:rPr>
      </w:pPr>
      <w:r>
        <w:rPr>
          <w:rFonts w:hint="eastAsia" w:ascii="宋体" w:hAnsi="宋体" w:cs="宋体"/>
        </w:rPr>
        <w:t>关于现场图纸准备的约定：</w:t>
      </w:r>
      <w:r>
        <w:rPr>
          <w:rFonts w:hint="eastAsia" w:ascii="宋体" w:hAnsi="宋体" w:cs="宋体"/>
          <w:u w:val="single"/>
        </w:rPr>
        <w:t xml:space="preserve">承包人应在施工现场另外保存一套完整的图纸，供发包人、监理及有关人员进行工程检查时使用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533" w:name="_Toc2964"/>
      <w:bookmarkStart w:id="534" w:name="_Toc21516"/>
      <w:bookmarkStart w:id="535" w:name="_Toc15640"/>
      <w:bookmarkStart w:id="536" w:name="_Toc25165"/>
      <w:bookmarkStart w:id="537" w:name="_Toc17936"/>
      <w:bookmarkStart w:id="538" w:name="_Toc27424"/>
      <w:r>
        <w:rPr>
          <w:rFonts w:hint="eastAsia" w:ascii="宋体" w:hAnsi="宋体" w:cs="宋体"/>
          <w:sz w:val="28"/>
          <w:szCs w:val="28"/>
        </w:rPr>
        <w:t>1.7 联络</w:t>
      </w:r>
      <w:bookmarkEnd w:id="533"/>
      <w:bookmarkEnd w:id="534"/>
      <w:bookmarkEnd w:id="535"/>
      <w:bookmarkEnd w:id="536"/>
      <w:bookmarkEnd w:id="537"/>
      <w:bookmarkEnd w:id="538"/>
    </w:p>
    <w:p>
      <w:pPr>
        <w:spacing w:line="360" w:lineRule="exact"/>
        <w:ind w:firstLine="420"/>
        <w:rPr>
          <w:rFonts w:hint="eastAsia" w:ascii="宋体" w:hAnsi="宋体" w:cs="宋体"/>
        </w:rPr>
      </w:pPr>
      <w:r>
        <w:rPr>
          <w:rFonts w:hint="eastAsia" w:ascii="宋体" w:hAnsi="宋体" w:cs="宋体"/>
        </w:rPr>
        <w:t>1.7.1发包人和承包人应当在</w:t>
      </w:r>
      <w:r>
        <w:rPr>
          <w:rFonts w:hint="eastAsia" w:ascii="宋体" w:hAnsi="宋体" w:cs="宋体"/>
          <w:u w:val="single"/>
        </w:rPr>
        <w:t>7</w:t>
      </w:r>
      <w:r>
        <w:rPr>
          <w:rFonts w:hint="eastAsia" w:ascii="宋体" w:hAnsi="宋体" w:cs="宋体"/>
        </w:rPr>
        <w:t>天内将与合同有关的通知、批准、证明、证书、指示、指令、要求、请求、同意、意见、确定和决定等书面函件送达对方当事人。</w:t>
      </w:r>
    </w:p>
    <w:p>
      <w:pPr>
        <w:spacing w:line="360" w:lineRule="exact"/>
        <w:ind w:firstLine="420"/>
        <w:rPr>
          <w:rFonts w:hint="eastAsia" w:ascii="宋体" w:hAnsi="宋体" w:cs="宋体"/>
        </w:rPr>
      </w:pPr>
      <w:r>
        <w:rPr>
          <w:rFonts w:hint="eastAsia" w:ascii="宋体" w:hAnsi="宋体" w:cs="宋体"/>
        </w:rPr>
        <w:t>1.7.2 发包人接收文件的地点：</w:t>
      </w:r>
      <w:r>
        <w:rPr>
          <w:rFonts w:hint="eastAsia" w:ascii="宋体" w:hAnsi="宋体" w:cs="宋体"/>
          <w:u w:val="single"/>
        </w:rPr>
        <w:t xml:space="preserve">项目所在地发包人办公室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发包人指定的接收人为：</w:t>
      </w:r>
      <w:r>
        <w:rPr>
          <w:rFonts w:hint="eastAsia" w:ascii="宋体" w:hAnsi="宋体" w:cs="宋体"/>
          <w:u w:val="single"/>
        </w:rPr>
        <w:t xml:space="preserve">发包人代表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承包人接收文件的地点：</w:t>
      </w:r>
      <w:r>
        <w:rPr>
          <w:rFonts w:hint="eastAsia" w:ascii="宋体" w:hAnsi="宋体" w:cs="宋体"/>
          <w:u w:val="single"/>
        </w:rPr>
        <w:t xml:space="preserve"> 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承包人指定的接收人为：</w:t>
      </w:r>
      <w:r>
        <w:rPr>
          <w:rFonts w:hint="eastAsia" w:ascii="宋体" w:hAnsi="宋体" w:cs="宋体"/>
          <w:u w:val="single"/>
        </w:rPr>
        <w:t xml:space="preserve"> 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监理人接收文件的地点：</w:t>
      </w:r>
      <w:r>
        <w:rPr>
          <w:rFonts w:hint="eastAsia" w:ascii="宋体" w:hAnsi="宋体" w:cs="宋体"/>
          <w:u w:val="single"/>
        </w:rPr>
        <w:t>项目所在地监理人办公室</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监理人指定的接收人为：</w:t>
      </w:r>
      <w:r>
        <w:rPr>
          <w:rFonts w:hint="eastAsia" w:ascii="宋体" w:hAnsi="宋体" w:cs="宋体"/>
          <w:u w:val="single"/>
        </w:rPr>
        <w:t xml:space="preserve"> 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539" w:name="_Toc32266"/>
      <w:bookmarkStart w:id="540" w:name="_Toc16096"/>
      <w:bookmarkStart w:id="541" w:name="_Toc31226"/>
      <w:bookmarkStart w:id="542" w:name="_Toc21360"/>
      <w:bookmarkStart w:id="543" w:name="_Toc3938"/>
      <w:bookmarkStart w:id="544" w:name="_Toc28804"/>
      <w:r>
        <w:rPr>
          <w:rFonts w:hint="eastAsia" w:ascii="宋体" w:hAnsi="宋体" w:cs="宋体"/>
          <w:sz w:val="28"/>
          <w:szCs w:val="28"/>
        </w:rPr>
        <w:t>1.10 交通运输</w:t>
      </w:r>
      <w:bookmarkEnd w:id="539"/>
      <w:bookmarkEnd w:id="540"/>
      <w:bookmarkEnd w:id="541"/>
      <w:bookmarkEnd w:id="542"/>
      <w:bookmarkEnd w:id="543"/>
      <w:bookmarkEnd w:id="544"/>
    </w:p>
    <w:p>
      <w:pPr>
        <w:spacing w:line="360" w:lineRule="exact"/>
        <w:ind w:firstLine="420"/>
        <w:rPr>
          <w:rFonts w:hint="eastAsia" w:ascii="宋体" w:hAnsi="宋体" w:cs="宋体"/>
        </w:rPr>
      </w:pPr>
      <w:r>
        <w:rPr>
          <w:rFonts w:hint="eastAsia" w:ascii="宋体" w:hAnsi="宋体" w:cs="宋体"/>
        </w:rPr>
        <w:t>1.10.1 出入现场的权利</w:t>
      </w:r>
    </w:p>
    <w:p>
      <w:pPr>
        <w:spacing w:line="360" w:lineRule="exact"/>
        <w:ind w:firstLine="420"/>
        <w:rPr>
          <w:rFonts w:hint="eastAsia" w:ascii="宋体" w:hAnsi="宋体" w:cs="宋体"/>
          <w:u w:val="single"/>
        </w:rPr>
      </w:pPr>
      <w:r>
        <w:rPr>
          <w:rFonts w:hint="eastAsia" w:ascii="宋体" w:hAnsi="宋体" w:cs="宋体"/>
        </w:rPr>
        <w:t>关于出入现场的权利的约定：</w:t>
      </w:r>
      <w:r>
        <w:rPr>
          <w:rFonts w:hint="eastAsia" w:ascii="宋体" w:hAnsi="宋体" w:cs="宋体"/>
          <w:u w:val="single"/>
        </w:rPr>
        <w:t xml:space="preserve">由承包人按发包人要求负责取得出入施工现场所需的批准手续和全部权利，并承担相关手续费用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1.10.3 场内交通</w:t>
      </w:r>
    </w:p>
    <w:p>
      <w:pPr>
        <w:spacing w:line="360" w:lineRule="exact"/>
        <w:ind w:firstLine="420"/>
        <w:rPr>
          <w:rFonts w:hint="eastAsia" w:ascii="宋体" w:hAnsi="宋体" w:cs="宋体"/>
        </w:rPr>
      </w:pPr>
      <w:r>
        <w:rPr>
          <w:rFonts w:hint="eastAsia" w:ascii="宋体" w:hAnsi="宋体" w:cs="宋体"/>
        </w:rPr>
        <w:t>关于场外交通和场内交通的边界的约定：</w:t>
      </w:r>
      <w:r>
        <w:rPr>
          <w:rFonts w:hint="eastAsia" w:ascii="宋体" w:hAnsi="宋体" w:cs="宋体"/>
          <w:u w:val="single"/>
        </w:rPr>
        <w:t>以围墙（规划红线）界限为准</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关于发包人向承包人免费提供满足工程施工需要的场内道路和交通设施的约定：</w:t>
      </w:r>
      <w:r>
        <w:rPr>
          <w:rFonts w:hint="eastAsia" w:ascii="宋体" w:hAnsi="宋体" w:cs="宋体"/>
          <w:u w:val="single"/>
        </w:rPr>
        <w:t xml:space="preserve">由发包人现场指定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 xml:space="preserve"> 1.10.4超大件和超重件的运输</w:t>
      </w:r>
    </w:p>
    <w:p>
      <w:pPr>
        <w:spacing w:line="360" w:lineRule="exact"/>
        <w:ind w:firstLine="420"/>
        <w:rPr>
          <w:rFonts w:hint="eastAsia" w:ascii="宋体" w:hAnsi="宋体" w:cs="宋体"/>
        </w:rPr>
      </w:pPr>
      <w:r>
        <w:rPr>
          <w:rFonts w:hint="eastAsia" w:ascii="宋体" w:hAnsi="宋体" w:cs="宋体"/>
        </w:rPr>
        <w:t>运输超大件或超重件所需的道路和桥梁临时加固改造费用和其他有关费用由</w:t>
      </w:r>
      <w:r>
        <w:rPr>
          <w:rFonts w:hint="eastAsia" w:ascii="宋体" w:hAnsi="宋体" w:cs="宋体"/>
          <w:u w:val="single"/>
        </w:rPr>
        <w:t xml:space="preserve">  承包人  </w:t>
      </w:r>
      <w:r>
        <w:rPr>
          <w:rFonts w:hint="eastAsia" w:ascii="宋体" w:hAnsi="宋体" w:cs="宋体"/>
        </w:rPr>
        <w:t>承担。</w:t>
      </w:r>
    </w:p>
    <w:p>
      <w:pPr>
        <w:pStyle w:val="7"/>
        <w:widowControl w:val="0"/>
        <w:numPr>
          <w:ilvl w:val="2"/>
          <w:numId w:val="0"/>
        </w:numPr>
        <w:spacing w:line="360" w:lineRule="exact"/>
        <w:jc w:val="both"/>
        <w:rPr>
          <w:rFonts w:hint="eastAsia" w:ascii="宋体" w:hAnsi="宋体" w:cs="宋体"/>
          <w:sz w:val="28"/>
          <w:szCs w:val="28"/>
        </w:rPr>
      </w:pPr>
      <w:bookmarkStart w:id="545" w:name="_Toc31134"/>
      <w:bookmarkStart w:id="546" w:name="_Toc63"/>
      <w:bookmarkStart w:id="547" w:name="_Toc1405"/>
      <w:bookmarkStart w:id="548" w:name="_Toc9608"/>
      <w:bookmarkStart w:id="549" w:name="_Toc5001"/>
      <w:bookmarkStart w:id="550" w:name="_Toc25401"/>
      <w:r>
        <w:rPr>
          <w:rFonts w:hint="eastAsia" w:ascii="宋体" w:hAnsi="宋体" w:cs="宋体"/>
          <w:sz w:val="28"/>
          <w:szCs w:val="28"/>
        </w:rPr>
        <w:t>1.11 知识产权</w:t>
      </w:r>
      <w:bookmarkEnd w:id="545"/>
      <w:bookmarkEnd w:id="546"/>
      <w:bookmarkEnd w:id="547"/>
      <w:bookmarkEnd w:id="548"/>
      <w:bookmarkEnd w:id="549"/>
      <w:bookmarkEnd w:id="550"/>
    </w:p>
    <w:p>
      <w:pPr>
        <w:spacing w:line="360" w:lineRule="exact"/>
        <w:ind w:firstLine="420"/>
        <w:rPr>
          <w:rFonts w:hint="eastAsia" w:ascii="宋体" w:hAnsi="宋体" w:cs="宋体"/>
        </w:rPr>
      </w:pPr>
      <w:r>
        <w:rPr>
          <w:rFonts w:hint="eastAsia" w:ascii="宋体" w:hAnsi="宋体" w:cs="宋体"/>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u w:val="single"/>
        </w:rPr>
        <w:t>通用条款执行</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关于发包人提供的上述文件的使用限制的要求：</w:t>
      </w:r>
      <w:r>
        <w:rPr>
          <w:rFonts w:hint="eastAsia" w:ascii="宋体" w:hAnsi="宋体" w:cs="宋体"/>
          <w:u w:val="single"/>
        </w:rPr>
        <w:t xml:space="preserve"> 通用条款执行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1.11.2 关于承包人为实施工程所编制文件的著作权的归属：</w:t>
      </w:r>
      <w:r>
        <w:rPr>
          <w:rFonts w:hint="eastAsia" w:ascii="宋体" w:hAnsi="宋体" w:cs="宋体"/>
          <w:u w:val="single"/>
        </w:rPr>
        <w:t>通用条款执行</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关于承包人提供的上述文件的使用限制的要求：</w:t>
      </w:r>
      <w:r>
        <w:rPr>
          <w:rFonts w:hint="eastAsia" w:ascii="宋体" w:hAnsi="宋体" w:cs="宋体"/>
          <w:u w:val="single"/>
        </w:rPr>
        <w:t xml:space="preserve">通用条款执行 </w:t>
      </w:r>
      <w:r>
        <w:rPr>
          <w:rFonts w:hint="eastAsia" w:ascii="宋体" w:hAnsi="宋体" w:cs="宋体"/>
        </w:rPr>
        <w:t>。</w:t>
      </w:r>
    </w:p>
    <w:p>
      <w:pPr>
        <w:spacing w:line="360" w:lineRule="exact"/>
        <w:ind w:firstLine="420"/>
        <w:rPr>
          <w:rFonts w:hint="eastAsia" w:ascii="宋体" w:hAnsi="宋体" w:cs="宋体"/>
          <w:u w:val="single"/>
        </w:rPr>
      </w:pPr>
      <w:r>
        <w:rPr>
          <w:rFonts w:hint="eastAsia" w:ascii="宋体" w:hAnsi="宋体" w:cs="宋体"/>
        </w:rPr>
        <w:t>1.11.4 承包人在施工过程中所采用的专利、专有技术、技术秘密的使用费的承担方式：</w:t>
      </w:r>
      <w:r>
        <w:rPr>
          <w:rFonts w:hint="eastAsia" w:ascii="宋体" w:hAnsi="宋体" w:cs="宋体"/>
          <w:u w:val="single"/>
        </w:rPr>
        <w:t>通用条款执行</w:t>
      </w:r>
      <w:r>
        <w:rPr>
          <w:rFonts w:hint="eastAsia" w:ascii="宋体" w:hAnsi="宋体" w:cs="宋体"/>
        </w:rPr>
        <w:t>。</w:t>
      </w:r>
    </w:p>
    <w:p>
      <w:pPr>
        <w:pStyle w:val="7"/>
        <w:widowControl w:val="0"/>
        <w:numPr>
          <w:ilvl w:val="2"/>
          <w:numId w:val="0"/>
        </w:numPr>
        <w:spacing w:line="360" w:lineRule="exact"/>
        <w:jc w:val="both"/>
        <w:rPr>
          <w:rFonts w:hint="eastAsia" w:ascii="宋体" w:hAnsi="宋体" w:eastAsia="宋体" w:cs="宋体"/>
          <w:sz w:val="28"/>
          <w:szCs w:val="28"/>
        </w:rPr>
      </w:pPr>
      <w:r>
        <w:rPr>
          <w:rFonts w:hint="eastAsia" w:ascii="宋体" w:hAnsi="宋体" w:eastAsia="宋体" w:cs="宋体"/>
          <w:sz w:val="28"/>
          <w:szCs w:val="28"/>
        </w:rPr>
        <w:t>1.13工程量清单项目和工程量及单价的修正</w:t>
      </w:r>
    </w:p>
    <w:p>
      <w:pPr>
        <w:spacing w:line="360" w:lineRule="exact"/>
        <w:ind w:firstLine="420"/>
        <w:rPr>
          <w:rFonts w:hint="default" w:ascii="宋体" w:hAnsi="宋体" w:eastAsia="宋体" w:cs="宋体"/>
        </w:rPr>
      </w:pPr>
      <w:r>
        <w:rPr>
          <w:rFonts w:hint="default" w:ascii="宋体" w:hAnsi="宋体" w:eastAsia="宋体" w:cs="宋体"/>
        </w:rPr>
        <w:t>1.13.1出现工程量清单错误时，是否调整合同价格：是。</w:t>
      </w:r>
    </w:p>
    <w:p>
      <w:pPr>
        <w:spacing w:line="360" w:lineRule="exact"/>
        <w:ind w:firstLine="420"/>
        <w:rPr>
          <w:rFonts w:hint="default" w:ascii="宋体" w:hAnsi="宋体" w:eastAsia="宋体" w:cs="宋体"/>
        </w:rPr>
      </w:pPr>
      <w:r>
        <w:rPr>
          <w:rFonts w:hint="default" w:ascii="宋体" w:hAnsi="宋体" w:eastAsia="宋体" w:cs="宋体"/>
        </w:rPr>
        <w:t>1.13.2允许调整合同价格的工程量偏差范围：</w:t>
      </w:r>
    </w:p>
    <w:p>
      <w:pPr>
        <w:spacing w:line="360" w:lineRule="exact"/>
        <w:ind w:firstLine="420"/>
        <w:rPr>
          <w:rFonts w:hint="default" w:ascii="宋体" w:hAnsi="宋体" w:eastAsia="宋体" w:cs="宋体"/>
        </w:rPr>
      </w:pPr>
      <w:r>
        <w:rPr>
          <w:rFonts w:hint="default" w:ascii="宋体" w:hAnsi="宋体" w:eastAsia="宋体" w:cs="宋体"/>
        </w:rPr>
        <w:t>1.13.2.1工程量清单项目和工程量的调整。</w:t>
      </w:r>
    </w:p>
    <w:p>
      <w:pPr>
        <w:spacing w:line="360" w:lineRule="exact"/>
        <w:ind w:firstLine="420"/>
        <w:rPr>
          <w:rFonts w:hint="default" w:ascii="宋体" w:hAnsi="宋体" w:eastAsia="宋体" w:cs="宋体"/>
        </w:rPr>
      </w:pPr>
      <w:r>
        <w:rPr>
          <w:rFonts w:hint="default" w:ascii="宋体" w:hAnsi="宋体" w:eastAsia="宋体" w:cs="宋体"/>
        </w:rPr>
        <w:t>（1）发生下列情况的工程量清单项目应予调整：</w:t>
      </w:r>
    </w:p>
    <w:p>
      <w:pPr>
        <w:spacing w:line="360" w:lineRule="exact"/>
        <w:ind w:firstLine="420"/>
        <w:rPr>
          <w:rFonts w:hint="default" w:ascii="宋体" w:hAnsi="宋体" w:eastAsia="宋体" w:cs="宋体"/>
        </w:rPr>
      </w:pPr>
      <w:r>
        <w:rPr>
          <w:rFonts w:hint="default" w:ascii="宋体" w:hAnsi="宋体" w:eastAsia="宋体" w:cs="宋体"/>
        </w:rPr>
        <w:t>①发包人提供的工程量清单项目漏项、重复列项；</w:t>
      </w:r>
    </w:p>
    <w:p>
      <w:pPr>
        <w:spacing w:line="360" w:lineRule="exact"/>
        <w:ind w:firstLine="420"/>
        <w:rPr>
          <w:rFonts w:hint="default" w:ascii="宋体" w:hAnsi="宋体" w:eastAsia="宋体" w:cs="宋体"/>
        </w:rPr>
      </w:pPr>
      <w:r>
        <w:rPr>
          <w:rFonts w:hint="default" w:ascii="宋体" w:hAnsi="宋体" w:eastAsia="宋体" w:cs="宋体"/>
        </w:rPr>
        <w:t>②工程变更引起新增或减少清单项目。</w:t>
      </w:r>
    </w:p>
    <w:p>
      <w:pPr>
        <w:spacing w:line="360" w:lineRule="exact"/>
        <w:ind w:firstLine="420"/>
        <w:rPr>
          <w:rFonts w:hint="default" w:ascii="宋体" w:hAnsi="宋体" w:eastAsia="宋体" w:cs="宋体"/>
        </w:rPr>
      </w:pPr>
      <w:r>
        <w:rPr>
          <w:rFonts w:hint="default" w:ascii="宋体" w:hAnsi="宋体" w:eastAsia="宋体" w:cs="宋体"/>
        </w:rPr>
        <w:t>③施工图纸、工程变更后与原</w:t>
      </w:r>
      <w:r>
        <w:rPr>
          <w:rFonts w:hint="eastAsia" w:ascii="宋体" w:hAnsi="宋体" w:eastAsia="宋体" w:cs="宋体"/>
          <w:lang w:eastAsia="zh-CN"/>
        </w:rPr>
        <w:t>磋商</w:t>
      </w:r>
      <w:r>
        <w:rPr>
          <w:rFonts w:hint="default" w:ascii="宋体" w:hAnsi="宋体" w:eastAsia="宋体" w:cs="宋体"/>
        </w:rPr>
        <w:t>工程量清单的特征描述不符。</w:t>
      </w:r>
    </w:p>
    <w:p>
      <w:pPr>
        <w:spacing w:line="360" w:lineRule="exact"/>
        <w:ind w:firstLine="420"/>
        <w:rPr>
          <w:rFonts w:hint="default" w:ascii="宋体" w:hAnsi="宋体" w:eastAsia="宋体" w:cs="宋体"/>
        </w:rPr>
      </w:pPr>
      <w:r>
        <w:rPr>
          <w:rFonts w:hint="default" w:ascii="宋体" w:hAnsi="宋体" w:eastAsia="宋体" w:cs="宋体"/>
        </w:rPr>
        <w:t>（2）发生下列情况的，工程量清单项目的工程量应予调整：</w:t>
      </w:r>
    </w:p>
    <w:p>
      <w:pPr>
        <w:spacing w:line="360" w:lineRule="exact"/>
        <w:ind w:firstLine="420"/>
        <w:rPr>
          <w:rFonts w:hint="default" w:ascii="宋体" w:hAnsi="宋体" w:eastAsia="宋体" w:cs="宋体"/>
        </w:rPr>
      </w:pPr>
      <w:r>
        <w:rPr>
          <w:rFonts w:hint="default" w:ascii="宋体" w:hAnsi="宋体" w:eastAsia="宋体" w:cs="宋体"/>
        </w:rPr>
        <w:t>①发包人提供的工程量清单项目工程量有偏差（即分部分项工程量清单项目数量差异绝对值≥3%或分部分项工程量清单项目差异部分造价绝对值≥1%投标造价）；</w:t>
      </w:r>
    </w:p>
    <w:p>
      <w:pPr>
        <w:spacing w:line="360" w:lineRule="exact"/>
        <w:ind w:firstLine="420"/>
        <w:rPr>
          <w:rFonts w:hint="default" w:ascii="宋体" w:hAnsi="宋体" w:eastAsia="宋体" w:cs="宋体"/>
        </w:rPr>
      </w:pPr>
      <w:r>
        <w:rPr>
          <w:rFonts w:hint="default" w:ascii="宋体" w:hAnsi="宋体" w:eastAsia="宋体" w:cs="宋体"/>
        </w:rPr>
        <w:t>②工程变更引起的工程量的增减。</w:t>
      </w:r>
    </w:p>
    <w:p>
      <w:pPr>
        <w:spacing w:line="360" w:lineRule="exact"/>
        <w:ind w:firstLine="420"/>
        <w:rPr>
          <w:rFonts w:hint="default" w:ascii="宋体" w:hAnsi="宋体" w:eastAsia="宋体" w:cs="宋体"/>
        </w:rPr>
      </w:pPr>
      <w:r>
        <w:rPr>
          <w:rFonts w:hint="default" w:ascii="宋体" w:hAnsi="宋体" w:eastAsia="宋体" w:cs="宋体"/>
        </w:rPr>
        <w:t>（3）清单项目或工程量调整应根据合同约定、施工图纸、工程变更联系单等内容，按“计价规范”、浙江省“计价依据”等要求进行列项、计量。</w:t>
      </w:r>
    </w:p>
    <w:p>
      <w:pPr>
        <w:spacing w:line="360" w:lineRule="exact"/>
        <w:ind w:firstLine="420"/>
        <w:rPr>
          <w:rFonts w:hint="default" w:ascii="宋体" w:hAnsi="宋体" w:eastAsia="宋体" w:cs="宋体"/>
        </w:rPr>
      </w:pPr>
      <w:r>
        <w:rPr>
          <w:rFonts w:hint="default" w:ascii="宋体" w:hAnsi="宋体" w:eastAsia="宋体" w:cs="宋体"/>
        </w:rPr>
        <w:t>1.13.2.2综合单价调整。</w:t>
      </w:r>
    </w:p>
    <w:p>
      <w:pPr>
        <w:spacing w:line="360" w:lineRule="exact"/>
        <w:ind w:firstLine="420"/>
        <w:rPr>
          <w:rFonts w:hint="default" w:ascii="宋体" w:hAnsi="宋体" w:eastAsia="宋体" w:cs="宋体"/>
        </w:rPr>
      </w:pPr>
      <w:r>
        <w:rPr>
          <w:rFonts w:hint="default" w:ascii="宋体" w:hAnsi="宋体" w:eastAsia="宋体" w:cs="宋体"/>
        </w:rPr>
        <w:t>因第1.13.2.1条工程量清单项目或工程数量变化，按以下规定调整综合单价：</w:t>
      </w:r>
    </w:p>
    <w:p>
      <w:pPr>
        <w:spacing w:line="360" w:lineRule="exact"/>
        <w:ind w:firstLine="420"/>
        <w:rPr>
          <w:rFonts w:hint="default" w:ascii="宋体" w:hAnsi="宋体" w:eastAsia="宋体" w:cs="宋体"/>
        </w:rPr>
      </w:pPr>
      <w:r>
        <w:rPr>
          <w:rFonts w:hint="default" w:ascii="宋体" w:hAnsi="宋体" w:eastAsia="宋体" w:cs="宋体"/>
        </w:rPr>
        <w:t>（1）已标价工程量清单中有适用综合单价的，按原综合单价；合价金额占合同总价2%及以上的分部分项清单项目，其工程量增减超过本项工程量15%及以上，或合价金额占合同总价不到2%的分部分项清单项目，但其工程量增减超过本项目工程数量25%及以上时，增减工程量单价按第1.13.2.2条第（3）点处理。</w:t>
      </w:r>
    </w:p>
    <w:p>
      <w:pPr>
        <w:spacing w:line="360" w:lineRule="exact"/>
        <w:ind w:firstLine="420"/>
        <w:rPr>
          <w:rFonts w:hint="default" w:ascii="宋体" w:hAnsi="宋体" w:eastAsia="宋体" w:cs="宋体"/>
        </w:rPr>
      </w:pPr>
      <w:r>
        <w:rPr>
          <w:rFonts w:hint="default" w:ascii="宋体" w:hAnsi="宋体" w:eastAsia="宋体" w:cs="宋体"/>
        </w:rPr>
        <w:t>（2）已标价工程量清单中没有适用的综合单价，但有类似的工程项目综合单价，可参照类似工程项目综合单价计算确定。</w:t>
      </w:r>
    </w:p>
    <w:p>
      <w:pPr>
        <w:spacing w:line="360" w:lineRule="exact"/>
        <w:ind w:firstLine="420"/>
        <w:rPr>
          <w:rFonts w:hint="default" w:ascii="宋体" w:hAnsi="宋体" w:eastAsia="宋体" w:cs="宋体"/>
        </w:rPr>
      </w:pPr>
      <w:r>
        <w:rPr>
          <w:rFonts w:hint="default" w:ascii="宋体" w:hAnsi="宋体" w:eastAsia="宋体" w:cs="宋体"/>
        </w:rPr>
        <w:t>①某种材料（或半成品及成品）等级、标准变化的，清单组合子目不变，仅调整不同的材料市场价格之差；</w:t>
      </w:r>
    </w:p>
    <w:p>
      <w:pPr>
        <w:spacing w:line="360" w:lineRule="exact"/>
        <w:ind w:firstLine="420"/>
        <w:rPr>
          <w:rFonts w:hint="default" w:ascii="宋体" w:hAnsi="宋体" w:eastAsia="宋体" w:cs="宋体"/>
        </w:rPr>
      </w:pPr>
      <w:r>
        <w:rPr>
          <w:rFonts w:hint="default" w:ascii="宋体" w:hAnsi="宋体" w:eastAsia="宋体" w:cs="宋体"/>
        </w:rPr>
        <w:t>②清单项目组合内容中某一个（或多个）定额子目发生变化，不影响其他特征及工程内容价格的，仅调整发生变化的定额子目价格；</w:t>
      </w:r>
    </w:p>
    <w:p>
      <w:pPr>
        <w:spacing w:line="360" w:lineRule="exact"/>
        <w:ind w:firstLine="420"/>
        <w:rPr>
          <w:rFonts w:hint="default" w:ascii="宋体" w:hAnsi="宋体" w:eastAsia="宋体" w:cs="宋体"/>
        </w:rPr>
      </w:pPr>
      <w:r>
        <w:rPr>
          <w:rFonts w:hint="default" w:ascii="宋体" w:hAnsi="宋体" w:eastAsia="宋体" w:cs="宋体"/>
        </w:rPr>
        <w:t>③如该类似工程项目综合单价异常，则不宜参照，按第1.13.2.2条第（3）点重新计算综合单价。</w:t>
      </w:r>
    </w:p>
    <w:p>
      <w:pPr>
        <w:spacing w:line="360" w:lineRule="exact"/>
        <w:ind w:firstLine="420"/>
        <w:rPr>
          <w:rFonts w:hint="default" w:ascii="宋体" w:hAnsi="宋体" w:eastAsia="宋体" w:cs="宋体"/>
        </w:rPr>
      </w:pPr>
      <w:r>
        <w:rPr>
          <w:rFonts w:hint="default" w:ascii="宋体" w:hAnsi="宋体" w:eastAsia="宋体" w:cs="宋体"/>
        </w:rPr>
        <w:t>（3）已标价工程量清单中没有适用的综合单价，可按以下原则处理：</w:t>
      </w:r>
    </w:p>
    <w:p>
      <w:pPr>
        <w:spacing w:line="360" w:lineRule="exact"/>
        <w:ind w:firstLine="420"/>
        <w:rPr>
          <w:rFonts w:hint="default" w:ascii="宋体" w:hAnsi="宋体" w:eastAsia="宋体" w:cs="宋体"/>
        </w:rPr>
      </w:pPr>
      <w:r>
        <w:rPr>
          <w:rFonts w:hint="default" w:ascii="宋体" w:hAnsi="宋体" w:eastAsia="宋体" w:cs="宋体"/>
        </w:rPr>
        <w:t>①依据合同约定编制依据、组价原则和承包人投标报价浮动率，提出适当的单价，经发包人确认后执行。</w:t>
      </w:r>
    </w:p>
    <w:p>
      <w:pPr>
        <w:spacing w:line="360" w:lineRule="exact"/>
        <w:ind w:firstLine="420"/>
        <w:rPr>
          <w:rFonts w:hint="default" w:ascii="宋体" w:hAnsi="宋体" w:eastAsia="宋体" w:cs="宋体"/>
        </w:rPr>
      </w:pPr>
      <w:r>
        <w:rPr>
          <w:rFonts w:hint="default" w:ascii="宋体" w:hAnsi="宋体" w:eastAsia="宋体" w:cs="宋体"/>
        </w:rPr>
        <w:t>承包人报价浮动率可按下列公式计算：</w:t>
      </w:r>
    </w:p>
    <w:p>
      <w:pPr>
        <w:spacing w:line="360" w:lineRule="exact"/>
        <w:ind w:firstLine="420"/>
        <w:rPr>
          <w:rFonts w:hint="default" w:ascii="宋体" w:hAnsi="宋体" w:eastAsia="宋体" w:cs="宋体"/>
        </w:rPr>
      </w:pPr>
      <w:r>
        <w:rPr>
          <w:rFonts w:hint="default" w:ascii="宋体" w:hAnsi="宋体" w:eastAsia="宋体" w:cs="宋体"/>
        </w:rPr>
        <w:t>承包人报价浮动率=（1-中标价/</w:t>
      </w:r>
      <w:r>
        <w:rPr>
          <w:rFonts w:hint="eastAsia" w:ascii="宋体" w:hAnsi="宋体" w:eastAsia="宋体" w:cs="宋体"/>
          <w:lang w:eastAsia="zh-CN"/>
        </w:rPr>
        <w:t>磋商</w:t>
      </w:r>
      <w:r>
        <w:rPr>
          <w:rFonts w:hint="default" w:ascii="宋体" w:hAnsi="宋体" w:eastAsia="宋体" w:cs="宋体"/>
        </w:rPr>
        <w:t>控制价）×100%</w:t>
      </w:r>
    </w:p>
    <w:p>
      <w:pPr>
        <w:spacing w:line="360" w:lineRule="exact"/>
        <w:ind w:firstLine="420"/>
        <w:rPr>
          <w:rFonts w:hint="default" w:ascii="宋体" w:hAnsi="宋体" w:eastAsia="宋体" w:cs="宋体"/>
        </w:rPr>
      </w:pPr>
      <w:r>
        <w:rPr>
          <w:rFonts w:hint="default" w:ascii="宋体" w:hAnsi="宋体" w:eastAsia="宋体" w:cs="宋体"/>
        </w:rPr>
        <w:t>以上公式中的中标价及</w:t>
      </w:r>
      <w:r>
        <w:rPr>
          <w:rFonts w:hint="eastAsia" w:ascii="宋体" w:hAnsi="宋体" w:eastAsia="宋体" w:cs="宋体"/>
          <w:lang w:eastAsia="zh-CN"/>
        </w:rPr>
        <w:t>磋商</w:t>
      </w:r>
      <w:r>
        <w:rPr>
          <w:rFonts w:hint="default" w:ascii="宋体" w:hAnsi="宋体" w:eastAsia="宋体" w:cs="宋体"/>
        </w:rPr>
        <w:t>控制价均扣除暂列金额、暂估价。</w:t>
      </w:r>
    </w:p>
    <w:p>
      <w:pPr>
        <w:spacing w:line="360" w:lineRule="exact"/>
        <w:ind w:firstLine="420"/>
        <w:rPr>
          <w:rFonts w:hint="default" w:ascii="宋体" w:hAnsi="宋体" w:eastAsia="宋体" w:cs="宋体"/>
        </w:rPr>
      </w:pPr>
      <w:r>
        <w:rPr>
          <w:rFonts w:hint="default" w:ascii="宋体" w:hAnsi="宋体" w:eastAsia="宋体" w:cs="宋体"/>
        </w:rPr>
        <w:t>②承包人依据合同约定的组价原则，合理成本和利润提出适当的单价经发包人确认后执行。</w:t>
      </w:r>
    </w:p>
    <w:p>
      <w:pPr>
        <w:spacing w:line="360" w:lineRule="exact"/>
        <w:ind w:firstLine="420"/>
        <w:rPr>
          <w:rFonts w:hint="default" w:ascii="宋体" w:hAnsi="宋体" w:eastAsia="宋体" w:cs="宋体"/>
        </w:rPr>
      </w:pPr>
      <w:r>
        <w:rPr>
          <w:rFonts w:hint="default" w:ascii="宋体" w:hAnsi="宋体" w:eastAsia="宋体" w:cs="宋体"/>
        </w:rPr>
        <w:t>③如当前施行的计价依据缺项内容，承包人应通过市场调查等手段提出单价，经发包人确定后执行。</w:t>
      </w:r>
    </w:p>
    <w:p>
      <w:pPr>
        <w:pStyle w:val="7"/>
        <w:widowControl w:val="0"/>
        <w:numPr>
          <w:ilvl w:val="2"/>
          <w:numId w:val="0"/>
        </w:numPr>
        <w:spacing w:line="360" w:lineRule="exact"/>
        <w:jc w:val="both"/>
        <w:rPr>
          <w:rFonts w:hint="default" w:ascii="宋体" w:hAnsi="宋体" w:eastAsia="宋体" w:cs="宋体"/>
          <w:sz w:val="28"/>
          <w:szCs w:val="28"/>
        </w:rPr>
      </w:pPr>
      <w:r>
        <w:rPr>
          <w:rFonts w:hint="default" w:ascii="宋体" w:hAnsi="宋体" w:eastAsia="宋体" w:cs="宋体"/>
          <w:sz w:val="28"/>
          <w:szCs w:val="28"/>
        </w:rPr>
        <w:t>1.14投标综合单价异常的处理</w:t>
      </w:r>
    </w:p>
    <w:p>
      <w:pPr>
        <w:spacing w:line="360" w:lineRule="exact"/>
        <w:ind w:firstLine="420"/>
        <w:rPr>
          <w:rFonts w:hint="default" w:ascii="宋体" w:hAnsi="宋体" w:eastAsia="宋体" w:cs="宋体"/>
        </w:rPr>
      </w:pPr>
      <w:r>
        <w:rPr>
          <w:rFonts w:hint="default" w:ascii="宋体" w:hAnsi="宋体" w:eastAsia="宋体" w:cs="宋体"/>
        </w:rPr>
        <w:t>1.14.1投标综合单价遇下列情况，应对其异常性进行判定：</w:t>
      </w:r>
    </w:p>
    <w:p>
      <w:pPr>
        <w:spacing w:line="360" w:lineRule="exact"/>
        <w:ind w:firstLine="420"/>
        <w:rPr>
          <w:rFonts w:hint="default" w:ascii="宋体" w:hAnsi="宋体" w:eastAsia="宋体" w:cs="宋体"/>
        </w:rPr>
      </w:pPr>
      <w:r>
        <w:rPr>
          <w:rFonts w:hint="default" w:ascii="宋体" w:hAnsi="宋体" w:eastAsia="宋体" w:cs="宋体"/>
        </w:rPr>
        <w:t>（1）投标综合单价与按合同规定的计价依据计算的综合单价偏差±30%以上；</w:t>
      </w:r>
    </w:p>
    <w:p>
      <w:pPr>
        <w:spacing w:line="360" w:lineRule="exact"/>
        <w:ind w:firstLine="420"/>
        <w:rPr>
          <w:rFonts w:hint="default" w:ascii="宋体" w:hAnsi="宋体" w:eastAsia="宋体" w:cs="宋体"/>
        </w:rPr>
      </w:pPr>
      <w:r>
        <w:rPr>
          <w:rFonts w:hint="default" w:ascii="宋体" w:hAnsi="宋体" w:eastAsia="宋体" w:cs="宋体"/>
        </w:rPr>
        <w:t>（2）虽然综合单价正常，但组成综合单价的人、材、机消耗量或单价与按合同规定计价依据计算出对应的人、材、机消耗量或单价相比偏差±30%以上；</w:t>
      </w:r>
    </w:p>
    <w:p>
      <w:pPr>
        <w:spacing w:line="360" w:lineRule="exact"/>
        <w:ind w:firstLine="420"/>
        <w:rPr>
          <w:rFonts w:hint="default" w:ascii="宋体" w:hAnsi="宋体" w:eastAsia="宋体" w:cs="宋体"/>
        </w:rPr>
      </w:pPr>
      <w:r>
        <w:rPr>
          <w:rFonts w:hint="default" w:ascii="宋体" w:hAnsi="宋体" w:eastAsia="宋体" w:cs="宋体"/>
        </w:rPr>
        <w:t>（3）其他异常情况。</w:t>
      </w:r>
    </w:p>
    <w:p>
      <w:pPr>
        <w:spacing w:line="360" w:lineRule="exact"/>
        <w:ind w:firstLine="420"/>
        <w:rPr>
          <w:rFonts w:hint="default" w:ascii="宋体" w:hAnsi="宋体" w:eastAsia="宋体" w:cs="宋体"/>
        </w:rPr>
      </w:pPr>
      <w:r>
        <w:rPr>
          <w:rFonts w:hint="default" w:ascii="宋体" w:hAnsi="宋体" w:eastAsia="宋体" w:cs="宋体"/>
        </w:rPr>
        <w:t>1.14.2综合单价异常且工程量增减超过本项工程量15%以上的，按以下原则处理：</w:t>
      </w:r>
    </w:p>
    <w:p>
      <w:pPr>
        <w:spacing w:line="360" w:lineRule="exact"/>
        <w:ind w:firstLine="420"/>
        <w:rPr>
          <w:rFonts w:hint="default" w:ascii="宋体" w:hAnsi="宋体" w:eastAsia="宋体" w:cs="宋体"/>
        </w:rPr>
      </w:pPr>
      <w:r>
        <w:rPr>
          <w:rFonts w:hint="default" w:ascii="宋体" w:hAnsi="宋体" w:eastAsia="宋体" w:cs="宋体"/>
        </w:rPr>
        <w:t>（1）工程量增加超过本项工程量15%以内的，按原综合单价计算，增加超过15%以外部分工程量，按第1.13.2.2条第（3）点重新确定综合单价，计算合价；</w:t>
      </w:r>
    </w:p>
    <w:p>
      <w:pPr>
        <w:spacing w:line="360" w:lineRule="exact"/>
        <w:ind w:firstLine="420"/>
        <w:rPr>
          <w:rFonts w:hint="default" w:ascii="宋体" w:hAnsi="宋体" w:eastAsia="宋体" w:cs="宋体"/>
        </w:rPr>
      </w:pPr>
      <w:r>
        <w:rPr>
          <w:rFonts w:hint="default" w:ascii="宋体" w:hAnsi="宋体" w:eastAsia="宋体" w:cs="宋体"/>
        </w:rPr>
        <w:t>（2）工程量减少超过本项工程量15%以内的，按原综合单价在该项目合价中扣除，减少超过15%以外部分，按第1.13.2.2条第（3）点重新确定综合单价，计算合价后，在该项目合价中扣除。</w:t>
      </w:r>
    </w:p>
    <w:p>
      <w:pPr>
        <w:pStyle w:val="7"/>
        <w:widowControl w:val="0"/>
        <w:numPr>
          <w:ilvl w:val="2"/>
          <w:numId w:val="0"/>
        </w:numPr>
        <w:spacing w:line="360" w:lineRule="exact"/>
        <w:jc w:val="both"/>
        <w:rPr>
          <w:rFonts w:hint="default" w:ascii="宋体" w:hAnsi="宋体" w:eastAsia="宋体" w:cs="宋体"/>
          <w:sz w:val="28"/>
          <w:szCs w:val="28"/>
        </w:rPr>
      </w:pPr>
      <w:r>
        <w:rPr>
          <w:rFonts w:hint="default" w:ascii="宋体" w:hAnsi="宋体" w:eastAsia="宋体" w:cs="宋体"/>
          <w:sz w:val="28"/>
          <w:szCs w:val="28"/>
        </w:rPr>
        <w:t>1.15措施项目调整</w:t>
      </w:r>
    </w:p>
    <w:p>
      <w:pPr>
        <w:spacing w:line="360" w:lineRule="exact"/>
        <w:ind w:firstLine="420"/>
        <w:rPr>
          <w:rFonts w:hint="default" w:ascii="宋体" w:hAnsi="宋体" w:eastAsia="宋体" w:cs="宋体"/>
        </w:rPr>
      </w:pPr>
      <w:r>
        <w:rPr>
          <w:rFonts w:hint="default" w:ascii="宋体" w:hAnsi="宋体" w:eastAsia="宋体" w:cs="宋体"/>
        </w:rPr>
        <w:t>因第1.13.2.1条的工程量清单项目及工程数量变化，造成施工组织设计或施工方案变更，造成施工组织设计或施工方案变更，引起措施项目内容、工程数量发生变化，应调整措施项目内容及措施费。</w:t>
      </w:r>
    </w:p>
    <w:p>
      <w:pPr>
        <w:spacing w:line="360" w:lineRule="exact"/>
        <w:ind w:firstLine="420"/>
        <w:rPr>
          <w:rFonts w:hint="default" w:ascii="宋体" w:hAnsi="宋体" w:eastAsia="宋体" w:cs="宋体"/>
        </w:rPr>
      </w:pPr>
      <w:r>
        <w:rPr>
          <w:rFonts w:hint="default" w:ascii="宋体" w:hAnsi="宋体" w:eastAsia="宋体" w:cs="宋体"/>
        </w:rPr>
        <w:t>（1）采用综合单价计价的措施项目，按第1.13.2.2条规定计价；</w:t>
      </w:r>
    </w:p>
    <w:p>
      <w:pPr>
        <w:spacing w:line="360" w:lineRule="exact"/>
        <w:ind w:firstLine="420"/>
        <w:rPr>
          <w:rFonts w:hint="default" w:ascii="宋体" w:hAnsi="宋体" w:eastAsia="宋体" w:cs="宋体"/>
        </w:rPr>
      </w:pPr>
      <w:r>
        <w:rPr>
          <w:rFonts w:hint="default" w:ascii="宋体" w:hAnsi="宋体" w:eastAsia="宋体" w:cs="宋体"/>
        </w:rPr>
        <w:t>（2）采用以“项”计价的技术措施项目，工程量清单项目及工程数量变化引起措施变动部分应重新组价；</w:t>
      </w:r>
    </w:p>
    <w:p>
      <w:pPr>
        <w:spacing w:line="360" w:lineRule="exact"/>
        <w:ind w:firstLine="420"/>
        <w:rPr>
          <w:rFonts w:hint="eastAsia" w:ascii="宋体" w:hAnsi="宋体" w:eastAsia="宋体" w:cs="宋体"/>
        </w:rPr>
      </w:pPr>
      <w:r>
        <w:rPr>
          <w:rFonts w:hint="default" w:ascii="宋体" w:hAnsi="宋体" w:eastAsia="宋体" w:cs="宋体"/>
        </w:rPr>
        <w:t>（3）施工组织措施项目按合同约定的费率内容调整相关措施费用。</w:t>
      </w:r>
    </w:p>
    <w:p>
      <w:pPr>
        <w:pStyle w:val="7"/>
        <w:widowControl w:val="0"/>
        <w:numPr>
          <w:ilvl w:val="2"/>
          <w:numId w:val="0"/>
        </w:numPr>
        <w:spacing w:line="360" w:lineRule="exact"/>
        <w:jc w:val="both"/>
        <w:rPr>
          <w:rFonts w:hint="eastAsia" w:ascii="宋体" w:hAnsi="宋体" w:cs="宋体"/>
          <w:sz w:val="28"/>
          <w:szCs w:val="28"/>
        </w:rPr>
      </w:pPr>
      <w:bookmarkStart w:id="551" w:name="_Toc11232"/>
      <w:bookmarkStart w:id="552" w:name="_Toc25016"/>
      <w:bookmarkStart w:id="553" w:name="_Toc7500"/>
      <w:bookmarkStart w:id="554" w:name="_Toc15293"/>
      <w:bookmarkStart w:id="555" w:name="_Toc16017"/>
      <w:bookmarkStart w:id="556" w:name="_Toc24099"/>
      <w:bookmarkStart w:id="557" w:name="_Toc498421082"/>
      <w:bookmarkStart w:id="558" w:name="_Toc421260789"/>
      <w:r>
        <w:rPr>
          <w:rFonts w:hint="eastAsia" w:ascii="宋体" w:hAnsi="宋体" w:cs="宋体"/>
          <w:sz w:val="28"/>
          <w:szCs w:val="28"/>
        </w:rPr>
        <w:t>2. 发包人</w:t>
      </w:r>
      <w:bookmarkEnd w:id="551"/>
      <w:bookmarkEnd w:id="552"/>
      <w:bookmarkEnd w:id="553"/>
      <w:bookmarkEnd w:id="554"/>
      <w:bookmarkEnd w:id="555"/>
      <w:bookmarkEnd w:id="556"/>
      <w:bookmarkEnd w:id="557"/>
      <w:bookmarkEnd w:id="558"/>
    </w:p>
    <w:p>
      <w:pPr>
        <w:pStyle w:val="7"/>
        <w:widowControl w:val="0"/>
        <w:numPr>
          <w:ilvl w:val="2"/>
          <w:numId w:val="0"/>
        </w:numPr>
        <w:spacing w:line="360" w:lineRule="exact"/>
        <w:jc w:val="both"/>
        <w:rPr>
          <w:rFonts w:hint="eastAsia" w:ascii="宋体" w:hAnsi="宋体" w:cs="宋体"/>
          <w:sz w:val="28"/>
          <w:szCs w:val="28"/>
        </w:rPr>
      </w:pPr>
      <w:bookmarkStart w:id="559" w:name="_Toc17685"/>
      <w:bookmarkStart w:id="560" w:name="_Toc24719"/>
      <w:bookmarkStart w:id="561" w:name="_Toc15068"/>
      <w:bookmarkStart w:id="562" w:name="_Toc16973"/>
      <w:bookmarkStart w:id="563" w:name="_Toc9612"/>
      <w:bookmarkStart w:id="564" w:name="_Toc16638"/>
      <w:r>
        <w:rPr>
          <w:rFonts w:hint="eastAsia" w:ascii="宋体" w:hAnsi="宋体" w:cs="宋体"/>
          <w:sz w:val="28"/>
          <w:szCs w:val="28"/>
        </w:rPr>
        <w:t>2.2 发包人代表</w:t>
      </w:r>
      <w:bookmarkEnd w:id="559"/>
      <w:bookmarkEnd w:id="560"/>
      <w:bookmarkEnd w:id="561"/>
      <w:bookmarkEnd w:id="562"/>
      <w:bookmarkEnd w:id="563"/>
      <w:bookmarkEnd w:id="564"/>
    </w:p>
    <w:p>
      <w:pPr>
        <w:spacing w:line="360" w:lineRule="exact"/>
        <w:ind w:firstLine="420"/>
        <w:rPr>
          <w:rFonts w:hint="eastAsia" w:ascii="宋体" w:hAnsi="宋体" w:cs="宋体"/>
        </w:rPr>
      </w:pPr>
      <w:r>
        <w:rPr>
          <w:rFonts w:hint="eastAsia" w:ascii="宋体" w:hAnsi="宋体" w:cs="宋体"/>
        </w:rPr>
        <w:t>发包人代表：</w:t>
      </w:r>
    </w:p>
    <w:p>
      <w:pPr>
        <w:spacing w:line="360" w:lineRule="exact"/>
        <w:ind w:firstLine="420"/>
        <w:rPr>
          <w:rFonts w:hint="eastAsia" w:ascii="宋体" w:hAnsi="宋体" w:cs="宋体"/>
        </w:rPr>
      </w:pPr>
      <w:r>
        <w:rPr>
          <w:rFonts w:hint="eastAsia" w:ascii="宋体" w:hAnsi="宋体" w:cs="宋体"/>
        </w:rPr>
        <w:t>姓    名：</w:t>
      </w:r>
      <w:r>
        <w:rPr>
          <w:rFonts w:hint="eastAsia" w:ascii="宋体" w:hAnsi="宋体" w:cs="宋体"/>
          <w:u w:val="single"/>
        </w:rPr>
        <w:t> </w:t>
      </w:r>
    </w:p>
    <w:p>
      <w:pPr>
        <w:spacing w:line="360" w:lineRule="exact"/>
        <w:ind w:firstLine="420"/>
        <w:rPr>
          <w:rFonts w:hint="eastAsia" w:ascii="宋体" w:hAnsi="宋体" w:cs="宋体"/>
        </w:rPr>
      </w:pPr>
      <w:r>
        <w:rPr>
          <w:rFonts w:hint="eastAsia" w:ascii="宋体" w:hAnsi="宋体" w:cs="宋体"/>
        </w:rPr>
        <w:t>身份证号：</w:t>
      </w:r>
      <w:r>
        <w:rPr>
          <w:rFonts w:hint="eastAsia" w:ascii="宋体" w:hAnsi="宋体" w:cs="宋体"/>
          <w:u w:val="single"/>
        </w:rPr>
        <w:t xml:space="preserve">         </w:t>
      </w:r>
    </w:p>
    <w:p>
      <w:pPr>
        <w:spacing w:line="360" w:lineRule="exact"/>
        <w:ind w:firstLine="420"/>
        <w:rPr>
          <w:rFonts w:hint="eastAsia" w:ascii="宋体" w:hAnsi="宋体" w:cs="宋体"/>
        </w:rPr>
      </w:pPr>
      <w:r>
        <w:rPr>
          <w:rFonts w:hint="eastAsia" w:ascii="宋体" w:hAnsi="宋体" w:cs="宋体"/>
        </w:rPr>
        <w:t>职    务：</w:t>
      </w:r>
      <w:r>
        <w:rPr>
          <w:rFonts w:hint="eastAsia" w:ascii="宋体" w:hAnsi="宋体" w:cs="宋体"/>
          <w:u w:val="single"/>
        </w:rPr>
        <w:t> </w:t>
      </w:r>
    </w:p>
    <w:p>
      <w:pPr>
        <w:spacing w:line="360" w:lineRule="exact"/>
        <w:ind w:firstLine="420"/>
        <w:rPr>
          <w:rFonts w:hint="eastAsia" w:ascii="宋体" w:hAnsi="宋体" w:cs="宋体"/>
        </w:rPr>
      </w:pPr>
      <w:r>
        <w:rPr>
          <w:rFonts w:hint="eastAsia" w:ascii="宋体" w:hAnsi="宋体" w:cs="宋体"/>
        </w:rPr>
        <w:t>联系电话：</w:t>
      </w:r>
      <w:r>
        <w:rPr>
          <w:rFonts w:hint="eastAsia" w:ascii="宋体" w:hAnsi="宋体" w:cs="宋体"/>
          <w:u w:val="single"/>
        </w:rPr>
        <w:t>   </w:t>
      </w:r>
    </w:p>
    <w:p>
      <w:pPr>
        <w:spacing w:line="360" w:lineRule="exact"/>
        <w:ind w:firstLine="420"/>
        <w:rPr>
          <w:rFonts w:hint="eastAsia" w:ascii="宋体" w:hAnsi="宋体" w:cs="宋体"/>
        </w:rPr>
      </w:pPr>
      <w:r>
        <w:rPr>
          <w:rFonts w:hint="eastAsia" w:ascii="宋体" w:hAnsi="宋体" w:cs="宋体"/>
        </w:rPr>
        <w:t>电子信箱：</w:t>
      </w:r>
      <w:r>
        <w:rPr>
          <w:rFonts w:hint="eastAsia" w:ascii="宋体" w:hAnsi="宋体" w:cs="宋体"/>
          <w:u w:val="single"/>
        </w:rPr>
        <w:t> </w:t>
      </w:r>
    </w:p>
    <w:p>
      <w:pPr>
        <w:spacing w:line="360" w:lineRule="exact"/>
        <w:ind w:firstLine="420"/>
        <w:rPr>
          <w:rFonts w:hint="eastAsia" w:ascii="宋体" w:hAnsi="宋体" w:cs="宋体"/>
        </w:rPr>
      </w:pPr>
      <w:r>
        <w:rPr>
          <w:rFonts w:hint="eastAsia" w:ascii="宋体" w:hAnsi="宋体" w:cs="宋体"/>
        </w:rPr>
        <w:t>通信地址：</w:t>
      </w:r>
      <w:r>
        <w:rPr>
          <w:rFonts w:hint="eastAsia" w:ascii="宋体" w:hAnsi="宋体" w:cs="宋体"/>
          <w:u w:val="single"/>
        </w:rPr>
        <w:t> </w:t>
      </w:r>
    </w:p>
    <w:p>
      <w:pPr>
        <w:spacing w:line="360" w:lineRule="exact"/>
        <w:ind w:firstLine="420"/>
        <w:rPr>
          <w:rFonts w:hint="eastAsia" w:ascii="宋体" w:hAnsi="宋体" w:cs="宋体"/>
          <w:b/>
        </w:rPr>
      </w:pPr>
      <w:r>
        <w:rPr>
          <w:rFonts w:hint="eastAsia" w:ascii="宋体" w:hAnsi="宋体" w:cs="宋体"/>
        </w:rPr>
        <w:t>发包人对发包人代表的授权范围如下：</w:t>
      </w:r>
      <w:r>
        <w:rPr>
          <w:rFonts w:hint="eastAsia" w:ascii="宋体" w:hAnsi="宋体" w:cs="宋体"/>
          <w:u w:val="single"/>
        </w:rPr>
        <w:t xml:space="preserve">现场全过程协调、监督、鉴证等；对投资进行管理，负责本合同投资控制的履行、负责承包人上报的设计变更和工程结算资料等涉及工程价款的事项的复核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565" w:name="_Toc232"/>
      <w:bookmarkStart w:id="566" w:name="_Toc27425"/>
      <w:bookmarkStart w:id="567" w:name="_Toc12984"/>
      <w:bookmarkStart w:id="568" w:name="_Toc31419"/>
      <w:bookmarkStart w:id="569" w:name="_Toc21269"/>
      <w:bookmarkStart w:id="570" w:name="_Toc8420"/>
      <w:r>
        <w:rPr>
          <w:rFonts w:hint="eastAsia" w:ascii="宋体" w:hAnsi="宋体" w:cs="宋体"/>
          <w:sz w:val="28"/>
          <w:szCs w:val="28"/>
        </w:rPr>
        <w:t>2.4 施工现场、施工条件和基础资料的提供</w:t>
      </w:r>
      <w:bookmarkEnd w:id="565"/>
      <w:bookmarkEnd w:id="566"/>
      <w:bookmarkEnd w:id="567"/>
      <w:bookmarkEnd w:id="568"/>
      <w:bookmarkEnd w:id="569"/>
      <w:bookmarkEnd w:id="570"/>
    </w:p>
    <w:p>
      <w:pPr>
        <w:spacing w:line="360" w:lineRule="exact"/>
        <w:ind w:firstLine="420"/>
        <w:rPr>
          <w:rFonts w:hint="eastAsia" w:ascii="宋体" w:hAnsi="宋体" w:cs="宋体"/>
        </w:rPr>
      </w:pPr>
      <w:r>
        <w:rPr>
          <w:rFonts w:hint="eastAsia" w:ascii="宋体" w:hAnsi="宋体" w:cs="宋体"/>
        </w:rPr>
        <w:t>2.4.1 提供施工现场</w:t>
      </w:r>
    </w:p>
    <w:p>
      <w:pPr>
        <w:spacing w:line="360" w:lineRule="exact"/>
        <w:ind w:firstLine="420"/>
        <w:rPr>
          <w:rFonts w:hint="eastAsia" w:ascii="宋体" w:hAnsi="宋体" w:cs="宋体"/>
        </w:rPr>
      </w:pPr>
      <w:r>
        <w:rPr>
          <w:rFonts w:hint="eastAsia" w:ascii="宋体" w:hAnsi="宋体" w:cs="宋体"/>
        </w:rPr>
        <w:t>关于发包人移交施工现场的期限要求：</w:t>
      </w:r>
      <w:r>
        <w:rPr>
          <w:rFonts w:hint="eastAsia" w:ascii="宋体" w:hAnsi="宋体" w:cs="宋体"/>
          <w:u w:val="single"/>
        </w:rPr>
        <w:t xml:space="preserve">发包人应于开工日期15天前向承包人移交施工现场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2.4.2 提供施工条件</w:t>
      </w:r>
    </w:p>
    <w:p>
      <w:pPr>
        <w:spacing w:line="360" w:lineRule="exact"/>
        <w:ind w:firstLine="420"/>
        <w:rPr>
          <w:rFonts w:hint="eastAsia" w:ascii="宋体" w:hAnsi="宋体" w:cs="宋体"/>
        </w:rPr>
      </w:pPr>
      <w:r>
        <w:rPr>
          <w:rFonts w:hint="eastAsia" w:ascii="宋体" w:hAnsi="宋体" w:cs="宋体"/>
        </w:rPr>
        <w:t>关于发包人应负责提供施工所需要的条件，包括：</w:t>
      </w:r>
    </w:p>
    <w:p>
      <w:pPr>
        <w:spacing w:line="360" w:lineRule="exact"/>
        <w:ind w:firstLine="420"/>
        <w:rPr>
          <w:rFonts w:hint="eastAsia" w:ascii="宋体" w:hAnsi="宋体" w:cs="宋体"/>
          <w:u w:val="single"/>
        </w:rPr>
      </w:pPr>
      <w:r>
        <w:rPr>
          <w:rFonts w:hint="eastAsia" w:ascii="宋体" w:hAnsi="宋体" w:cs="宋体"/>
        </w:rPr>
        <w:t>（1）施工场地具备施工条件的要求及完成的时间：</w:t>
      </w:r>
      <w:r>
        <w:rPr>
          <w:rFonts w:hint="eastAsia" w:ascii="宋体" w:hAnsi="宋体" w:cs="宋体"/>
          <w:u w:val="single"/>
        </w:rPr>
        <w:t>工程前期工作已完成，具备施工条件</w:t>
      </w:r>
    </w:p>
    <w:p>
      <w:pPr>
        <w:spacing w:line="360" w:lineRule="exact"/>
        <w:ind w:firstLine="420"/>
        <w:rPr>
          <w:rFonts w:hint="eastAsia" w:ascii="宋体" w:hAnsi="宋体" w:cs="宋体"/>
          <w:u w:val="single"/>
        </w:rPr>
      </w:pPr>
      <w:r>
        <w:rPr>
          <w:rFonts w:hint="eastAsia" w:ascii="宋体" w:hAnsi="宋体" w:cs="宋体"/>
        </w:rPr>
        <w:t>（2）</w:t>
      </w:r>
      <w:r>
        <w:rPr>
          <w:rFonts w:hint="eastAsia" w:ascii="宋体" w:hAnsi="宋体" w:cs="宋体"/>
          <w:spacing w:val="-4"/>
        </w:rPr>
        <w:t>将施工所需的水、电、电讯线路接至施工场地的时间、地点和供应的要求：</w:t>
      </w:r>
      <w:r>
        <w:rPr>
          <w:rFonts w:hint="eastAsia" w:ascii="宋体" w:hAnsi="宋体" w:cs="宋体"/>
          <w:u w:val="single"/>
        </w:rPr>
        <w:t>施工现场用水、电由承包人自行解决，发包人协助承包人办理相关手续，承包人自行考虑相关费用，今后不再调整</w:t>
      </w:r>
      <w:r>
        <w:rPr>
          <w:rFonts w:hint="eastAsia" w:ascii="宋体" w:hAnsi="宋体" w:cs="宋体"/>
        </w:rPr>
        <w:t>。</w:t>
      </w:r>
    </w:p>
    <w:p>
      <w:pPr>
        <w:spacing w:line="360" w:lineRule="exact"/>
        <w:ind w:firstLine="420"/>
        <w:rPr>
          <w:rFonts w:hint="eastAsia" w:ascii="宋体" w:hAnsi="宋体" w:cs="宋体"/>
          <w:spacing w:val="-4"/>
        </w:rPr>
      </w:pPr>
      <w:r>
        <w:rPr>
          <w:rFonts w:hint="eastAsia" w:ascii="宋体" w:hAnsi="宋体" w:cs="宋体"/>
        </w:rPr>
        <w:t>（3）施工场地与公共道路的通道开通时间和要求：</w:t>
      </w:r>
      <w:r>
        <w:rPr>
          <w:rFonts w:hint="eastAsia" w:ascii="宋体" w:hAnsi="宋体" w:cs="宋体"/>
          <w:szCs w:val="21"/>
          <w:u w:val="single"/>
          <w:lang w:val="en-US" w:eastAsia="zh-CN"/>
        </w:rPr>
        <w:t>已开通</w:t>
      </w:r>
      <w:r>
        <w:rPr>
          <w:rFonts w:hint="eastAsia" w:ascii="宋体" w:hAnsi="宋体" w:cs="宋体"/>
          <w:u w:val="single"/>
        </w:rPr>
        <w:t xml:space="preserve"> </w:t>
      </w:r>
      <w:r>
        <w:rPr>
          <w:rFonts w:hint="eastAsia" w:ascii="宋体" w:hAnsi="宋体" w:cs="宋体"/>
        </w:rPr>
        <w:t>。</w:t>
      </w:r>
    </w:p>
    <w:p>
      <w:pPr>
        <w:spacing w:line="360" w:lineRule="exact"/>
        <w:ind w:firstLine="420"/>
        <w:rPr>
          <w:rFonts w:hint="eastAsia" w:ascii="宋体" w:hAnsi="宋体" w:cs="宋体"/>
          <w:b/>
          <w:u w:val="double"/>
        </w:rPr>
      </w:pPr>
      <w:r>
        <w:rPr>
          <w:rFonts w:hint="eastAsia" w:ascii="宋体" w:hAnsi="宋体" w:cs="宋体"/>
        </w:rPr>
        <w:t>（4）工程地质和地下管线资料的提供时间：</w:t>
      </w:r>
      <w:r>
        <w:rPr>
          <w:rFonts w:hint="eastAsia" w:ascii="宋体" w:hAnsi="宋体" w:cs="宋体"/>
          <w:u w:val="single"/>
        </w:rPr>
        <w:t xml:space="preserve">合同签订后至工程开工前7天内  </w:t>
      </w:r>
      <w:r>
        <w:rPr>
          <w:rFonts w:hint="eastAsia" w:ascii="宋体" w:hAnsi="宋体" w:cs="宋体"/>
        </w:rPr>
        <w:t>。</w:t>
      </w:r>
    </w:p>
    <w:p>
      <w:pPr>
        <w:spacing w:line="360" w:lineRule="exact"/>
        <w:ind w:firstLine="404"/>
        <w:rPr>
          <w:rFonts w:hint="eastAsia" w:ascii="宋体" w:hAnsi="宋体" w:cs="宋体"/>
          <w:spacing w:val="-4"/>
          <w:u w:val="single"/>
        </w:rPr>
      </w:pPr>
      <w:r>
        <w:rPr>
          <w:rFonts w:hint="eastAsia" w:ascii="宋体" w:hAnsi="宋体" w:cs="宋体"/>
          <w:spacing w:val="-4"/>
        </w:rPr>
        <w:t>（5）由发包人办理的施工所需证件、批件的名称和完成时间：</w:t>
      </w:r>
      <w:r>
        <w:rPr>
          <w:rFonts w:hint="eastAsia" w:ascii="宋体" w:hAnsi="宋体" w:cs="宋体"/>
          <w:spacing w:val="-4"/>
          <w:u w:val="single"/>
        </w:rPr>
        <w:t>15天完成</w:t>
      </w:r>
      <w:r>
        <w:rPr>
          <w:rFonts w:hint="eastAsia" w:ascii="宋体" w:hAnsi="宋体" w:cs="宋体"/>
          <w:u w:val="single"/>
        </w:rPr>
        <w:t xml:space="preserve">  </w:t>
      </w:r>
      <w:r>
        <w:rPr>
          <w:rFonts w:hint="eastAsia" w:ascii="宋体" w:hAnsi="宋体" w:cs="宋体"/>
        </w:rPr>
        <w:t>。</w:t>
      </w:r>
    </w:p>
    <w:p>
      <w:pPr>
        <w:spacing w:line="360" w:lineRule="exact"/>
        <w:ind w:firstLine="420"/>
        <w:rPr>
          <w:rFonts w:hint="eastAsia" w:ascii="宋体" w:hAnsi="宋体" w:cs="宋体"/>
          <w:b/>
          <w:u w:val="double"/>
        </w:rPr>
      </w:pPr>
      <w:r>
        <w:rPr>
          <w:rFonts w:hint="eastAsia" w:ascii="宋体" w:hAnsi="宋体" w:cs="宋体"/>
        </w:rPr>
        <w:t>（6）水准点与坐标控制点交验要求：</w:t>
      </w:r>
      <w:r>
        <w:rPr>
          <w:rFonts w:hint="eastAsia" w:ascii="宋体" w:hAnsi="宋体" w:cs="宋体"/>
          <w:u w:val="single"/>
        </w:rPr>
        <w:t xml:space="preserve">以书面形式，于开工前10天内办理交接手续  </w:t>
      </w:r>
      <w:r>
        <w:rPr>
          <w:rFonts w:hint="eastAsia" w:ascii="宋体" w:hAnsi="宋体" w:cs="宋体"/>
        </w:rPr>
        <w:t>。</w:t>
      </w:r>
    </w:p>
    <w:p>
      <w:pPr>
        <w:spacing w:line="360" w:lineRule="exact"/>
        <w:ind w:firstLine="420"/>
        <w:rPr>
          <w:rFonts w:hint="eastAsia" w:ascii="宋体" w:hAnsi="宋体" w:cs="宋体"/>
          <w:u w:val="single"/>
        </w:rPr>
      </w:pPr>
      <w:r>
        <w:rPr>
          <w:rFonts w:hint="eastAsia" w:ascii="宋体" w:hAnsi="宋体" w:cs="宋体"/>
        </w:rPr>
        <w:t>（7）图纸会审和设计交底时间：</w:t>
      </w:r>
      <w:r>
        <w:rPr>
          <w:rFonts w:hint="eastAsia" w:ascii="宋体" w:hAnsi="宋体" w:cs="宋体"/>
          <w:u w:val="single"/>
        </w:rPr>
        <w:t xml:space="preserve">开工前7天  </w:t>
      </w:r>
      <w:r>
        <w:rPr>
          <w:rFonts w:hint="eastAsia" w:ascii="宋体" w:hAnsi="宋体" w:cs="宋体"/>
        </w:rPr>
        <w:t>。</w:t>
      </w:r>
    </w:p>
    <w:p>
      <w:pPr>
        <w:spacing w:line="360" w:lineRule="exact"/>
        <w:ind w:firstLine="420"/>
        <w:rPr>
          <w:rFonts w:hint="eastAsia" w:ascii="宋体" w:hAnsi="宋体" w:cs="宋体"/>
          <w:u w:val="single"/>
        </w:rPr>
      </w:pPr>
      <w:r>
        <w:rPr>
          <w:rFonts w:hint="eastAsia" w:ascii="宋体" w:hAnsi="宋体" w:cs="宋体"/>
        </w:rPr>
        <w:t>（8）协调处理施工场地周围地下管线和邻近建筑物、构筑物（含文物保护建筑）、古树名木的保护工作：</w:t>
      </w:r>
      <w:r>
        <w:rPr>
          <w:rFonts w:hint="eastAsia" w:ascii="宋体" w:hAnsi="宋体" w:cs="宋体"/>
          <w:u w:val="single"/>
        </w:rPr>
        <w:t>按实际需要由承包人提出解决方案，经工程师批准后才能实施，费用由发包人承担，保护工作由承包人负责。如在施工工程中由于施工不当造成损失的，此损失部分由承包人自费予以修复</w:t>
      </w:r>
      <w:r>
        <w:rPr>
          <w:rFonts w:hint="eastAsia" w:ascii="宋体" w:hAnsi="宋体" w:cs="宋体"/>
        </w:rPr>
        <w:t>。</w:t>
      </w:r>
    </w:p>
    <w:p>
      <w:pPr>
        <w:spacing w:line="360" w:lineRule="exact"/>
        <w:ind w:firstLine="420"/>
        <w:rPr>
          <w:rFonts w:hint="eastAsia" w:ascii="宋体" w:hAnsi="宋体" w:cs="宋体"/>
          <w:u w:val="single"/>
        </w:rPr>
      </w:pPr>
      <w:r>
        <w:rPr>
          <w:rFonts w:hint="eastAsia" w:ascii="宋体" w:hAnsi="宋体" w:cs="宋体"/>
        </w:rPr>
        <w:t>（9）双方发包人应做的其他工作：</w:t>
      </w:r>
      <w:r>
        <w:rPr>
          <w:rFonts w:hint="eastAsia" w:ascii="宋体" w:hAnsi="宋体" w:cs="宋体"/>
          <w:u w:val="single"/>
        </w:rPr>
        <w:t xml:space="preserve"> 无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571" w:name="_Toc22298"/>
      <w:bookmarkStart w:id="572" w:name="_Toc21600"/>
      <w:bookmarkStart w:id="573" w:name="_Toc21887"/>
      <w:bookmarkStart w:id="574" w:name="_Toc19723"/>
      <w:bookmarkStart w:id="575" w:name="_Toc27785"/>
      <w:bookmarkStart w:id="576" w:name="_Toc7165"/>
      <w:r>
        <w:rPr>
          <w:rFonts w:hint="eastAsia" w:ascii="宋体" w:hAnsi="宋体" w:cs="宋体"/>
          <w:sz w:val="28"/>
          <w:szCs w:val="28"/>
        </w:rPr>
        <w:t>2.5 资金来源证明及支付担保</w:t>
      </w:r>
      <w:bookmarkEnd w:id="571"/>
      <w:bookmarkEnd w:id="572"/>
      <w:bookmarkEnd w:id="573"/>
      <w:bookmarkEnd w:id="574"/>
      <w:bookmarkEnd w:id="575"/>
      <w:bookmarkEnd w:id="576"/>
    </w:p>
    <w:p>
      <w:pPr>
        <w:spacing w:line="360" w:lineRule="exact"/>
        <w:ind w:firstLine="420"/>
        <w:rPr>
          <w:rFonts w:hint="eastAsia" w:ascii="宋体" w:hAnsi="宋体" w:cs="宋体"/>
        </w:rPr>
      </w:pPr>
      <w:r>
        <w:rPr>
          <w:rFonts w:hint="eastAsia" w:ascii="宋体" w:hAnsi="宋体" w:cs="宋体"/>
        </w:rPr>
        <w:t>发包人提供资金来源证明的期限要求：</w:t>
      </w:r>
      <w:r>
        <w:rPr>
          <w:rFonts w:hint="eastAsia" w:ascii="宋体" w:hAnsi="宋体" w:cs="宋体"/>
          <w:u w:val="single"/>
        </w:rPr>
        <w:t xml:space="preserve">无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发包人是否提供支付担保：</w:t>
      </w:r>
      <w:r>
        <w:rPr>
          <w:rFonts w:hint="eastAsia" w:ascii="宋体" w:hAnsi="宋体" w:cs="宋体"/>
          <w:u w:val="single"/>
        </w:rPr>
        <w:t xml:space="preserve">无  </w:t>
      </w:r>
      <w:r>
        <w:rPr>
          <w:rFonts w:hint="eastAsia" w:ascii="宋体" w:hAnsi="宋体" w:cs="宋体"/>
        </w:rPr>
        <w:t>。</w:t>
      </w:r>
    </w:p>
    <w:p>
      <w:pPr>
        <w:spacing w:line="360" w:lineRule="exact"/>
        <w:ind w:firstLine="420"/>
        <w:rPr>
          <w:rFonts w:hint="eastAsia" w:ascii="宋体" w:hAnsi="宋体" w:cs="宋体"/>
          <w:u w:val="single"/>
        </w:rPr>
      </w:pPr>
      <w:r>
        <w:rPr>
          <w:rFonts w:hint="eastAsia" w:ascii="宋体" w:hAnsi="宋体" w:cs="宋体"/>
        </w:rPr>
        <w:t>发包人提供支付担保的形式：</w:t>
      </w:r>
      <w:r>
        <w:rPr>
          <w:rFonts w:hint="eastAsia" w:ascii="宋体" w:hAnsi="宋体" w:cs="宋体"/>
          <w:u w:val="single"/>
        </w:rPr>
        <w:t xml:space="preserve">无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577" w:name="_Toc26184"/>
      <w:bookmarkStart w:id="578" w:name="_Toc498421083"/>
      <w:bookmarkStart w:id="579" w:name="_Toc421260790"/>
      <w:bookmarkStart w:id="580" w:name="_Toc7360"/>
      <w:bookmarkStart w:id="581" w:name="_Toc7253"/>
      <w:bookmarkStart w:id="582" w:name="_Toc7515"/>
      <w:bookmarkStart w:id="583" w:name="_Toc2299"/>
      <w:bookmarkStart w:id="584" w:name="_Toc28070"/>
      <w:r>
        <w:rPr>
          <w:rFonts w:hint="eastAsia" w:ascii="宋体" w:hAnsi="宋体" w:cs="宋体"/>
          <w:sz w:val="28"/>
          <w:szCs w:val="28"/>
        </w:rPr>
        <w:t>3. 承包人</w:t>
      </w:r>
      <w:bookmarkEnd w:id="577"/>
      <w:bookmarkEnd w:id="578"/>
      <w:bookmarkEnd w:id="579"/>
      <w:bookmarkEnd w:id="580"/>
      <w:bookmarkEnd w:id="581"/>
      <w:bookmarkEnd w:id="582"/>
      <w:bookmarkEnd w:id="583"/>
      <w:bookmarkEnd w:id="584"/>
    </w:p>
    <w:p>
      <w:pPr>
        <w:pStyle w:val="7"/>
        <w:widowControl w:val="0"/>
        <w:numPr>
          <w:ilvl w:val="2"/>
          <w:numId w:val="0"/>
        </w:numPr>
        <w:spacing w:line="360" w:lineRule="exact"/>
        <w:jc w:val="both"/>
        <w:rPr>
          <w:rFonts w:hint="eastAsia" w:ascii="宋体" w:hAnsi="宋体" w:cs="宋体"/>
          <w:sz w:val="28"/>
          <w:szCs w:val="28"/>
        </w:rPr>
      </w:pPr>
      <w:bookmarkStart w:id="585" w:name="_Toc8468"/>
      <w:bookmarkStart w:id="586" w:name="_Toc11606"/>
      <w:bookmarkStart w:id="587" w:name="_Toc2437"/>
      <w:bookmarkStart w:id="588" w:name="_Toc5990"/>
      <w:bookmarkStart w:id="589" w:name="_Toc11035"/>
      <w:bookmarkStart w:id="590" w:name="_Toc12612"/>
      <w:r>
        <w:rPr>
          <w:rFonts w:hint="eastAsia" w:ascii="宋体" w:hAnsi="宋体" w:cs="宋体"/>
          <w:sz w:val="28"/>
          <w:szCs w:val="28"/>
        </w:rPr>
        <w:t>3.1 承包人的一般义务</w:t>
      </w:r>
      <w:bookmarkEnd w:id="585"/>
      <w:bookmarkEnd w:id="586"/>
      <w:bookmarkEnd w:id="587"/>
      <w:bookmarkEnd w:id="588"/>
      <w:bookmarkEnd w:id="589"/>
      <w:bookmarkEnd w:id="590"/>
    </w:p>
    <w:p>
      <w:pPr>
        <w:spacing w:line="360" w:lineRule="exact"/>
        <w:ind w:firstLine="420"/>
        <w:rPr>
          <w:rFonts w:hint="eastAsia" w:ascii="宋体" w:hAnsi="宋体" w:cs="宋体"/>
        </w:rPr>
      </w:pPr>
      <w:r>
        <w:rPr>
          <w:rFonts w:hint="eastAsia" w:ascii="宋体" w:hAnsi="宋体" w:cs="宋体"/>
        </w:rPr>
        <w:t>（5）承包人提交的竣工资料的内容：</w:t>
      </w:r>
      <w:r>
        <w:rPr>
          <w:rFonts w:hint="eastAsia" w:ascii="宋体" w:hAnsi="宋体" w:cs="宋体"/>
          <w:u w:val="single"/>
        </w:rPr>
        <w:t>提供完整的竣工图图纸和工程施工、验收有关的所有资料。</w:t>
      </w:r>
    </w:p>
    <w:p>
      <w:pPr>
        <w:spacing w:line="360" w:lineRule="exact"/>
        <w:ind w:firstLine="420"/>
        <w:rPr>
          <w:rFonts w:hint="eastAsia" w:ascii="宋体" w:hAnsi="宋体" w:cs="宋体"/>
        </w:rPr>
      </w:pPr>
      <w:r>
        <w:rPr>
          <w:rFonts w:hint="eastAsia" w:ascii="宋体" w:hAnsi="宋体" w:cs="宋体"/>
        </w:rPr>
        <w:t>承包人需要提交的竣工资料套数：</w:t>
      </w:r>
      <w:r>
        <w:rPr>
          <w:rFonts w:hint="eastAsia" w:ascii="宋体" w:hAnsi="宋体" w:cs="宋体"/>
          <w:u w:val="single"/>
        </w:rPr>
        <w:t>竣工图纸质版6套、电子版1套（含PDF和CAD格式）；档案馆存档资料电子版1套（含PDF和CAD格式）、纸质版1套。纸质资料需分类成册，电子资料按文件名分类。</w:t>
      </w:r>
    </w:p>
    <w:p>
      <w:pPr>
        <w:spacing w:line="360" w:lineRule="exact"/>
        <w:ind w:firstLine="420"/>
        <w:rPr>
          <w:rFonts w:hint="eastAsia" w:ascii="宋体" w:hAnsi="宋体" w:cs="宋体"/>
          <w:szCs w:val="21"/>
        </w:rPr>
      </w:pPr>
      <w:r>
        <w:rPr>
          <w:rFonts w:hint="eastAsia" w:ascii="宋体" w:hAnsi="宋体" w:cs="宋体"/>
          <w:szCs w:val="21"/>
        </w:rPr>
        <w:t>承包人提交的竣工资料的费用承担：</w:t>
      </w:r>
      <w:r>
        <w:rPr>
          <w:rFonts w:hint="eastAsia" w:ascii="宋体" w:hAnsi="宋体" w:cs="宋体"/>
          <w:szCs w:val="21"/>
          <w:u w:val="single"/>
        </w:rPr>
        <w:t xml:space="preserve"> 由承包人承担  </w:t>
      </w:r>
      <w:r>
        <w:rPr>
          <w:rFonts w:hint="eastAsia" w:ascii="宋体" w:hAnsi="宋体" w:cs="宋体"/>
        </w:rPr>
        <w:t>。</w:t>
      </w:r>
    </w:p>
    <w:p>
      <w:pPr>
        <w:spacing w:line="360" w:lineRule="exact"/>
        <w:ind w:firstLine="420"/>
        <w:rPr>
          <w:rFonts w:hint="eastAsia" w:ascii="宋体" w:hAnsi="宋体" w:cs="宋体"/>
          <w:szCs w:val="21"/>
          <w:u w:val="double"/>
        </w:rPr>
      </w:pPr>
      <w:r>
        <w:rPr>
          <w:rFonts w:hint="eastAsia" w:ascii="宋体" w:hAnsi="宋体" w:cs="宋体"/>
          <w:szCs w:val="21"/>
        </w:rPr>
        <w:t>承包人提交的竣工资料移交时间：</w:t>
      </w:r>
      <w:r>
        <w:rPr>
          <w:rFonts w:hint="eastAsia" w:ascii="宋体" w:hAnsi="宋体" w:cs="宋体"/>
          <w:szCs w:val="21"/>
          <w:u w:val="single"/>
        </w:rPr>
        <w:t xml:space="preserve">竣工验收合格后1个月内  </w:t>
      </w:r>
      <w:r>
        <w:rPr>
          <w:rFonts w:hint="eastAsia" w:ascii="宋体" w:hAnsi="宋体" w:cs="宋体"/>
        </w:rPr>
        <w:t>。</w:t>
      </w:r>
    </w:p>
    <w:p>
      <w:pPr>
        <w:spacing w:line="360" w:lineRule="exact"/>
        <w:ind w:firstLine="420"/>
        <w:rPr>
          <w:rFonts w:hint="eastAsia" w:ascii="宋体" w:hAnsi="宋体" w:cs="宋体"/>
          <w:szCs w:val="21"/>
          <w:u w:val="single"/>
        </w:rPr>
      </w:pPr>
      <w:r>
        <w:rPr>
          <w:rFonts w:hint="eastAsia" w:ascii="宋体" w:hAnsi="宋体" w:cs="宋体"/>
          <w:szCs w:val="21"/>
        </w:rPr>
        <w:t>承包人提交的竣工资料形式要求：</w:t>
      </w:r>
      <w:r>
        <w:rPr>
          <w:rFonts w:hint="eastAsia" w:ascii="宋体" w:hAnsi="宋体" w:cs="宋体"/>
          <w:szCs w:val="21"/>
          <w:u w:val="single"/>
        </w:rPr>
        <w:t xml:space="preserve">完整的竣工图纸及其他竣工资料5套，电子档案1份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（6）承包人应履行的其他义务：</w:t>
      </w:r>
    </w:p>
    <w:p>
      <w:pPr>
        <w:spacing w:line="360" w:lineRule="exact"/>
        <w:ind w:firstLine="420"/>
        <w:rPr>
          <w:rFonts w:hint="eastAsia" w:ascii="宋体" w:hAnsi="宋体" w:cs="宋体"/>
        </w:rPr>
      </w:pPr>
      <w:r>
        <w:rPr>
          <w:rFonts w:hint="eastAsia" w:ascii="宋体" w:hAnsi="宋体" w:cs="宋体"/>
        </w:rPr>
        <w:t>承包人应按约定时间和要求，完成以下工作：</w:t>
      </w:r>
    </w:p>
    <w:p>
      <w:pPr>
        <w:spacing w:line="360" w:lineRule="exact"/>
        <w:ind w:firstLine="420"/>
        <w:rPr>
          <w:rFonts w:hint="eastAsia" w:ascii="宋体" w:hAnsi="宋体" w:cs="宋体"/>
          <w:u w:val="single"/>
        </w:rPr>
      </w:pPr>
      <w:r>
        <w:rPr>
          <w:rFonts w:hint="eastAsia" w:ascii="宋体" w:hAnsi="宋体" w:cs="宋体"/>
        </w:rPr>
        <w:t>1）需由设计资质等级和业务范围允许的承包人完成的设计文件提交时间：</w:t>
      </w:r>
      <w:r>
        <w:rPr>
          <w:rFonts w:hint="eastAsia" w:ascii="宋体" w:hAnsi="宋体" w:cs="宋体"/>
          <w:u w:val="single"/>
        </w:rPr>
        <w:t xml:space="preserve">无  </w:t>
      </w:r>
      <w:r>
        <w:rPr>
          <w:rFonts w:hint="eastAsia" w:ascii="宋体" w:hAnsi="宋体" w:cs="宋体"/>
        </w:rPr>
        <w:t>。</w:t>
      </w:r>
    </w:p>
    <w:p>
      <w:pPr>
        <w:spacing w:line="360" w:lineRule="exact"/>
        <w:ind w:firstLine="420"/>
        <w:rPr>
          <w:rFonts w:hint="eastAsia" w:ascii="宋体" w:hAnsi="宋体" w:cs="宋体"/>
          <w:u w:val="single"/>
        </w:rPr>
      </w:pPr>
      <w:r>
        <w:rPr>
          <w:rFonts w:hint="eastAsia" w:ascii="宋体" w:hAnsi="宋体" w:cs="宋体"/>
        </w:rPr>
        <w:t>2）应提供计划、报表的名称及完成时间：</w:t>
      </w:r>
      <w:r>
        <w:rPr>
          <w:rFonts w:hint="eastAsia" w:ascii="宋体" w:hAnsi="宋体" w:cs="宋体"/>
          <w:u w:val="single"/>
        </w:rPr>
        <w:t>向工程师提供年度、季度、月度工程计划；每月25日前向发包人提交月度完成工程量、月工程产值报表及下月工程进度计划，一式三份。每周一报告下周作业计划，本周实施情况一式二份。</w:t>
      </w:r>
    </w:p>
    <w:p>
      <w:pPr>
        <w:spacing w:line="360" w:lineRule="exact"/>
        <w:ind w:firstLine="420"/>
        <w:rPr>
          <w:rFonts w:hint="eastAsia" w:ascii="宋体" w:hAnsi="宋体" w:cs="宋体"/>
          <w:u w:val="single"/>
        </w:rPr>
      </w:pPr>
      <w:r>
        <w:rPr>
          <w:rFonts w:hint="eastAsia" w:ascii="宋体" w:hAnsi="宋体" w:cs="宋体"/>
        </w:rPr>
        <w:t>3）承担施工安全保卫工作及非夜间施工照明的责任和要求：</w:t>
      </w:r>
      <w:r>
        <w:rPr>
          <w:rFonts w:hint="eastAsia" w:ascii="宋体" w:hAnsi="宋体" w:cs="宋体"/>
          <w:u w:val="single"/>
        </w:rPr>
        <w:t>承包人负责在工程施工、竣工及养护的整个过程中施工现场全部人员的安全和非夜间施工照明。发包人不承担承包人或其分包单位雇佣的工人或其它人员的伤亡赔偿或补偿责任。</w:t>
      </w:r>
    </w:p>
    <w:p>
      <w:pPr>
        <w:spacing w:line="360" w:lineRule="exact"/>
        <w:ind w:firstLine="420"/>
        <w:rPr>
          <w:rFonts w:hint="eastAsia" w:ascii="宋体" w:hAnsi="宋体" w:cs="宋体"/>
          <w:szCs w:val="21"/>
          <w:u w:val="single"/>
        </w:rPr>
      </w:pPr>
      <w:r>
        <w:rPr>
          <w:rFonts w:hint="eastAsia" w:ascii="宋体" w:hAnsi="宋体" w:cs="宋体"/>
          <w:szCs w:val="21"/>
        </w:rPr>
        <w:t>4）向发包人提供的办公和生活房屋及设施的要求：</w:t>
      </w:r>
      <w:r>
        <w:rPr>
          <w:rFonts w:hint="eastAsia" w:ascii="宋体" w:hAnsi="宋体" w:cs="宋体"/>
          <w:u w:val="single"/>
          <w:lang w:val="en-US" w:eastAsia="zh-CN"/>
        </w:rPr>
        <w:t>/</w:t>
      </w:r>
      <w:r>
        <w:rPr>
          <w:rFonts w:hint="eastAsia" w:ascii="宋体" w:hAnsi="宋体" w:cs="宋体"/>
          <w:u w:val="single"/>
        </w:rPr>
        <w:t xml:space="preserve"> </w:t>
      </w:r>
      <w:r>
        <w:rPr>
          <w:rFonts w:hint="eastAsia" w:ascii="宋体" w:hAnsi="宋体" w:cs="宋体"/>
        </w:rPr>
        <w:t>。</w:t>
      </w:r>
    </w:p>
    <w:p>
      <w:pPr>
        <w:spacing w:line="360" w:lineRule="exact"/>
        <w:ind w:firstLine="420"/>
        <w:rPr>
          <w:rFonts w:hint="eastAsia" w:ascii="宋体" w:hAnsi="宋体" w:cs="宋体"/>
          <w:szCs w:val="21"/>
        </w:rPr>
      </w:pPr>
      <w:r>
        <w:rPr>
          <w:rFonts w:hint="eastAsia" w:ascii="宋体" w:hAnsi="宋体" w:cs="宋体"/>
          <w:szCs w:val="21"/>
        </w:rPr>
        <w:t>5）需承包人办理的有关施工场地交通、环卫和施工噪音管理等手续：</w:t>
      </w:r>
      <w:r>
        <w:rPr>
          <w:rFonts w:hint="eastAsia" w:ascii="宋体" w:hAnsi="宋体" w:cs="宋体"/>
          <w:u w:val="single"/>
        </w:rPr>
        <w:t>由承包人自行解决并办理相关审批手续，费用已包含在总价中。承包人办理有困难时，发包人尽量协助办理（发包人不承担因此增加的相关费用）。承包人应采取有效措施尽量减少尘土和噪音污染，需要进行夜间作业时应取得发包人同意、有关部门批准。</w:t>
      </w:r>
    </w:p>
    <w:p>
      <w:pPr>
        <w:spacing w:line="360" w:lineRule="exact"/>
        <w:ind w:firstLine="420"/>
        <w:rPr>
          <w:rFonts w:hint="eastAsia" w:ascii="宋体" w:hAnsi="宋体" w:cs="宋体"/>
          <w:szCs w:val="21"/>
        </w:rPr>
      </w:pPr>
      <w:r>
        <w:rPr>
          <w:rFonts w:hint="eastAsia" w:ascii="宋体" w:hAnsi="宋体" w:cs="宋体"/>
          <w:szCs w:val="21"/>
        </w:rPr>
        <w:t>6）已完工程成品保护的特殊要求及费用承担：</w:t>
      </w:r>
      <w:r>
        <w:rPr>
          <w:rFonts w:hint="eastAsia" w:ascii="宋体" w:hAnsi="宋体" w:cs="宋体"/>
          <w:u w:val="single"/>
        </w:rPr>
        <w:t>已竣工工程和设备未交付发包人之前，承包人负责所有成品的保护工作，保护期间发生损坏，承包人承担修复费用。工程未办理竣工验收交付发包人前，承包人有责任为承包范围内的已完工程或其他任何部位进行保护，费用由承包人承担。承包人施工中应对已完成的主体结构进行保护，电缆施工完成后应及时进行套管防水封堵，严防电缆沟及地下室渗漏进水。</w:t>
      </w:r>
    </w:p>
    <w:p>
      <w:pPr>
        <w:spacing w:line="360" w:lineRule="exact"/>
        <w:ind w:firstLine="420"/>
        <w:rPr>
          <w:rFonts w:hint="eastAsia" w:ascii="宋体" w:hAnsi="宋体" w:cs="宋体"/>
          <w:szCs w:val="21"/>
        </w:rPr>
      </w:pPr>
      <w:r>
        <w:rPr>
          <w:rFonts w:hint="eastAsia" w:ascii="宋体" w:hAnsi="宋体" w:cs="宋体"/>
          <w:szCs w:val="21"/>
        </w:rPr>
        <w:t>7）施工场地周围地下管线和邻近建筑物、构筑物（含文物保护建筑）、古树名木的保护要求及费用承担：</w:t>
      </w:r>
      <w:r>
        <w:rPr>
          <w:rFonts w:hint="eastAsia" w:ascii="宋体" w:hAnsi="宋体" w:cs="宋体"/>
          <w:szCs w:val="21"/>
          <w:u w:val="single"/>
        </w:rPr>
        <w:t>按实际需要由承包人提出解决方案，经工程师批准后才能实施，费用由发包人承担，保护工作由承包人负责，工期不顺延。如在施工过程中由于施工不当造成损失的，此损失部分由承包人自费予以修复。</w:t>
      </w:r>
    </w:p>
    <w:p>
      <w:pPr>
        <w:spacing w:line="360" w:lineRule="exact"/>
        <w:ind w:firstLine="420"/>
        <w:rPr>
          <w:rFonts w:hint="eastAsia" w:ascii="宋体" w:hAnsi="宋体" w:cs="宋体"/>
          <w:szCs w:val="21"/>
        </w:rPr>
      </w:pPr>
      <w:r>
        <w:rPr>
          <w:rFonts w:hint="eastAsia" w:ascii="宋体" w:hAnsi="宋体" w:cs="宋体"/>
          <w:szCs w:val="21"/>
        </w:rPr>
        <w:t>8）施工场地清洁卫生的要求：</w:t>
      </w:r>
      <w:r>
        <w:rPr>
          <w:rFonts w:hint="eastAsia" w:ascii="宋体" w:hAnsi="宋体" w:cs="宋体"/>
          <w:u w:val="single"/>
        </w:rPr>
        <w:t xml:space="preserve">不得污染环境和影响周边的居民生活,承包人按建设行政主管部门和相关部门的规定办理所需由承包人承担  </w:t>
      </w:r>
      <w:r>
        <w:rPr>
          <w:rFonts w:hint="eastAsia" w:ascii="宋体" w:hAnsi="宋体" w:cs="宋体"/>
        </w:rPr>
        <w:t>。</w:t>
      </w:r>
    </w:p>
    <w:p>
      <w:pPr>
        <w:spacing w:line="360" w:lineRule="exact"/>
        <w:ind w:firstLine="420"/>
        <w:rPr>
          <w:rFonts w:hint="eastAsia" w:ascii="宋体" w:hAnsi="宋体" w:cs="宋体"/>
          <w:szCs w:val="21"/>
        </w:rPr>
      </w:pPr>
      <w:r>
        <w:rPr>
          <w:rFonts w:hint="eastAsia" w:ascii="宋体" w:hAnsi="宋体" w:cs="宋体"/>
          <w:szCs w:val="21"/>
        </w:rPr>
        <w:t>9）双方约定承包人应做的其他工作：</w:t>
      </w:r>
      <w:r>
        <w:rPr>
          <w:rFonts w:hint="eastAsia" w:ascii="宋体" w:hAnsi="宋体" w:cs="宋体"/>
          <w:u w:val="single"/>
          <w:lang w:val="en-US" w:eastAsia="zh-CN"/>
        </w:rPr>
        <w:t>/</w:t>
      </w:r>
      <w:r>
        <w:rPr>
          <w:rFonts w:hint="eastAsia" w:ascii="宋体" w:hAnsi="宋体" w:cs="宋体"/>
          <w:u w:val="single"/>
        </w:rPr>
        <w:t xml:space="preserve">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591" w:name="_Toc6064"/>
      <w:bookmarkStart w:id="592" w:name="_Toc21210"/>
      <w:bookmarkStart w:id="593" w:name="_Toc6101"/>
      <w:bookmarkStart w:id="594" w:name="_Toc1531"/>
      <w:bookmarkStart w:id="595" w:name="_Toc6660"/>
      <w:bookmarkStart w:id="596" w:name="_Toc20301"/>
      <w:r>
        <w:rPr>
          <w:rFonts w:hint="eastAsia" w:ascii="宋体" w:hAnsi="宋体" w:cs="宋体"/>
          <w:sz w:val="28"/>
          <w:szCs w:val="28"/>
        </w:rPr>
        <w:t>3.2 项目经理</w:t>
      </w:r>
      <w:bookmarkEnd w:id="591"/>
      <w:bookmarkEnd w:id="592"/>
      <w:bookmarkEnd w:id="593"/>
      <w:bookmarkEnd w:id="594"/>
      <w:bookmarkEnd w:id="595"/>
      <w:bookmarkEnd w:id="596"/>
    </w:p>
    <w:p>
      <w:pPr>
        <w:spacing w:line="360" w:lineRule="exact"/>
        <w:ind w:firstLine="420"/>
        <w:rPr>
          <w:rFonts w:hint="eastAsia" w:ascii="宋体" w:hAnsi="宋体" w:cs="宋体"/>
        </w:rPr>
      </w:pPr>
      <w:r>
        <w:rPr>
          <w:rFonts w:hint="eastAsia" w:ascii="宋体" w:hAnsi="宋体" w:cs="宋体"/>
        </w:rPr>
        <w:t>3.2.1 项目经理：</w:t>
      </w:r>
    </w:p>
    <w:p>
      <w:pPr>
        <w:spacing w:line="360" w:lineRule="exact"/>
        <w:ind w:firstLine="420"/>
        <w:rPr>
          <w:rFonts w:hint="eastAsia" w:ascii="宋体" w:hAnsi="宋体" w:cs="宋体"/>
        </w:rPr>
      </w:pPr>
      <w:r>
        <w:rPr>
          <w:rFonts w:hint="eastAsia" w:ascii="宋体" w:hAnsi="宋体" w:cs="宋体"/>
        </w:rPr>
        <w:t>姓    名：</w:t>
      </w:r>
      <w:r>
        <w:rPr>
          <w:rFonts w:hint="eastAsia" w:ascii="宋体" w:hAnsi="宋体" w:cs="宋体"/>
          <w:u w:val="single"/>
        </w:rPr>
        <w:t xml:space="preserve">   </w:t>
      </w:r>
    </w:p>
    <w:p>
      <w:pPr>
        <w:spacing w:line="360" w:lineRule="exact"/>
        <w:ind w:firstLine="420"/>
        <w:rPr>
          <w:rFonts w:hint="eastAsia" w:ascii="宋体" w:hAnsi="宋体" w:cs="宋体"/>
        </w:rPr>
      </w:pPr>
      <w:r>
        <w:rPr>
          <w:rFonts w:hint="eastAsia" w:ascii="宋体" w:hAnsi="宋体" w:cs="宋体"/>
        </w:rPr>
        <w:t>身份证号：</w:t>
      </w:r>
      <w:r>
        <w:rPr>
          <w:rFonts w:hint="eastAsia" w:ascii="宋体" w:hAnsi="宋体" w:cs="宋体"/>
          <w:u w:val="single"/>
        </w:rPr>
        <w:t xml:space="preserve">  </w:t>
      </w:r>
    </w:p>
    <w:p>
      <w:pPr>
        <w:spacing w:line="360" w:lineRule="exact"/>
        <w:ind w:firstLine="420"/>
        <w:rPr>
          <w:rFonts w:hint="eastAsia" w:ascii="宋体" w:hAnsi="宋体" w:cs="宋体"/>
        </w:rPr>
      </w:pPr>
      <w:r>
        <w:rPr>
          <w:rFonts w:hint="eastAsia" w:ascii="宋体" w:hAnsi="宋体" w:cs="宋体"/>
        </w:rPr>
        <w:t>建造师执业资格等级：</w:t>
      </w:r>
      <w:r>
        <w:rPr>
          <w:rFonts w:hint="eastAsia" w:ascii="宋体" w:hAnsi="宋体" w:cs="宋体"/>
          <w:u w:val="single"/>
        </w:rPr>
        <w:t> </w:t>
      </w:r>
    </w:p>
    <w:p>
      <w:pPr>
        <w:spacing w:line="360" w:lineRule="exact"/>
        <w:ind w:firstLine="420"/>
        <w:rPr>
          <w:rFonts w:hint="eastAsia" w:ascii="宋体" w:hAnsi="宋体" w:cs="宋体"/>
        </w:rPr>
      </w:pPr>
      <w:r>
        <w:rPr>
          <w:rFonts w:hint="eastAsia" w:ascii="宋体" w:hAnsi="宋体" w:cs="宋体"/>
        </w:rPr>
        <w:t>建造师注册证书号：</w:t>
      </w:r>
      <w:r>
        <w:rPr>
          <w:rFonts w:hint="eastAsia" w:ascii="宋体" w:hAnsi="宋体" w:cs="宋体"/>
          <w:u w:val="single"/>
        </w:rPr>
        <w:t></w:t>
      </w:r>
    </w:p>
    <w:p>
      <w:pPr>
        <w:spacing w:line="360" w:lineRule="exact"/>
        <w:ind w:firstLine="420"/>
        <w:rPr>
          <w:rFonts w:hint="eastAsia" w:ascii="宋体" w:hAnsi="宋体" w:cs="宋体"/>
        </w:rPr>
      </w:pPr>
      <w:r>
        <w:rPr>
          <w:rFonts w:hint="eastAsia" w:ascii="宋体" w:hAnsi="宋体" w:cs="宋体"/>
        </w:rPr>
        <w:t>建造师执业印章号：</w:t>
      </w:r>
      <w:r>
        <w:rPr>
          <w:rFonts w:hint="eastAsia" w:ascii="宋体" w:hAnsi="宋体" w:cs="宋体"/>
          <w:u w:val="single"/>
        </w:rPr>
        <w:t></w:t>
      </w:r>
    </w:p>
    <w:p>
      <w:pPr>
        <w:spacing w:line="360" w:lineRule="exact"/>
        <w:ind w:firstLine="420"/>
        <w:rPr>
          <w:rFonts w:hint="eastAsia" w:ascii="宋体" w:hAnsi="宋体" w:cs="宋体"/>
        </w:rPr>
      </w:pPr>
      <w:r>
        <w:rPr>
          <w:rFonts w:hint="eastAsia" w:ascii="宋体" w:hAnsi="宋体" w:cs="宋体"/>
        </w:rPr>
        <w:t>安全生产考核合格证书号：</w:t>
      </w:r>
      <w:r>
        <w:rPr>
          <w:rFonts w:hint="eastAsia" w:ascii="宋体" w:hAnsi="宋体" w:cs="宋体"/>
          <w:u w:val="single"/>
        </w:rPr>
        <w:t></w:t>
      </w:r>
    </w:p>
    <w:p>
      <w:pPr>
        <w:spacing w:line="360" w:lineRule="exact"/>
        <w:ind w:firstLine="420"/>
        <w:rPr>
          <w:rFonts w:hint="eastAsia" w:ascii="宋体" w:hAnsi="宋体" w:cs="宋体"/>
        </w:rPr>
      </w:pPr>
      <w:r>
        <w:rPr>
          <w:rFonts w:hint="eastAsia" w:ascii="宋体" w:hAnsi="宋体" w:cs="宋体"/>
        </w:rPr>
        <w:t>联系电话：</w:t>
      </w:r>
      <w:r>
        <w:rPr>
          <w:rFonts w:hint="eastAsia" w:ascii="宋体" w:hAnsi="宋体" w:cs="宋体"/>
          <w:u w:val="single"/>
        </w:rPr>
        <w:t xml:space="preserve">    </w:t>
      </w:r>
    </w:p>
    <w:p>
      <w:pPr>
        <w:spacing w:line="360" w:lineRule="exact"/>
        <w:ind w:firstLine="420"/>
        <w:rPr>
          <w:rFonts w:hint="eastAsia" w:ascii="宋体" w:hAnsi="宋体" w:cs="宋体"/>
        </w:rPr>
      </w:pPr>
      <w:r>
        <w:rPr>
          <w:rFonts w:hint="eastAsia" w:ascii="宋体" w:hAnsi="宋体" w:cs="宋体"/>
        </w:rPr>
        <w:t>电子信箱：</w:t>
      </w:r>
      <w:r>
        <w:rPr>
          <w:rFonts w:hint="eastAsia" w:ascii="宋体" w:hAnsi="宋体" w:cs="宋体"/>
          <w:u w:val="single"/>
        </w:rPr>
        <w:t xml:space="preserve">        </w:t>
      </w:r>
    </w:p>
    <w:p>
      <w:pPr>
        <w:spacing w:line="360" w:lineRule="exact"/>
        <w:ind w:firstLine="420"/>
        <w:rPr>
          <w:rFonts w:hint="eastAsia" w:ascii="宋体" w:hAnsi="宋体" w:cs="宋体"/>
        </w:rPr>
      </w:pPr>
      <w:r>
        <w:rPr>
          <w:rFonts w:hint="eastAsia" w:ascii="宋体" w:hAnsi="宋体" w:cs="宋体"/>
        </w:rPr>
        <w:t>通信地址：</w:t>
      </w:r>
      <w:r>
        <w:rPr>
          <w:rFonts w:hint="eastAsia" w:ascii="宋体" w:hAnsi="宋体" w:cs="宋体"/>
          <w:u w:val="single"/>
        </w:rPr>
        <w:t>       </w:t>
      </w:r>
    </w:p>
    <w:p>
      <w:pPr>
        <w:spacing w:line="360" w:lineRule="exact"/>
        <w:ind w:firstLine="420"/>
        <w:rPr>
          <w:rFonts w:hint="eastAsia" w:ascii="宋体" w:hAnsi="宋体" w:cs="宋体"/>
        </w:rPr>
      </w:pPr>
      <w:r>
        <w:rPr>
          <w:rFonts w:hint="eastAsia" w:ascii="宋体" w:hAnsi="宋体" w:cs="宋体"/>
        </w:rPr>
        <w:t>承包人对项目经理的授权范围如下：</w:t>
      </w:r>
      <w:r>
        <w:rPr>
          <w:rFonts w:hint="eastAsia" w:ascii="宋体" w:hAnsi="宋体" w:cs="宋体"/>
          <w:u w:val="single"/>
        </w:rPr>
        <w:t xml:space="preserve">（1）组织项目管理班子；（2）以企业法定代表人的代表身份处理与所承担的工程项目有关的外部关系，受委托签署有关合同；（3）指挥生产项目建设的生产经营活动，调配并管理进入工程项目的人力、物资、机械设备等生产要素；（4）选择施工作业队伍；（5）进行合理的经济分配；（6）企业法定代表人授予的其他管理权利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关于项目经理每月在施工现场的时间要求：</w:t>
      </w:r>
      <w:r>
        <w:rPr>
          <w:rFonts w:hint="eastAsia" w:ascii="宋体" w:hAnsi="宋体" w:cs="宋体"/>
          <w:u w:val="single"/>
        </w:rPr>
        <w:t xml:space="preserve"> </w:t>
      </w:r>
      <w:r>
        <w:rPr>
          <w:rFonts w:hint="eastAsia" w:ascii="宋体" w:hAnsi="宋体" w:cs="宋体"/>
          <w:szCs w:val="21"/>
          <w:u w:val="single"/>
        </w:rPr>
        <w:t>项目经理到岗率必须达到80%以上（即每月到位不得低于24个日历天，且月份之间的到位天数不得借用，不得连续一周不到位）。</w:t>
      </w:r>
      <w:r>
        <w:rPr>
          <w:rFonts w:hint="eastAsia" w:ascii="宋体" w:hAnsi="宋体" w:cs="宋体"/>
          <w:u w:val="single"/>
        </w:rPr>
        <w:t xml:space="preserve">        </w:t>
      </w:r>
    </w:p>
    <w:p>
      <w:pPr>
        <w:spacing w:line="360" w:lineRule="exact"/>
        <w:ind w:firstLine="420"/>
        <w:rPr>
          <w:rFonts w:hint="eastAsia" w:ascii="宋体" w:hAnsi="宋体" w:cs="宋体"/>
        </w:rPr>
      </w:pPr>
      <w:r>
        <w:rPr>
          <w:rFonts w:hint="eastAsia" w:ascii="宋体" w:hAnsi="宋体" w:cs="宋体"/>
        </w:rPr>
        <w:t>承包人未提交劳动合同，以及没有为项目经理缴纳社会保险证明的违约责任：</w:t>
      </w:r>
      <w:r>
        <w:rPr>
          <w:rFonts w:hint="eastAsia" w:ascii="宋体" w:hAnsi="宋体" w:cs="宋体"/>
          <w:szCs w:val="21"/>
          <w:u w:val="single"/>
        </w:rPr>
        <w:t>按项目经理未到位处理</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项目经理未经批准，擅自离开施工现场的违约责任：</w:t>
      </w:r>
      <w:r>
        <w:rPr>
          <w:rFonts w:hint="eastAsia" w:ascii="宋体" w:hAnsi="宋体" w:cs="宋体"/>
          <w:szCs w:val="21"/>
          <w:u w:val="single"/>
        </w:rPr>
        <w:t>每天支付违约金1000元。</w:t>
      </w:r>
    </w:p>
    <w:p>
      <w:pPr>
        <w:spacing w:line="360" w:lineRule="exact"/>
        <w:ind w:firstLine="420"/>
        <w:rPr>
          <w:rFonts w:hint="eastAsia" w:ascii="宋体" w:hAnsi="宋体" w:cs="宋体"/>
        </w:rPr>
      </w:pPr>
      <w:r>
        <w:rPr>
          <w:rFonts w:hint="eastAsia" w:ascii="宋体" w:hAnsi="宋体" w:cs="宋体"/>
        </w:rPr>
        <w:t>3.2.3 承包人擅自更换项目经理的违约责任：</w:t>
      </w:r>
      <w:r>
        <w:rPr>
          <w:rFonts w:hint="eastAsia" w:ascii="宋体" w:hAnsi="宋体" w:cs="宋体"/>
          <w:u w:val="single"/>
        </w:rPr>
        <w:t xml:space="preserve">  </w:t>
      </w:r>
      <w:r>
        <w:rPr>
          <w:rFonts w:hint="eastAsia" w:ascii="宋体" w:hAnsi="宋体" w:cs="宋体"/>
          <w:szCs w:val="21"/>
          <w:u w:val="single"/>
        </w:rPr>
        <w:t>发包人有权要求承包人承担签约合同价款2%的违约金。并有权解除合同并责令承包人退场，由此产生的一切损失和后果由承包人承担。</w:t>
      </w:r>
    </w:p>
    <w:p>
      <w:pPr>
        <w:spacing w:line="360" w:lineRule="exact"/>
        <w:ind w:firstLine="420"/>
        <w:rPr>
          <w:rFonts w:hint="eastAsia" w:ascii="宋体" w:hAnsi="宋体" w:cs="宋体"/>
        </w:rPr>
      </w:pPr>
      <w:r>
        <w:rPr>
          <w:rFonts w:hint="eastAsia" w:ascii="宋体" w:hAnsi="宋体" w:cs="宋体"/>
        </w:rPr>
        <w:t>3.2.4 承包人无正当理由拒绝更换项目经理的违约责任：</w:t>
      </w:r>
      <w:r>
        <w:rPr>
          <w:rFonts w:hint="eastAsia" w:ascii="宋体" w:hAnsi="宋体" w:cs="宋体"/>
          <w:u w:val="single"/>
        </w:rPr>
        <w:t xml:space="preserve"> 发包人有权要求承包人承担签约合同价款2%的违约金。并再次要求更换的，如7天内还不更换，发包人有权单方解除合同并责令承包人退场，由此产生的一切损失和后果由承包人承担，发包人不承担任何费用。</w:t>
      </w:r>
    </w:p>
    <w:p>
      <w:pPr>
        <w:pStyle w:val="7"/>
        <w:widowControl w:val="0"/>
        <w:numPr>
          <w:ilvl w:val="2"/>
          <w:numId w:val="0"/>
        </w:numPr>
        <w:spacing w:line="360" w:lineRule="exact"/>
        <w:jc w:val="both"/>
        <w:rPr>
          <w:rFonts w:hint="eastAsia" w:ascii="宋体" w:hAnsi="宋体" w:cs="宋体"/>
          <w:sz w:val="28"/>
          <w:szCs w:val="28"/>
        </w:rPr>
      </w:pPr>
      <w:bookmarkStart w:id="597" w:name="_Toc3021"/>
      <w:bookmarkStart w:id="598" w:name="_Toc14486"/>
      <w:bookmarkStart w:id="599" w:name="_Toc7830"/>
      <w:bookmarkStart w:id="600" w:name="_Toc30198"/>
      <w:bookmarkStart w:id="601" w:name="_Toc6080"/>
      <w:bookmarkStart w:id="602" w:name="_Toc20439"/>
      <w:r>
        <w:rPr>
          <w:rFonts w:hint="eastAsia" w:ascii="宋体" w:hAnsi="宋体" w:cs="宋体"/>
          <w:sz w:val="28"/>
          <w:szCs w:val="28"/>
        </w:rPr>
        <w:t>3.3 承包人人员</w:t>
      </w:r>
      <w:bookmarkEnd w:id="597"/>
      <w:bookmarkEnd w:id="598"/>
      <w:bookmarkEnd w:id="599"/>
      <w:bookmarkEnd w:id="600"/>
      <w:bookmarkEnd w:id="601"/>
      <w:bookmarkEnd w:id="602"/>
    </w:p>
    <w:p>
      <w:pPr>
        <w:spacing w:line="360" w:lineRule="exact"/>
        <w:ind w:firstLine="420"/>
        <w:rPr>
          <w:rFonts w:hint="eastAsia" w:ascii="宋体" w:hAnsi="宋体" w:cs="宋体"/>
          <w:szCs w:val="21"/>
          <w:u w:val="single"/>
        </w:rPr>
      </w:pPr>
      <w:r>
        <w:rPr>
          <w:rFonts w:hint="eastAsia" w:ascii="宋体" w:hAnsi="宋体" w:cs="宋体"/>
          <w:szCs w:val="21"/>
        </w:rPr>
        <w:t>3.3.1 承包人提交项目管理机构及施工现场管理人员安排报告的期限：</w:t>
      </w:r>
      <w:r>
        <w:rPr>
          <w:rFonts w:hint="eastAsia" w:ascii="宋体" w:hAnsi="宋体" w:cs="宋体"/>
          <w:szCs w:val="21"/>
          <w:u w:val="single"/>
        </w:rPr>
        <w:t xml:space="preserve"> 接到开工通知后7天内  </w:t>
      </w:r>
      <w:r>
        <w:rPr>
          <w:rFonts w:hint="eastAsia" w:ascii="宋体" w:hAnsi="宋体" w:cs="宋体"/>
        </w:rPr>
        <w:t>。</w:t>
      </w:r>
    </w:p>
    <w:p>
      <w:pPr>
        <w:spacing w:line="360" w:lineRule="exact"/>
        <w:ind w:firstLine="420"/>
        <w:rPr>
          <w:rFonts w:hint="eastAsia" w:ascii="宋体" w:hAnsi="宋体" w:cs="宋体"/>
          <w:szCs w:val="21"/>
          <w:u w:val="single"/>
        </w:rPr>
      </w:pPr>
      <w:r>
        <w:rPr>
          <w:rFonts w:hint="eastAsia" w:ascii="宋体" w:hAnsi="宋体" w:cs="宋体"/>
          <w:szCs w:val="21"/>
        </w:rPr>
        <w:t>3.3.3 承包人无正当理由拒绝撤换主要施工管理人员的违约责任：</w:t>
      </w:r>
      <w:r>
        <w:rPr>
          <w:rFonts w:hint="eastAsia" w:ascii="宋体" w:hAnsi="宋体" w:cs="宋体"/>
          <w:szCs w:val="21"/>
          <w:u w:val="single"/>
        </w:rPr>
        <w:t xml:space="preserve"> 发包人有权要求承包人承担签约合同价款2%/人的违约金。并再次要求更换的，如7天内还不更换，发包人有权单方解除合同并责令承包人退场，由此产生的一切损失和后果由承包人承担，发包人不承担任何费用。</w:t>
      </w:r>
    </w:p>
    <w:p>
      <w:pPr>
        <w:spacing w:line="360" w:lineRule="exact"/>
        <w:ind w:firstLine="420"/>
        <w:rPr>
          <w:rFonts w:hint="eastAsia" w:ascii="宋体" w:hAnsi="宋体" w:cs="宋体"/>
          <w:szCs w:val="21"/>
          <w:u w:val="single"/>
        </w:rPr>
      </w:pPr>
      <w:r>
        <w:rPr>
          <w:rFonts w:hint="eastAsia" w:ascii="宋体" w:hAnsi="宋体" w:cs="宋体"/>
          <w:szCs w:val="21"/>
        </w:rPr>
        <w:t>3.3.4 承包人主要施工管理人员离开施工现场的批准要求：</w:t>
      </w:r>
      <w:r>
        <w:rPr>
          <w:rFonts w:hint="eastAsia" w:ascii="宋体" w:hAnsi="宋体" w:cs="宋体"/>
          <w:szCs w:val="21"/>
          <w:u w:val="single"/>
        </w:rPr>
        <w:t>到岗率必须达到80%以上（即每月到位不得低于24个日历天，且月份之间的到位天数不得借用，不得连续一周不到位），其余按通用条款执行。</w:t>
      </w:r>
    </w:p>
    <w:p>
      <w:pPr>
        <w:spacing w:line="360" w:lineRule="exact"/>
        <w:ind w:firstLine="420"/>
        <w:rPr>
          <w:rFonts w:hint="eastAsia" w:ascii="宋体" w:hAnsi="宋体" w:cs="宋体"/>
          <w:szCs w:val="21"/>
          <w:u w:val="single"/>
        </w:rPr>
      </w:pPr>
      <w:r>
        <w:rPr>
          <w:rFonts w:hint="eastAsia" w:ascii="宋体" w:hAnsi="宋体" w:cs="宋体"/>
          <w:szCs w:val="21"/>
        </w:rPr>
        <w:t>3.3.5承包人擅自更换主要施工管理人员的违约责任：</w:t>
      </w:r>
      <w:r>
        <w:rPr>
          <w:rFonts w:hint="eastAsia" w:ascii="宋体" w:hAnsi="宋体" w:cs="宋体"/>
          <w:szCs w:val="21"/>
          <w:lang w:val="en-US" w:eastAsia="zh-CN"/>
        </w:rPr>
        <w:t>发</w:t>
      </w:r>
      <w:r>
        <w:rPr>
          <w:rFonts w:hint="eastAsia" w:ascii="宋体" w:hAnsi="宋体" w:cs="宋体"/>
          <w:szCs w:val="21"/>
          <w:u w:val="single"/>
        </w:rPr>
        <w:t>包人有权要求承包人承担签约合同价款2%的违约金。</w:t>
      </w:r>
    </w:p>
    <w:p>
      <w:pPr>
        <w:spacing w:line="360" w:lineRule="exact"/>
        <w:ind w:firstLine="420"/>
        <w:rPr>
          <w:rFonts w:hint="eastAsia" w:ascii="宋体" w:hAnsi="宋体" w:eastAsia="宋体" w:cs="宋体"/>
          <w:szCs w:val="21"/>
          <w:lang w:val="en-US" w:eastAsia="zh-CN"/>
        </w:rPr>
      </w:pPr>
      <w:r>
        <w:rPr>
          <w:rFonts w:hint="eastAsia" w:ascii="宋体" w:hAnsi="宋体" w:eastAsia="宋体" w:cs="宋体"/>
          <w:szCs w:val="21"/>
          <w:lang w:val="en-US" w:eastAsia="zh-CN"/>
        </w:rPr>
        <w:t>承包人主要施工管理人员擅自离开施工现场的违约责任：</w:t>
      </w:r>
      <w:r>
        <w:rPr>
          <w:rFonts w:hint="eastAsia" w:ascii="宋体" w:hAnsi="宋体" w:eastAsia="宋体" w:cs="宋体"/>
          <w:szCs w:val="21"/>
          <w:u w:val="single"/>
          <w:lang w:val="en-US" w:eastAsia="zh-CN"/>
        </w:rPr>
        <w:t>每天支付违约金500元/人。</w:t>
      </w:r>
    </w:p>
    <w:p>
      <w:pPr>
        <w:pStyle w:val="7"/>
        <w:widowControl w:val="0"/>
        <w:numPr>
          <w:ilvl w:val="2"/>
          <w:numId w:val="0"/>
        </w:numPr>
        <w:spacing w:line="360" w:lineRule="exact"/>
        <w:jc w:val="both"/>
        <w:rPr>
          <w:rFonts w:hint="eastAsia" w:ascii="宋体" w:hAnsi="宋体" w:cs="宋体"/>
          <w:sz w:val="28"/>
          <w:szCs w:val="28"/>
        </w:rPr>
      </w:pPr>
      <w:bookmarkStart w:id="603" w:name="_Toc7311"/>
      <w:bookmarkStart w:id="604" w:name="_Toc26726"/>
      <w:bookmarkStart w:id="605" w:name="_Toc13513"/>
      <w:bookmarkStart w:id="606" w:name="_Toc1669"/>
      <w:bookmarkStart w:id="607" w:name="_Toc24950"/>
      <w:bookmarkStart w:id="608" w:name="_Toc18003"/>
      <w:r>
        <w:rPr>
          <w:rFonts w:hint="eastAsia" w:ascii="宋体" w:hAnsi="宋体" w:cs="宋体"/>
          <w:sz w:val="28"/>
          <w:szCs w:val="28"/>
        </w:rPr>
        <w:t>3.5 分包</w:t>
      </w:r>
      <w:bookmarkEnd w:id="603"/>
      <w:bookmarkEnd w:id="604"/>
      <w:bookmarkEnd w:id="605"/>
      <w:bookmarkEnd w:id="606"/>
      <w:bookmarkEnd w:id="607"/>
      <w:bookmarkEnd w:id="608"/>
    </w:p>
    <w:p>
      <w:pPr>
        <w:spacing w:line="360" w:lineRule="exact"/>
        <w:ind w:firstLine="420"/>
        <w:rPr>
          <w:rFonts w:hint="eastAsia" w:ascii="宋体" w:hAnsi="宋体" w:cs="宋体"/>
        </w:rPr>
      </w:pPr>
      <w:r>
        <w:rPr>
          <w:rFonts w:hint="eastAsia" w:ascii="宋体" w:hAnsi="宋体" w:cs="宋体"/>
        </w:rPr>
        <w:t>3.5.1 分包的一般约定</w:t>
      </w:r>
    </w:p>
    <w:p>
      <w:pPr>
        <w:spacing w:line="360" w:lineRule="exact"/>
        <w:ind w:firstLine="420"/>
        <w:rPr>
          <w:rFonts w:hint="eastAsia" w:ascii="宋体" w:hAnsi="宋体" w:cs="宋体"/>
        </w:rPr>
      </w:pPr>
      <w:r>
        <w:rPr>
          <w:rFonts w:hint="eastAsia" w:ascii="宋体" w:hAnsi="宋体" w:cs="宋体"/>
        </w:rPr>
        <w:t>禁止分包的工程包括：</w:t>
      </w:r>
      <w:r>
        <w:rPr>
          <w:rFonts w:hint="eastAsia" w:ascii="宋体" w:hAnsi="宋体" w:cs="宋体"/>
          <w:u w:val="single"/>
        </w:rPr>
        <w:t xml:space="preserve">按通用条款执行。 </w:t>
      </w:r>
    </w:p>
    <w:p>
      <w:pPr>
        <w:spacing w:line="360" w:lineRule="exact"/>
        <w:ind w:firstLine="420"/>
        <w:rPr>
          <w:rFonts w:hint="eastAsia" w:ascii="宋体" w:hAnsi="宋体" w:cs="宋体"/>
          <w:u w:val="single"/>
        </w:rPr>
      </w:pPr>
      <w:r>
        <w:rPr>
          <w:rFonts w:hint="eastAsia" w:ascii="宋体" w:hAnsi="宋体" w:cs="宋体"/>
        </w:rPr>
        <w:t>主体结构、关键性工作的范围：</w:t>
      </w:r>
      <w:r>
        <w:rPr>
          <w:rFonts w:hint="default" w:ascii="宋体" w:hAnsi="宋体" w:eastAsia="宋体" w:cs="宋体"/>
          <w:u w:val="single"/>
        </w:rPr>
        <w:t>按通用条款执行</w:t>
      </w:r>
      <w:r>
        <w:rPr>
          <w:rFonts w:hint="eastAsia" w:ascii="宋体" w:hAnsi="宋体" w:eastAsia="宋体" w:cs="宋体"/>
          <w:u w:val="single"/>
          <w:lang w:eastAsia="zh-CN"/>
        </w:rPr>
        <w:t>。</w:t>
      </w:r>
      <w:r>
        <w:rPr>
          <w:rFonts w:hint="eastAsia" w:ascii="宋体" w:hAnsi="宋体" w:eastAsia="宋体" w:cs="宋体"/>
          <w:u w:val="single"/>
        </w:rPr>
        <w:t xml:space="preserve"> </w:t>
      </w:r>
    </w:p>
    <w:p>
      <w:pPr>
        <w:spacing w:line="360" w:lineRule="exact"/>
        <w:ind w:firstLine="420"/>
        <w:rPr>
          <w:rFonts w:hint="eastAsia" w:ascii="宋体" w:hAnsi="宋体" w:cs="宋体"/>
        </w:rPr>
      </w:pPr>
      <w:r>
        <w:rPr>
          <w:rFonts w:hint="eastAsia" w:ascii="宋体" w:hAnsi="宋体" w:cs="宋体"/>
        </w:rPr>
        <w:t>3.5.2分包的确定</w:t>
      </w:r>
    </w:p>
    <w:p>
      <w:pPr>
        <w:spacing w:line="360" w:lineRule="exact"/>
        <w:ind w:firstLine="420"/>
        <w:rPr>
          <w:rFonts w:hint="eastAsia" w:ascii="宋体" w:hAnsi="宋体" w:eastAsia="宋体" w:cs="宋体"/>
          <w:u w:val="single"/>
          <w:lang w:eastAsia="zh-CN"/>
        </w:rPr>
      </w:pPr>
      <w:r>
        <w:rPr>
          <w:rFonts w:hint="eastAsia" w:ascii="宋体" w:hAnsi="宋体" w:cs="宋体"/>
        </w:rPr>
        <w:t>允许分包的专业工程包括：</w:t>
      </w:r>
      <w:r>
        <w:rPr>
          <w:rFonts w:hint="eastAsia" w:ascii="宋体" w:hAnsi="宋体" w:cs="宋体"/>
          <w:u w:val="single"/>
        </w:rPr>
        <w:t xml:space="preserve"> </w:t>
      </w:r>
      <w:r>
        <w:rPr>
          <w:rFonts w:hint="eastAsia" w:ascii="宋体" w:hAnsi="宋体" w:cs="宋体"/>
          <w:u w:val="single"/>
          <w:lang w:val="en-US" w:eastAsia="zh-CN"/>
        </w:rPr>
        <w:t>/</w:t>
      </w:r>
    </w:p>
    <w:p>
      <w:pPr>
        <w:spacing w:line="360" w:lineRule="exact"/>
        <w:ind w:firstLine="420"/>
        <w:rPr>
          <w:rFonts w:hint="eastAsia" w:ascii="宋体" w:hAnsi="宋体" w:cs="宋体"/>
          <w:u w:val="single"/>
        </w:rPr>
      </w:pPr>
      <w:r>
        <w:rPr>
          <w:rFonts w:hint="eastAsia" w:ascii="宋体" w:hAnsi="宋体" w:cs="宋体"/>
        </w:rPr>
        <w:t>其他关于分包的约定：</w:t>
      </w:r>
      <w:r>
        <w:rPr>
          <w:rFonts w:hint="eastAsia" w:ascii="宋体" w:hAnsi="宋体" w:cs="宋体"/>
          <w:u w:val="single"/>
          <w:lang w:val="en-US" w:eastAsia="zh-CN"/>
        </w:rPr>
        <w:t>/</w:t>
      </w:r>
      <w:r>
        <w:rPr>
          <w:rFonts w:hint="eastAsia" w:ascii="宋体" w:hAnsi="宋体" w:cs="宋体"/>
          <w:u w:val="single"/>
        </w:rPr>
        <w:t>。</w:t>
      </w:r>
    </w:p>
    <w:p>
      <w:pPr>
        <w:spacing w:line="360" w:lineRule="exact"/>
        <w:ind w:firstLine="420"/>
        <w:rPr>
          <w:rFonts w:hint="eastAsia" w:ascii="宋体" w:hAnsi="宋体" w:cs="宋体"/>
        </w:rPr>
      </w:pPr>
      <w:r>
        <w:rPr>
          <w:rFonts w:hint="eastAsia" w:ascii="宋体" w:hAnsi="宋体" w:cs="宋体"/>
        </w:rPr>
        <w:t>3.5.4 分包合同价款</w:t>
      </w:r>
    </w:p>
    <w:p>
      <w:pPr>
        <w:spacing w:line="360" w:lineRule="exact"/>
        <w:ind w:firstLine="420"/>
        <w:rPr>
          <w:rFonts w:hint="eastAsia" w:ascii="宋体" w:hAnsi="宋体" w:cs="宋体"/>
        </w:rPr>
      </w:pPr>
      <w:r>
        <w:rPr>
          <w:rFonts w:hint="eastAsia" w:ascii="宋体" w:hAnsi="宋体" w:cs="宋体"/>
        </w:rPr>
        <w:t>关于分包合同价款支付的约定：</w:t>
      </w:r>
      <w:r>
        <w:rPr>
          <w:rFonts w:hint="eastAsia" w:ascii="宋体" w:hAnsi="宋体" w:cs="宋体"/>
          <w:u w:val="single"/>
        </w:rPr>
        <w:t xml:space="preserve">       </w:t>
      </w:r>
    </w:p>
    <w:p>
      <w:pPr>
        <w:pStyle w:val="7"/>
        <w:widowControl w:val="0"/>
        <w:numPr>
          <w:ilvl w:val="2"/>
          <w:numId w:val="0"/>
        </w:numPr>
        <w:spacing w:line="360" w:lineRule="exact"/>
        <w:jc w:val="both"/>
        <w:rPr>
          <w:rFonts w:hint="eastAsia" w:ascii="宋体" w:hAnsi="宋体" w:cs="宋体"/>
          <w:sz w:val="28"/>
          <w:szCs w:val="28"/>
        </w:rPr>
      </w:pPr>
      <w:bookmarkStart w:id="609" w:name="_Toc23197"/>
      <w:bookmarkStart w:id="610" w:name="_Toc29753"/>
      <w:bookmarkStart w:id="611" w:name="_Toc28082"/>
      <w:bookmarkStart w:id="612" w:name="_Toc13851"/>
      <w:bookmarkStart w:id="613" w:name="_Toc15776"/>
      <w:bookmarkStart w:id="614" w:name="_Toc459"/>
      <w:r>
        <w:rPr>
          <w:rFonts w:hint="eastAsia" w:ascii="宋体" w:hAnsi="宋体" w:cs="宋体"/>
          <w:sz w:val="28"/>
          <w:szCs w:val="28"/>
        </w:rPr>
        <w:t>3.6 工程照管与成品、半成品保护</w:t>
      </w:r>
      <w:bookmarkEnd w:id="609"/>
      <w:bookmarkEnd w:id="610"/>
      <w:bookmarkEnd w:id="611"/>
      <w:bookmarkEnd w:id="612"/>
      <w:bookmarkEnd w:id="613"/>
      <w:bookmarkEnd w:id="614"/>
    </w:p>
    <w:p>
      <w:pPr>
        <w:spacing w:line="360" w:lineRule="exact"/>
        <w:ind w:firstLine="420"/>
        <w:rPr>
          <w:rFonts w:hint="eastAsia" w:ascii="宋体" w:hAnsi="宋体" w:cs="宋体"/>
          <w:u w:val="single"/>
        </w:rPr>
      </w:pPr>
      <w:r>
        <w:rPr>
          <w:rFonts w:hint="eastAsia" w:ascii="宋体" w:hAnsi="宋体" w:cs="宋体"/>
        </w:rPr>
        <w:t>承包人负责照管工程及工程相关的材料、工程设备的起始时间：</w:t>
      </w:r>
      <w:r>
        <w:rPr>
          <w:rFonts w:hint="default" w:ascii="宋体" w:hAnsi="宋体" w:eastAsia="宋体" w:cs="宋体"/>
          <w:u w:val="single"/>
        </w:rPr>
        <w:t>按通用条款执行</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615" w:name="_Toc22236"/>
      <w:bookmarkStart w:id="616" w:name="_Toc6825"/>
      <w:bookmarkStart w:id="617" w:name="_Toc13662"/>
      <w:bookmarkStart w:id="618" w:name="_Toc17733"/>
      <w:bookmarkStart w:id="619" w:name="_Toc4235"/>
      <w:bookmarkStart w:id="620" w:name="_Toc7932"/>
      <w:r>
        <w:rPr>
          <w:rFonts w:hint="eastAsia" w:ascii="宋体" w:hAnsi="宋体" w:cs="宋体"/>
          <w:sz w:val="28"/>
          <w:szCs w:val="28"/>
        </w:rPr>
        <w:t>3.7 履约担保</w:t>
      </w:r>
      <w:bookmarkEnd w:id="615"/>
      <w:bookmarkEnd w:id="616"/>
      <w:bookmarkEnd w:id="617"/>
      <w:bookmarkEnd w:id="618"/>
      <w:bookmarkEnd w:id="619"/>
      <w:bookmarkEnd w:id="620"/>
    </w:p>
    <w:p>
      <w:pPr>
        <w:spacing w:line="360" w:lineRule="exact"/>
        <w:ind w:firstLine="420"/>
        <w:rPr>
          <w:rFonts w:hint="eastAsia" w:ascii="宋体" w:hAnsi="宋体" w:cs="宋体"/>
          <w:color w:val="auto"/>
        </w:rPr>
      </w:pPr>
      <w:r>
        <w:rPr>
          <w:rFonts w:hint="eastAsia" w:ascii="宋体" w:hAnsi="宋体" w:cs="宋体"/>
        </w:rPr>
        <w:t>承包人是否提供</w:t>
      </w:r>
      <w:r>
        <w:rPr>
          <w:rFonts w:hint="eastAsia" w:ascii="宋体" w:hAnsi="宋体" w:cs="宋体"/>
          <w:color w:val="auto"/>
        </w:rPr>
        <w:t>履约担保：</w:t>
      </w:r>
      <w:r>
        <w:rPr>
          <w:rFonts w:hint="eastAsia" w:ascii="宋体" w:hAnsi="宋体" w:cs="宋体"/>
          <w:color w:val="auto"/>
          <w:u w:val="single"/>
        </w:rPr>
        <w:t xml:space="preserve">提供  </w:t>
      </w:r>
    </w:p>
    <w:p>
      <w:pPr>
        <w:spacing w:line="360" w:lineRule="exact"/>
        <w:ind w:firstLine="420"/>
        <w:rPr>
          <w:rFonts w:ascii="宋体" w:hAnsi="宋体" w:cs="宋体"/>
          <w:color w:val="auto"/>
          <w:u w:val="single"/>
        </w:rPr>
      </w:pPr>
      <w:r>
        <w:rPr>
          <w:rFonts w:hint="eastAsia" w:ascii="宋体" w:hAnsi="宋体" w:cs="宋体"/>
          <w:color w:val="auto"/>
        </w:rPr>
        <w:t>承包人提供履约担保的形式、金额及期限的：</w:t>
      </w:r>
      <w:r>
        <w:rPr>
          <w:rFonts w:hint="eastAsia" w:ascii="宋体" w:hAnsi="宋体" w:cs="宋体"/>
          <w:color w:val="auto"/>
          <w:u w:val="single"/>
        </w:rPr>
        <w:t>承包人应以签约合同总价款的1%作为履约担保（含质量保证金、建造师到位保证金、项目机构五大员到位保证金、工期保证金、安全保证金、防止拖欠民工工资保证金等），以银行转账、转帐支票、银行汇票或工程保函等非现金形式交纳至发包人指定帐户；</w:t>
      </w:r>
    </w:p>
    <w:p>
      <w:pPr>
        <w:widowControl w:val="0"/>
        <w:spacing w:before="72" w:after="72" w:line="360" w:lineRule="exact"/>
        <w:rPr>
          <w:rFonts w:hint="eastAsia" w:hAnsi="宋体" w:cs="黑体"/>
          <w:spacing w:val="4"/>
        </w:rPr>
      </w:pPr>
      <w:r>
        <w:rPr>
          <w:rFonts w:hint="eastAsia" w:cs="黑体"/>
          <w:bCs/>
          <w:lang w:val="en-US" w:eastAsia="zh-CN"/>
        </w:rPr>
        <w:t>说明</w:t>
      </w:r>
      <w:r>
        <w:rPr>
          <w:rFonts w:hint="eastAsia" w:hAnsi="宋体" w:cs="黑体"/>
          <w:spacing w:val="4"/>
        </w:rPr>
        <w:t>：</w:t>
      </w:r>
    </w:p>
    <w:p>
      <w:pPr>
        <w:spacing w:line="360" w:lineRule="auto"/>
        <w:ind w:firstLine="422" w:firstLineChars="200"/>
        <w:jc w:val="both"/>
        <w:rPr>
          <w:rFonts w:hint="default" w:ascii="Arial" w:hAnsi="Arial" w:cs="Arial"/>
          <w:b/>
          <w:sz w:val="21"/>
          <w:szCs w:val="21"/>
        </w:rPr>
      </w:pPr>
      <w:bookmarkStart w:id="621" w:name="_Toc498421084"/>
      <w:bookmarkStart w:id="622" w:name="_Toc29853"/>
      <w:bookmarkStart w:id="623" w:name="_Toc24742"/>
      <w:bookmarkStart w:id="624" w:name="_Toc4825"/>
      <w:bookmarkStart w:id="625" w:name="_Toc1649"/>
      <w:bookmarkStart w:id="626" w:name="_Toc9147"/>
      <w:bookmarkStart w:id="627" w:name="_Toc22893"/>
      <w:bookmarkStart w:id="628" w:name="_Toc421260791"/>
      <w:r>
        <w:rPr>
          <w:rFonts w:hint="default" w:ascii="Arial" w:hAnsi="Arial" w:cs="Arial"/>
          <w:b/>
          <w:sz w:val="21"/>
          <w:szCs w:val="21"/>
        </w:rPr>
        <w:t>（1）以银行转账、转帐支票、银行汇票等形式提交的：</w:t>
      </w:r>
    </w:p>
    <w:p>
      <w:pPr>
        <w:spacing w:line="336" w:lineRule="auto"/>
        <w:ind w:firstLine="420" w:firstLineChars="200"/>
        <w:rPr>
          <w:rFonts w:hint="default" w:ascii="Arial" w:hAnsi="Arial" w:cs="Arial"/>
          <w:sz w:val="21"/>
          <w:szCs w:val="21"/>
        </w:rPr>
      </w:pPr>
      <w:r>
        <w:rPr>
          <w:rFonts w:hint="default" w:ascii="Arial" w:hAnsi="Arial" w:cs="Arial"/>
          <w:sz w:val="21"/>
          <w:szCs w:val="21"/>
        </w:rPr>
        <w:t>1）从承包人基本账户转出；</w:t>
      </w:r>
    </w:p>
    <w:p>
      <w:pPr>
        <w:spacing w:line="336" w:lineRule="auto"/>
        <w:ind w:firstLine="420" w:firstLineChars="200"/>
        <w:rPr>
          <w:rFonts w:hint="default" w:ascii="Arial" w:hAnsi="Arial" w:cs="Arial"/>
          <w:b/>
          <w:sz w:val="21"/>
          <w:szCs w:val="21"/>
        </w:rPr>
      </w:pPr>
      <w:r>
        <w:rPr>
          <w:rFonts w:hint="default" w:ascii="Arial" w:hAnsi="Arial" w:cs="Arial"/>
          <w:sz w:val="21"/>
          <w:szCs w:val="21"/>
        </w:rPr>
        <w:t>2）履约担保退还时间：</w:t>
      </w:r>
      <w:r>
        <w:rPr>
          <w:rFonts w:hint="default" w:ascii="Arial" w:hAnsi="Arial" w:cs="Arial"/>
          <w:b/>
          <w:color w:val="0070C0"/>
          <w:sz w:val="21"/>
          <w:szCs w:val="21"/>
          <w:u w:val="single"/>
        </w:rPr>
        <w:t>待工程竣工验收合格后，予以全部退还（无息）。</w:t>
      </w:r>
    </w:p>
    <w:p>
      <w:pPr>
        <w:spacing w:line="360" w:lineRule="auto"/>
        <w:ind w:firstLine="422" w:firstLineChars="200"/>
        <w:jc w:val="both"/>
        <w:rPr>
          <w:rFonts w:hint="default" w:ascii="Arial" w:hAnsi="Arial" w:cs="Arial"/>
          <w:b/>
          <w:sz w:val="21"/>
          <w:szCs w:val="21"/>
        </w:rPr>
      </w:pPr>
      <w:r>
        <w:rPr>
          <w:rFonts w:hint="default" w:ascii="Arial" w:hAnsi="Arial" w:cs="Arial"/>
          <w:b/>
          <w:sz w:val="21"/>
          <w:szCs w:val="21"/>
        </w:rPr>
        <w:t>（2）若采用工程保函形式的，应满足以下几个条件：</w:t>
      </w:r>
    </w:p>
    <w:p>
      <w:pPr>
        <w:spacing w:line="360" w:lineRule="auto"/>
        <w:ind w:firstLine="420" w:firstLineChars="200"/>
        <w:rPr>
          <w:rFonts w:hint="default" w:ascii="Arial" w:hAnsi="Arial" w:cs="Arial"/>
          <w:sz w:val="21"/>
          <w:szCs w:val="21"/>
        </w:rPr>
      </w:pPr>
      <w:r>
        <w:rPr>
          <w:rFonts w:hint="default" w:ascii="Arial" w:hAnsi="Arial" w:cs="Arial"/>
          <w:sz w:val="21"/>
          <w:szCs w:val="21"/>
        </w:rPr>
        <w:t>1）工程保函包括银行保函、保险机构保证保险保单和融资担保公司保函。需具有查验真伪功能的渠道，如不具备此项功能，发包人有权拒收。</w:t>
      </w:r>
    </w:p>
    <w:p>
      <w:pPr>
        <w:spacing w:line="360" w:lineRule="auto"/>
        <w:ind w:firstLine="420" w:firstLineChars="200"/>
        <w:rPr>
          <w:rFonts w:hint="default" w:ascii="Arial" w:hAnsi="Arial" w:cs="Arial"/>
          <w:sz w:val="21"/>
          <w:szCs w:val="21"/>
        </w:rPr>
      </w:pPr>
      <w:r>
        <w:rPr>
          <w:rFonts w:hint="default" w:ascii="Arial" w:hAnsi="Arial" w:cs="Arial"/>
          <w:sz w:val="21"/>
          <w:szCs w:val="21"/>
        </w:rPr>
        <w:t>2）为见索即付保函：即在承包人没有实施合同或者未履行合同义务时，发包人不需要出具任何证明和理由，只要看到承包人违约，就可对保函进行收兑。</w:t>
      </w:r>
    </w:p>
    <w:p>
      <w:pPr>
        <w:spacing w:line="360" w:lineRule="auto"/>
        <w:ind w:firstLine="420" w:firstLineChars="200"/>
        <w:rPr>
          <w:rFonts w:hint="default" w:ascii="Arial" w:hAnsi="Arial" w:cs="Arial"/>
          <w:sz w:val="21"/>
          <w:szCs w:val="21"/>
        </w:rPr>
      </w:pPr>
      <w:r>
        <w:rPr>
          <w:rFonts w:hint="default" w:ascii="Arial" w:hAnsi="Arial" w:cs="Arial"/>
          <w:sz w:val="21"/>
          <w:szCs w:val="21"/>
        </w:rPr>
        <w:t>3）保函期限：保函的期限自合同生效之日起至取得工程竣工验收备案表之日止。</w:t>
      </w:r>
    </w:p>
    <w:p>
      <w:pPr>
        <w:spacing w:line="360" w:lineRule="auto"/>
        <w:ind w:firstLine="420" w:firstLineChars="200"/>
        <w:rPr>
          <w:rFonts w:hint="default" w:ascii="Arial" w:hAnsi="Arial" w:cs="Arial"/>
          <w:sz w:val="21"/>
          <w:szCs w:val="21"/>
        </w:rPr>
      </w:pPr>
      <w:r>
        <w:rPr>
          <w:rFonts w:hint="default" w:ascii="Arial" w:hAnsi="Arial" w:cs="Arial"/>
          <w:sz w:val="21"/>
          <w:szCs w:val="21"/>
        </w:rPr>
        <w:t>4）如果由于工期延误或工程保函出具机构要求分期出具保函的，则在前一份保函有效期满之日</w:t>
      </w:r>
      <w:r>
        <w:rPr>
          <w:rFonts w:hint="default" w:ascii="Arial" w:hAnsi="Arial" w:cs="Arial"/>
          <w:sz w:val="21"/>
          <w:szCs w:val="21"/>
          <w:lang w:val="en-US" w:eastAsia="zh-CN"/>
        </w:rPr>
        <w:t>1</w:t>
      </w:r>
      <w:r>
        <w:rPr>
          <w:rFonts w:hint="default" w:ascii="Arial" w:hAnsi="Arial" w:cs="Arial"/>
          <w:sz w:val="21"/>
          <w:szCs w:val="21"/>
        </w:rPr>
        <w:t>个月前必须重新出具相同内容的保函。</w:t>
      </w:r>
    </w:p>
    <w:p>
      <w:pPr>
        <w:pStyle w:val="7"/>
        <w:widowControl w:val="0"/>
        <w:numPr>
          <w:ilvl w:val="2"/>
          <w:numId w:val="0"/>
        </w:numPr>
        <w:spacing w:line="360" w:lineRule="exact"/>
        <w:jc w:val="both"/>
        <w:rPr>
          <w:rFonts w:hint="default" w:ascii="Arial" w:hAnsi="Arial" w:cs="Arial"/>
          <w:sz w:val="21"/>
          <w:szCs w:val="21"/>
        </w:rPr>
      </w:pPr>
      <w:r>
        <w:rPr>
          <w:rFonts w:hint="default" w:ascii="Arial" w:hAnsi="Arial" w:cs="Arial"/>
          <w:sz w:val="21"/>
          <w:szCs w:val="21"/>
        </w:rPr>
        <w:t>5）保函开具方需开通官方网站进行在线查询功能。发包人通过开具方的官方网站进行在线查询后，可以确认真实性的，对原件进行收讫。否则，发包人有权不予收讫。</w:t>
      </w:r>
    </w:p>
    <w:p>
      <w:pPr>
        <w:pStyle w:val="7"/>
        <w:widowControl w:val="0"/>
        <w:numPr>
          <w:ilvl w:val="2"/>
          <w:numId w:val="0"/>
        </w:numPr>
        <w:spacing w:line="360" w:lineRule="exact"/>
        <w:jc w:val="both"/>
        <w:rPr>
          <w:rFonts w:hint="eastAsia" w:ascii="宋体" w:hAnsi="宋体" w:cs="宋体"/>
          <w:sz w:val="28"/>
          <w:szCs w:val="28"/>
        </w:rPr>
      </w:pPr>
      <w:r>
        <w:rPr>
          <w:rFonts w:hint="eastAsia" w:ascii="宋体" w:hAnsi="宋体" w:cs="宋体"/>
          <w:sz w:val="28"/>
          <w:szCs w:val="28"/>
        </w:rPr>
        <w:t>4. 监理人</w:t>
      </w:r>
      <w:bookmarkEnd w:id="621"/>
      <w:bookmarkEnd w:id="622"/>
      <w:bookmarkEnd w:id="623"/>
      <w:bookmarkEnd w:id="624"/>
      <w:bookmarkEnd w:id="625"/>
      <w:bookmarkEnd w:id="626"/>
      <w:bookmarkEnd w:id="627"/>
      <w:bookmarkEnd w:id="628"/>
    </w:p>
    <w:p>
      <w:pPr>
        <w:pStyle w:val="7"/>
        <w:widowControl w:val="0"/>
        <w:numPr>
          <w:ilvl w:val="2"/>
          <w:numId w:val="0"/>
        </w:numPr>
        <w:spacing w:line="360" w:lineRule="exact"/>
        <w:jc w:val="both"/>
        <w:rPr>
          <w:rFonts w:hint="eastAsia" w:ascii="宋体" w:hAnsi="宋体" w:cs="宋体"/>
          <w:sz w:val="28"/>
          <w:szCs w:val="28"/>
        </w:rPr>
      </w:pPr>
      <w:bookmarkStart w:id="629" w:name="_Toc19938"/>
      <w:bookmarkStart w:id="630" w:name="_Toc21622"/>
      <w:bookmarkStart w:id="631" w:name="_Toc23887"/>
      <w:bookmarkStart w:id="632" w:name="_Toc26306"/>
      <w:bookmarkStart w:id="633" w:name="_Toc26175"/>
      <w:bookmarkStart w:id="634" w:name="_Toc23712"/>
      <w:r>
        <w:rPr>
          <w:rFonts w:hint="eastAsia" w:ascii="宋体" w:hAnsi="宋体" w:cs="宋体"/>
          <w:sz w:val="28"/>
          <w:szCs w:val="28"/>
        </w:rPr>
        <w:t>4.1监理人的一般规定</w:t>
      </w:r>
      <w:bookmarkEnd w:id="629"/>
      <w:bookmarkEnd w:id="630"/>
      <w:bookmarkEnd w:id="631"/>
      <w:bookmarkEnd w:id="632"/>
      <w:bookmarkEnd w:id="633"/>
      <w:bookmarkEnd w:id="634"/>
    </w:p>
    <w:p>
      <w:pPr>
        <w:spacing w:line="360" w:lineRule="exact"/>
        <w:ind w:firstLine="420"/>
        <w:rPr>
          <w:rFonts w:hint="eastAsia" w:ascii="宋体" w:hAnsi="宋体" w:cs="宋体"/>
        </w:rPr>
      </w:pPr>
      <w:r>
        <w:rPr>
          <w:rFonts w:hint="eastAsia" w:ascii="宋体" w:hAnsi="宋体" w:cs="宋体"/>
        </w:rPr>
        <w:t>关于监理人的监理内容：</w:t>
      </w:r>
      <w:r>
        <w:rPr>
          <w:rFonts w:hint="eastAsia" w:ascii="宋体" w:hAnsi="宋体" w:cs="宋体"/>
          <w:u w:val="single"/>
        </w:rPr>
        <w:t>按监理合同执行</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关于监理人的监理权限：</w:t>
      </w:r>
      <w:r>
        <w:rPr>
          <w:rFonts w:hint="eastAsia" w:ascii="宋体" w:hAnsi="宋体" w:cs="宋体"/>
          <w:u w:val="single"/>
        </w:rPr>
        <w:t>按监理合同执行</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关于监理人在施工现场的办公场所、生活场所的提供和费用承担的约定：</w:t>
      </w:r>
      <w:r>
        <w:rPr>
          <w:rFonts w:hint="eastAsia" w:ascii="宋体" w:hAnsi="宋体" w:cs="宋体"/>
          <w:u w:val="single"/>
        </w:rPr>
        <w:t>按专用条款第3.1条执行</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635" w:name="_Toc15399"/>
      <w:bookmarkStart w:id="636" w:name="_Toc23326"/>
      <w:bookmarkStart w:id="637" w:name="_Toc28338"/>
      <w:bookmarkStart w:id="638" w:name="_Toc12573"/>
      <w:bookmarkStart w:id="639" w:name="_Toc26348"/>
      <w:bookmarkStart w:id="640" w:name="_Toc19592"/>
      <w:r>
        <w:rPr>
          <w:rFonts w:hint="eastAsia" w:ascii="宋体" w:hAnsi="宋体" w:cs="宋体"/>
          <w:sz w:val="28"/>
          <w:szCs w:val="28"/>
        </w:rPr>
        <w:t>4.2 监理人员</w:t>
      </w:r>
      <w:bookmarkEnd w:id="635"/>
      <w:bookmarkEnd w:id="636"/>
      <w:bookmarkEnd w:id="637"/>
      <w:bookmarkEnd w:id="638"/>
      <w:bookmarkEnd w:id="639"/>
      <w:bookmarkEnd w:id="640"/>
    </w:p>
    <w:p>
      <w:pPr>
        <w:spacing w:line="360" w:lineRule="exact"/>
        <w:ind w:firstLine="420"/>
        <w:rPr>
          <w:rFonts w:hint="eastAsia" w:ascii="宋体" w:hAnsi="宋体" w:cs="宋体"/>
        </w:rPr>
      </w:pPr>
      <w:r>
        <w:rPr>
          <w:rFonts w:hint="eastAsia" w:ascii="宋体" w:hAnsi="宋体" w:cs="宋体"/>
        </w:rPr>
        <w:t>总监理工程师：</w:t>
      </w:r>
    </w:p>
    <w:p>
      <w:pPr>
        <w:spacing w:line="360" w:lineRule="exact"/>
        <w:ind w:firstLine="420"/>
        <w:rPr>
          <w:rFonts w:hint="eastAsia" w:ascii="宋体" w:hAnsi="宋体" w:cs="宋体"/>
        </w:rPr>
      </w:pPr>
      <w:r>
        <w:rPr>
          <w:rFonts w:hint="eastAsia" w:ascii="宋体" w:hAnsi="宋体" w:cs="宋体"/>
        </w:rPr>
        <w:t>姓    名：</w:t>
      </w:r>
      <w:r>
        <w:rPr>
          <w:rFonts w:hint="eastAsia" w:ascii="宋体" w:hAnsi="宋体" w:cs="宋体"/>
          <w:u w:val="single"/>
        </w:rPr>
        <w:t xml:space="preserve">  </w:t>
      </w:r>
    </w:p>
    <w:p>
      <w:pPr>
        <w:spacing w:line="360" w:lineRule="exact"/>
        <w:ind w:firstLine="420"/>
        <w:rPr>
          <w:rFonts w:hint="eastAsia" w:ascii="宋体" w:hAnsi="宋体" w:cs="宋体"/>
        </w:rPr>
      </w:pPr>
      <w:r>
        <w:rPr>
          <w:rFonts w:hint="eastAsia" w:ascii="宋体" w:hAnsi="宋体" w:cs="宋体"/>
        </w:rPr>
        <w:t>职    务：</w:t>
      </w:r>
      <w:r>
        <w:rPr>
          <w:rFonts w:hint="eastAsia" w:ascii="宋体" w:hAnsi="宋体" w:cs="宋体"/>
          <w:u w:val="single"/>
        </w:rPr>
        <w:t></w:t>
      </w:r>
    </w:p>
    <w:p>
      <w:pPr>
        <w:spacing w:line="360" w:lineRule="exact"/>
        <w:ind w:firstLine="420"/>
        <w:rPr>
          <w:rFonts w:hint="eastAsia" w:ascii="宋体" w:hAnsi="宋体" w:cs="宋体"/>
        </w:rPr>
      </w:pPr>
      <w:r>
        <w:rPr>
          <w:rFonts w:hint="eastAsia" w:ascii="宋体" w:hAnsi="宋体" w:cs="宋体"/>
        </w:rPr>
        <w:t>监理工程师执业资格证书号：</w:t>
      </w:r>
      <w:r>
        <w:rPr>
          <w:rFonts w:hint="eastAsia" w:ascii="宋体" w:hAnsi="宋体" w:cs="宋体"/>
          <w:u w:val="single"/>
        </w:rPr>
        <w:t xml:space="preserve">            </w:t>
      </w:r>
    </w:p>
    <w:p>
      <w:pPr>
        <w:spacing w:line="360" w:lineRule="exact"/>
        <w:ind w:firstLine="420"/>
        <w:rPr>
          <w:rFonts w:hint="eastAsia" w:ascii="宋体" w:hAnsi="宋体" w:cs="宋体"/>
        </w:rPr>
      </w:pPr>
      <w:r>
        <w:rPr>
          <w:rFonts w:hint="eastAsia" w:ascii="宋体" w:hAnsi="宋体" w:cs="宋体"/>
        </w:rPr>
        <w:t>联系电话：</w:t>
      </w:r>
      <w:r>
        <w:rPr>
          <w:rFonts w:hint="eastAsia" w:ascii="宋体" w:hAnsi="宋体" w:cs="宋体"/>
          <w:u w:val="single"/>
        </w:rPr>
        <w:t xml:space="preserve">            </w:t>
      </w:r>
    </w:p>
    <w:p>
      <w:pPr>
        <w:spacing w:line="360" w:lineRule="exact"/>
        <w:ind w:firstLine="420"/>
        <w:rPr>
          <w:rFonts w:hint="eastAsia" w:ascii="宋体" w:hAnsi="宋体" w:cs="宋体"/>
        </w:rPr>
      </w:pPr>
      <w:r>
        <w:rPr>
          <w:rFonts w:hint="eastAsia" w:ascii="宋体" w:hAnsi="宋体" w:cs="宋体"/>
        </w:rPr>
        <w:t>电子信箱：</w:t>
      </w:r>
      <w:r>
        <w:rPr>
          <w:rFonts w:hint="eastAsia" w:ascii="宋体" w:hAnsi="宋体" w:cs="宋体"/>
          <w:u w:val="single"/>
        </w:rPr>
        <w:t xml:space="preserve">            </w:t>
      </w:r>
    </w:p>
    <w:p>
      <w:pPr>
        <w:spacing w:line="360" w:lineRule="exact"/>
        <w:ind w:firstLine="420"/>
        <w:rPr>
          <w:rFonts w:hint="eastAsia" w:ascii="宋体" w:hAnsi="宋体" w:cs="宋体"/>
        </w:rPr>
      </w:pPr>
      <w:r>
        <w:rPr>
          <w:rFonts w:hint="eastAsia" w:ascii="宋体" w:hAnsi="宋体" w:cs="宋体"/>
        </w:rPr>
        <w:t>通信地址：</w:t>
      </w:r>
      <w:r>
        <w:rPr>
          <w:rFonts w:hint="eastAsia" w:ascii="宋体" w:hAnsi="宋体" w:cs="宋体"/>
          <w:u w:val="single"/>
        </w:rPr>
        <w:t xml:space="preserve">                </w:t>
      </w:r>
    </w:p>
    <w:p>
      <w:pPr>
        <w:spacing w:line="360" w:lineRule="exact"/>
        <w:ind w:firstLine="420"/>
        <w:rPr>
          <w:rFonts w:hint="eastAsia" w:ascii="宋体" w:hAnsi="宋体" w:cs="宋体"/>
        </w:rPr>
      </w:pPr>
      <w:r>
        <w:rPr>
          <w:rFonts w:hint="eastAsia" w:ascii="宋体" w:hAnsi="宋体" w:cs="宋体"/>
        </w:rPr>
        <w:t>关于监理人的其他约定：</w:t>
      </w:r>
      <w:r>
        <w:rPr>
          <w:rFonts w:hint="eastAsia" w:ascii="宋体" w:hAnsi="宋体" w:cs="宋体"/>
          <w:u w:val="single"/>
        </w:rPr>
        <w:t xml:space="preserve">                </w:t>
      </w:r>
    </w:p>
    <w:p>
      <w:pPr>
        <w:pStyle w:val="7"/>
        <w:widowControl w:val="0"/>
        <w:numPr>
          <w:ilvl w:val="2"/>
          <w:numId w:val="0"/>
        </w:numPr>
        <w:spacing w:line="360" w:lineRule="exact"/>
        <w:jc w:val="both"/>
        <w:rPr>
          <w:rFonts w:hint="eastAsia" w:ascii="宋体" w:hAnsi="宋体" w:cs="宋体"/>
          <w:sz w:val="28"/>
          <w:szCs w:val="28"/>
        </w:rPr>
      </w:pPr>
      <w:bookmarkStart w:id="641" w:name="_Toc28654"/>
      <w:bookmarkStart w:id="642" w:name="_Toc9116"/>
      <w:bookmarkStart w:id="643" w:name="_Toc21805"/>
      <w:bookmarkStart w:id="644" w:name="_Toc17678"/>
      <w:bookmarkStart w:id="645" w:name="_Toc18549"/>
      <w:bookmarkStart w:id="646" w:name="_Toc14855"/>
      <w:r>
        <w:rPr>
          <w:rFonts w:hint="eastAsia" w:ascii="宋体" w:hAnsi="宋体" w:cs="宋体"/>
          <w:sz w:val="28"/>
          <w:szCs w:val="28"/>
        </w:rPr>
        <w:t>4.4 商定或确定</w:t>
      </w:r>
      <w:bookmarkEnd w:id="641"/>
      <w:bookmarkEnd w:id="642"/>
      <w:bookmarkEnd w:id="643"/>
      <w:bookmarkEnd w:id="644"/>
      <w:bookmarkEnd w:id="645"/>
      <w:bookmarkEnd w:id="646"/>
    </w:p>
    <w:p>
      <w:pPr>
        <w:spacing w:line="360" w:lineRule="exact"/>
        <w:ind w:firstLine="420"/>
        <w:rPr>
          <w:rFonts w:hint="eastAsia" w:ascii="宋体" w:hAnsi="宋体" w:cs="宋体"/>
        </w:rPr>
      </w:pPr>
      <w:r>
        <w:rPr>
          <w:rFonts w:hint="eastAsia" w:ascii="宋体" w:hAnsi="宋体" w:cs="宋体"/>
        </w:rPr>
        <w:t>在发包人和承包人不能通过协商达成一致意见时，发包人授权监理人对以下事项进行确定：</w:t>
      </w:r>
      <w:r>
        <w:rPr>
          <w:rFonts w:hint="eastAsia" w:ascii="宋体" w:hAnsi="宋体" w:cs="宋体"/>
          <w:u w:val="single"/>
        </w:rPr>
        <w:t xml:space="preserve">  无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647" w:name="_Toc421260792"/>
      <w:bookmarkStart w:id="648" w:name="_Toc22730"/>
      <w:bookmarkStart w:id="649" w:name="_Toc23529"/>
      <w:bookmarkStart w:id="650" w:name="_Toc498421085"/>
      <w:bookmarkStart w:id="651" w:name="_Toc21715"/>
      <w:bookmarkStart w:id="652" w:name="_Toc2027"/>
      <w:bookmarkStart w:id="653" w:name="_Toc29745"/>
      <w:bookmarkStart w:id="654" w:name="_Toc22239"/>
      <w:r>
        <w:rPr>
          <w:rFonts w:hint="eastAsia" w:ascii="宋体" w:hAnsi="宋体" w:cs="宋体"/>
          <w:sz w:val="28"/>
          <w:szCs w:val="28"/>
        </w:rPr>
        <w:t>5. 工程质量</w:t>
      </w:r>
      <w:bookmarkEnd w:id="647"/>
      <w:bookmarkEnd w:id="648"/>
      <w:bookmarkEnd w:id="649"/>
      <w:bookmarkEnd w:id="650"/>
      <w:bookmarkEnd w:id="651"/>
      <w:bookmarkEnd w:id="652"/>
      <w:bookmarkEnd w:id="653"/>
      <w:bookmarkEnd w:id="654"/>
    </w:p>
    <w:p>
      <w:pPr>
        <w:pStyle w:val="7"/>
        <w:widowControl w:val="0"/>
        <w:numPr>
          <w:ilvl w:val="2"/>
          <w:numId w:val="0"/>
        </w:numPr>
        <w:spacing w:line="360" w:lineRule="exact"/>
        <w:jc w:val="both"/>
        <w:rPr>
          <w:rFonts w:hint="eastAsia" w:ascii="宋体" w:hAnsi="宋体" w:cs="宋体"/>
          <w:sz w:val="28"/>
          <w:szCs w:val="28"/>
        </w:rPr>
      </w:pPr>
      <w:bookmarkStart w:id="655" w:name="_Toc19110"/>
      <w:bookmarkStart w:id="656" w:name="_Toc16101"/>
      <w:bookmarkStart w:id="657" w:name="_Toc11233"/>
      <w:bookmarkStart w:id="658" w:name="_Toc15275"/>
      <w:bookmarkStart w:id="659" w:name="_Toc18522"/>
      <w:bookmarkStart w:id="660" w:name="_Toc22645"/>
      <w:r>
        <w:rPr>
          <w:rFonts w:hint="eastAsia" w:ascii="宋体" w:hAnsi="宋体" w:cs="宋体"/>
          <w:sz w:val="28"/>
          <w:szCs w:val="28"/>
        </w:rPr>
        <w:t>5.1 质量要求</w:t>
      </w:r>
      <w:bookmarkEnd w:id="655"/>
      <w:bookmarkEnd w:id="656"/>
      <w:bookmarkEnd w:id="657"/>
      <w:bookmarkEnd w:id="658"/>
      <w:bookmarkEnd w:id="659"/>
      <w:bookmarkEnd w:id="660"/>
    </w:p>
    <w:p>
      <w:pPr>
        <w:spacing w:line="360" w:lineRule="exact"/>
        <w:ind w:firstLine="420"/>
        <w:rPr>
          <w:rFonts w:hint="eastAsia" w:ascii="宋体" w:hAnsi="宋体" w:cs="宋体"/>
          <w:u w:val="single"/>
        </w:rPr>
      </w:pPr>
      <w:r>
        <w:rPr>
          <w:rFonts w:hint="eastAsia" w:ascii="宋体" w:hAnsi="宋体" w:cs="宋体"/>
        </w:rPr>
        <w:t>5.1.1 特殊质量标准和要求：</w:t>
      </w:r>
      <w:r>
        <w:rPr>
          <w:rFonts w:hint="eastAsia"/>
          <w:color w:val="000000"/>
          <w:u w:val="single"/>
          <w:lang w:val="en-US" w:eastAsia="zh-CN"/>
        </w:rPr>
        <w:t>/</w:t>
      </w:r>
      <w:r>
        <w:rPr>
          <w:rFonts w:hint="eastAsia" w:ascii="宋体" w:hAnsi="宋体" w:cs="宋体"/>
          <w:u w:val="single"/>
        </w:rPr>
        <w:t xml:space="preserve"> </w:t>
      </w:r>
      <w:r>
        <w:rPr>
          <w:rFonts w:hint="eastAsia" w:ascii="宋体" w:hAnsi="宋体" w:cs="宋体"/>
        </w:rPr>
        <w:t>。</w:t>
      </w:r>
    </w:p>
    <w:p>
      <w:pPr>
        <w:spacing w:line="360" w:lineRule="exact"/>
        <w:ind w:firstLine="420"/>
        <w:rPr>
          <w:rFonts w:hint="eastAsia" w:ascii="宋体" w:hAnsi="宋体" w:cs="宋体"/>
          <w:u w:val="single"/>
        </w:rPr>
      </w:pPr>
      <w:r>
        <w:rPr>
          <w:rFonts w:hint="eastAsia" w:ascii="宋体" w:hAnsi="宋体" w:cs="宋体"/>
        </w:rPr>
        <w:t>关于工程奖项的约定：</w:t>
      </w:r>
      <w:r>
        <w:rPr>
          <w:rFonts w:hint="eastAsia" w:ascii="宋体" w:hAnsi="宋体" w:cs="宋体"/>
          <w:u w:val="single"/>
        </w:rPr>
        <w:t xml:space="preserve">无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661" w:name="_Toc1362"/>
      <w:bookmarkStart w:id="662" w:name="_Toc1750"/>
      <w:bookmarkStart w:id="663" w:name="_Toc20792"/>
      <w:bookmarkStart w:id="664" w:name="_Toc18821"/>
      <w:bookmarkStart w:id="665" w:name="_Toc20917"/>
      <w:bookmarkStart w:id="666" w:name="_Toc13200"/>
      <w:r>
        <w:rPr>
          <w:rFonts w:hint="eastAsia" w:ascii="宋体" w:hAnsi="宋体" w:cs="宋体"/>
          <w:sz w:val="28"/>
          <w:szCs w:val="28"/>
        </w:rPr>
        <w:t>5.3 隐蔽工程检查</w:t>
      </w:r>
      <w:bookmarkEnd w:id="661"/>
      <w:bookmarkEnd w:id="662"/>
      <w:bookmarkEnd w:id="663"/>
      <w:bookmarkEnd w:id="664"/>
      <w:bookmarkEnd w:id="665"/>
      <w:bookmarkEnd w:id="666"/>
    </w:p>
    <w:p>
      <w:pPr>
        <w:spacing w:line="360" w:lineRule="exact"/>
        <w:ind w:firstLine="420"/>
        <w:rPr>
          <w:rFonts w:hint="eastAsia" w:ascii="宋体" w:hAnsi="宋体" w:cs="宋体"/>
        </w:rPr>
      </w:pPr>
      <w:r>
        <w:rPr>
          <w:rFonts w:hint="eastAsia" w:ascii="宋体" w:hAnsi="宋体" w:cs="宋体"/>
        </w:rPr>
        <w:t>5.3.2承包人提前通知监理人隐蔽工程检查的期限的约定：</w:t>
      </w:r>
      <w:r>
        <w:rPr>
          <w:rFonts w:hint="eastAsia" w:ascii="宋体" w:hAnsi="宋体" w:cs="宋体"/>
          <w:u w:val="single"/>
        </w:rPr>
        <w:t>按通用条款执照</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监理人不能按时进行检查时，应提前</w:t>
      </w:r>
      <w:r>
        <w:rPr>
          <w:rFonts w:hint="eastAsia" w:ascii="宋体" w:hAnsi="宋体" w:cs="宋体"/>
          <w:u w:val="single"/>
        </w:rPr>
        <w:t xml:space="preserve"> 24 </w:t>
      </w:r>
      <w:r>
        <w:rPr>
          <w:rFonts w:hint="eastAsia" w:ascii="宋体" w:hAnsi="宋体" w:cs="宋体"/>
        </w:rPr>
        <w:t>小时提交书面延期要求。</w:t>
      </w:r>
    </w:p>
    <w:p>
      <w:pPr>
        <w:spacing w:line="360" w:lineRule="exact"/>
        <w:ind w:firstLine="420"/>
        <w:rPr>
          <w:rFonts w:hint="eastAsia" w:ascii="宋体" w:hAnsi="宋体" w:cs="宋体"/>
        </w:rPr>
      </w:pPr>
      <w:r>
        <w:rPr>
          <w:rFonts w:hint="eastAsia" w:ascii="宋体" w:hAnsi="宋体" w:cs="宋体"/>
        </w:rPr>
        <w:t>关于延期最长不得超过：</w:t>
      </w:r>
      <w:r>
        <w:rPr>
          <w:rFonts w:hint="eastAsia" w:ascii="宋体" w:hAnsi="宋体" w:cs="宋体"/>
          <w:u w:val="single"/>
        </w:rPr>
        <w:t xml:space="preserve"> </w:t>
      </w:r>
      <w:r>
        <w:rPr>
          <w:rFonts w:hint="eastAsia" w:ascii="宋体" w:hAnsi="宋体" w:cs="宋体"/>
          <w:u w:val="single"/>
          <w:lang w:val="en-US" w:eastAsia="zh-CN"/>
        </w:rPr>
        <w:t>24</w:t>
      </w:r>
      <w:r>
        <w:rPr>
          <w:rFonts w:hint="eastAsia" w:ascii="宋体" w:hAnsi="宋体" w:cs="宋体"/>
          <w:u w:val="single"/>
        </w:rPr>
        <w:t xml:space="preserve"> </w:t>
      </w:r>
      <w:r>
        <w:rPr>
          <w:rFonts w:hint="eastAsia" w:ascii="宋体" w:hAnsi="宋体" w:cs="宋体"/>
        </w:rPr>
        <w:t>小时。</w:t>
      </w:r>
    </w:p>
    <w:p>
      <w:pPr>
        <w:pStyle w:val="7"/>
        <w:widowControl w:val="0"/>
        <w:numPr>
          <w:ilvl w:val="2"/>
          <w:numId w:val="0"/>
        </w:numPr>
        <w:spacing w:line="360" w:lineRule="exact"/>
        <w:jc w:val="both"/>
        <w:rPr>
          <w:rFonts w:hint="eastAsia" w:ascii="宋体" w:hAnsi="宋体" w:cs="宋体"/>
          <w:sz w:val="28"/>
          <w:szCs w:val="28"/>
        </w:rPr>
      </w:pPr>
      <w:bookmarkStart w:id="667" w:name="_Toc22862"/>
      <w:bookmarkStart w:id="668" w:name="_Toc8949"/>
      <w:bookmarkStart w:id="669" w:name="_Toc27325"/>
      <w:bookmarkStart w:id="670" w:name="_Toc4011"/>
      <w:bookmarkStart w:id="671" w:name="_Toc498421086"/>
      <w:bookmarkStart w:id="672" w:name="_Toc421260793"/>
      <w:bookmarkStart w:id="673" w:name="_Toc6078"/>
      <w:bookmarkStart w:id="674" w:name="_Toc25855"/>
      <w:r>
        <w:rPr>
          <w:rFonts w:hint="eastAsia" w:ascii="宋体" w:hAnsi="宋体" w:cs="宋体"/>
          <w:sz w:val="28"/>
          <w:szCs w:val="28"/>
        </w:rPr>
        <w:t>6. 安全文明施工与环境保护</w:t>
      </w:r>
      <w:bookmarkEnd w:id="667"/>
      <w:bookmarkEnd w:id="668"/>
      <w:bookmarkEnd w:id="669"/>
      <w:bookmarkEnd w:id="670"/>
      <w:bookmarkEnd w:id="671"/>
      <w:bookmarkEnd w:id="672"/>
      <w:bookmarkEnd w:id="673"/>
      <w:bookmarkEnd w:id="674"/>
    </w:p>
    <w:p>
      <w:pPr>
        <w:pStyle w:val="7"/>
        <w:widowControl w:val="0"/>
        <w:numPr>
          <w:ilvl w:val="2"/>
          <w:numId w:val="0"/>
        </w:numPr>
        <w:spacing w:line="360" w:lineRule="exact"/>
        <w:jc w:val="both"/>
        <w:rPr>
          <w:rFonts w:hint="eastAsia" w:ascii="宋体" w:hAnsi="宋体" w:cs="宋体"/>
          <w:sz w:val="28"/>
          <w:szCs w:val="28"/>
        </w:rPr>
      </w:pPr>
      <w:bookmarkStart w:id="675" w:name="_Toc20417"/>
      <w:bookmarkStart w:id="676" w:name="_Toc14478"/>
      <w:bookmarkStart w:id="677" w:name="_Toc5316"/>
      <w:bookmarkStart w:id="678" w:name="_Toc6789"/>
      <w:bookmarkStart w:id="679" w:name="_Toc13269"/>
      <w:bookmarkStart w:id="680" w:name="_Toc8194"/>
      <w:r>
        <w:rPr>
          <w:rFonts w:hint="eastAsia" w:ascii="宋体" w:hAnsi="宋体" w:cs="宋体"/>
          <w:sz w:val="28"/>
          <w:szCs w:val="28"/>
        </w:rPr>
        <w:t>6.1</w:t>
      </w:r>
      <w:r>
        <w:rPr>
          <w:rFonts w:hint="eastAsia" w:ascii="宋体" w:hAnsi="宋体" w:cs="宋体"/>
          <w:color w:val="FF0000"/>
          <w:sz w:val="28"/>
          <w:szCs w:val="28"/>
        </w:rPr>
        <w:t>安全文明施工</w:t>
      </w:r>
      <w:bookmarkEnd w:id="675"/>
      <w:bookmarkEnd w:id="676"/>
      <w:bookmarkEnd w:id="677"/>
      <w:bookmarkEnd w:id="678"/>
      <w:bookmarkEnd w:id="679"/>
      <w:bookmarkEnd w:id="680"/>
    </w:p>
    <w:p>
      <w:pPr>
        <w:spacing w:line="360" w:lineRule="exact"/>
        <w:ind w:firstLine="420"/>
        <w:rPr>
          <w:rFonts w:hint="eastAsia" w:ascii="宋体" w:hAnsi="宋体" w:eastAsia="宋体" w:cs="宋体"/>
          <w:lang w:eastAsia="zh-CN"/>
        </w:rPr>
      </w:pPr>
      <w:r>
        <w:rPr>
          <w:rFonts w:hint="eastAsia" w:ascii="宋体" w:hAnsi="宋体" w:cs="宋体"/>
        </w:rPr>
        <w:t>6.1.1 项目安全生产的达标目标及相应事项的约定：</w:t>
      </w:r>
      <w:r>
        <w:rPr>
          <w:rFonts w:hint="default" w:ascii="宋体" w:hAnsi="宋体" w:eastAsia="宋体" w:cs="宋体"/>
          <w:u w:val="single"/>
        </w:rPr>
        <w:t>要求创建温州市级安全文明标化工地</w:t>
      </w:r>
      <w:r>
        <w:rPr>
          <w:rFonts w:hint="eastAsia" w:ascii="宋体" w:hAnsi="宋体" w:eastAsia="宋体" w:cs="宋体"/>
          <w:u w:val="single"/>
          <w:lang w:eastAsia="zh-CN"/>
        </w:rPr>
        <w:t>。</w:t>
      </w:r>
    </w:p>
    <w:p>
      <w:pPr>
        <w:spacing w:line="360" w:lineRule="exact"/>
        <w:ind w:firstLine="420"/>
        <w:rPr>
          <w:rFonts w:hint="eastAsia" w:ascii="宋体" w:hAnsi="宋体" w:cs="宋体"/>
          <w:u w:val="single"/>
        </w:rPr>
      </w:pPr>
      <w:r>
        <w:rPr>
          <w:rFonts w:hint="eastAsia" w:ascii="宋体" w:hAnsi="宋体" w:cs="宋体"/>
          <w:u w:val="single"/>
        </w:rPr>
        <w:t>若实际未创建标化工地的或实际创建等级低于温州市级安全文明标化工地的，均不支付标化工地增加费，同时可作为违约的不良行为接受建设行政主管部门的公示、记录在信用档案，具体要求按相关规定执行，并满足市政府或有关部门组织、检查的要求，其它内容按通用条款执行；若实际创建等级高于温州市级安全文明标化工地的，标化工地增加费按设区市级标准予以计取。</w:t>
      </w:r>
    </w:p>
    <w:p>
      <w:pPr>
        <w:spacing w:line="360" w:lineRule="exact"/>
        <w:ind w:firstLine="420"/>
        <w:rPr>
          <w:rFonts w:hint="eastAsia" w:ascii="宋体" w:hAnsi="宋体" w:cs="宋体"/>
          <w:u w:val="single"/>
        </w:rPr>
      </w:pPr>
      <w:r>
        <w:rPr>
          <w:rFonts w:hint="eastAsia" w:ascii="宋体" w:hAnsi="宋体" w:cs="宋体"/>
          <w:u w:val="single"/>
        </w:rPr>
        <w:t>（1）承包人在施工期间，应严格执行国家建设部、浙江省建设厅和本市有关建设工程安全、文明施工的规定（特别是现行《建筑施工安全检查标准》、《国家建设工程安全生产管理条例》等）；如因承包人管理不善，受到政府有关部门处罚或责令停工整改等，其发生的所有的费用和造成的损失均由承包人自行承担，工期不予顺延，且发包人保留因此而缓付工程进度款的权利。</w:t>
      </w:r>
    </w:p>
    <w:p>
      <w:pPr>
        <w:spacing w:line="360" w:lineRule="exact"/>
        <w:ind w:firstLine="420"/>
        <w:rPr>
          <w:rFonts w:hint="eastAsia" w:ascii="宋体" w:hAnsi="宋体" w:cs="宋体"/>
          <w:u w:val="single"/>
        </w:rPr>
      </w:pPr>
      <w:r>
        <w:rPr>
          <w:rFonts w:hint="eastAsia" w:ascii="宋体" w:hAnsi="宋体" w:cs="宋体"/>
          <w:u w:val="single"/>
        </w:rPr>
        <w:t>（2）承包人应对进入施工现场的施工人员进行安全文明施工教育，配备必要的劳动保护用具，保证工程的施工安全和人身安全。</w:t>
      </w:r>
    </w:p>
    <w:p>
      <w:pPr>
        <w:spacing w:line="360" w:lineRule="exact"/>
        <w:ind w:firstLine="420"/>
        <w:rPr>
          <w:rFonts w:hint="eastAsia" w:ascii="宋体" w:hAnsi="宋体" w:cs="宋体"/>
        </w:rPr>
      </w:pPr>
      <w:r>
        <w:rPr>
          <w:rFonts w:hint="eastAsia" w:ascii="宋体" w:hAnsi="宋体" w:cs="宋体"/>
          <w:u w:val="single"/>
        </w:rPr>
        <w:t>（3）关于本工程的一切安全责任均由承包人承担。</w:t>
      </w:r>
    </w:p>
    <w:p>
      <w:pPr>
        <w:spacing w:line="360" w:lineRule="exact"/>
        <w:ind w:firstLine="420"/>
        <w:rPr>
          <w:rFonts w:hint="eastAsia" w:ascii="宋体" w:hAnsi="宋体" w:cs="宋体"/>
          <w:b/>
          <w:szCs w:val="21"/>
          <w:u w:val="double"/>
        </w:rPr>
      </w:pPr>
      <w:r>
        <w:rPr>
          <w:rFonts w:hint="eastAsia" w:ascii="宋体" w:hAnsi="宋体" w:cs="宋体"/>
          <w:szCs w:val="21"/>
        </w:rPr>
        <w:t>6.1.4 关于治安保卫的特别约定：</w:t>
      </w:r>
      <w:r>
        <w:rPr>
          <w:rFonts w:hint="eastAsia" w:ascii="宋体" w:hAnsi="宋体" w:cs="宋体"/>
          <w:szCs w:val="21"/>
          <w:u w:val="single"/>
        </w:rPr>
        <w:t>按通用条款执行，另如发生公安部门处罚的治安案件，发包人有权视情节严重程度处罚5万元~20万元人民币的违约金</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关于编制施工场地治安管理计划的约定：</w:t>
      </w:r>
      <w:r>
        <w:rPr>
          <w:rFonts w:hint="eastAsia" w:ascii="宋体" w:hAnsi="宋体" w:cs="宋体"/>
          <w:u w:val="single"/>
        </w:rPr>
        <w:t xml:space="preserve">由承包人编制，其它内容按通用条款执行。 </w:t>
      </w:r>
    </w:p>
    <w:p>
      <w:pPr>
        <w:spacing w:line="360" w:lineRule="exact"/>
        <w:ind w:firstLine="420"/>
        <w:rPr>
          <w:rFonts w:hint="eastAsia" w:ascii="宋体" w:hAnsi="宋体" w:cs="宋体"/>
        </w:rPr>
      </w:pPr>
      <w:r>
        <w:rPr>
          <w:rFonts w:hint="eastAsia" w:ascii="宋体" w:hAnsi="宋体" w:cs="宋体"/>
        </w:rPr>
        <w:t>6.1.5 文明施工</w:t>
      </w:r>
    </w:p>
    <w:p>
      <w:pPr>
        <w:spacing w:line="360" w:lineRule="exact"/>
        <w:ind w:firstLine="420"/>
        <w:rPr>
          <w:rFonts w:hint="eastAsia" w:ascii="宋体" w:hAnsi="宋体" w:eastAsia="宋体" w:cs="宋体"/>
          <w:u w:val="single"/>
          <w:lang w:eastAsia="zh-CN"/>
        </w:rPr>
      </w:pPr>
      <w:bookmarkStart w:id="681" w:name="_Toc421260794"/>
      <w:r>
        <w:rPr>
          <w:rFonts w:hint="eastAsia" w:ascii="宋体" w:hAnsi="宋体" w:cs="宋体"/>
        </w:rPr>
        <w:t>合同当事人对文明施工的要求：</w:t>
      </w:r>
      <w:r>
        <w:rPr>
          <w:rFonts w:hint="eastAsia" w:ascii="宋体" w:hAnsi="宋体" w:cs="宋体"/>
          <w:u w:val="single"/>
        </w:rPr>
        <w:t>配合总包单位完成总包申请标化工地以及接受建设行政主管部门查验。按有关规定做好文明施工，保证施工场地清洁，符合环境卫生管理要求，承担自身原因造成的损失和罚款，具体参照《关于全面开展安全生产文明施工标准化工地创建活动的通知》（瑞建发〔2011〕45号）文件</w:t>
      </w:r>
      <w:r>
        <w:rPr>
          <w:rFonts w:hint="eastAsia" w:ascii="宋体" w:hAnsi="宋体" w:cs="宋体"/>
          <w:u w:val="single"/>
          <w:lang w:eastAsia="zh-CN"/>
        </w:rPr>
        <w:t>。</w:t>
      </w:r>
    </w:p>
    <w:p>
      <w:pPr>
        <w:spacing w:line="360" w:lineRule="exact"/>
        <w:ind w:firstLine="420"/>
        <w:rPr>
          <w:rFonts w:hint="eastAsia" w:ascii="宋体" w:hAnsi="宋体" w:cs="宋体"/>
          <w:u w:val="single"/>
        </w:rPr>
      </w:pPr>
      <w:r>
        <w:rPr>
          <w:rFonts w:hint="eastAsia" w:ascii="宋体" w:hAnsi="宋体" w:cs="宋体"/>
        </w:rPr>
        <w:t>6.1.6 关于安全文明施工费支付比例和支付期限的约</w:t>
      </w:r>
      <w:r>
        <w:rPr>
          <w:rFonts w:hint="eastAsia" w:ascii="宋体" w:hAnsi="宋体" w:cs="宋体"/>
          <w:u w:val="single"/>
        </w:rPr>
        <w:t>定：参照温住建发[2012]190号《关于转发&lt;企业安全生产费用提取和使用管理办法&gt;的通知》文件，建设单位应当自合同签订之日起五日内预付该费用总额的100%。。</w:t>
      </w:r>
    </w:p>
    <w:p>
      <w:pPr>
        <w:tabs>
          <w:tab w:val="left" w:pos="900"/>
        </w:tabs>
        <w:spacing w:line="336" w:lineRule="auto"/>
        <w:ind w:firstLine="420" w:firstLineChars="200"/>
        <w:contextualSpacing/>
        <w:jc w:val="both"/>
        <w:rPr>
          <w:rFonts w:hint="default" w:ascii="Arial" w:hAnsi="Arial" w:cs="Arial"/>
          <w:b/>
          <w:color w:val="auto"/>
          <w:sz w:val="21"/>
          <w:szCs w:val="21"/>
          <w:u w:val="single"/>
        </w:rPr>
      </w:pPr>
      <w:bookmarkStart w:id="682" w:name="_Toc29363"/>
      <w:bookmarkStart w:id="683" w:name="_Toc6084"/>
      <w:bookmarkStart w:id="684" w:name="_Toc21547"/>
      <w:bookmarkStart w:id="685" w:name="_Toc16945"/>
      <w:bookmarkStart w:id="686" w:name="_Toc6635"/>
      <w:bookmarkStart w:id="687" w:name="_Toc498421087"/>
      <w:bookmarkStart w:id="688" w:name="_Toc12216"/>
      <w:r>
        <w:rPr>
          <w:rFonts w:hint="default" w:ascii="Arial" w:hAnsi="Arial" w:cs="Arial"/>
          <w:sz w:val="21"/>
          <w:szCs w:val="21"/>
        </w:rPr>
        <w:t>关于安全文明施工费的扣回：</w:t>
      </w:r>
      <w:r>
        <w:rPr>
          <w:rFonts w:hint="default" w:ascii="Arial" w:hAnsi="Arial" w:cs="Arial"/>
          <w:b w:val="0"/>
          <w:bCs/>
          <w:color w:val="auto"/>
          <w:sz w:val="21"/>
          <w:szCs w:val="21"/>
          <w:u w:val="single"/>
        </w:rPr>
        <w:t>承包人完成工程量金额累计达到合同价款的50%后，开始全额扣回，如不足抵扣的，则不足抵扣部分在下期工程款支付时扣回。</w:t>
      </w:r>
    </w:p>
    <w:p>
      <w:pPr>
        <w:tabs>
          <w:tab w:val="left" w:pos="900"/>
        </w:tabs>
        <w:spacing w:line="336" w:lineRule="auto"/>
        <w:ind w:firstLine="420" w:firstLineChars="200"/>
        <w:contextualSpacing/>
        <w:jc w:val="both"/>
        <w:rPr>
          <w:rFonts w:hint="default" w:ascii="Arial" w:hAnsi="Arial" w:cs="Arial"/>
          <w:b/>
          <w:color w:val="auto"/>
          <w:sz w:val="21"/>
          <w:szCs w:val="21"/>
          <w:u w:val="single"/>
        </w:rPr>
      </w:pPr>
      <w:r>
        <w:rPr>
          <w:rFonts w:hint="default" w:ascii="Arial" w:hAnsi="Arial" w:cs="Arial"/>
          <w:color w:val="auto"/>
          <w:sz w:val="21"/>
          <w:szCs w:val="21"/>
        </w:rPr>
        <w:t>关于创标化工地增加费支付时间和支付依据的约定：</w:t>
      </w:r>
      <w:r>
        <w:rPr>
          <w:rFonts w:hint="default" w:ascii="Arial" w:hAnsi="Arial" w:cs="Arial"/>
          <w:b w:val="0"/>
          <w:bCs/>
          <w:color w:val="auto"/>
          <w:sz w:val="21"/>
          <w:szCs w:val="21"/>
          <w:u w:val="single"/>
        </w:rPr>
        <w:t>工程通过竣工验收合格后，以建设行政主管部门的认可文件为支付依据，但在办理完成结算前，未能提供行业主管部门的认可文件，则不予支付。</w:t>
      </w:r>
    </w:p>
    <w:p>
      <w:pPr>
        <w:tabs>
          <w:tab w:val="left" w:pos="900"/>
        </w:tabs>
        <w:spacing w:line="336" w:lineRule="auto"/>
        <w:ind w:firstLine="420" w:firstLineChars="200"/>
        <w:contextualSpacing/>
        <w:jc w:val="both"/>
        <w:rPr>
          <w:rFonts w:hint="default" w:ascii="Arial" w:hAnsi="Arial" w:cs="Arial"/>
          <w:b w:val="0"/>
          <w:bCs/>
          <w:color w:val="auto"/>
          <w:sz w:val="21"/>
          <w:szCs w:val="21"/>
          <w:u w:val="single"/>
        </w:rPr>
      </w:pPr>
      <w:r>
        <w:rPr>
          <w:rFonts w:hint="default" w:ascii="Arial" w:hAnsi="Arial" w:cs="Arial"/>
          <w:b w:val="0"/>
          <w:bCs/>
          <w:color w:val="auto"/>
          <w:sz w:val="21"/>
          <w:szCs w:val="21"/>
          <w:u w:val="single"/>
        </w:rPr>
        <w:t>标化工地增加费在办理结算时，按本合同第6.1.</w:t>
      </w:r>
      <w:r>
        <w:rPr>
          <w:rFonts w:hint="default" w:ascii="Arial" w:hAnsi="Arial" w:cs="Arial"/>
          <w:b w:val="0"/>
          <w:bCs/>
          <w:color w:val="auto"/>
          <w:sz w:val="21"/>
          <w:szCs w:val="21"/>
          <w:u w:val="single"/>
          <w:lang w:val="en-US" w:eastAsia="zh-CN"/>
        </w:rPr>
        <w:t>1</w:t>
      </w:r>
      <w:r>
        <w:rPr>
          <w:rFonts w:hint="default" w:ascii="Arial" w:hAnsi="Arial" w:cs="Arial"/>
          <w:b w:val="0"/>
          <w:bCs/>
          <w:color w:val="auto"/>
          <w:sz w:val="21"/>
          <w:szCs w:val="21"/>
          <w:u w:val="single"/>
        </w:rPr>
        <w:t>款约定计取。</w:t>
      </w:r>
    </w:p>
    <w:p>
      <w:pPr>
        <w:pStyle w:val="7"/>
        <w:widowControl w:val="0"/>
        <w:numPr>
          <w:ilvl w:val="2"/>
          <w:numId w:val="0"/>
        </w:numPr>
        <w:spacing w:line="360" w:lineRule="exact"/>
        <w:jc w:val="both"/>
        <w:rPr>
          <w:rFonts w:hint="eastAsia" w:ascii="宋体" w:hAnsi="宋体" w:cs="宋体"/>
          <w:sz w:val="28"/>
          <w:szCs w:val="28"/>
        </w:rPr>
      </w:pPr>
      <w:r>
        <w:rPr>
          <w:rFonts w:hint="eastAsia" w:ascii="宋体" w:hAnsi="宋体" w:cs="宋体"/>
          <w:sz w:val="28"/>
          <w:szCs w:val="28"/>
        </w:rPr>
        <w:t>7. 工期和进度</w:t>
      </w:r>
      <w:bookmarkEnd w:id="681"/>
      <w:bookmarkEnd w:id="682"/>
      <w:bookmarkEnd w:id="683"/>
      <w:bookmarkEnd w:id="684"/>
      <w:bookmarkEnd w:id="685"/>
      <w:bookmarkEnd w:id="686"/>
      <w:bookmarkEnd w:id="687"/>
      <w:bookmarkEnd w:id="688"/>
    </w:p>
    <w:p>
      <w:pPr>
        <w:pStyle w:val="7"/>
        <w:widowControl w:val="0"/>
        <w:numPr>
          <w:ilvl w:val="2"/>
          <w:numId w:val="0"/>
        </w:numPr>
        <w:spacing w:line="360" w:lineRule="exact"/>
        <w:jc w:val="both"/>
        <w:rPr>
          <w:rFonts w:hint="eastAsia" w:ascii="宋体" w:hAnsi="宋体" w:cs="宋体"/>
          <w:sz w:val="28"/>
          <w:szCs w:val="28"/>
        </w:rPr>
      </w:pPr>
      <w:bookmarkStart w:id="689" w:name="_Toc6436"/>
      <w:bookmarkStart w:id="690" w:name="_Toc30514"/>
      <w:bookmarkStart w:id="691" w:name="_Toc27413"/>
      <w:bookmarkStart w:id="692" w:name="_Toc29074"/>
      <w:bookmarkStart w:id="693" w:name="_Toc219"/>
      <w:bookmarkStart w:id="694" w:name="_Toc6416"/>
      <w:r>
        <w:rPr>
          <w:rFonts w:hint="eastAsia" w:ascii="宋体" w:hAnsi="宋体" w:cs="宋体"/>
          <w:sz w:val="28"/>
          <w:szCs w:val="28"/>
        </w:rPr>
        <w:t>7.1 施工组织设计</w:t>
      </w:r>
      <w:bookmarkEnd w:id="689"/>
      <w:bookmarkEnd w:id="690"/>
      <w:bookmarkEnd w:id="691"/>
      <w:bookmarkEnd w:id="692"/>
      <w:bookmarkEnd w:id="693"/>
      <w:bookmarkEnd w:id="694"/>
    </w:p>
    <w:p>
      <w:pPr>
        <w:spacing w:line="360" w:lineRule="exact"/>
        <w:ind w:firstLine="420"/>
        <w:rPr>
          <w:rFonts w:hint="eastAsia" w:ascii="宋体" w:hAnsi="宋体" w:cs="宋体"/>
        </w:rPr>
      </w:pPr>
      <w:r>
        <w:rPr>
          <w:rFonts w:hint="eastAsia" w:ascii="宋体" w:hAnsi="宋体" w:cs="宋体"/>
        </w:rPr>
        <w:t>7.1.1 合同当事人约定的施工组织设计应包括的其他内容：</w:t>
      </w:r>
      <w:r>
        <w:rPr>
          <w:rFonts w:hint="eastAsia" w:ascii="宋体" w:hAnsi="宋体" w:cs="宋体"/>
          <w:u w:val="single"/>
        </w:rPr>
        <w:t>无 。</w:t>
      </w:r>
    </w:p>
    <w:p>
      <w:pPr>
        <w:spacing w:line="360" w:lineRule="exact"/>
        <w:ind w:firstLine="420"/>
        <w:rPr>
          <w:rFonts w:hint="eastAsia" w:ascii="宋体" w:hAnsi="宋体" w:cs="宋体"/>
        </w:rPr>
      </w:pPr>
      <w:r>
        <w:rPr>
          <w:rFonts w:hint="eastAsia" w:ascii="宋体" w:hAnsi="宋体" w:cs="宋体"/>
        </w:rPr>
        <w:t>7.1.2 施工组织设计的提交和修改</w:t>
      </w:r>
    </w:p>
    <w:p>
      <w:pPr>
        <w:spacing w:line="360" w:lineRule="exact"/>
        <w:ind w:firstLine="420"/>
        <w:rPr>
          <w:rFonts w:hint="eastAsia" w:ascii="宋体" w:hAnsi="宋体" w:cs="宋体"/>
        </w:rPr>
      </w:pPr>
      <w:r>
        <w:rPr>
          <w:rFonts w:hint="eastAsia" w:ascii="宋体" w:hAnsi="宋体" w:cs="宋体"/>
        </w:rPr>
        <w:t>承包人提交详细施工组织设计的期限的约定：</w:t>
      </w:r>
      <w:r>
        <w:rPr>
          <w:rFonts w:hint="eastAsia" w:ascii="宋体" w:hAnsi="宋体" w:cs="宋体"/>
          <w:u w:val="single"/>
        </w:rPr>
        <w:t xml:space="preserve"> 开工前</w:t>
      </w:r>
      <w:r>
        <w:rPr>
          <w:rFonts w:hint="eastAsia" w:ascii="宋体" w:hAnsi="宋体" w:cs="宋体"/>
          <w:u w:val="single"/>
          <w:lang w:val="en-US" w:eastAsia="zh-CN"/>
        </w:rPr>
        <w:t>7</w:t>
      </w:r>
      <w:r>
        <w:rPr>
          <w:rFonts w:hint="eastAsia" w:ascii="宋体" w:hAnsi="宋体" w:cs="宋体"/>
          <w:u w:val="single"/>
        </w:rPr>
        <w:t xml:space="preserve">天内。 </w:t>
      </w:r>
    </w:p>
    <w:p>
      <w:pPr>
        <w:spacing w:line="360" w:lineRule="exact"/>
        <w:ind w:firstLine="420"/>
        <w:rPr>
          <w:rFonts w:hint="eastAsia" w:ascii="宋体" w:hAnsi="宋体" w:cs="宋体"/>
        </w:rPr>
      </w:pPr>
      <w:r>
        <w:rPr>
          <w:rFonts w:hint="eastAsia" w:ascii="宋体" w:hAnsi="宋体" w:cs="宋体"/>
        </w:rPr>
        <w:t>发包人和监理人在收到详细的施工组织设计后确认或提出修改意见的期限：</w:t>
      </w:r>
      <w:r>
        <w:rPr>
          <w:rFonts w:hint="eastAsia" w:ascii="宋体" w:hAnsi="宋体" w:cs="宋体"/>
          <w:u w:val="single"/>
        </w:rPr>
        <w:t xml:space="preserve"> 收到施工组织设计后7天内确认或提出修改意见 。</w:t>
      </w:r>
    </w:p>
    <w:p>
      <w:pPr>
        <w:pStyle w:val="7"/>
        <w:widowControl w:val="0"/>
        <w:numPr>
          <w:ilvl w:val="2"/>
          <w:numId w:val="0"/>
        </w:numPr>
        <w:spacing w:line="360" w:lineRule="exact"/>
        <w:jc w:val="both"/>
        <w:rPr>
          <w:rFonts w:hint="eastAsia" w:ascii="宋体" w:hAnsi="宋体" w:cs="宋体"/>
          <w:sz w:val="28"/>
          <w:szCs w:val="28"/>
        </w:rPr>
      </w:pPr>
      <w:bookmarkStart w:id="695" w:name="_Toc32152"/>
      <w:bookmarkStart w:id="696" w:name="_Toc19499"/>
      <w:bookmarkStart w:id="697" w:name="_Toc2681"/>
      <w:bookmarkStart w:id="698" w:name="_Toc13187"/>
      <w:bookmarkStart w:id="699" w:name="_Toc4453"/>
      <w:bookmarkStart w:id="700" w:name="_Toc24380"/>
      <w:r>
        <w:rPr>
          <w:rFonts w:hint="eastAsia" w:ascii="宋体" w:hAnsi="宋体" w:cs="宋体"/>
          <w:sz w:val="28"/>
          <w:szCs w:val="28"/>
        </w:rPr>
        <w:t>7.2 施工进度计划</w:t>
      </w:r>
      <w:bookmarkEnd w:id="695"/>
      <w:bookmarkEnd w:id="696"/>
      <w:bookmarkEnd w:id="697"/>
      <w:bookmarkEnd w:id="698"/>
      <w:bookmarkEnd w:id="699"/>
      <w:bookmarkEnd w:id="700"/>
    </w:p>
    <w:p>
      <w:pPr>
        <w:spacing w:line="360" w:lineRule="exact"/>
        <w:ind w:firstLine="420"/>
        <w:rPr>
          <w:rFonts w:hint="eastAsia" w:ascii="宋体" w:hAnsi="宋体" w:cs="宋体"/>
        </w:rPr>
      </w:pPr>
      <w:r>
        <w:rPr>
          <w:rFonts w:hint="eastAsia" w:ascii="宋体" w:hAnsi="宋体" w:cs="宋体"/>
        </w:rPr>
        <w:t>7.2.2 施工进度计划的修订</w:t>
      </w:r>
    </w:p>
    <w:p>
      <w:pPr>
        <w:spacing w:line="360" w:lineRule="exact"/>
        <w:ind w:firstLine="420"/>
        <w:rPr>
          <w:rFonts w:hint="eastAsia" w:ascii="宋体" w:hAnsi="宋体" w:cs="宋体"/>
        </w:rPr>
      </w:pPr>
      <w:r>
        <w:rPr>
          <w:rFonts w:hint="eastAsia" w:ascii="宋体" w:hAnsi="宋体" w:cs="宋体"/>
        </w:rPr>
        <w:t>发包人和监理人在收到修订的施工进度计划后确认或提出修改意见的期限：</w:t>
      </w:r>
      <w:r>
        <w:rPr>
          <w:rFonts w:hint="eastAsia" w:ascii="宋体" w:hAnsi="宋体" w:cs="宋体"/>
          <w:u w:val="single"/>
        </w:rPr>
        <w:t xml:space="preserve"> 收到修订的施工进度计划后7天内完成审核和批准或提出修改意见。</w:t>
      </w:r>
    </w:p>
    <w:p>
      <w:pPr>
        <w:pStyle w:val="7"/>
        <w:widowControl w:val="0"/>
        <w:numPr>
          <w:ilvl w:val="2"/>
          <w:numId w:val="0"/>
        </w:numPr>
        <w:spacing w:line="360" w:lineRule="exact"/>
        <w:jc w:val="both"/>
        <w:rPr>
          <w:rFonts w:hint="eastAsia" w:ascii="宋体" w:hAnsi="宋体" w:cs="宋体"/>
          <w:sz w:val="28"/>
          <w:szCs w:val="28"/>
        </w:rPr>
      </w:pPr>
      <w:bookmarkStart w:id="701" w:name="_Toc17060"/>
      <w:bookmarkStart w:id="702" w:name="_Toc11690"/>
      <w:bookmarkStart w:id="703" w:name="_Toc26563"/>
      <w:bookmarkStart w:id="704" w:name="_Toc29730"/>
      <w:bookmarkStart w:id="705" w:name="_Toc6083"/>
      <w:bookmarkStart w:id="706" w:name="_Toc4467"/>
      <w:r>
        <w:rPr>
          <w:rFonts w:hint="eastAsia" w:ascii="宋体" w:hAnsi="宋体" w:cs="宋体"/>
          <w:sz w:val="28"/>
          <w:szCs w:val="28"/>
        </w:rPr>
        <w:t>7.3 开工</w:t>
      </w:r>
      <w:bookmarkEnd w:id="701"/>
      <w:bookmarkEnd w:id="702"/>
      <w:bookmarkEnd w:id="703"/>
      <w:bookmarkEnd w:id="704"/>
      <w:bookmarkEnd w:id="705"/>
      <w:bookmarkEnd w:id="706"/>
    </w:p>
    <w:p>
      <w:pPr>
        <w:spacing w:line="360" w:lineRule="exact"/>
        <w:ind w:firstLine="420"/>
        <w:rPr>
          <w:rFonts w:hint="eastAsia" w:ascii="宋体" w:hAnsi="宋体" w:cs="宋体"/>
        </w:rPr>
      </w:pPr>
      <w:r>
        <w:rPr>
          <w:rFonts w:hint="eastAsia" w:ascii="宋体" w:hAnsi="宋体" w:cs="宋体"/>
        </w:rPr>
        <w:t>7.3.1 开工准备</w:t>
      </w:r>
    </w:p>
    <w:p>
      <w:pPr>
        <w:spacing w:line="360" w:lineRule="exact"/>
        <w:ind w:firstLine="420"/>
        <w:rPr>
          <w:rFonts w:hint="eastAsia" w:ascii="宋体" w:hAnsi="宋体" w:cs="宋体"/>
          <w:u w:val="single"/>
        </w:rPr>
      </w:pPr>
      <w:r>
        <w:rPr>
          <w:rFonts w:hint="eastAsia" w:ascii="宋体" w:hAnsi="宋体" w:cs="宋体"/>
        </w:rPr>
        <w:t>关于承包人提交工程开工报审表的期限：</w:t>
      </w:r>
      <w:r>
        <w:rPr>
          <w:rFonts w:hint="eastAsia" w:ascii="宋体" w:hAnsi="宋体" w:cs="宋体"/>
          <w:u w:val="single"/>
        </w:rPr>
        <w:t>承包人应按照施工组织设计约定的期限，向监理人提交工程开工报审表 。</w:t>
      </w:r>
    </w:p>
    <w:p>
      <w:pPr>
        <w:spacing w:line="360" w:lineRule="exact"/>
        <w:ind w:firstLine="420"/>
        <w:rPr>
          <w:rFonts w:hint="eastAsia" w:ascii="宋体" w:hAnsi="宋体" w:cs="宋体"/>
          <w:u w:val="double"/>
        </w:rPr>
      </w:pPr>
      <w:r>
        <w:rPr>
          <w:rFonts w:hint="eastAsia" w:ascii="宋体" w:hAnsi="宋体" w:cs="宋体"/>
        </w:rPr>
        <w:t>关于发包人应完成的其他开工准备工作及期限：</w:t>
      </w:r>
      <w:r>
        <w:rPr>
          <w:rFonts w:hint="eastAsia" w:ascii="宋体" w:hAnsi="宋体" w:cs="宋体"/>
          <w:u w:val="single"/>
        </w:rPr>
        <w:t xml:space="preserve">计划开工日期7天前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关于承包人应完成的其他开工准备工作及期限：</w:t>
      </w:r>
      <w:r>
        <w:rPr>
          <w:rFonts w:hint="eastAsia" w:ascii="宋体" w:hAnsi="宋体" w:cs="宋体"/>
          <w:u w:val="single"/>
        </w:rPr>
        <w:t>承包人应按照施工组织设计约定的期限。</w:t>
      </w:r>
    </w:p>
    <w:p>
      <w:pPr>
        <w:spacing w:line="360" w:lineRule="exact"/>
        <w:ind w:firstLine="420"/>
        <w:rPr>
          <w:rFonts w:hint="eastAsia" w:ascii="宋体" w:hAnsi="宋体" w:cs="宋体"/>
        </w:rPr>
      </w:pPr>
      <w:r>
        <w:rPr>
          <w:rFonts w:hint="eastAsia" w:ascii="宋体" w:hAnsi="宋体" w:cs="宋体"/>
        </w:rPr>
        <w:t>7.3.2开工通知</w:t>
      </w:r>
    </w:p>
    <w:p>
      <w:pPr>
        <w:spacing w:line="360" w:lineRule="exact"/>
        <w:ind w:firstLine="420"/>
        <w:rPr>
          <w:rFonts w:hint="eastAsia" w:ascii="宋体" w:hAnsi="宋体" w:cs="宋体"/>
        </w:rPr>
      </w:pPr>
      <w:r>
        <w:rPr>
          <w:rFonts w:hint="eastAsia" w:ascii="宋体" w:hAnsi="宋体" w:cs="宋体"/>
        </w:rPr>
        <w:t>因发包人原因造成监理人未能在计划开工日期之日起</w:t>
      </w:r>
      <w:r>
        <w:rPr>
          <w:rFonts w:hint="eastAsia" w:ascii="宋体" w:hAnsi="宋体" w:cs="宋体"/>
          <w:u w:val="single"/>
        </w:rPr>
        <w:t xml:space="preserve">  90  </w:t>
      </w:r>
      <w:r>
        <w:rPr>
          <w:rFonts w:hint="eastAsia" w:ascii="宋体" w:hAnsi="宋体" w:cs="宋体"/>
        </w:rPr>
        <w:t>天内发出开工通知的。</w:t>
      </w:r>
    </w:p>
    <w:p>
      <w:pPr>
        <w:pStyle w:val="7"/>
        <w:widowControl w:val="0"/>
        <w:numPr>
          <w:ilvl w:val="2"/>
          <w:numId w:val="0"/>
        </w:numPr>
        <w:spacing w:line="360" w:lineRule="exact"/>
        <w:jc w:val="both"/>
        <w:rPr>
          <w:rFonts w:hint="eastAsia" w:ascii="宋体" w:hAnsi="宋体" w:cs="宋体"/>
          <w:sz w:val="28"/>
          <w:szCs w:val="28"/>
        </w:rPr>
      </w:pPr>
      <w:bookmarkStart w:id="707" w:name="_Toc25625"/>
      <w:bookmarkStart w:id="708" w:name="_Toc17944"/>
      <w:bookmarkStart w:id="709" w:name="_Toc10465"/>
      <w:bookmarkStart w:id="710" w:name="_Toc17403"/>
      <w:bookmarkStart w:id="711" w:name="_Toc30137"/>
      <w:bookmarkStart w:id="712" w:name="_Toc2969"/>
      <w:r>
        <w:rPr>
          <w:rFonts w:hint="eastAsia" w:ascii="宋体" w:hAnsi="宋体" w:cs="宋体"/>
          <w:sz w:val="28"/>
          <w:szCs w:val="28"/>
        </w:rPr>
        <w:t>7.4 测量放线</w:t>
      </w:r>
      <w:bookmarkEnd w:id="707"/>
      <w:bookmarkEnd w:id="708"/>
      <w:bookmarkEnd w:id="709"/>
      <w:bookmarkEnd w:id="710"/>
      <w:bookmarkEnd w:id="711"/>
      <w:bookmarkEnd w:id="712"/>
    </w:p>
    <w:p>
      <w:pPr>
        <w:spacing w:line="360" w:lineRule="exact"/>
        <w:ind w:firstLine="420"/>
        <w:rPr>
          <w:rFonts w:hint="eastAsia" w:ascii="宋体" w:hAnsi="宋体" w:cs="宋体"/>
          <w:szCs w:val="21"/>
          <w:u w:val="double"/>
        </w:rPr>
      </w:pPr>
      <w:r>
        <w:rPr>
          <w:rFonts w:hint="eastAsia" w:ascii="宋体" w:hAnsi="宋体" w:cs="宋体"/>
          <w:szCs w:val="21"/>
        </w:rPr>
        <w:t>7.4.1发包人通过监理人向承包人提供测量基准点、基准线和水准点及其书面资料的期限：</w:t>
      </w:r>
      <w:r>
        <w:rPr>
          <w:rFonts w:hint="eastAsia" w:ascii="宋体" w:hAnsi="宋体" w:cs="宋体"/>
          <w:szCs w:val="21"/>
          <w:u w:val="single"/>
        </w:rPr>
        <w:t>按通用条款执行</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713" w:name="_Toc11793"/>
      <w:bookmarkStart w:id="714" w:name="_Toc31565"/>
      <w:bookmarkStart w:id="715" w:name="_Toc1805"/>
      <w:bookmarkStart w:id="716" w:name="_Toc23076"/>
      <w:bookmarkStart w:id="717" w:name="_Toc11979"/>
      <w:bookmarkStart w:id="718" w:name="_Toc31959"/>
      <w:r>
        <w:rPr>
          <w:rFonts w:hint="eastAsia" w:ascii="宋体" w:hAnsi="宋体" w:cs="宋体"/>
          <w:sz w:val="28"/>
          <w:szCs w:val="28"/>
        </w:rPr>
        <w:t>7.5 工期延误</w:t>
      </w:r>
      <w:bookmarkEnd w:id="713"/>
      <w:bookmarkEnd w:id="714"/>
      <w:bookmarkEnd w:id="715"/>
      <w:bookmarkEnd w:id="716"/>
      <w:bookmarkEnd w:id="717"/>
      <w:bookmarkEnd w:id="718"/>
    </w:p>
    <w:p>
      <w:pPr>
        <w:spacing w:line="360" w:lineRule="exact"/>
        <w:ind w:firstLine="420"/>
        <w:rPr>
          <w:rFonts w:hint="eastAsia" w:ascii="宋体" w:hAnsi="宋体" w:cs="宋体"/>
        </w:rPr>
      </w:pPr>
      <w:r>
        <w:rPr>
          <w:rFonts w:hint="eastAsia" w:ascii="宋体" w:hAnsi="宋体" w:cs="宋体"/>
        </w:rPr>
        <w:t>7.5.1 因发包人原因导致工期延误</w:t>
      </w:r>
    </w:p>
    <w:p>
      <w:pPr>
        <w:spacing w:line="360" w:lineRule="exact"/>
        <w:ind w:firstLine="420"/>
        <w:rPr>
          <w:rFonts w:hint="eastAsia" w:ascii="宋体" w:hAnsi="宋体" w:cs="宋体"/>
          <w:u w:val="single"/>
        </w:rPr>
      </w:pPr>
      <w:r>
        <w:rPr>
          <w:rFonts w:hint="eastAsia" w:ascii="宋体" w:hAnsi="宋体" w:cs="宋体"/>
        </w:rPr>
        <w:t>（7）因发包人原因导致工期延误的其他情形：</w:t>
      </w:r>
      <w:r>
        <w:rPr>
          <w:rFonts w:hint="eastAsia" w:ascii="宋体" w:hAnsi="宋体" w:cs="宋体"/>
          <w:u w:val="single"/>
        </w:rPr>
        <w:t>合同履行中发生重大设计变更而影响施工进度、非承包人过失引起的或由于发包人原因造成工期延误的情况，工期顺延。</w:t>
      </w:r>
    </w:p>
    <w:p>
      <w:pPr>
        <w:spacing w:line="360" w:lineRule="exact"/>
        <w:ind w:firstLine="420"/>
        <w:rPr>
          <w:rFonts w:hint="eastAsia" w:ascii="宋体" w:hAnsi="宋体" w:cs="宋体"/>
        </w:rPr>
      </w:pPr>
      <w:r>
        <w:rPr>
          <w:rFonts w:hint="eastAsia" w:ascii="宋体" w:hAnsi="宋体" w:cs="宋体"/>
        </w:rPr>
        <w:t>7.5.2 因承包人原因导致工期延误</w:t>
      </w:r>
    </w:p>
    <w:p>
      <w:pPr>
        <w:spacing w:line="360" w:lineRule="exact"/>
        <w:ind w:firstLine="420"/>
        <w:rPr>
          <w:rFonts w:hint="eastAsia" w:ascii="宋体" w:hAnsi="宋体" w:cs="宋体"/>
          <w:b/>
          <w:bCs/>
          <w:color w:val="auto"/>
          <w:u w:val="single"/>
        </w:rPr>
      </w:pPr>
      <w:r>
        <w:rPr>
          <w:rFonts w:hint="eastAsia" w:ascii="宋体" w:hAnsi="宋体" w:cs="宋体"/>
        </w:rPr>
        <w:t>因承包人原因造成工期延误，逾</w:t>
      </w:r>
      <w:r>
        <w:rPr>
          <w:rFonts w:hint="eastAsia" w:ascii="宋体" w:hAnsi="宋体" w:cs="宋体"/>
          <w:color w:val="auto"/>
        </w:rPr>
        <w:t>期竣工违约金的计算方法为：</w:t>
      </w:r>
      <w:r>
        <w:rPr>
          <w:rFonts w:hint="eastAsia" w:ascii="宋体" w:hAnsi="宋体" w:cs="宋体"/>
          <w:b/>
          <w:bCs/>
          <w:color w:val="auto"/>
          <w:u w:val="single"/>
        </w:rPr>
        <w:t>除不可抗力情况、发包人和监理人原因及</w:t>
      </w:r>
      <w:r>
        <w:rPr>
          <w:rFonts w:hint="eastAsia" w:ascii="宋体" w:hAnsi="宋体" w:cs="宋体"/>
          <w:b/>
          <w:bCs/>
          <w:color w:val="auto"/>
          <w:u w:val="single"/>
          <w:lang w:eastAsia="zh-CN"/>
        </w:rPr>
        <w:t>磋商</w:t>
      </w:r>
      <w:r>
        <w:rPr>
          <w:rFonts w:hint="eastAsia" w:ascii="宋体" w:hAnsi="宋体" w:cs="宋体"/>
          <w:b/>
          <w:bCs/>
          <w:color w:val="auto"/>
          <w:u w:val="single"/>
        </w:rPr>
        <w:t>文件约定的情况外，工期一般不顺延。若承包人原因耽误主体工程竣工验收的，第一个月每延误一天罚款1500元，第二个月开始每延误一天罚款3000元。发包人可从应向承包人支付的任何金额中扣除此项违约金。此项违约金的支付并不能解除承包人完成工程的责任或合同规定的其它责任。</w:t>
      </w:r>
    </w:p>
    <w:p>
      <w:pPr>
        <w:spacing w:line="360" w:lineRule="exact"/>
        <w:ind w:firstLine="420"/>
        <w:rPr>
          <w:rFonts w:hint="eastAsia" w:ascii="宋体" w:hAnsi="宋体" w:cs="宋体"/>
        </w:rPr>
      </w:pPr>
      <w:r>
        <w:rPr>
          <w:rFonts w:hint="eastAsia" w:ascii="宋体" w:hAnsi="宋体" w:cs="宋体"/>
        </w:rPr>
        <w:t>因承包人原因造成工期延误，逾期竣工违约金的上限：</w:t>
      </w:r>
      <w:r>
        <w:rPr>
          <w:rFonts w:hint="eastAsia" w:ascii="宋体" w:hAnsi="宋体" w:cs="宋体"/>
          <w:u w:val="single"/>
        </w:rPr>
        <w:t xml:space="preserve">逾期竣工违约金限额为合同价款的3%。 </w:t>
      </w:r>
    </w:p>
    <w:p>
      <w:pPr>
        <w:pStyle w:val="7"/>
        <w:widowControl w:val="0"/>
        <w:numPr>
          <w:ilvl w:val="2"/>
          <w:numId w:val="0"/>
        </w:numPr>
        <w:spacing w:line="360" w:lineRule="exact"/>
        <w:jc w:val="both"/>
        <w:rPr>
          <w:rFonts w:hint="eastAsia" w:ascii="宋体" w:hAnsi="宋体" w:cs="宋体"/>
          <w:sz w:val="28"/>
          <w:szCs w:val="28"/>
        </w:rPr>
      </w:pPr>
      <w:bookmarkStart w:id="719" w:name="_Toc6296"/>
      <w:bookmarkStart w:id="720" w:name="_Toc6924"/>
      <w:bookmarkStart w:id="721" w:name="_Toc1876"/>
      <w:bookmarkStart w:id="722" w:name="_Toc6741"/>
      <w:bookmarkStart w:id="723" w:name="_Toc29591"/>
      <w:bookmarkStart w:id="724" w:name="_Toc289"/>
      <w:r>
        <w:rPr>
          <w:rFonts w:hint="eastAsia" w:ascii="宋体" w:hAnsi="宋体" w:cs="宋体"/>
          <w:sz w:val="28"/>
          <w:szCs w:val="28"/>
        </w:rPr>
        <w:t>7.6 不利物质条件</w:t>
      </w:r>
      <w:bookmarkEnd w:id="719"/>
      <w:bookmarkEnd w:id="720"/>
      <w:bookmarkEnd w:id="721"/>
      <w:bookmarkEnd w:id="722"/>
      <w:bookmarkEnd w:id="723"/>
      <w:bookmarkEnd w:id="724"/>
    </w:p>
    <w:p>
      <w:pPr>
        <w:spacing w:line="360" w:lineRule="exact"/>
        <w:ind w:firstLine="420"/>
        <w:rPr>
          <w:rFonts w:hint="eastAsia" w:ascii="宋体" w:hAnsi="宋体" w:cs="宋体"/>
        </w:rPr>
      </w:pPr>
      <w:r>
        <w:rPr>
          <w:rFonts w:hint="eastAsia" w:ascii="宋体" w:hAnsi="宋体" w:cs="宋体"/>
        </w:rPr>
        <w:t>不利物质条件的其他情形和有关约定：</w:t>
      </w:r>
      <w:r>
        <w:rPr>
          <w:rFonts w:hint="eastAsia" w:ascii="宋体" w:hAnsi="宋体" w:cs="宋体"/>
          <w:u w:val="single"/>
        </w:rPr>
        <w:t xml:space="preserve">无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725" w:name="_Toc20340"/>
      <w:bookmarkStart w:id="726" w:name="_Toc15344"/>
      <w:bookmarkStart w:id="727" w:name="_Toc26987"/>
      <w:bookmarkStart w:id="728" w:name="_Toc26564"/>
      <w:bookmarkStart w:id="729" w:name="_Toc7913"/>
      <w:r>
        <w:rPr>
          <w:rFonts w:hint="eastAsia" w:ascii="宋体" w:hAnsi="宋体" w:cs="宋体"/>
          <w:sz w:val="28"/>
          <w:szCs w:val="28"/>
        </w:rPr>
        <w:t>7.7异常恶劣的气候条件</w:t>
      </w:r>
      <w:bookmarkEnd w:id="725"/>
      <w:bookmarkEnd w:id="726"/>
      <w:bookmarkEnd w:id="727"/>
      <w:bookmarkEnd w:id="728"/>
      <w:bookmarkEnd w:id="729"/>
    </w:p>
    <w:p>
      <w:pPr>
        <w:spacing w:line="360" w:lineRule="exact"/>
        <w:ind w:firstLine="420"/>
        <w:rPr>
          <w:rFonts w:hint="eastAsia" w:ascii="宋体" w:hAnsi="宋体" w:cs="宋体"/>
        </w:rPr>
      </w:pPr>
      <w:r>
        <w:rPr>
          <w:rFonts w:hint="eastAsia" w:ascii="宋体" w:hAnsi="宋体" w:cs="宋体"/>
        </w:rPr>
        <w:t>发包人和承包人同意以下情形视为异常恶劣的气候条件：</w:t>
      </w:r>
      <w:r>
        <w:rPr>
          <w:rFonts w:hint="eastAsia" w:ascii="宋体" w:hAnsi="宋体" w:cs="宋体"/>
          <w:u w:val="single"/>
        </w:rPr>
        <w:t xml:space="preserve">无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730" w:name="_Toc13424"/>
      <w:bookmarkStart w:id="731" w:name="_Toc30622"/>
      <w:bookmarkStart w:id="732" w:name="_Toc31112"/>
      <w:bookmarkStart w:id="733" w:name="_Toc24063"/>
      <w:bookmarkStart w:id="734" w:name="_Toc18021"/>
      <w:bookmarkStart w:id="735" w:name="_Toc32651"/>
      <w:r>
        <w:rPr>
          <w:rFonts w:hint="eastAsia" w:ascii="宋体" w:hAnsi="宋体" w:cs="宋体"/>
          <w:sz w:val="28"/>
          <w:szCs w:val="28"/>
        </w:rPr>
        <w:t>7.9 提前竣工的奖励</w:t>
      </w:r>
      <w:bookmarkEnd w:id="730"/>
      <w:bookmarkEnd w:id="731"/>
      <w:bookmarkEnd w:id="732"/>
      <w:bookmarkEnd w:id="733"/>
      <w:bookmarkEnd w:id="734"/>
      <w:bookmarkEnd w:id="735"/>
    </w:p>
    <w:p>
      <w:pPr>
        <w:spacing w:line="360" w:lineRule="exact"/>
        <w:ind w:firstLine="420"/>
        <w:rPr>
          <w:rFonts w:hint="eastAsia" w:ascii="宋体" w:hAnsi="宋体" w:cs="宋体"/>
        </w:rPr>
      </w:pPr>
      <w:r>
        <w:rPr>
          <w:rFonts w:hint="eastAsia" w:ascii="宋体" w:hAnsi="宋体" w:cs="宋体"/>
        </w:rPr>
        <w:t>7.9.2提前竣工的奖励：</w:t>
      </w:r>
      <w:r>
        <w:rPr>
          <w:rFonts w:hint="eastAsia" w:ascii="宋体" w:hAnsi="宋体" w:cs="宋体"/>
          <w:u w:val="single"/>
        </w:rPr>
        <w:t xml:space="preserve">提前不奖。 </w:t>
      </w:r>
    </w:p>
    <w:p>
      <w:pPr>
        <w:pStyle w:val="7"/>
        <w:widowControl w:val="0"/>
        <w:numPr>
          <w:ilvl w:val="2"/>
          <w:numId w:val="0"/>
        </w:numPr>
        <w:spacing w:line="360" w:lineRule="exact"/>
        <w:jc w:val="both"/>
        <w:rPr>
          <w:rFonts w:hint="eastAsia" w:ascii="宋体" w:hAnsi="宋体" w:cs="宋体"/>
          <w:sz w:val="28"/>
          <w:szCs w:val="28"/>
        </w:rPr>
      </w:pPr>
      <w:bookmarkStart w:id="736" w:name="_Toc498421088"/>
      <w:bookmarkStart w:id="737" w:name="_Toc31825"/>
      <w:bookmarkStart w:id="738" w:name="_Toc14602"/>
      <w:bookmarkStart w:id="739" w:name="_Toc14691"/>
      <w:bookmarkStart w:id="740" w:name="_Toc20453"/>
      <w:bookmarkStart w:id="741" w:name="_Toc421260795"/>
      <w:bookmarkStart w:id="742" w:name="_Toc23364"/>
      <w:bookmarkStart w:id="743" w:name="_Toc9224"/>
      <w:r>
        <w:rPr>
          <w:rFonts w:hint="eastAsia" w:ascii="宋体" w:hAnsi="宋体" w:cs="宋体"/>
          <w:sz w:val="28"/>
          <w:szCs w:val="28"/>
        </w:rPr>
        <w:t>8. 材料与设备</w:t>
      </w:r>
      <w:bookmarkEnd w:id="736"/>
      <w:bookmarkEnd w:id="737"/>
      <w:bookmarkEnd w:id="738"/>
      <w:bookmarkEnd w:id="739"/>
      <w:bookmarkEnd w:id="740"/>
      <w:bookmarkEnd w:id="741"/>
      <w:bookmarkEnd w:id="742"/>
      <w:bookmarkEnd w:id="743"/>
    </w:p>
    <w:p>
      <w:pPr>
        <w:pStyle w:val="7"/>
        <w:widowControl w:val="0"/>
        <w:numPr>
          <w:ilvl w:val="2"/>
          <w:numId w:val="0"/>
        </w:numPr>
        <w:spacing w:line="360" w:lineRule="exact"/>
        <w:jc w:val="both"/>
        <w:rPr>
          <w:rFonts w:hint="eastAsia" w:ascii="宋体" w:hAnsi="宋体" w:cs="宋体"/>
          <w:sz w:val="28"/>
          <w:szCs w:val="28"/>
        </w:rPr>
      </w:pPr>
      <w:bookmarkStart w:id="744" w:name="_Toc12090"/>
      <w:bookmarkStart w:id="745" w:name="_Toc7931"/>
      <w:bookmarkStart w:id="746" w:name="_Toc19054"/>
      <w:bookmarkStart w:id="747" w:name="_Toc10236"/>
      <w:bookmarkStart w:id="748" w:name="_Toc24588"/>
      <w:bookmarkStart w:id="749" w:name="_Toc21899"/>
      <w:r>
        <w:rPr>
          <w:rFonts w:hint="eastAsia" w:ascii="宋体" w:hAnsi="宋体" w:cs="宋体"/>
          <w:sz w:val="28"/>
          <w:szCs w:val="28"/>
        </w:rPr>
        <w:t>8.2承包人采购材料与工程设备</w:t>
      </w:r>
      <w:bookmarkEnd w:id="744"/>
      <w:bookmarkEnd w:id="745"/>
      <w:bookmarkEnd w:id="746"/>
      <w:bookmarkEnd w:id="747"/>
      <w:bookmarkEnd w:id="748"/>
      <w:bookmarkEnd w:id="749"/>
    </w:p>
    <w:p>
      <w:pPr>
        <w:spacing w:line="360" w:lineRule="exact"/>
        <w:ind w:firstLine="420"/>
        <w:rPr>
          <w:rFonts w:hint="eastAsia" w:ascii="宋体" w:hAnsi="宋体" w:cs="宋体"/>
        </w:rPr>
      </w:pPr>
      <w:r>
        <w:rPr>
          <w:rFonts w:hint="eastAsia" w:ascii="宋体" w:hAnsi="宋体" w:cs="宋体"/>
        </w:rPr>
        <w:t>8.2.1承包人采购材料设备的约定：</w:t>
      </w:r>
    </w:p>
    <w:p>
      <w:pPr>
        <w:spacing w:line="360" w:lineRule="exact"/>
        <w:ind w:firstLine="420"/>
        <w:rPr>
          <w:rFonts w:hint="eastAsia" w:ascii="宋体" w:hAnsi="宋体" w:cs="宋体"/>
          <w:u w:val="none"/>
        </w:rPr>
      </w:pPr>
      <w:r>
        <w:rPr>
          <w:rFonts w:hint="eastAsia" w:ascii="宋体" w:hAnsi="宋体" w:cs="宋体"/>
          <w:u w:val="none"/>
        </w:rPr>
        <w:t>（1）提供生产许可证、出厂合格证、质量检验证书、准用证并符合规范要求。</w:t>
      </w:r>
    </w:p>
    <w:p>
      <w:pPr>
        <w:spacing w:line="360" w:lineRule="exact"/>
        <w:ind w:firstLine="420"/>
        <w:rPr>
          <w:rFonts w:hint="eastAsia" w:ascii="宋体" w:hAnsi="宋体" w:cs="宋体"/>
          <w:b/>
          <w:szCs w:val="21"/>
          <w:u w:val="none"/>
        </w:rPr>
      </w:pPr>
      <w:r>
        <w:rPr>
          <w:rFonts w:hint="eastAsia" w:ascii="宋体" w:hAnsi="宋体" w:cs="宋体"/>
          <w:u w:val="none"/>
        </w:rPr>
        <w:t>（2）规格、型号、色彩必须符合该工程的设计要求。</w:t>
      </w:r>
    </w:p>
    <w:p>
      <w:pPr>
        <w:pStyle w:val="7"/>
        <w:widowControl w:val="0"/>
        <w:numPr>
          <w:ilvl w:val="2"/>
          <w:numId w:val="0"/>
        </w:numPr>
        <w:spacing w:line="360" w:lineRule="exact"/>
        <w:jc w:val="both"/>
        <w:rPr>
          <w:rFonts w:hint="eastAsia" w:ascii="宋体" w:hAnsi="宋体" w:cs="宋体"/>
          <w:sz w:val="28"/>
          <w:szCs w:val="28"/>
        </w:rPr>
      </w:pPr>
      <w:bookmarkStart w:id="750" w:name="_Toc26062"/>
      <w:bookmarkStart w:id="751" w:name="_Toc32629"/>
      <w:bookmarkStart w:id="752" w:name="_Toc684"/>
      <w:bookmarkStart w:id="753" w:name="_Toc31651"/>
      <w:bookmarkStart w:id="754" w:name="_Toc9372"/>
      <w:r>
        <w:rPr>
          <w:rFonts w:hint="eastAsia" w:ascii="宋体" w:hAnsi="宋体" w:cs="宋体"/>
          <w:sz w:val="28"/>
          <w:szCs w:val="28"/>
        </w:rPr>
        <w:t>8.4材料与工程设备的保管与使用</w:t>
      </w:r>
      <w:bookmarkEnd w:id="750"/>
      <w:bookmarkEnd w:id="751"/>
      <w:bookmarkEnd w:id="752"/>
      <w:bookmarkEnd w:id="753"/>
      <w:bookmarkEnd w:id="754"/>
    </w:p>
    <w:p>
      <w:pPr>
        <w:spacing w:line="360" w:lineRule="exact"/>
        <w:ind w:firstLine="420"/>
        <w:rPr>
          <w:rFonts w:hint="eastAsia" w:ascii="宋体" w:hAnsi="宋体" w:cs="宋体"/>
          <w:u w:val="single"/>
        </w:rPr>
      </w:pPr>
      <w:r>
        <w:rPr>
          <w:rFonts w:hint="eastAsia" w:ascii="宋体" w:hAnsi="宋体" w:cs="宋体"/>
        </w:rPr>
        <w:t>8.4.1发包人供应的材料设备的保管费用的承担：</w:t>
      </w:r>
      <w:r>
        <w:rPr>
          <w:rFonts w:hint="eastAsia" w:ascii="宋体" w:hAnsi="宋体" w:cs="宋体"/>
          <w:u w:val="single"/>
        </w:rPr>
        <w:t xml:space="preserve">由承包人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755" w:name="_Toc27995"/>
      <w:bookmarkStart w:id="756" w:name="_Toc14333"/>
      <w:bookmarkStart w:id="757" w:name="_Toc19412"/>
      <w:bookmarkStart w:id="758" w:name="_Toc10480"/>
      <w:bookmarkStart w:id="759" w:name="_Toc17552"/>
      <w:bookmarkStart w:id="760" w:name="_Toc8864"/>
      <w:r>
        <w:rPr>
          <w:rFonts w:hint="eastAsia" w:ascii="宋体" w:hAnsi="宋体" w:cs="宋体"/>
          <w:sz w:val="28"/>
          <w:szCs w:val="28"/>
        </w:rPr>
        <w:t>8.6 样品</w:t>
      </w:r>
      <w:bookmarkEnd w:id="755"/>
      <w:bookmarkEnd w:id="756"/>
      <w:bookmarkEnd w:id="757"/>
      <w:bookmarkEnd w:id="758"/>
      <w:bookmarkEnd w:id="759"/>
      <w:bookmarkEnd w:id="760"/>
    </w:p>
    <w:p>
      <w:pPr>
        <w:autoSpaceDE w:val="0"/>
        <w:autoSpaceDN w:val="0"/>
        <w:adjustRightInd w:val="0"/>
        <w:spacing w:line="360" w:lineRule="exact"/>
        <w:ind w:firstLine="420"/>
        <w:rPr>
          <w:rFonts w:hint="eastAsia" w:ascii="宋体" w:hAnsi="宋体" w:cs="宋体"/>
          <w:szCs w:val="21"/>
        </w:rPr>
      </w:pPr>
      <w:r>
        <w:rPr>
          <w:rFonts w:hint="eastAsia" w:ascii="宋体" w:hAnsi="宋体" w:cs="宋体"/>
          <w:szCs w:val="21"/>
        </w:rPr>
        <w:t>8.6.1 样品的报送与封存</w:t>
      </w:r>
    </w:p>
    <w:p>
      <w:pPr>
        <w:spacing w:line="360" w:lineRule="auto"/>
        <w:ind w:firstLine="420" w:firstLineChars="200"/>
        <w:jc w:val="both"/>
        <w:rPr>
          <w:rFonts w:hint="default" w:ascii="Arial" w:hAnsi="Arial" w:cs="Arial"/>
          <w:sz w:val="21"/>
          <w:szCs w:val="21"/>
        </w:rPr>
      </w:pPr>
      <w:bookmarkStart w:id="761" w:name="_Toc23114"/>
      <w:bookmarkStart w:id="762" w:name="_Toc31605"/>
      <w:bookmarkStart w:id="763" w:name="_Toc19211"/>
      <w:bookmarkStart w:id="764" w:name="_Toc26413"/>
      <w:bookmarkStart w:id="765" w:name="_Toc28540"/>
      <w:bookmarkStart w:id="766" w:name="_Toc22597"/>
      <w:r>
        <w:rPr>
          <w:rFonts w:hint="default" w:ascii="Arial" w:hAnsi="Arial" w:cs="Arial"/>
          <w:sz w:val="21"/>
          <w:szCs w:val="21"/>
        </w:rPr>
        <w:t>需要承包人报送样品的材料或工程设备，样品的种类、名称、规格、数量要求：</w:t>
      </w:r>
    </w:p>
    <w:p>
      <w:pPr>
        <w:spacing w:line="360" w:lineRule="auto"/>
        <w:ind w:firstLine="420"/>
        <w:jc w:val="both"/>
        <w:rPr>
          <w:rFonts w:hint="default" w:ascii="Arial" w:hAnsi="Arial" w:cs="Arial"/>
          <w:b w:val="0"/>
          <w:bCs/>
          <w:color w:val="auto"/>
          <w:sz w:val="21"/>
          <w:szCs w:val="21"/>
          <w:u w:val="single"/>
        </w:rPr>
      </w:pPr>
      <w:r>
        <w:rPr>
          <w:rFonts w:hint="default" w:ascii="Arial" w:hAnsi="Arial" w:cs="Arial"/>
          <w:b w:val="0"/>
          <w:bCs/>
          <w:color w:val="auto"/>
          <w:sz w:val="21"/>
          <w:szCs w:val="21"/>
          <w:u w:val="single"/>
        </w:rPr>
        <w:t>1）承包人提供样品的材料或工程设备品牌档次应“相当”或“高于”发包人对材料品牌的要求。</w:t>
      </w:r>
    </w:p>
    <w:p>
      <w:pPr>
        <w:spacing w:line="360" w:lineRule="auto"/>
        <w:ind w:firstLine="420"/>
        <w:jc w:val="both"/>
        <w:rPr>
          <w:rFonts w:hint="default" w:ascii="Arial" w:hAnsi="Arial" w:cs="Arial"/>
          <w:b w:val="0"/>
          <w:bCs/>
          <w:color w:val="auto"/>
          <w:sz w:val="21"/>
          <w:szCs w:val="21"/>
          <w:u w:val="single"/>
        </w:rPr>
      </w:pPr>
      <w:r>
        <w:rPr>
          <w:rFonts w:hint="default" w:ascii="Arial" w:hAnsi="Arial" w:cs="Arial"/>
          <w:b w:val="0"/>
          <w:bCs/>
          <w:color w:val="auto"/>
          <w:sz w:val="21"/>
          <w:szCs w:val="21"/>
          <w:u w:val="single"/>
        </w:rPr>
        <w:t>2）对发包人在</w:t>
      </w:r>
      <w:r>
        <w:rPr>
          <w:rFonts w:hint="eastAsia" w:ascii="Arial" w:hAnsi="Arial" w:cs="Arial"/>
          <w:b w:val="0"/>
          <w:bCs/>
          <w:color w:val="auto"/>
          <w:sz w:val="21"/>
          <w:szCs w:val="21"/>
          <w:u w:val="single"/>
          <w:lang w:eastAsia="zh-CN"/>
        </w:rPr>
        <w:t>磋商</w:t>
      </w:r>
      <w:r>
        <w:rPr>
          <w:rFonts w:hint="default" w:ascii="Arial" w:hAnsi="Arial" w:cs="Arial"/>
          <w:b w:val="0"/>
          <w:bCs/>
          <w:color w:val="auto"/>
          <w:sz w:val="21"/>
          <w:szCs w:val="21"/>
          <w:u w:val="single"/>
        </w:rPr>
        <w:t>文件中已明确的材料、设备，承包人应在材料、设备进场前应提供具体产品的品牌、型号、技术参数、质量等级、产地书面提交发包人备案。</w:t>
      </w:r>
    </w:p>
    <w:p>
      <w:pPr>
        <w:spacing w:line="360" w:lineRule="auto"/>
        <w:ind w:firstLine="420"/>
        <w:jc w:val="both"/>
        <w:rPr>
          <w:rFonts w:hint="default" w:ascii="Arial" w:hAnsi="Arial" w:cs="Arial"/>
          <w:b w:val="0"/>
          <w:bCs/>
          <w:color w:val="auto"/>
          <w:sz w:val="21"/>
          <w:szCs w:val="21"/>
          <w:u w:val="single"/>
        </w:rPr>
      </w:pPr>
      <w:r>
        <w:rPr>
          <w:rFonts w:hint="default" w:ascii="Arial" w:hAnsi="Arial" w:cs="Arial"/>
          <w:b w:val="0"/>
          <w:bCs/>
          <w:color w:val="auto"/>
          <w:sz w:val="21"/>
          <w:szCs w:val="21"/>
          <w:u w:val="single"/>
        </w:rPr>
        <w:t>3）对发包人在</w:t>
      </w:r>
      <w:r>
        <w:rPr>
          <w:rFonts w:hint="eastAsia" w:ascii="Arial" w:hAnsi="Arial" w:cs="Arial"/>
          <w:b w:val="0"/>
          <w:bCs/>
          <w:color w:val="auto"/>
          <w:sz w:val="21"/>
          <w:szCs w:val="21"/>
          <w:u w:val="single"/>
          <w:lang w:eastAsia="zh-CN"/>
        </w:rPr>
        <w:t>磋商</w:t>
      </w:r>
      <w:r>
        <w:rPr>
          <w:rFonts w:hint="default" w:ascii="Arial" w:hAnsi="Arial" w:cs="Arial"/>
          <w:b w:val="0"/>
          <w:bCs/>
          <w:color w:val="auto"/>
          <w:sz w:val="21"/>
          <w:szCs w:val="21"/>
          <w:u w:val="single"/>
        </w:rPr>
        <w:t>文件中未明确的材料、设备，承包人在材料、设备进场前应提供三种或三种以上品牌、型号的产品供发包人选择,承包人对项目中所使用的主要设备、材料的采购其品牌、型号、技术参数、质量等级、产地及价格须经发包人书面同意，并须符合有关规定。</w:t>
      </w:r>
    </w:p>
    <w:p>
      <w:pPr>
        <w:spacing w:line="360" w:lineRule="auto"/>
        <w:ind w:firstLine="420"/>
        <w:jc w:val="both"/>
        <w:rPr>
          <w:rFonts w:hint="default" w:ascii="Arial" w:hAnsi="Arial" w:cs="Arial"/>
          <w:b w:val="0"/>
          <w:bCs/>
          <w:color w:val="auto"/>
          <w:sz w:val="21"/>
          <w:szCs w:val="21"/>
          <w:u w:val="single"/>
        </w:rPr>
      </w:pPr>
      <w:r>
        <w:rPr>
          <w:rFonts w:hint="default" w:ascii="Arial" w:hAnsi="Arial" w:cs="Arial"/>
          <w:b w:val="0"/>
          <w:bCs/>
          <w:color w:val="auto"/>
          <w:sz w:val="21"/>
          <w:szCs w:val="21"/>
          <w:u w:val="single"/>
        </w:rPr>
        <w:t>4）承包人在投标书中已明确的材料品牌、型号、技术参数、质量等级、产地等，原则上不予更换。如需更换则以书面资料申请，并不得低于原投标品牌及符合有关规定，再征得发包人书面同意后，方能予以更换。</w:t>
      </w:r>
    </w:p>
    <w:p>
      <w:pPr>
        <w:pStyle w:val="7"/>
        <w:widowControl w:val="0"/>
        <w:numPr>
          <w:ilvl w:val="2"/>
          <w:numId w:val="0"/>
        </w:numPr>
        <w:spacing w:line="360" w:lineRule="exact"/>
        <w:jc w:val="both"/>
        <w:rPr>
          <w:rFonts w:hint="eastAsia" w:ascii="宋体" w:hAnsi="宋体" w:cs="宋体"/>
          <w:sz w:val="28"/>
          <w:szCs w:val="28"/>
        </w:rPr>
      </w:pPr>
      <w:r>
        <w:rPr>
          <w:rFonts w:hint="eastAsia" w:ascii="宋体" w:hAnsi="宋体" w:cs="宋体"/>
          <w:sz w:val="28"/>
          <w:szCs w:val="28"/>
        </w:rPr>
        <w:t>8.8 施工设备和临时设施</w:t>
      </w:r>
      <w:bookmarkEnd w:id="761"/>
      <w:bookmarkEnd w:id="762"/>
      <w:bookmarkEnd w:id="763"/>
      <w:bookmarkEnd w:id="764"/>
      <w:bookmarkEnd w:id="765"/>
      <w:bookmarkEnd w:id="766"/>
    </w:p>
    <w:p>
      <w:pPr>
        <w:spacing w:line="360" w:lineRule="exact"/>
        <w:ind w:firstLine="420"/>
        <w:rPr>
          <w:rFonts w:hint="eastAsia" w:ascii="宋体" w:hAnsi="宋体" w:cs="宋体"/>
        </w:rPr>
      </w:pPr>
      <w:r>
        <w:rPr>
          <w:rFonts w:hint="eastAsia" w:ascii="宋体" w:hAnsi="宋体" w:cs="宋体"/>
        </w:rPr>
        <w:t>8.8.1 承包人提供的施工设备和临时设施</w:t>
      </w:r>
    </w:p>
    <w:p>
      <w:pPr>
        <w:spacing w:line="360" w:lineRule="exact"/>
        <w:ind w:firstLine="420"/>
        <w:rPr>
          <w:rFonts w:hint="eastAsia" w:ascii="宋体" w:hAnsi="宋体" w:cs="宋体"/>
          <w:u w:val="single"/>
        </w:rPr>
      </w:pPr>
      <w:r>
        <w:rPr>
          <w:rFonts w:hint="eastAsia" w:ascii="宋体" w:hAnsi="宋体" w:cs="宋体"/>
        </w:rPr>
        <w:t>关于修建临时设施费用承担的约定：</w:t>
      </w:r>
      <w:r>
        <w:rPr>
          <w:rFonts w:hint="eastAsia" w:ascii="宋体" w:hAnsi="宋体" w:cs="宋体"/>
          <w:u w:val="single"/>
        </w:rPr>
        <w:t xml:space="preserve">由承包人承担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767" w:name="_Toc26677"/>
      <w:bookmarkStart w:id="768" w:name="_Toc13702"/>
      <w:bookmarkStart w:id="769" w:name="_Toc498421089"/>
      <w:bookmarkStart w:id="770" w:name="_Toc27188"/>
      <w:bookmarkStart w:id="771" w:name="_Toc21810"/>
      <w:bookmarkStart w:id="772" w:name="_Toc421260796"/>
      <w:bookmarkStart w:id="773" w:name="_Toc3556"/>
      <w:bookmarkStart w:id="774" w:name="_Toc30626"/>
      <w:r>
        <w:rPr>
          <w:rFonts w:hint="eastAsia" w:ascii="宋体" w:hAnsi="宋体" w:cs="宋体"/>
          <w:sz w:val="28"/>
          <w:szCs w:val="28"/>
        </w:rPr>
        <w:t>9. 试验与检验</w:t>
      </w:r>
      <w:bookmarkEnd w:id="767"/>
      <w:bookmarkEnd w:id="768"/>
      <w:bookmarkEnd w:id="769"/>
      <w:bookmarkEnd w:id="770"/>
      <w:bookmarkEnd w:id="771"/>
      <w:bookmarkEnd w:id="772"/>
      <w:bookmarkEnd w:id="773"/>
      <w:bookmarkEnd w:id="774"/>
    </w:p>
    <w:p>
      <w:pPr>
        <w:pStyle w:val="7"/>
        <w:widowControl w:val="0"/>
        <w:numPr>
          <w:ilvl w:val="2"/>
          <w:numId w:val="0"/>
        </w:numPr>
        <w:spacing w:line="360" w:lineRule="exact"/>
        <w:jc w:val="both"/>
        <w:rPr>
          <w:rFonts w:hint="eastAsia" w:ascii="宋体" w:hAnsi="宋体" w:cs="宋体"/>
          <w:sz w:val="28"/>
          <w:szCs w:val="28"/>
        </w:rPr>
      </w:pPr>
      <w:bookmarkStart w:id="775" w:name="_Toc16335"/>
      <w:bookmarkStart w:id="776" w:name="_Toc5914"/>
      <w:bookmarkStart w:id="777" w:name="_Toc22921"/>
      <w:bookmarkStart w:id="778" w:name="_Toc29790"/>
      <w:bookmarkStart w:id="779" w:name="_Toc1597"/>
      <w:bookmarkStart w:id="780" w:name="_Toc14168"/>
      <w:r>
        <w:rPr>
          <w:rFonts w:hint="eastAsia" w:ascii="宋体" w:hAnsi="宋体" w:cs="宋体"/>
          <w:sz w:val="28"/>
          <w:szCs w:val="28"/>
        </w:rPr>
        <w:t>9.1试验设备与试验人员</w:t>
      </w:r>
      <w:bookmarkEnd w:id="775"/>
      <w:bookmarkEnd w:id="776"/>
      <w:bookmarkEnd w:id="777"/>
      <w:bookmarkEnd w:id="778"/>
      <w:bookmarkEnd w:id="779"/>
      <w:bookmarkEnd w:id="780"/>
    </w:p>
    <w:p>
      <w:pPr>
        <w:spacing w:line="360" w:lineRule="exact"/>
        <w:ind w:firstLine="420"/>
        <w:rPr>
          <w:rFonts w:hint="eastAsia" w:ascii="宋体" w:hAnsi="宋体" w:cs="宋体"/>
        </w:rPr>
      </w:pPr>
      <w:r>
        <w:rPr>
          <w:rFonts w:hint="eastAsia" w:ascii="宋体" w:hAnsi="宋体" w:cs="宋体"/>
        </w:rPr>
        <w:t>9.1.2 试验设备</w:t>
      </w:r>
    </w:p>
    <w:p>
      <w:pPr>
        <w:spacing w:line="360" w:lineRule="exact"/>
        <w:ind w:firstLine="420"/>
        <w:rPr>
          <w:rFonts w:hint="eastAsia" w:ascii="宋体" w:hAnsi="宋体" w:cs="宋体"/>
          <w:u w:val="single"/>
        </w:rPr>
      </w:pPr>
      <w:r>
        <w:rPr>
          <w:rFonts w:hint="eastAsia" w:ascii="宋体" w:hAnsi="宋体" w:cs="宋体"/>
        </w:rPr>
        <w:t>施工现场需要配置的试验场所：</w:t>
      </w:r>
      <w:r>
        <w:rPr>
          <w:rFonts w:hint="eastAsia" w:ascii="宋体" w:hAnsi="宋体" w:cs="宋体"/>
          <w:u w:val="single"/>
        </w:rPr>
        <w:t>按相关规定、规范执行</w:t>
      </w:r>
      <w:r>
        <w:rPr>
          <w:rFonts w:hint="eastAsia" w:ascii="宋体" w:hAnsi="宋体" w:cs="宋体"/>
        </w:rPr>
        <w:t>。</w:t>
      </w:r>
    </w:p>
    <w:p>
      <w:pPr>
        <w:spacing w:line="360" w:lineRule="exact"/>
        <w:ind w:firstLine="420"/>
        <w:rPr>
          <w:rFonts w:hint="eastAsia" w:ascii="宋体" w:hAnsi="宋体" w:cs="宋体"/>
          <w:u w:val="single"/>
        </w:rPr>
      </w:pPr>
      <w:r>
        <w:rPr>
          <w:rFonts w:hint="eastAsia" w:ascii="宋体" w:hAnsi="宋体" w:cs="宋体"/>
        </w:rPr>
        <w:t>施工现场需要配备的试验设备：</w:t>
      </w:r>
      <w:r>
        <w:rPr>
          <w:rFonts w:hint="eastAsia" w:ascii="宋体" w:hAnsi="宋体" w:cs="宋体"/>
          <w:u w:val="single"/>
        </w:rPr>
        <w:t>按相关规定、规范执行</w:t>
      </w:r>
      <w:r>
        <w:rPr>
          <w:rFonts w:hint="eastAsia" w:ascii="宋体" w:hAnsi="宋体" w:cs="宋体"/>
        </w:rPr>
        <w:t>。</w:t>
      </w:r>
    </w:p>
    <w:p>
      <w:pPr>
        <w:spacing w:line="360" w:lineRule="exact"/>
        <w:ind w:firstLine="420"/>
        <w:rPr>
          <w:rFonts w:hint="eastAsia" w:ascii="宋体" w:hAnsi="宋体" w:cs="宋体"/>
          <w:u w:val="single"/>
        </w:rPr>
      </w:pPr>
      <w:r>
        <w:rPr>
          <w:rFonts w:hint="eastAsia" w:ascii="宋体" w:hAnsi="宋体" w:cs="宋体"/>
        </w:rPr>
        <w:t>施工现场需要具备的其他试验条件：</w:t>
      </w:r>
      <w:r>
        <w:rPr>
          <w:rFonts w:hint="eastAsia" w:ascii="宋体" w:hAnsi="宋体" w:cs="宋体"/>
          <w:u w:val="single"/>
        </w:rPr>
        <w:t>按相关规定、规范执行</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781" w:name="_Toc24307"/>
      <w:bookmarkStart w:id="782" w:name="_Toc18141"/>
      <w:bookmarkStart w:id="783" w:name="_Toc28367"/>
      <w:bookmarkStart w:id="784" w:name="_Toc11125"/>
      <w:bookmarkStart w:id="785" w:name="_Toc24908"/>
      <w:bookmarkStart w:id="786" w:name="_Toc32461"/>
      <w:r>
        <w:rPr>
          <w:rFonts w:hint="eastAsia" w:ascii="宋体" w:hAnsi="宋体" w:cs="宋体"/>
          <w:sz w:val="28"/>
          <w:szCs w:val="28"/>
        </w:rPr>
        <w:t>9.4 现场工艺试验</w:t>
      </w:r>
      <w:bookmarkEnd w:id="781"/>
      <w:bookmarkEnd w:id="782"/>
      <w:bookmarkEnd w:id="783"/>
      <w:bookmarkEnd w:id="784"/>
      <w:bookmarkEnd w:id="785"/>
      <w:bookmarkEnd w:id="786"/>
      <w:r>
        <w:rPr>
          <w:rFonts w:hint="eastAsia" w:ascii="宋体" w:hAnsi="宋体" w:cs="宋体"/>
          <w:sz w:val="28"/>
          <w:szCs w:val="28"/>
        </w:rPr>
        <w:t xml:space="preserve"> </w:t>
      </w:r>
    </w:p>
    <w:p>
      <w:pPr>
        <w:spacing w:line="360" w:lineRule="exact"/>
        <w:ind w:firstLine="420"/>
        <w:rPr>
          <w:rFonts w:hint="eastAsia" w:ascii="宋体" w:hAnsi="宋体" w:cs="宋体"/>
          <w:u w:val="single"/>
        </w:rPr>
      </w:pPr>
      <w:r>
        <w:rPr>
          <w:rFonts w:hint="eastAsia" w:ascii="宋体" w:hAnsi="宋体" w:cs="宋体"/>
        </w:rPr>
        <w:t>现场工艺试验的有关约定：</w:t>
      </w:r>
      <w:r>
        <w:rPr>
          <w:rFonts w:hint="eastAsia" w:ascii="宋体" w:hAnsi="宋体" w:cs="宋体"/>
          <w:u w:val="single"/>
        </w:rPr>
        <w:t xml:space="preserve">无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787" w:name="_Toc421260797"/>
      <w:bookmarkStart w:id="788" w:name="_Toc17920"/>
      <w:bookmarkStart w:id="789" w:name="_Toc23807"/>
      <w:bookmarkStart w:id="790" w:name="_Toc854"/>
      <w:bookmarkStart w:id="791" w:name="_Toc19021"/>
      <w:bookmarkStart w:id="792" w:name="_Toc498421090"/>
      <w:bookmarkStart w:id="793" w:name="_Toc30387"/>
      <w:bookmarkStart w:id="794" w:name="_Toc5270"/>
      <w:r>
        <w:rPr>
          <w:rFonts w:hint="eastAsia" w:ascii="宋体" w:hAnsi="宋体" w:cs="宋体"/>
          <w:sz w:val="28"/>
          <w:szCs w:val="28"/>
        </w:rPr>
        <w:t>10. 变更</w:t>
      </w:r>
      <w:bookmarkEnd w:id="787"/>
      <w:bookmarkEnd w:id="788"/>
      <w:bookmarkEnd w:id="789"/>
      <w:bookmarkEnd w:id="790"/>
      <w:bookmarkEnd w:id="791"/>
      <w:bookmarkEnd w:id="792"/>
      <w:bookmarkEnd w:id="793"/>
      <w:bookmarkEnd w:id="794"/>
    </w:p>
    <w:p>
      <w:pPr>
        <w:pStyle w:val="7"/>
        <w:widowControl w:val="0"/>
        <w:numPr>
          <w:ilvl w:val="2"/>
          <w:numId w:val="0"/>
        </w:numPr>
        <w:spacing w:line="360" w:lineRule="exact"/>
        <w:jc w:val="both"/>
        <w:rPr>
          <w:rFonts w:hint="eastAsia" w:ascii="宋体" w:hAnsi="宋体" w:cs="宋体"/>
          <w:sz w:val="28"/>
          <w:szCs w:val="28"/>
        </w:rPr>
      </w:pPr>
      <w:bookmarkStart w:id="795" w:name="_Toc5742"/>
      <w:bookmarkStart w:id="796" w:name="_Toc16771"/>
      <w:bookmarkStart w:id="797" w:name="_Toc1507"/>
      <w:bookmarkStart w:id="798" w:name="_Toc14125"/>
      <w:bookmarkStart w:id="799" w:name="_Toc11164"/>
      <w:bookmarkStart w:id="800" w:name="_Toc1150"/>
      <w:r>
        <w:rPr>
          <w:rFonts w:hint="eastAsia" w:ascii="宋体" w:hAnsi="宋体" w:cs="宋体"/>
          <w:sz w:val="28"/>
          <w:szCs w:val="28"/>
        </w:rPr>
        <w:t>10.1变更的范围</w:t>
      </w:r>
      <w:bookmarkEnd w:id="795"/>
      <w:bookmarkEnd w:id="796"/>
      <w:bookmarkEnd w:id="797"/>
      <w:bookmarkEnd w:id="798"/>
      <w:bookmarkEnd w:id="799"/>
      <w:bookmarkEnd w:id="800"/>
    </w:p>
    <w:p>
      <w:pPr>
        <w:spacing w:line="360" w:lineRule="exact"/>
        <w:ind w:firstLine="420"/>
        <w:rPr>
          <w:rFonts w:hint="eastAsia" w:ascii="宋体" w:hAnsi="宋体" w:cs="宋体"/>
          <w:szCs w:val="21"/>
        </w:rPr>
      </w:pPr>
      <w:r>
        <w:rPr>
          <w:rFonts w:hint="eastAsia" w:ascii="宋体" w:hAnsi="宋体" w:cs="宋体"/>
          <w:szCs w:val="21"/>
        </w:rPr>
        <w:t>关于变更的范围的约定：</w:t>
      </w:r>
      <w:r>
        <w:rPr>
          <w:rFonts w:hint="eastAsia" w:ascii="宋体" w:hAnsi="宋体" w:cs="宋体"/>
          <w:u w:val="single"/>
        </w:rPr>
        <w:t xml:space="preserve">设计变更应由发包人委托原设计人修改，其他任何单位不得擅自修改，并经监理、发包人代表签证，由发包人报审图单位审批后实施，重大变更尚需报规划建设部门备案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801" w:name="_Toc15365"/>
      <w:bookmarkStart w:id="802" w:name="_Toc30419"/>
      <w:bookmarkStart w:id="803" w:name="_Toc27085"/>
      <w:bookmarkStart w:id="804" w:name="_Toc29487"/>
      <w:bookmarkStart w:id="805" w:name="_Toc7977"/>
      <w:bookmarkStart w:id="806" w:name="_Toc21104"/>
      <w:r>
        <w:rPr>
          <w:rFonts w:hint="eastAsia" w:ascii="宋体" w:hAnsi="宋体" w:cs="宋体"/>
          <w:sz w:val="28"/>
          <w:szCs w:val="28"/>
        </w:rPr>
        <w:t>10.4 变更估价</w:t>
      </w:r>
      <w:bookmarkEnd w:id="801"/>
      <w:bookmarkEnd w:id="802"/>
      <w:bookmarkEnd w:id="803"/>
      <w:bookmarkEnd w:id="804"/>
      <w:bookmarkEnd w:id="805"/>
      <w:bookmarkEnd w:id="806"/>
    </w:p>
    <w:p>
      <w:pPr>
        <w:spacing w:line="360" w:lineRule="exact"/>
        <w:ind w:firstLine="420"/>
        <w:rPr>
          <w:rFonts w:hint="eastAsia" w:ascii="宋体" w:hAnsi="宋体" w:cs="宋体"/>
        </w:rPr>
      </w:pPr>
      <w:r>
        <w:rPr>
          <w:rFonts w:hint="eastAsia" w:ascii="宋体" w:hAnsi="宋体" w:cs="宋体"/>
        </w:rPr>
        <w:t>10.4.1 变更估价原则</w:t>
      </w:r>
    </w:p>
    <w:p>
      <w:pPr>
        <w:spacing w:line="360" w:lineRule="exact"/>
        <w:ind w:firstLine="420"/>
        <w:rPr>
          <w:rFonts w:hint="eastAsia" w:ascii="宋体" w:hAnsi="宋体" w:cs="宋体"/>
          <w:u w:val="single"/>
        </w:rPr>
      </w:pPr>
      <w:r>
        <w:rPr>
          <w:rFonts w:hint="eastAsia" w:ascii="宋体" w:hAnsi="宋体" w:cs="宋体"/>
        </w:rPr>
        <w:t xml:space="preserve">关于变更估价的约定: </w:t>
      </w:r>
      <w:r>
        <w:rPr>
          <w:rFonts w:hint="eastAsia" w:ascii="宋体" w:hAnsi="宋体" w:cs="宋体"/>
          <w:u w:val="single"/>
        </w:rPr>
        <w:t xml:space="preserve">按本磋商文件专用合同条款第1.13款执行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807" w:name="_Toc6507"/>
      <w:bookmarkStart w:id="808" w:name="_Toc28918"/>
      <w:bookmarkStart w:id="809" w:name="_Toc13794"/>
      <w:bookmarkStart w:id="810" w:name="_Toc31049"/>
      <w:bookmarkStart w:id="811" w:name="_Toc25984"/>
      <w:bookmarkStart w:id="812" w:name="_Toc24153"/>
      <w:r>
        <w:rPr>
          <w:rFonts w:hint="eastAsia" w:ascii="宋体" w:hAnsi="宋体" w:cs="宋体"/>
          <w:sz w:val="28"/>
          <w:szCs w:val="28"/>
        </w:rPr>
        <w:t>10.5承包人的合理化建议</w:t>
      </w:r>
      <w:bookmarkEnd w:id="807"/>
      <w:bookmarkEnd w:id="808"/>
      <w:bookmarkEnd w:id="809"/>
      <w:bookmarkEnd w:id="810"/>
      <w:bookmarkEnd w:id="811"/>
      <w:bookmarkEnd w:id="812"/>
    </w:p>
    <w:p>
      <w:pPr>
        <w:spacing w:line="360" w:lineRule="auto"/>
        <w:ind w:firstLine="420" w:firstLineChars="200"/>
        <w:jc w:val="both"/>
        <w:rPr>
          <w:rFonts w:hint="default" w:ascii="Arial" w:hAnsi="Arial" w:cs="Arial"/>
          <w:b w:val="0"/>
          <w:bCs/>
          <w:color w:val="auto"/>
          <w:sz w:val="21"/>
          <w:szCs w:val="21"/>
          <w:u w:val="single"/>
        </w:rPr>
      </w:pPr>
      <w:r>
        <w:rPr>
          <w:rFonts w:hint="default" w:ascii="Arial" w:hAnsi="Arial" w:cs="Arial"/>
          <w:sz w:val="21"/>
          <w:szCs w:val="21"/>
        </w:rPr>
        <w:t>监理人审查承包人合理化建议的期限：</w:t>
      </w:r>
      <w:r>
        <w:rPr>
          <w:rFonts w:hint="default" w:ascii="Arial" w:hAnsi="Arial" w:cs="Arial"/>
          <w:b w:val="0"/>
          <w:bCs/>
          <w:color w:val="auto"/>
          <w:sz w:val="21"/>
          <w:szCs w:val="21"/>
          <w:u w:val="single"/>
        </w:rPr>
        <w:t>按通用条款执行。</w:t>
      </w:r>
    </w:p>
    <w:p>
      <w:pPr>
        <w:spacing w:line="360" w:lineRule="auto"/>
        <w:ind w:firstLine="420" w:firstLineChars="200"/>
        <w:jc w:val="both"/>
        <w:rPr>
          <w:rFonts w:hint="default" w:ascii="Arial" w:hAnsi="Arial" w:cs="Arial"/>
          <w:b w:val="0"/>
          <w:bCs/>
          <w:color w:val="auto"/>
          <w:sz w:val="21"/>
          <w:szCs w:val="21"/>
        </w:rPr>
      </w:pPr>
      <w:r>
        <w:rPr>
          <w:rFonts w:hint="default" w:ascii="Arial" w:hAnsi="Arial" w:cs="Arial"/>
          <w:b w:val="0"/>
          <w:bCs/>
          <w:color w:val="auto"/>
          <w:sz w:val="21"/>
          <w:szCs w:val="21"/>
        </w:rPr>
        <w:t>发包人审批承包人合理化建议的期限</w:t>
      </w:r>
      <w:r>
        <w:rPr>
          <w:rFonts w:hint="default" w:ascii="Arial" w:hAnsi="Arial" w:cs="Arial"/>
          <w:b w:val="0"/>
          <w:bCs/>
          <w:color w:val="auto"/>
          <w:sz w:val="21"/>
          <w:szCs w:val="21"/>
          <w:u w:val="single"/>
        </w:rPr>
        <w:t>按通用条款执行</w:t>
      </w:r>
      <w:r>
        <w:rPr>
          <w:rFonts w:hint="default" w:ascii="Arial" w:hAnsi="Arial" w:cs="Arial"/>
          <w:b w:val="0"/>
          <w:bCs/>
          <w:color w:val="auto"/>
          <w:sz w:val="21"/>
          <w:szCs w:val="21"/>
        </w:rPr>
        <w:t>。</w:t>
      </w:r>
    </w:p>
    <w:p>
      <w:pPr>
        <w:spacing w:line="360" w:lineRule="auto"/>
        <w:ind w:firstLine="420" w:firstLineChars="200"/>
        <w:jc w:val="both"/>
        <w:rPr>
          <w:rFonts w:hint="eastAsia" w:ascii="宋体" w:hAnsi="宋体" w:cs="宋体"/>
          <w:b w:val="0"/>
          <w:bCs/>
          <w:color w:val="auto"/>
        </w:rPr>
      </w:pPr>
      <w:r>
        <w:rPr>
          <w:rFonts w:hint="default" w:ascii="Arial" w:hAnsi="Arial" w:cs="Arial"/>
          <w:b w:val="0"/>
          <w:bCs/>
          <w:color w:val="auto"/>
          <w:sz w:val="21"/>
          <w:szCs w:val="21"/>
        </w:rPr>
        <w:t>承包人提出的合理化建议降低了合同价格或者提高了工程经济效益的奖励的方法和金额为：</w:t>
      </w:r>
      <w:r>
        <w:rPr>
          <w:rFonts w:hint="default" w:ascii="Arial" w:hAnsi="Arial" w:cs="Arial"/>
          <w:b w:val="0"/>
          <w:bCs/>
          <w:color w:val="auto"/>
          <w:sz w:val="21"/>
          <w:szCs w:val="21"/>
          <w:u w:val="single"/>
        </w:rPr>
        <w:t>无</w:t>
      </w:r>
      <w:r>
        <w:rPr>
          <w:rFonts w:hint="default" w:ascii="Arial" w:hAnsi="Arial" w:cs="Arial"/>
          <w:b w:val="0"/>
          <w:bCs/>
          <w:color w:val="auto"/>
          <w:sz w:val="21"/>
          <w:szCs w:val="21"/>
        </w:rPr>
        <w:t>。</w:t>
      </w:r>
    </w:p>
    <w:p>
      <w:pPr>
        <w:pStyle w:val="7"/>
        <w:widowControl w:val="0"/>
        <w:numPr>
          <w:ilvl w:val="2"/>
          <w:numId w:val="0"/>
        </w:numPr>
        <w:spacing w:line="360" w:lineRule="exact"/>
        <w:jc w:val="both"/>
        <w:rPr>
          <w:rFonts w:hint="eastAsia" w:ascii="宋体" w:hAnsi="宋体" w:cs="宋体"/>
          <w:sz w:val="28"/>
          <w:szCs w:val="28"/>
        </w:rPr>
      </w:pPr>
      <w:bookmarkStart w:id="813" w:name="_Toc17025"/>
      <w:bookmarkStart w:id="814" w:name="_Toc28405"/>
      <w:bookmarkStart w:id="815" w:name="_Toc12786"/>
      <w:bookmarkStart w:id="816" w:name="_Toc31976"/>
      <w:bookmarkStart w:id="817" w:name="_Toc12303"/>
      <w:bookmarkStart w:id="818" w:name="_Toc31855"/>
      <w:r>
        <w:rPr>
          <w:rFonts w:hint="eastAsia" w:ascii="宋体" w:hAnsi="宋体" w:cs="宋体"/>
          <w:sz w:val="28"/>
          <w:szCs w:val="28"/>
        </w:rPr>
        <w:t>10.7 暂估价</w:t>
      </w:r>
      <w:bookmarkEnd w:id="813"/>
      <w:bookmarkEnd w:id="814"/>
      <w:bookmarkEnd w:id="815"/>
      <w:bookmarkEnd w:id="816"/>
      <w:bookmarkEnd w:id="817"/>
      <w:bookmarkEnd w:id="818"/>
    </w:p>
    <w:p>
      <w:pPr>
        <w:spacing w:line="360" w:lineRule="exact"/>
        <w:ind w:firstLine="420"/>
        <w:rPr>
          <w:rFonts w:hint="eastAsia" w:ascii="宋体" w:hAnsi="宋体" w:cs="宋体"/>
        </w:rPr>
      </w:pPr>
      <w:r>
        <w:rPr>
          <w:rFonts w:hint="eastAsia" w:ascii="宋体" w:hAnsi="宋体" w:cs="宋体"/>
        </w:rPr>
        <w:t>暂估价材料和工程设备的明细详见附件11：《暂估价一览表》。</w:t>
      </w:r>
    </w:p>
    <w:p>
      <w:pPr>
        <w:spacing w:line="360" w:lineRule="exact"/>
        <w:ind w:firstLine="420"/>
        <w:rPr>
          <w:rFonts w:hint="eastAsia" w:ascii="宋体" w:hAnsi="宋体" w:cs="宋体"/>
        </w:rPr>
      </w:pPr>
      <w:r>
        <w:rPr>
          <w:rFonts w:hint="eastAsia" w:ascii="宋体" w:hAnsi="宋体" w:cs="宋体"/>
        </w:rPr>
        <w:t>10.7.1 依法必须</w:t>
      </w:r>
      <w:r>
        <w:rPr>
          <w:rFonts w:hint="eastAsia" w:ascii="宋体" w:hAnsi="宋体" w:cs="宋体"/>
          <w:lang w:eastAsia="zh-CN"/>
        </w:rPr>
        <w:t>磋商</w:t>
      </w:r>
      <w:r>
        <w:rPr>
          <w:rFonts w:hint="eastAsia" w:ascii="宋体" w:hAnsi="宋体" w:cs="宋体"/>
        </w:rPr>
        <w:t>的暂估价项目</w:t>
      </w:r>
    </w:p>
    <w:p>
      <w:pPr>
        <w:spacing w:line="360" w:lineRule="exact"/>
        <w:ind w:firstLine="420"/>
        <w:rPr>
          <w:rFonts w:hint="eastAsia" w:ascii="宋体" w:hAnsi="宋体" w:cs="宋体"/>
        </w:rPr>
      </w:pPr>
      <w:r>
        <w:rPr>
          <w:rFonts w:hint="eastAsia" w:ascii="宋体" w:hAnsi="宋体" w:cs="宋体"/>
        </w:rPr>
        <w:t>对于依法必须</w:t>
      </w:r>
      <w:r>
        <w:rPr>
          <w:rFonts w:hint="eastAsia" w:ascii="宋体" w:hAnsi="宋体" w:cs="宋体"/>
          <w:lang w:eastAsia="zh-CN"/>
        </w:rPr>
        <w:t>磋商</w:t>
      </w:r>
      <w:r>
        <w:rPr>
          <w:rFonts w:hint="eastAsia" w:ascii="宋体" w:hAnsi="宋体" w:cs="宋体"/>
        </w:rPr>
        <w:t>的暂估价项目的确认和批准采取第</w:t>
      </w:r>
      <w:r>
        <w:rPr>
          <w:rFonts w:hint="eastAsia" w:ascii="宋体" w:hAnsi="宋体" w:cs="宋体"/>
          <w:u w:val="single"/>
          <w:lang w:val="en-US" w:eastAsia="zh-CN"/>
        </w:rPr>
        <w:t>2</w:t>
      </w:r>
      <w:r>
        <w:rPr>
          <w:rFonts w:hint="eastAsia" w:ascii="宋体" w:hAnsi="宋体" w:cs="宋体"/>
        </w:rPr>
        <w:t>种方式确定。</w:t>
      </w:r>
    </w:p>
    <w:p>
      <w:pPr>
        <w:spacing w:line="360" w:lineRule="exact"/>
        <w:ind w:firstLine="420"/>
        <w:rPr>
          <w:rFonts w:hint="eastAsia" w:ascii="宋体" w:hAnsi="宋体" w:cs="宋体"/>
        </w:rPr>
      </w:pPr>
      <w:r>
        <w:rPr>
          <w:rFonts w:hint="eastAsia" w:ascii="宋体" w:hAnsi="宋体" w:cs="宋体"/>
        </w:rPr>
        <w:t>10.7.2 不属于依法必须</w:t>
      </w:r>
      <w:r>
        <w:rPr>
          <w:rFonts w:hint="eastAsia" w:ascii="宋体" w:hAnsi="宋体" w:cs="宋体"/>
          <w:lang w:eastAsia="zh-CN"/>
        </w:rPr>
        <w:t>磋商</w:t>
      </w:r>
      <w:r>
        <w:rPr>
          <w:rFonts w:hint="eastAsia" w:ascii="宋体" w:hAnsi="宋体" w:cs="宋体"/>
        </w:rPr>
        <w:t>的暂估价项目</w:t>
      </w:r>
    </w:p>
    <w:p>
      <w:pPr>
        <w:spacing w:line="360" w:lineRule="exact"/>
        <w:ind w:firstLine="420"/>
        <w:rPr>
          <w:rFonts w:hint="eastAsia" w:ascii="宋体" w:hAnsi="宋体" w:cs="宋体"/>
        </w:rPr>
      </w:pPr>
      <w:r>
        <w:rPr>
          <w:rFonts w:hint="eastAsia" w:ascii="宋体" w:hAnsi="宋体" w:cs="宋体"/>
        </w:rPr>
        <w:t>对于不属于依法必须</w:t>
      </w:r>
      <w:r>
        <w:rPr>
          <w:rFonts w:hint="eastAsia" w:ascii="宋体" w:hAnsi="宋体" w:cs="宋体"/>
          <w:lang w:eastAsia="zh-CN"/>
        </w:rPr>
        <w:t>磋商</w:t>
      </w:r>
      <w:r>
        <w:rPr>
          <w:rFonts w:hint="eastAsia" w:ascii="宋体" w:hAnsi="宋体" w:cs="宋体"/>
        </w:rPr>
        <w:t>的暂估价项目的确认和批准采取第</w:t>
      </w:r>
      <w:r>
        <w:rPr>
          <w:rFonts w:hint="eastAsia" w:ascii="宋体" w:hAnsi="宋体" w:cs="宋体"/>
          <w:u w:val="single"/>
        </w:rPr>
        <w:t>1</w:t>
      </w:r>
      <w:r>
        <w:rPr>
          <w:rFonts w:hint="eastAsia" w:ascii="宋体" w:hAnsi="宋体" w:cs="宋体"/>
        </w:rPr>
        <w:t>种方式确定。</w:t>
      </w:r>
    </w:p>
    <w:p>
      <w:pPr>
        <w:spacing w:line="360" w:lineRule="exact"/>
        <w:ind w:firstLine="420"/>
        <w:rPr>
          <w:rFonts w:hint="eastAsia" w:ascii="宋体" w:hAnsi="宋体" w:cs="宋体"/>
        </w:rPr>
      </w:pPr>
      <w:r>
        <w:rPr>
          <w:rFonts w:hint="eastAsia" w:ascii="宋体" w:hAnsi="宋体" w:cs="宋体"/>
        </w:rPr>
        <w:t>第3种方式：承包人直接实施的暂估价项目</w:t>
      </w:r>
    </w:p>
    <w:p>
      <w:pPr>
        <w:spacing w:line="360" w:lineRule="exact"/>
        <w:ind w:firstLine="420"/>
        <w:rPr>
          <w:rFonts w:hint="eastAsia" w:ascii="宋体" w:hAnsi="宋体" w:cs="宋体"/>
        </w:rPr>
      </w:pPr>
      <w:r>
        <w:rPr>
          <w:rFonts w:hint="eastAsia" w:ascii="宋体" w:hAnsi="宋体" w:cs="宋体"/>
        </w:rPr>
        <w:t>承包人直接实施的暂估价项目的约定：</w:t>
      </w:r>
      <w:r>
        <w:rPr>
          <w:rFonts w:hint="eastAsia" w:ascii="宋体" w:hAnsi="宋体" w:cs="宋体"/>
          <w:u w:val="single"/>
        </w:rPr>
        <w:t xml:space="preserve">   / </w:t>
      </w:r>
    </w:p>
    <w:p>
      <w:pPr>
        <w:pStyle w:val="7"/>
        <w:widowControl w:val="0"/>
        <w:numPr>
          <w:ilvl w:val="2"/>
          <w:numId w:val="0"/>
        </w:numPr>
        <w:spacing w:line="360" w:lineRule="exact"/>
        <w:jc w:val="both"/>
        <w:rPr>
          <w:rFonts w:hint="eastAsia" w:ascii="宋体" w:hAnsi="宋体" w:cs="宋体"/>
          <w:sz w:val="28"/>
          <w:szCs w:val="28"/>
        </w:rPr>
      </w:pPr>
      <w:bookmarkStart w:id="819" w:name="_Toc12679"/>
      <w:bookmarkStart w:id="820" w:name="_Toc30660"/>
      <w:bookmarkStart w:id="821" w:name="_Toc13307"/>
      <w:bookmarkStart w:id="822" w:name="_Toc20241"/>
      <w:bookmarkStart w:id="823" w:name="_Toc12086"/>
      <w:bookmarkStart w:id="824" w:name="_Toc24278"/>
      <w:r>
        <w:rPr>
          <w:rFonts w:hint="eastAsia" w:ascii="宋体" w:hAnsi="宋体" w:cs="宋体"/>
          <w:sz w:val="28"/>
          <w:szCs w:val="28"/>
        </w:rPr>
        <w:t>10.8 暂列金额</w:t>
      </w:r>
      <w:bookmarkEnd w:id="819"/>
      <w:bookmarkEnd w:id="820"/>
      <w:bookmarkEnd w:id="821"/>
      <w:bookmarkEnd w:id="822"/>
      <w:bookmarkEnd w:id="823"/>
      <w:bookmarkEnd w:id="824"/>
    </w:p>
    <w:p>
      <w:pPr>
        <w:spacing w:line="360" w:lineRule="exact"/>
        <w:ind w:firstLine="420"/>
        <w:rPr>
          <w:rFonts w:hint="eastAsia" w:ascii="宋体" w:hAnsi="宋体" w:cs="宋体"/>
          <w:u w:val="single"/>
        </w:rPr>
      </w:pPr>
      <w:r>
        <w:rPr>
          <w:rFonts w:hint="eastAsia" w:ascii="宋体" w:hAnsi="宋体" w:cs="宋体"/>
        </w:rPr>
        <w:t>合同当事人关于暂列金额使用的约定：</w:t>
      </w:r>
      <w:r>
        <w:rPr>
          <w:rFonts w:hint="eastAsia" w:ascii="宋体" w:hAnsi="宋体" w:cs="宋体"/>
          <w:u w:val="single"/>
        </w:rPr>
        <w:t>按通用条款执行</w:t>
      </w:r>
      <w:r>
        <w:rPr>
          <w:rFonts w:hint="eastAsia" w:ascii="宋体" w:hAnsi="宋体" w:cs="宋体"/>
          <w:u w:val="single"/>
          <w:lang w:eastAsia="zh-CN"/>
        </w:rPr>
        <w:t>。</w:t>
      </w:r>
    </w:p>
    <w:p>
      <w:pPr>
        <w:pStyle w:val="7"/>
        <w:widowControl w:val="0"/>
        <w:numPr>
          <w:ilvl w:val="2"/>
          <w:numId w:val="0"/>
        </w:numPr>
        <w:spacing w:line="360" w:lineRule="exact"/>
        <w:jc w:val="both"/>
        <w:rPr>
          <w:rFonts w:hint="eastAsia" w:ascii="宋体" w:hAnsi="宋体" w:cs="宋体"/>
          <w:sz w:val="28"/>
          <w:szCs w:val="28"/>
        </w:rPr>
      </w:pPr>
      <w:bookmarkStart w:id="825" w:name="_Toc6641"/>
      <w:bookmarkStart w:id="826" w:name="_Toc421260798"/>
      <w:bookmarkStart w:id="827" w:name="_Toc16298"/>
      <w:bookmarkStart w:id="828" w:name="_Toc4313"/>
      <w:bookmarkStart w:id="829" w:name="_Toc1595"/>
      <w:bookmarkStart w:id="830" w:name="_Toc9453"/>
      <w:bookmarkStart w:id="831" w:name="_Toc498421091"/>
      <w:bookmarkStart w:id="832" w:name="_Toc2334"/>
      <w:r>
        <w:rPr>
          <w:rFonts w:hint="eastAsia" w:ascii="宋体" w:hAnsi="宋体" w:cs="宋体"/>
          <w:sz w:val="28"/>
          <w:szCs w:val="28"/>
        </w:rPr>
        <w:t>11. 价格调整</w:t>
      </w:r>
      <w:bookmarkEnd w:id="825"/>
      <w:bookmarkEnd w:id="826"/>
      <w:bookmarkEnd w:id="827"/>
      <w:bookmarkEnd w:id="828"/>
      <w:bookmarkEnd w:id="829"/>
      <w:bookmarkEnd w:id="830"/>
      <w:bookmarkEnd w:id="831"/>
      <w:bookmarkEnd w:id="832"/>
    </w:p>
    <w:p>
      <w:pPr>
        <w:pStyle w:val="7"/>
        <w:widowControl w:val="0"/>
        <w:numPr>
          <w:ilvl w:val="2"/>
          <w:numId w:val="0"/>
        </w:numPr>
        <w:spacing w:line="360" w:lineRule="exact"/>
        <w:jc w:val="both"/>
        <w:rPr>
          <w:rFonts w:hint="eastAsia" w:ascii="宋体" w:hAnsi="宋体" w:cs="宋体"/>
          <w:sz w:val="28"/>
          <w:szCs w:val="28"/>
        </w:rPr>
      </w:pPr>
      <w:bookmarkStart w:id="833" w:name="_Toc32429"/>
      <w:bookmarkStart w:id="834" w:name="_Toc17385"/>
      <w:bookmarkStart w:id="835" w:name="_Toc9170"/>
      <w:bookmarkStart w:id="836" w:name="_Toc23267"/>
      <w:bookmarkStart w:id="837" w:name="_Toc15483"/>
      <w:bookmarkStart w:id="838" w:name="_Toc30743"/>
      <w:r>
        <w:rPr>
          <w:rFonts w:hint="eastAsia" w:ascii="宋体" w:hAnsi="宋体" w:cs="宋体"/>
          <w:sz w:val="28"/>
          <w:szCs w:val="28"/>
        </w:rPr>
        <w:t>11.1 市场价格波动引起的调整</w:t>
      </w:r>
      <w:bookmarkEnd w:id="833"/>
      <w:bookmarkEnd w:id="834"/>
      <w:bookmarkEnd w:id="835"/>
      <w:bookmarkEnd w:id="836"/>
      <w:bookmarkEnd w:id="837"/>
      <w:bookmarkEnd w:id="838"/>
    </w:p>
    <w:p>
      <w:pPr>
        <w:spacing w:line="360" w:lineRule="exact"/>
        <w:ind w:firstLine="420" w:firstLineChars="200"/>
        <w:rPr>
          <w:rFonts w:hint="eastAsia" w:ascii="宋体" w:hAnsi="宋体" w:eastAsia="宋体" w:cs="宋体"/>
          <w:color w:val="auto"/>
          <w:szCs w:val="21"/>
          <w:u w:val="single"/>
        </w:rPr>
      </w:pPr>
      <w:r>
        <w:rPr>
          <w:rFonts w:hint="eastAsia" w:ascii="宋体" w:hAnsi="宋体" w:eastAsia="宋体" w:cs="宋体"/>
          <w:color w:val="auto"/>
          <w:szCs w:val="21"/>
        </w:rPr>
        <w:t>市场价格波动是否调整合同价格的约定：</w:t>
      </w:r>
      <w:r>
        <w:rPr>
          <w:rFonts w:hint="eastAsia" w:ascii="宋体" w:hAnsi="宋体" w:eastAsia="宋体" w:cs="宋体"/>
          <w:color w:val="auto"/>
          <w:szCs w:val="21"/>
          <w:u w:val="single"/>
        </w:rPr>
        <w:t xml:space="preserve"> 否</w:t>
      </w:r>
    </w:p>
    <w:p>
      <w:pPr>
        <w:spacing w:line="360" w:lineRule="auto"/>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因市场价格波动调整合同价格，采用以下</w:t>
      </w:r>
      <w:r>
        <w:rPr>
          <w:rFonts w:hint="eastAsia" w:ascii="宋体" w:hAnsi="宋体" w:eastAsia="宋体" w:cs="宋体"/>
          <w:b/>
          <w:color w:val="auto"/>
          <w:sz w:val="21"/>
          <w:szCs w:val="21"/>
        </w:rPr>
        <w:t>第</w:t>
      </w:r>
      <w:r>
        <w:rPr>
          <w:rFonts w:hint="eastAsia" w:ascii="宋体" w:hAnsi="宋体" w:eastAsia="宋体" w:cs="宋体"/>
          <w:b/>
          <w:color w:val="auto"/>
          <w:sz w:val="21"/>
          <w:szCs w:val="21"/>
          <w:u w:val="single"/>
        </w:rPr>
        <w:t xml:space="preserve"> / </w:t>
      </w:r>
      <w:r>
        <w:rPr>
          <w:rFonts w:hint="eastAsia" w:ascii="宋体" w:hAnsi="宋体" w:eastAsia="宋体" w:cs="宋体"/>
          <w:b/>
          <w:color w:val="auto"/>
          <w:sz w:val="21"/>
          <w:szCs w:val="21"/>
        </w:rPr>
        <w:t>种</w:t>
      </w:r>
      <w:r>
        <w:rPr>
          <w:rFonts w:hint="eastAsia" w:ascii="宋体" w:hAnsi="宋体" w:eastAsia="宋体" w:cs="宋体"/>
          <w:color w:val="auto"/>
          <w:sz w:val="21"/>
          <w:szCs w:val="21"/>
        </w:rPr>
        <w:t>方式对合同价格进行调整：</w:t>
      </w:r>
    </w:p>
    <w:p>
      <w:pPr>
        <w:spacing w:line="360" w:lineRule="auto"/>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第1种方式：采用价格指数进行价格调整。</w:t>
      </w:r>
    </w:p>
    <w:p>
      <w:pPr>
        <w:spacing w:line="360" w:lineRule="auto"/>
        <w:ind w:firstLine="420" w:firstLineChars="200"/>
        <w:jc w:val="both"/>
        <w:rPr>
          <w:rFonts w:hint="eastAsia" w:ascii="宋体" w:hAnsi="宋体" w:eastAsia="宋体" w:cs="宋体"/>
          <w:color w:val="auto"/>
          <w:sz w:val="21"/>
          <w:szCs w:val="21"/>
          <w:u w:val="single"/>
        </w:rPr>
      </w:pPr>
      <w:r>
        <w:rPr>
          <w:rFonts w:hint="eastAsia" w:ascii="宋体" w:hAnsi="宋体" w:eastAsia="宋体" w:cs="宋体"/>
          <w:color w:val="auto"/>
          <w:sz w:val="21"/>
          <w:szCs w:val="21"/>
        </w:rPr>
        <w:t>关于各可调因子、定值和变值权重，以及基本价格指数及其来源的约定：</w:t>
      </w:r>
      <w:r>
        <w:rPr>
          <w:rFonts w:hint="eastAsia" w:ascii="宋体" w:hAnsi="宋体" w:eastAsia="宋体" w:cs="宋体"/>
          <w:b/>
          <w:color w:val="auto"/>
          <w:sz w:val="21"/>
          <w:szCs w:val="21"/>
          <w:u w:val="single"/>
        </w:rPr>
        <w:t xml:space="preserve">  / </w:t>
      </w:r>
      <w:r>
        <w:rPr>
          <w:rFonts w:hint="eastAsia" w:ascii="宋体" w:hAnsi="宋体" w:eastAsia="宋体" w:cs="宋体"/>
          <w:color w:val="auto"/>
          <w:sz w:val="21"/>
          <w:szCs w:val="21"/>
        </w:rPr>
        <w:t xml:space="preserve">；  </w:t>
      </w:r>
    </w:p>
    <w:p>
      <w:pPr>
        <w:spacing w:line="360" w:lineRule="auto"/>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第2种方式：采用造价信息进行价格调整。</w:t>
      </w:r>
    </w:p>
    <w:p>
      <w:pPr>
        <w:spacing w:line="360" w:lineRule="auto"/>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（2）关于基准价格的约定：</w:t>
      </w:r>
      <w:r>
        <w:rPr>
          <w:rFonts w:hint="eastAsia" w:ascii="宋体" w:hAnsi="宋体" w:eastAsia="宋体" w:cs="宋体"/>
          <w:b/>
          <w:color w:val="auto"/>
          <w:sz w:val="21"/>
          <w:szCs w:val="21"/>
          <w:u w:val="single"/>
        </w:rPr>
        <w:t xml:space="preserve">  /</w:t>
      </w:r>
      <w:r>
        <w:rPr>
          <w:rFonts w:hint="eastAsia" w:ascii="宋体" w:hAnsi="宋体" w:eastAsia="宋体" w:cs="宋体"/>
          <w:color w:val="auto"/>
          <w:sz w:val="21"/>
          <w:szCs w:val="21"/>
        </w:rPr>
        <w:t>。</w:t>
      </w:r>
    </w:p>
    <w:p>
      <w:pPr>
        <w:spacing w:line="360" w:lineRule="auto"/>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专用合同条款</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 1 \* GB3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①</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承包人在已标价工程量清单或预算书中载明的材料单价低于基准价格的：专用合同条款合同履行期间材料单价涨幅以基准价格为基础超过</w:t>
      </w:r>
      <w:r>
        <w:rPr>
          <w:rFonts w:hint="eastAsia" w:ascii="宋体" w:hAnsi="宋体" w:eastAsia="宋体" w:cs="宋体"/>
          <w:b/>
          <w:color w:val="auto"/>
          <w:sz w:val="21"/>
          <w:szCs w:val="21"/>
          <w:u w:val="single"/>
        </w:rPr>
        <w:t xml:space="preserve">  / </w:t>
      </w:r>
      <w:r>
        <w:rPr>
          <w:rFonts w:hint="eastAsia" w:ascii="宋体" w:hAnsi="宋体" w:eastAsia="宋体" w:cs="宋体"/>
          <w:color w:val="auto"/>
          <w:sz w:val="21"/>
          <w:szCs w:val="21"/>
        </w:rPr>
        <w:t>%时，或材料单价跌幅以已标价工程量清单或预算书中载明材料单价为基础超过</w:t>
      </w:r>
      <w:r>
        <w:rPr>
          <w:rFonts w:hint="eastAsia" w:ascii="宋体" w:hAnsi="宋体" w:eastAsia="宋体" w:cs="宋体"/>
          <w:b/>
          <w:color w:val="auto"/>
          <w:sz w:val="21"/>
          <w:szCs w:val="21"/>
          <w:u w:val="single"/>
        </w:rPr>
        <w:t xml:space="preserve">  / </w:t>
      </w:r>
      <w:r>
        <w:rPr>
          <w:rFonts w:hint="eastAsia" w:ascii="宋体" w:hAnsi="宋体" w:eastAsia="宋体" w:cs="宋体"/>
          <w:color w:val="auto"/>
          <w:sz w:val="21"/>
          <w:szCs w:val="21"/>
        </w:rPr>
        <w:t>%时，其超过部分据实调整。</w:t>
      </w:r>
    </w:p>
    <w:p>
      <w:pPr>
        <w:spacing w:line="360" w:lineRule="auto"/>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②承包人在已标价工程量清单或预算书中载明的材料单价高于基准价格的：专用合同条款合同履行期间材料单价跌幅以基准价格为基础超过</w:t>
      </w:r>
      <w:r>
        <w:rPr>
          <w:rFonts w:hint="eastAsia" w:ascii="宋体" w:hAnsi="宋体" w:eastAsia="宋体" w:cs="宋体"/>
          <w:b/>
          <w:color w:val="auto"/>
          <w:sz w:val="21"/>
          <w:szCs w:val="21"/>
          <w:u w:val="single"/>
        </w:rPr>
        <w:t xml:space="preserve">  / </w:t>
      </w:r>
      <w:r>
        <w:rPr>
          <w:rFonts w:hint="eastAsia" w:ascii="宋体" w:hAnsi="宋体" w:eastAsia="宋体" w:cs="宋体"/>
          <w:color w:val="auto"/>
          <w:sz w:val="21"/>
          <w:szCs w:val="21"/>
        </w:rPr>
        <w:t>%时，材料单价涨幅以已标价工程量清单或预算书中载明材料单价为基础超过</w:t>
      </w:r>
      <w:r>
        <w:rPr>
          <w:rFonts w:hint="eastAsia" w:ascii="宋体" w:hAnsi="宋体" w:eastAsia="宋体" w:cs="宋体"/>
          <w:b/>
          <w:color w:val="auto"/>
          <w:sz w:val="21"/>
          <w:szCs w:val="21"/>
          <w:u w:val="single"/>
        </w:rPr>
        <w:t xml:space="preserve">  / </w:t>
      </w:r>
      <w:r>
        <w:rPr>
          <w:rFonts w:hint="eastAsia" w:ascii="宋体" w:hAnsi="宋体" w:eastAsia="宋体" w:cs="宋体"/>
          <w:color w:val="auto"/>
          <w:sz w:val="21"/>
          <w:szCs w:val="21"/>
        </w:rPr>
        <w:t>%时，其超过部分据实调整。</w:t>
      </w:r>
    </w:p>
    <w:p>
      <w:pPr>
        <w:spacing w:line="360" w:lineRule="auto"/>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③承包人在已标价工程量清单或预算书中载明的材料单价等于基准单价的：专用合同条款合同履行期间材料单价涨跌幅以基准单价为基础超过</w:t>
      </w:r>
      <w:r>
        <w:rPr>
          <w:rFonts w:hint="eastAsia" w:ascii="宋体" w:hAnsi="宋体" w:eastAsia="宋体" w:cs="宋体"/>
          <w:color w:val="auto"/>
          <w:sz w:val="21"/>
          <w:szCs w:val="21"/>
          <w:u w:val="single"/>
        </w:rPr>
        <w:t>±</w:t>
      </w:r>
      <w:r>
        <w:rPr>
          <w:rFonts w:hint="eastAsia" w:ascii="宋体" w:hAnsi="宋体" w:eastAsia="宋体" w:cs="宋体"/>
          <w:b/>
          <w:color w:val="auto"/>
          <w:sz w:val="21"/>
          <w:szCs w:val="21"/>
          <w:u w:val="single"/>
        </w:rPr>
        <w:t xml:space="preserve">/ </w:t>
      </w:r>
      <w:r>
        <w:rPr>
          <w:rFonts w:hint="eastAsia" w:ascii="宋体" w:hAnsi="宋体" w:eastAsia="宋体" w:cs="宋体"/>
          <w:color w:val="auto"/>
          <w:sz w:val="21"/>
          <w:szCs w:val="21"/>
        </w:rPr>
        <w:t>%时，其超过部分据实调整。</w:t>
      </w:r>
    </w:p>
    <w:p>
      <w:pPr>
        <w:spacing w:line="360" w:lineRule="auto"/>
        <w:ind w:firstLine="422" w:firstLineChars="200"/>
        <w:jc w:val="both"/>
        <w:rPr>
          <w:rFonts w:hint="eastAsia" w:ascii="宋体" w:hAnsi="宋体" w:eastAsia="宋体" w:cs="宋体"/>
          <w:color w:val="auto"/>
        </w:rPr>
      </w:pPr>
      <w:r>
        <w:rPr>
          <w:rFonts w:hint="eastAsia" w:ascii="宋体" w:hAnsi="宋体" w:eastAsia="宋体" w:cs="宋体"/>
          <w:b/>
          <w:color w:val="auto"/>
          <w:sz w:val="21"/>
          <w:szCs w:val="21"/>
        </w:rPr>
        <w:t>第3种方式：其他价格调整方式</w:t>
      </w:r>
    </w:p>
    <w:p>
      <w:pPr>
        <w:pStyle w:val="7"/>
        <w:widowControl w:val="0"/>
        <w:numPr>
          <w:ilvl w:val="2"/>
          <w:numId w:val="0"/>
        </w:numPr>
        <w:spacing w:line="360" w:lineRule="exact"/>
        <w:jc w:val="both"/>
        <w:rPr>
          <w:rFonts w:hint="eastAsia" w:ascii="宋体" w:hAnsi="宋体" w:cs="宋体"/>
          <w:sz w:val="28"/>
          <w:szCs w:val="28"/>
        </w:rPr>
      </w:pPr>
      <w:bookmarkStart w:id="839" w:name="_Toc21454"/>
      <w:bookmarkStart w:id="840" w:name="_Toc15707"/>
      <w:bookmarkStart w:id="841" w:name="_Toc9909"/>
      <w:bookmarkStart w:id="842" w:name="_Toc3002"/>
      <w:bookmarkStart w:id="843" w:name="_Toc9841"/>
      <w:bookmarkStart w:id="844" w:name="_Toc595"/>
      <w:r>
        <w:rPr>
          <w:rFonts w:hint="eastAsia" w:ascii="宋体" w:hAnsi="宋体" w:cs="宋体"/>
          <w:sz w:val="28"/>
          <w:szCs w:val="28"/>
        </w:rPr>
        <w:t>12.1 合同价格形式</w:t>
      </w:r>
      <w:bookmarkEnd w:id="839"/>
      <w:bookmarkEnd w:id="840"/>
      <w:bookmarkEnd w:id="841"/>
      <w:bookmarkEnd w:id="842"/>
      <w:bookmarkEnd w:id="843"/>
      <w:bookmarkEnd w:id="844"/>
    </w:p>
    <w:p>
      <w:pPr>
        <w:spacing w:line="360" w:lineRule="exact"/>
        <w:ind w:firstLine="420"/>
        <w:rPr>
          <w:rFonts w:hint="eastAsia" w:ascii="宋体" w:hAnsi="宋体" w:cs="宋体"/>
        </w:rPr>
      </w:pPr>
      <w:r>
        <w:rPr>
          <w:rFonts w:hint="eastAsia" w:ascii="宋体" w:hAnsi="宋体" w:cs="宋体"/>
        </w:rPr>
        <w:t>12.1 合同价格形式</w:t>
      </w:r>
    </w:p>
    <w:p>
      <w:pPr>
        <w:spacing w:line="360" w:lineRule="exact"/>
        <w:ind w:firstLine="420"/>
        <w:rPr>
          <w:rFonts w:hint="eastAsia" w:ascii="宋体" w:hAnsi="宋体" w:cs="宋体"/>
        </w:rPr>
      </w:pPr>
      <w:r>
        <w:rPr>
          <w:rFonts w:hint="eastAsia" w:ascii="宋体" w:hAnsi="宋体" w:cs="宋体"/>
        </w:rPr>
        <w:t>1、单价合同。</w:t>
      </w:r>
    </w:p>
    <w:p>
      <w:pPr>
        <w:spacing w:line="360" w:lineRule="exact"/>
        <w:ind w:firstLine="420"/>
        <w:rPr>
          <w:rFonts w:hint="eastAsia" w:ascii="宋体" w:hAnsi="宋体" w:cs="宋体"/>
        </w:rPr>
      </w:pPr>
      <w:r>
        <w:rPr>
          <w:rFonts w:hint="eastAsia" w:ascii="宋体" w:hAnsi="宋体" w:cs="宋体"/>
        </w:rPr>
        <w:t>综合单价包含的风险范围：</w:t>
      </w:r>
      <w:r>
        <w:rPr>
          <w:rFonts w:hint="eastAsia" w:ascii="宋体" w:hAnsi="宋体" w:cs="宋体"/>
          <w:u w:val="single"/>
        </w:rPr>
        <w:t>管理费、利润等费用的变化、</w:t>
      </w:r>
      <w:r>
        <w:rPr>
          <w:rFonts w:hint="eastAsia" w:ascii="宋体" w:hAnsi="宋体" w:cs="宋体"/>
          <w:u w:val="single"/>
          <w:lang w:eastAsia="zh-CN"/>
        </w:rPr>
        <w:t>磋商</w:t>
      </w:r>
      <w:r>
        <w:rPr>
          <w:rFonts w:hint="eastAsia" w:ascii="宋体" w:hAnsi="宋体" w:cs="宋体"/>
          <w:u w:val="single"/>
        </w:rPr>
        <w:t>文件约定由承包人承担的费用以及风险因素</w:t>
      </w:r>
      <w:r>
        <w:rPr>
          <w:rFonts w:hint="eastAsia" w:ascii="宋体" w:hAnsi="宋体" w:cs="宋体"/>
        </w:rPr>
        <w:t>。</w:t>
      </w:r>
    </w:p>
    <w:p>
      <w:pPr>
        <w:spacing w:line="360" w:lineRule="exact"/>
        <w:ind w:firstLine="420"/>
        <w:rPr>
          <w:rFonts w:hint="eastAsia" w:ascii="宋体" w:hAnsi="宋体" w:cs="宋体"/>
          <w:u w:val="double"/>
        </w:rPr>
      </w:pPr>
      <w:r>
        <w:rPr>
          <w:rFonts w:hint="eastAsia" w:ascii="宋体" w:hAnsi="宋体" w:cs="宋体"/>
        </w:rPr>
        <w:t>风险费用的计算方法：</w:t>
      </w:r>
      <w:r>
        <w:rPr>
          <w:rFonts w:hint="eastAsia" w:ascii="宋体" w:hAnsi="宋体" w:cs="宋体"/>
          <w:u w:val="single"/>
        </w:rPr>
        <w:t xml:space="preserve">  风险费用已含在签约合同价款中 </w:t>
      </w:r>
      <w:r>
        <w:rPr>
          <w:rFonts w:hint="eastAsia" w:ascii="宋体" w:hAnsi="宋体" w:cs="宋体"/>
        </w:rPr>
        <w:t>。</w:t>
      </w:r>
    </w:p>
    <w:p>
      <w:pPr>
        <w:pStyle w:val="43"/>
        <w:wordWrap/>
        <w:adjustRightInd w:val="0"/>
        <w:spacing w:line="336" w:lineRule="auto"/>
        <w:ind w:firstLine="420" w:firstLineChars="200"/>
        <w:contextualSpacing/>
        <w:rPr>
          <w:rFonts w:hint="eastAsia" w:ascii="宋体" w:hAnsi="宋体" w:cs="宋体"/>
        </w:rPr>
      </w:pPr>
      <w:r>
        <w:rPr>
          <w:rFonts w:hint="eastAsia" w:ascii="宋体" w:hAnsi="宋体" w:cs="宋体"/>
        </w:rPr>
        <w:t>风险范围以外合同价格的调整方法：</w:t>
      </w:r>
    </w:p>
    <w:p>
      <w:pPr>
        <w:pStyle w:val="43"/>
        <w:wordWrap/>
        <w:adjustRightInd w:val="0"/>
        <w:spacing w:line="336" w:lineRule="auto"/>
        <w:ind w:firstLine="420" w:firstLineChars="200"/>
        <w:contextualSpacing/>
        <w:rPr>
          <w:rFonts w:hint="default" w:ascii="Arial" w:hAnsi="Arial" w:cs="Arial"/>
          <w:b w:val="0"/>
          <w:bCs/>
          <w:color w:val="auto"/>
          <w:kern w:val="0"/>
          <w:szCs w:val="21"/>
          <w:u w:val="single"/>
        </w:rPr>
      </w:pPr>
      <w:r>
        <w:rPr>
          <w:rFonts w:hint="default" w:ascii="Arial" w:hAnsi="Arial" w:cs="Arial"/>
          <w:b w:val="0"/>
          <w:bCs/>
          <w:color w:val="auto"/>
          <w:kern w:val="0"/>
          <w:szCs w:val="21"/>
          <w:u w:val="single"/>
        </w:rPr>
        <w:t>a.工程量清单项目或工程量错误的风险按专用条款第1.13条执行。</w:t>
      </w:r>
    </w:p>
    <w:p>
      <w:pPr>
        <w:pStyle w:val="43"/>
        <w:wordWrap/>
        <w:adjustRightInd w:val="0"/>
        <w:spacing w:line="336" w:lineRule="auto"/>
        <w:ind w:firstLine="420" w:firstLineChars="200"/>
        <w:contextualSpacing/>
        <w:rPr>
          <w:rFonts w:hint="default" w:ascii="Arial" w:hAnsi="Arial" w:cs="Arial"/>
          <w:b w:val="0"/>
          <w:bCs/>
          <w:color w:val="auto"/>
          <w:kern w:val="0"/>
          <w:szCs w:val="21"/>
          <w:u w:val="single"/>
        </w:rPr>
      </w:pPr>
      <w:r>
        <w:rPr>
          <w:rFonts w:hint="default" w:ascii="Arial" w:hAnsi="Arial" w:cs="Arial"/>
          <w:b w:val="0"/>
          <w:bCs/>
          <w:color w:val="auto"/>
          <w:kern w:val="0"/>
          <w:szCs w:val="21"/>
          <w:u w:val="single"/>
        </w:rPr>
        <w:t>b.变更估价的风险按专用条款第10.4.1条执行。</w:t>
      </w:r>
    </w:p>
    <w:p>
      <w:pPr>
        <w:pStyle w:val="43"/>
        <w:wordWrap/>
        <w:adjustRightInd w:val="0"/>
        <w:spacing w:line="336" w:lineRule="auto"/>
        <w:ind w:firstLine="420" w:firstLineChars="200"/>
        <w:contextualSpacing/>
        <w:rPr>
          <w:rFonts w:hint="default" w:ascii="Arial" w:hAnsi="Arial" w:cs="Arial"/>
          <w:b w:val="0"/>
          <w:bCs/>
          <w:color w:val="auto"/>
          <w:kern w:val="0"/>
          <w:szCs w:val="21"/>
          <w:u w:val="single"/>
        </w:rPr>
      </w:pPr>
      <w:r>
        <w:rPr>
          <w:rFonts w:hint="default" w:ascii="Arial" w:hAnsi="Arial" w:cs="Arial"/>
          <w:b w:val="0"/>
          <w:bCs/>
          <w:color w:val="auto"/>
          <w:kern w:val="0"/>
          <w:szCs w:val="21"/>
          <w:u w:val="single"/>
        </w:rPr>
        <w:t>c.价格波动的风险按专用条款第11.1条执行。</w:t>
      </w:r>
    </w:p>
    <w:p>
      <w:pPr>
        <w:spacing w:line="360" w:lineRule="exact"/>
        <w:ind w:firstLine="420"/>
        <w:rPr>
          <w:rFonts w:hint="eastAsia" w:ascii="宋体" w:hAnsi="宋体" w:cs="宋体"/>
          <w:b w:val="0"/>
          <w:bCs/>
          <w:color w:val="auto"/>
          <w:u w:val="double"/>
        </w:rPr>
      </w:pPr>
      <w:r>
        <w:rPr>
          <w:rFonts w:hint="default" w:ascii="Arial" w:hAnsi="Arial" w:cs="Arial"/>
          <w:b w:val="0"/>
          <w:bCs/>
          <w:color w:val="auto"/>
          <w:sz w:val="21"/>
          <w:szCs w:val="21"/>
          <w:u w:val="single"/>
        </w:rPr>
        <w:t>d.其它风险原则上由承包人自行承担，特殊情况由发包人和承包人商议决定。</w:t>
      </w:r>
    </w:p>
    <w:p>
      <w:pPr>
        <w:spacing w:line="360" w:lineRule="exact"/>
        <w:ind w:firstLine="420"/>
        <w:rPr>
          <w:rFonts w:hint="eastAsia" w:ascii="宋体" w:hAnsi="宋体" w:cs="宋体"/>
        </w:rPr>
      </w:pPr>
      <w:r>
        <w:rPr>
          <w:rFonts w:hint="eastAsia" w:ascii="宋体" w:hAnsi="宋体" w:cs="宋体"/>
        </w:rPr>
        <w:t>2、总价合同。</w:t>
      </w:r>
    </w:p>
    <w:p>
      <w:pPr>
        <w:spacing w:line="360" w:lineRule="exact"/>
        <w:ind w:firstLine="420"/>
        <w:rPr>
          <w:rFonts w:hint="eastAsia" w:ascii="宋体" w:hAnsi="宋体" w:cs="宋体"/>
        </w:rPr>
      </w:pPr>
      <w:r>
        <w:rPr>
          <w:rFonts w:hint="eastAsia" w:ascii="宋体" w:hAnsi="宋体" w:cs="宋体"/>
        </w:rPr>
        <w:t>总价包含的风险范围：</w:t>
      </w:r>
      <w:r>
        <w:rPr>
          <w:rFonts w:hint="eastAsia" w:ascii="宋体" w:hAnsi="宋体" w:cs="宋体"/>
          <w:u w:val="single"/>
        </w:rPr>
        <w:t xml:space="preserve">    /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风险费用的计算方法：</w:t>
      </w:r>
      <w:r>
        <w:rPr>
          <w:rFonts w:hint="eastAsia" w:ascii="宋体" w:hAnsi="宋体" w:cs="宋体"/>
          <w:u w:val="single"/>
        </w:rPr>
        <w:t xml:space="preserve">    /    </w:t>
      </w:r>
      <w:r>
        <w:rPr>
          <w:rFonts w:hint="eastAsia" w:ascii="宋体" w:hAnsi="宋体" w:cs="宋体"/>
        </w:rPr>
        <w:t>。</w:t>
      </w:r>
    </w:p>
    <w:p>
      <w:pPr>
        <w:spacing w:line="360" w:lineRule="exact"/>
        <w:ind w:firstLine="420"/>
        <w:rPr>
          <w:rFonts w:hint="eastAsia" w:ascii="宋体" w:hAnsi="宋体" w:cs="宋体"/>
          <w:szCs w:val="21"/>
        </w:rPr>
      </w:pPr>
      <w:r>
        <w:rPr>
          <w:rFonts w:hint="eastAsia" w:ascii="宋体" w:hAnsi="宋体" w:cs="宋体"/>
          <w:szCs w:val="21"/>
        </w:rPr>
        <w:t>风险范围以外合同价格的调整方法：</w:t>
      </w:r>
      <w:r>
        <w:rPr>
          <w:rFonts w:hint="eastAsia" w:ascii="宋体" w:hAnsi="宋体" w:cs="宋体"/>
          <w:szCs w:val="21"/>
          <w:u w:val="single"/>
        </w:rPr>
        <w:t xml:space="preserve">  /    </w:t>
      </w:r>
      <w:r>
        <w:rPr>
          <w:rFonts w:hint="eastAsia" w:ascii="宋体" w:hAnsi="宋体" w:cs="宋体"/>
          <w:szCs w:val="21"/>
        </w:rPr>
        <w:t>。</w:t>
      </w:r>
    </w:p>
    <w:p>
      <w:pPr>
        <w:spacing w:line="360" w:lineRule="exact"/>
        <w:ind w:firstLine="420"/>
        <w:rPr>
          <w:rFonts w:hint="eastAsia" w:ascii="宋体" w:hAnsi="宋体" w:cs="宋体"/>
          <w:b/>
          <w:szCs w:val="21"/>
          <w:u w:val="single"/>
        </w:rPr>
      </w:pPr>
      <w:r>
        <w:rPr>
          <w:rFonts w:hint="eastAsia" w:ascii="宋体" w:hAnsi="宋体" w:cs="宋体"/>
          <w:szCs w:val="21"/>
        </w:rPr>
        <w:t>双方约定合同价款调整按下列方法进行：</w:t>
      </w:r>
      <w:r>
        <w:rPr>
          <w:rFonts w:hint="eastAsia" w:ascii="宋体" w:hAnsi="宋体" w:cs="宋体"/>
          <w:szCs w:val="21"/>
          <w:u w:val="single"/>
        </w:rPr>
        <w:t xml:space="preserve">  /  </w:t>
      </w:r>
      <w:r>
        <w:rPr>
          <w:rFonts w:hint="eastAsia" w:ascii="宋体" w:hAnsi="宋体" w:cs="宋体"/>
          <w:szCs w:val="21"/>
        </w:rPr>
        <w:t>。</w:t>
      </w:r>
    </w:p>
    <w:p>
      <w:pPr>
        <w:spacing w:line="360" w:lineRule="exact"/>
        <w:ind w:firstLine="420"/>
        <w:rPr>
          <w:rFonts w:hint="eastAsia" w:ascii="宋体" w:hAnsi="宋体" w:cs="宋体"/>
          <w:szCs w:val="21"/>
        </w:rPr>
      </w:pPr>
      <w:r>
        <w:rPr>
          <w:rFonts w:hint="eastAsia" w:ascii="宋体" w:hAnsi="宋体" w:cs="宋体"/>
          <w:szCs w:val="21"/>
        </w:rPr>
        <w:t>3、其他价格方式：</w:t>
      </w:r>
      <w:r>
        <w:rPr>
          <w:rFonts w:hint="eastAsia" w:ascii="宋体" w:hAnsi="宋体" w:cs="宋体"/>
          <w:b/>
          <w:szCs w:val="21"/>
          <w:u w:val="single"/>
        </w:rPr>
        <w:t xml:space="preserve">  /  </w:t>
      </w:r>
      <w:r>
        <w:rPr>
          <w:rFonts w:hint="eastAsia" w:ascii="宋体" w:hAnsi="宋体" w:cs="宋体"/>
          <w:szCs w:val="21"/>
        </w:rPr>
        <w:t>。</w:t>
      </w:r>
    </w:p>
    <w:p>
      <w:pPr>
        <w:pStyle w:val="7"/>
        <w:widowControl w:val="0"/>
        <w:numPr>
          <w:ilvl w:val="2"/>
          <w:numId w:val="0"/>
        </w:numPr>
        <w:spacing w:line="360" w:lineRule="exact"/>
        <w:jc w:val="both"/>
        <w:rPr>
          <w:rFonts w:hint="eastAsia" w:ascii="宋体" w:hAnsi="宋体" w:cs="宋体"/>
          <w:sz w:val="28"/>
          <w:szCs w:val="28"/>
        </w:rPr>
      </w:pPr>
      <w:bookmarkStart w:id="845" w:name="_Toc14614"/>
      <w:bookmarkStart w:id="846" w:name="_Toc17291"/>
      <w:bookmarkStart w:id="847" w:name="_Toc1605"/>
      <w:bookmarkStart w:id="848" w:name="_Toc9777"/>
      <w:bookmarkStart w:id="849" w:name="_Toc10461"/>
      <w:bookmarkStart w:id="850" w:name="_Toc4461"/>
      <w:r>
        <w:rPr>
          <w:rFonts w:hint="eastAsia" w:ascii="宋体" w:hAnsi="宋体" w:cs="宋体"/>
          <w:sz w:val="28"/>
          <w:szCs w:val="28"/>
        </w:rPr>
        <w:t>12.2 预付款</w:t>
      </w:r>
      <w:bookmarkEnd w:id="845"/>
      <w:bookmarkEnd w:id="846"/>
      <w:bookmarkEnd w:id="847"/>
      <w:bookmarkEnd w:id="848"/>
      <w:bookmarkEnd w:id="849"/>
      <w:bookmarkEnd w:id="850"/>
    </w:p>
    <w:p>
      <w:pPr>
        <w:spacing w:line="400" w:lineRule="exact"/>
        <w:ind w:firstLine="420"/>
        <w:rPr>
          <w:rFonts w:hint="eastAsia" w:ascii="宋体" w:hAnsi="宋体" w:cs="宋体"/>
          <w:color w:val="000000"/>
        </w:rPr>
      </w:pPr>
      <w:r>
        <w:rPr>
          <w:rFonts w:hint="eastAsia" w:ascii="宋体" w:hAnsi="宋体" w:cs="宋体"/>
        </w:rPr>
        <w:t>12.2.1 预</w:t>
      </w:r>
      <w:r>
        <w:rPr>
          <w:rFonts w:hint="eastAsia" w:ascii="宋体" w:hAnsi="宋体" w:cs="宋体"/>
          <w:color w:val="000000"/>
        </w:rPr>
        <w:t>付款的支付</w:t>
      </w:r>
    </w:p>
    <w:p>
      <w:pPr>
        <w:spacing w:line="400" w:lineRule="exact"/>
        <w:ind w:firstLine="420"/>
        <w:rPr>
          <w:rFonts w:hint="eastAsia" w:ascii="宋体" w:hAnsi="宋体" w:eastAsia="宋体" w:cs="宋体"/>
          <w:color w:val="000000"/>
          <w:spacing w:val="-4"/>
          <w:szCs w:val="22"/>
          <w:u w:val="single"/>
          <w:lang w:eastAsia="zh-CN"/>
        </w:rPr>
      </w:pPr>
      <w:r>
        <w:rPr>
          <w:rFonts w:hint="eastAsia" w:ascii="宋体" w:hAnsi="宋体" w:cs="宋体"/>
          <w:color w:val="000000"/>
          <w:szCs w:val="21"/>
        </w:rPr>
        <w:t>预付款支付比例或金额：</w:t>
      </w:r>
      <w:r>
        <w:rPr>
          <w:rFonts w:hint="eastAsia" w:ascii="宋体" w:hAnsi="宋体" w:cs="宋体"/>
          <w:spacing w:val="-4"/>
          <w:u w:val="single"/>
        </w:rPr>
        <w:t>本工程预付款为签约合同价款的40%（含安全文明施工基本费）</w:t>
      </w:r>
      <w:r>
        <w:rPr>
          <w:rFonts w:hint="eastAsia" w:ascii="宋体" w:hAnsi="宋体" w:cs="宋体"/>
          <w:spacing w:val="-4"/>
          <w:u w:val="single"/>
          <w:lang w:eastAsia="zh-CN"/>
        </w:rPr>
        <w:t>。</w:t>
      </w:r>
    </w:p>
    <w:p>
      <w:pPr>
        <w:spacing w:line="400" w:lineRule="exact"/>
        <w:ind w:firstLine="420" w:firstLineChars="200"/>
        <w:rPr>
          <w:rFonts w:hint="eastAsia" w:ascii="宋体" w:hAnsi="宋体" w:cs="宋体"/>
          <w:color w:val="000000"/>
          <w:u w:val="single"/>
        </w:rPr>
      </w:pPr>
      <w:r>
        <w:rPr>
          <w:rFonts w:hint="eastAsia" w:ascii="宋体" w:hAnsi="宋体" w:cs="宋体"/>
          <w:color w:val="000000"/>
          <w:szCs w:val="21"/>
        </w:rPr>
        <w:t>预付款支付期限：</w:t>
      </w:r>
      <w:r>
        <w:rPr>
          <w:rFonts w:hint="eastAsia" w:ascii="宋体" w:hAnsi="宋体" w:cs="宋体"/>
          <w:color w:val="000000"/>
          <w:u w:val="single"/>
        </w:rPr>
        <w:t>合同签订以及具备实施条件后7个工作日内支付合同价款的40%（含安全文明施工费）在签订合同时，供应商明确表示无需预付款或者主动要求降低预付款比例的，采购人可不适用前述规定。采购人可根据项目特点、供应商信用等情况，决定是否要求供应商提交银行、保险公司等金融机构出具的预付款保函或其他担保措施。（根据《浙江省财政厅关于进一步发挥政府采购政策功能全力推动经济稳进提升的通知》浙财采监[2022]3号文件）（具体拨付时间视财政资金到位情况为准）</w:t>
      </w:r>
    </w:p>
    <w:p>
      <w:pPr>
        <w:spacing w:line="400" w:lineRule="exact"/>
        <w:ind w:firstLine="420" w:firstLineChars="200"/>
        <w:rPr>
          <w:rFonts w:hint="eastAsia" w:ascii="宋体" w:hAnsi="宋体" w:cs="宋体"/>
          <w:szCs w:val="21"/>
          <w:u w:val="single"/>
        </w:rPr>
      </w:pPr>
      <w:r>
        <w:rPr>
          <w:rFonts w:hint="eastAsia" w:ascii="宋体" w:hAnsi="宋体" w:cs="宋体"/>
          <w:szCs w:val="21"/>
        </w:rPr>
        <w:t>预付款扣回的方式：</w:t>
      </w:r>
      <w:r>
        <w:rPr>
          <w:rFonts w:hint="eastAsia" w:ascii="宋体" w:hAnsi="宋体" w:cs="宋体"/>
          <w:szCs w:val="21"/>
          <w:u w:val="single"/>
        </w:rPr>
        <w:t>在支付第一期工程进度款时一次性扣回预付款(不含安全文明施工基本费），如不足抵扣的，则在下期工程款支付时扣回。</w:t>
      </w:r>
    </w:p>
    <w:p>
      <w:pPr>
        <w:spacing w:line="400" w:lineRule="exact"/>
        <w:ind w:firstLine="420" w:firstLineChars="200"/>
        <w:rPr>
          <w:rFonts w:hint="default" w:ascii="宋体" w:hAnsi="宋体" w:eastAsia="宋体" w:cs="宋体"/>
          <w:szCs w:val="21"/>
          <w:u w:val="single"/>
        </w:rPr>
      </w:pPr>
      <w:r>
        <w:rPr>
          <w:rFonts w:hint="default" w:ascii="宋体" w:hAnsi="宋体" w:eastAsia="宋体" w:cs="宋体"/>
          <w:szCs w:val="21"/>
          <w:u w:val="single"/>
        </w:rPr>
        <w:t>当在乙方完成工程量金额累计达到合同价款的50%后，则在当期工程款支付时扣回预付的安全文明施工基本费，如不足抵扣的，则在下期工程款支付时扣回。</w:t>
      </w:r>
    </w:p>
    <w:p>
      <w:pPr>
        <w:spacing w:line="400" w:lineRule="exact"/>
        <w:ind w:firstLine="422" w:firstLineChars="200"/>
        <w:rPr>
          <w:rFonts w:hint="default" w:ascii="宋体" w:hAnsi="宋体" w:eastAsia="宋体" w:cs="宋体"/>
          <w:b/>
          <w:bCs/>
          <w:color w:val="FF0000"/>
          <w:szCs w:val="21"/>
          <w:u w:val="single"/>
        </w:rPr>
      </w:pPr>
      <w:r>
        <w:rPr>
          <w:rFonts w:hint="eastAsia" w:ascii="宋体" w:hAnsi="宋体" w:eastAsia="宋体" w:cs="宋体"/>
          <w:b/>
          <w:bCs/>
          <w:color w:val="FF0000"/>
          <w:szCs w:val="21"/>
          <w:u w:val="single"/>
          <w:lang w:val="en-US" w:eastAsia="zh-CN"/>
        </w:rPr>
        <w:t>注：预付款5%打到公司基本账户或一般账户，35%达到三方监管账户。。</w:t>
      </w:r>
    </w:p>
    <w:p>
      <w:pPr>
        <w:spacing w:line="400" w:lineRule="exact"/>
        <w:ind w:firstLine="420"/>
        <w:rPr>
          <w:rFonts w:hint="eastAsia" w:ascii="宋体" w:hAnsi="宋体" w:cs="宋体"/>
          <w:color w:val="000000"/>
        </w:rPr>
      </w:pPr>
      <w:r>
        <w:rPr>
          <w:rFonts w:hint="eastAsia" w:ascii="宋体" w:hAnsi="宋体" w:cs="宋体"/>
          <w:color w:val="000000"/>
        </w:rPr>
        <w:t>12.2.2 预付款担保</w:t>
      </w:r>
    </w:p>
    <w:p>
      <w:pPr>
        <w:widowControl w:val="0"/>
        <w:spacing w:line="360" w:lineRule="exact"/>
        <w:ind w:firstLine="420"/>
        <w:rPr>
          <w:rFonts w:hint="eastAsia" w:ascii="宋体" w:hAnsi="宋体" w:cs="宋体"/>
        </w:rPr>
      </w:pPr>
      <w:r>
        <w:rPr>
          <w:rFonts w:hint="eastAsia" w:ascii="宋体" w:hAnsi="宋体" w:cs="宋体"/>
          <w:color w:val="000000"/>
        </w:rPr>
        <w:t>承包人提交预付款担保的期限：</w:t>
      </w:r>
      <w:r>
        <w:rPr>
          <w:rFonts w:hint="eastAsia" w:ascii="宋体" w:hAnsi="宋体" w:cs="宋体"/>
          <w:u w:val="single"/>
        </w:rPr>
        <w:t xml:space="preserve">需要，发包人支付预付款前提供预付款担保 </w:t>
      </w:r>
      <w:r>
        <w:rPr>
          <w:rFonts w:hint="eastAsia" w:ascii="宋体" w:hAnsi="宋体" w:cs="宋体"/>
        </w:rPr>
        <w:t>。</w:t>
      </w:r>
    </w:p>
    <w:p>
      <w:pPr>
        <w:widowControl w:val="0"/>
        <w:spacing w:line="360" w:lineRule="exact"/>
        <w:ind w:firstLine="420"/>
        <w:rPr>
          <w:rFonts w:hint="eastAsia" w:ascii="宋体" w:hAnsi="宋体" w:cs="宋体"/>
        </w:rPr>
      </w:pPr>
      <w:r>
        <w:rPr>
          <w:rFonts w:hint="eastAsia" w:ascii="宋体" w:hAnsi="宋体" w:cs="宋体"/>
        </w:rPr>
        <w:t>预付款担保的形式为：</w:t>
      </w:r>
      <w:r>
        <w:rPr>
          <w:rFonts w:hint="eastAsia" w:ascii="宋体" w:hAnsi="宋体" w:cs="宋体"/>
          <w:u w:val="single"/>
          <w:lang w:val="zh-CN"/>
        </w:rPr>
        <w:t>承包人需提交银行、保险公司等金融机构出具的预付款保函或其他担保措施（根据《浙江省财政厅关于进一步发挥政府采购政策功能全力推动经济稳进提升的通知》浙财采监[2022]3号文件）（具体拨付时间视财政资金到位情况为准）</w:t>
      </w:r>
      <w:r>
        <w:rPr>
          <w:rFonts w:hint="eastAsia" w:ascii="宋体" w:hAnsi="宋体" w:cs="宋体"/>
        </w:rPr>
        <w:t>。</w:t>
      </w:r>
    </w:p>
    <w:p>
      <w:pPr>
        <w:spacing w:line="336" w:lineRule="auto"/>
        <w:ind w:firstLine="420" w:firstLineChars="200"/>
        <w:rPr>
          <w:rFonts w:hint="eastAsia" w:ascii="宋体" w:hAnsi="宋体" w:cs="宋体"/>
        </w:rPr>
      </w:pPr>
      <w:r>
        <w:rPr>
          <w:rFonts w:hint="eastAsia" w:ascii="宋体" w:hAnsi="宋体" w:cs="宋体"/>
        </w:rPr>
        <w:t>预付款担保应满足以下几个条件：</w:t>
      </w:r>
    </w:p>
    <w:p>
      <w:pPr>
        <w:spacing w:line="336" w:lineRule="auto"/>
        <w:ind w:firstLine="420" w:firstLineChars="200"/>
        <w:rPr>
          <w:rFonts w:hint="default" w:ascii="Arial" w:hAnsi="Arial" w:eastAsia="宋体" w:cs="Arial"/>
          <w:b w:val="0"/>
          <w:bCs/>
          <w:color w:val="auto"/>
          <w:sz w:val="21"/>
          <w:szCs w:val="21"/>
          <w:u w:val="single"/>
          <w:lang w:val="en-US" w:eastAsia="zh-CN"/>
        </w:rPr>
      </w:pPr>
      <w:r>
        <w:rPr>
          <w:rFonts w:hint="default" w:ascii="Arial" w:hAnsi="Arial" w:eastAsia="宋体" w:cs="Arial"/>
          <w:b w:val="0"/>
          <w:bCs/>
          <w:color w:val="auto"/>
          <w:sz w:val="21"/>
          <w:szCs w:val="21"/>
          <w:u w:val="single"/>
          <w:lang w:val="en-US" w:eastAsia="zh-CN"/>
        </w:rPr>
        <w:t>1）为无条件保函：即在承包人没有实施合同或者未履行合同义务时，发包人不需要出具任何证明和理由，只要看到承包人违约，就可对银行保函进行收兑。</w:t>
      </w:r>
    </w:p>
    <w:p>
      <w:pPr>
        <w:spacing w:line="336" w:lineRule="auto"/>
        <w:ind w:firstLine="420" w:firstLineChars="200"/>
        <w:rPr>
          <w:rFonts w:hint="default" w:ascii="Arial" w:hAnsi="Arial" w:eastAsia="宋体" w:cs="Arial"/>
          <w:b w:val="0"/>
          <w:bCs/>
          <w:color w:val="auto"/>
          <w:sz w:val="21"/>
          <w:szCs w:val="21"/>
          <w:u w:val="single"/>
          <w:lang w:val="en-US" w:eastAsia="zh-CN"/>
        </w:rPr>
      </w:pPr>
      <w:r>
        <w:rPr>
          <w:rFonts w:hint="default" w:ascii="Arial" w:hAnsi="Arial" w:eastAsia="宋体" w:cs="Arial"/>
          <w:b w:val="0"/>
          <w:bCs/>
          <w:color w:val="auto"/>
          <w:sz w:val="21"/>
          <w:szCs w:val="21"/>
          <w:u w:val="single"/>
          <w:lang w:val="en-US" w:eastAsia="zh-CN"/>
        </w:rPr>
        <w:t>2）为见索即付保函：即在承包人没有实施合同或者未履行合同义务时，发包人不需要出具任何证明和理由，只要看到承包人违约，就可对银行保函进行收兑。</w:t>
      </w:r>
    </w:p>
    <w:p>
      <w:pPr>
        <w:spacing w:line="336" w:lineRule="auto"/>
        <w:ind w:firstLine="420" w:firstLineChars="200"/>
        <w:rPr>
          <w:rFonts w:hint="default" w:ascii="Arial" w:hAnsi="Arial" w:eastAsia="宋体" w:cs="Arial"/>
          <w:b w:val="0"/>
          <w:bCs/>
          <w:color w:val="auto"/>
          <w:sz w:val="21"/>
          <w:szCs w:val="21"/>
          <w:u w:val="single"/>
          <w:lang w:val="en-US" w:eastAsia="zh-CN"/>
        </w:rPr>
      </w:pPr>
      <w:r>
        <w:rPr>
          <w:rFonts w:hint="default" w:ascii="Arial" w:hAnsi="Arial" w:eastAsia="宋体" w:cs="Arial"/>
          <w:b w:val="0"/>
          <w:bCs/>
          <w:color w:val="auto"/>
          <w:sz w:val="21"/>
          <w:szCs w:val="21"/>
          <w:u w:val="single"/>
          <w:lang w:val="en-US" w:eastAsia="zh-CN"/>
        </w:rPr>
        <w:t>3）保函期限：在预付款完全扣回之前，应保证预付款担保持续有效。</w:t>
      </w:r>
    </w:p>
    <w:p>
      <w:pPr>
        <w:spacing w:line="336" w:lineRule="auto"/>
        <w:ind w:firstLine="420" w:firstLineChars="200"/>
        <w:rPr>
          <w:rFonts w:hint="default" w:ascii="Arial" w:hAnsi="Arial" w:eastAsia="宋体" w:cs="Arial"/>
          <w:b w:val="0"/>
          <w:bCs/>
          <w:color w:val="auto"/>
          <w:sz w:val="21"/>
          <w:szCs w:val="21"/>
          <w:u w:val="single"/>
          <w:lang w:val="en-US" w:eastAsia="zh-CN"/>
        </w:rPr>
      </w:pPr>
      <w:r>
        <w:rPr>
          <w:rFonts w:hint="default" w:ascii="Arial" w:hAnsi="Arial" w:eastAsia="宋体" w:cs="Arial"/>
          <w:b w:val="0"/>
          <w:bCs/>
          <w:color w:val="auto"/>
          <w:sz w:val="21"/>
          <w:szCs w:val="21"/>
          <w:u w:val="single"/>
          <w:lang w:val="en-US" w:eastAsia="zh-CN"/>
        </w:rPr>
        <w:t>4）出具保函的机构：需经发包人确认。</w:t>
      </w:r>
    </w:p>
    <w:p>
      <w:pPr>
        <w:widowControl w:val="0"/>
        <w:spacing w:line="360" w:lineRule="exact"/>
        <w:ind w:firstLine="420"/>
        <w:rPr>
          <w:rFonts w:hint="eastAsia" w:ascii="宋体" w:hAnsi="宋体" w:cs="宋体"/>
          <w:color w:val="000000"/>
        </w:rPr>
      </w:pPr>
    </w:p>
    <w:p>
      <w:pPr>
        <w:spacing w:line="360" w:lineRule="exact"/>
        <w:ind w:firstLine="420"/>
        <w:rPr>
          <w:rFonts w:hint="eastAsia" w:ascii="宋体" w:hAnsi="宋体" w:cs="宋体"/>
        </w:rPr>
      </w:pPr>
    </w:p>
    <w:p>
      <w:pPr>
        <w:pStyle w:val="7"/>
        <w:widowControl w:val="0"/>
        <w:numPr>
          <w:ilvl w:val="2"/>
          <w:numId w:val="0"/>
        </w:numPr>
        <w:spacing w:line="360" w:lineRule="exact"/>
        <w:jc w:val="both"/>
        <w:rPr>
          <w:rFonts w:hint="eastAsia" w:ascii="宋体" w:hAnsi="宋体" w:cs="宋体"/>
          <w:sz w:val="28"/>
          <w:szCs w:val="28"/>
        </w:rPr>
      </w:pPr>
      <w:bookmarkStart w:id="851" w:name="_Toc1103"/>
      <w:bookmarkStart w:id="852" w:name="_Toc30678"/>
      <w:bookmarkStart w:id="853" w:name="_Toc3526"/>
      <w:bookmarkStart w:id="854" w:name="_Toc12683"/>
      <w:bookmarkStart w:id="855" w:name="_Toc5726"/>
      <w:bookmarkStart w:id="856" w:name="_Toc12804"/>
      <w:r>
        <w:rPr>
          <w:rFonts w:hint="eastAsia" w:ascii="宋体" w:hAnsi="宋体" w:cs="宋体"/>
          <w:sz w:val="28"/>
          <w:szCs w:val="28"/>
        </w:rPr>
        <w:t>12.3 计量</w:t>
      </w:r>
      <w:bookmarkEnd w:id="851"/>
      <w:bookmarkEnd w:id="852"/>
      <w:bookmarkEnd w:id="853"/>
      <w:bookmarkEnd w:id="854"/>
      <w:bookmarkEnd w:id="855"/>
      <w:bookmarkEnd w:id="856"/>
    </w:p>
    <w:p>
      <w:pPr>
        <w:spacing w:line="360" w:lineRule="exact"/>
        <w:ind w:firstLine="420"/>
        <w:rPr>
          <w:rFonts w:hint="eastAsia" w:ascii="宋体" w:hAnsi="宋体" w:cs="宋体"/>
        </w:rPr>
      </w:pPr>
      <w:r>
        <w:rPr>
          <w:rFonts w:hint="eastAsia" w:ascii="宋体" w:hAnsi="宋体" w:cs="宋体"/>
        </w:rPr>
        <w:t>12.3.1 计量原则</w:t>
      </w:r>
    </w:p>
    <w:p>
      <w:pPr>
        <w:spacing w:line="360" w:lineRule="exact"/>
        <w:ind w:firstLine="420"/>
        <w:rPr>
          <w:rFonts w:hint="eastAsia" w:ascii="宋体" w:hAnsi="宋体" w:cs="宋体"/>
        </w:rPr>
      </w:pPr>
      <w:r>
        <w:rPr>
          <w:rFonts w:hint="eastAsia" w:ascii="宋体" w:hAnsi="宋体" w:cs="宋体"/>
        </w:rPr>
        <w:t>工程量计算规则：</w:t>
      </w:r>
      <w:r>
        <w:rPr>
          <w:rFonts w:hint="eastAsia" w:ascii="宋体" w:hAnsi="宋体" w:cs="宋体"/>
          <w:u w:val="single"/>
        </w:rPr>
        <w:t xml:space="preserve"> 浙江省2018计价依据和建设工程工程量清单计价规范（GB50500-2013）及相关省市文件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12.3.2 计量周期</w:t>
      </w:r>
    </w:p>
    <w:p>
      <w:pPr>
        <w:spacing w:line="360" w:lineRule="exact"/>
        <w:ind w:firstLine="420"/>
        <w:rPr>
          <w:rFonts w:hint="eastAsia" w:ascii="宋体" w:hAnsi="宋体" w:cs="宋体"/>
          <w:u w:val="single"/>
        </w:rPr>
      </w:pPr>
      <w:r>
        <w:rPr>
          <w:rFonts w:hint="eastAsia" w:ascii="宋体" w:hAnsi="宋体" w:cs="宋体"/>
        </w:rPr>
        <w:t>关于计量周期的约定：</w:t>
      </w:r>
      <w:r>
        <w:rPr>
          <w:rFonts w:hint="eastAsia" w:ascii="宋体" w:hAnsi="宋体" w:cs="宋体"/>
          <w:u w:val="single"/>
        </w:rPr>
        <w:t>承包人每月15日前提交已完成合格工程量的月报表，作为工程价款支付的依据</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12.3.3 单价合同的计量</w:t>
      </w:r>
    </w:p>
    <w:p>
      <w:pPr>
        <w:spacing w:line="360" w:lineRule="exact"/>
        <w:ind w:firstLine="420"/>
        <w:rPr>
          <w:rFonts w:hint="eastAsia" w:ascii="宋体" w:hAnsi="宋体" w:cs="宋体"/>
        </w:rPr>
      </w:pPr>
      <w:r>
        <w:rPr>
          <w:rFonts w:hint="eastAsia" w:ascii="宋体" w:hAnsi="宋体" w:cs="宋体"/>
        </w:rPr>
        <w:t>关于单价合同计量的约定：</w:t>
      </w:r>
      <w:r>
        <w:rPr>
          <w:rFonts w:hint="eastAsia" w:ascii="宋体" w:hAnsi="宋体" w:cs="宋体"/>
          <w:u w:val="single"/>
          <w:lang w:val="zh-CN"/>
        </w:rPr>
        <w:t>按通用条款执行</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12.3.4 总价合同的计量</w:t>
      </w:r>
    </w:p>
    <w:p>
      <w:pPr>
        <w:spacing w:line="360" w:lineRule="exact"/>
        <w:ind w:firstLine="420"/>
        <w:rPr>
          <w:rFonts w:hint="eastAsia" w:ascii="宋体" w:hAnsi="宋体" w:cs="宋体"/>
        </w:rPr>
      </w:pPr>
      <w:r>
        <w:rPr>
          <w:rFonts w:hint="eastAsia" w:ascii="宋体" w:hAnsi="宋体" w:cs="宋体"/>
        </w:rPr>
        <w:t>关于总价合同计量的约定：</w:t>
      </w:r>
      <w:r>
        <w:rPr>
          <w:rFonts w:hint="eastAsia" w:ascii="宋体" w:hAnsi="宋体" w:cs="宋体"/>
          <w:u w:val="single"/>
          <w:lang w:val="zh-CN"/>
        </w:rPr>
        <w:t>无</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12.3.5总价合同采用支付分解表计量支付的，是否适用第12.3.4 项〔总价合同的计量〕约定进行计量：</w:t>
      </w:r>
      <w:r>
        <w:rPr>
          <w:rFonts w:hint="eastAsia" w:ascii="宋体" w:hAnsi="宋体" w:cs="宋体"/>
          <w:u w:val="single"/>
          <w:lang w:val="zh-CN"/>
        </w:rPr>
        <w:t>无</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12.3.6 其他价格形式合同的计量</w:t>
      </w:r>
    </w:p>
    <w:p>
      <w:pPr>
        <w:spacing w:line="360" w:lineRule="exact"/>
        <w:ind w:firstLine="420"/>
        <w:rPr>
          <w:rFonts w:hint="eastAsia" w:ascii="宋体" w:hAnsi="宋体" w:cs="宋体"/>
          <w:b/>
          <w:u w:val="double"/>
        </w:rPr>
      </w:pPr>
      <w:r>
        <w:rPr>
          <w:rFonts w:hint="eastAsia" w:ascii="宋体" w:hAnsi="宋体" w:cs="宋体"/>
        </w:rPr>
        <w:t>其他价格形式的计量方式和程序：</w:t>
      </w:r>
      <w:r>
        <w:rPr>
          <w:rFonts w:hint="eastAsia" w:ascii="宋体" w:hAnsi="宋体" w:cs="宋体"/>
          <w:b/>
          <w:u w:val="single"/>
          <w:lang w:val="en-US" w:eastAsia="zh-CN"/>
        </w:rPr>
        <w:t>无</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857" w:name="_Toc2127"/>
      <w:bookmarkStart w:id="858" w:name="_Toc5052"/>
      <w:bookmarkStart w:id="859" w:name="_Toc20207"/>
      <w:bookmarkStart w:id="860" w:name="_Toc6978"/>
      <w:bookmarkStart w:id="861" w:name="_Toc2019"/>
      <w:bookmarkStart w:id="862" w:name="_Toc3102"/>
      <w:r>
        <w:rPr>
          <w:rFonts w:hint="eastAsia" w:ascii="宋体" w:hAnsi="宋体" w:cs="宋体"/>
          <w:sz w:val="28"/>
          <w:szCs w:val="28"/>
        </w:rPr>
        <w:t>12.4 工程进度款支付</w:t>
      </w:r>
      <w:bookmarkEnd w:id="857"/>
      <w:bookmarkEnd w:id="858"/>
      <w:bookmarkEnd w:id="859"/>
      <w:bookmarkEnd w:id="860"/>
      <w:bookmarkEnd w:id="861"/>
      <w:bookmarkEnd w:id="862"/>
    </w:p>
    <w:p>
      <w:pPr>
        <w:spacing w:line="360" w:lineRule="exact"/>
        <w:ind w:firstLine="420"/>
        <w:rPr>
          <w:rFonts w:hint="eastAsia" w:ascii="宋体" w:hAnsi="宋体" w:cs="宋体"/>
        </w:rPr>
      </w:pPr>
      <w:r>
        <w:rPr>
          <w:rFonts w:hint="eastAsia" w:ascii="宋体" w:hAnsi="宋体" w:cs="宋体"/>
        </w:rPr>
        <w:t>12.4.1 付款周期</w:t>
      </w:r>
    </w:p>
    <w:p>
      <w:pPr>
        <w:spacing w:line="360" w:lineRule="exact"/>
        <w:ind w:firstLine="420"/>
        <w:rPr>
          <w:rFonts w:hint="eastAsia" w:ascii="宋体" w:hAnsi="宋体" w:cs="宋体"/>
          <w:b/>
          <w:u w:val="double"/>
        </w:rPr>
      </w:pPr>
      <w:r>
        <w:rPr>
          <w:rFonts w:hint="eastAsia" w:ascii="宋体" w:hAnsi="宋体" w:cs="宋体"/>
        </w:rPr>
        <w:t>关于付款周期的约定：</w:t>
      </w:r>
      <w:r>
        <w:rPr>
          <w:rFonts w:hint="eastAsia" w:ascii="Arial" w:cs="Arial"/>
          <w:b/>
          <w:u w:val="single"/>
          <w:lang w:val="zh-CN"/>
        </w:rPr>
        <w:t>与计量周期相同</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12.4.2 进度付款申请单的编制</w:t>
      </w:r>
    </w:p>
    <w:p>
      <w:pPr>
        <w:spacing w:line="360" w:lineRule="exact"/>
        <w:ind w:firstLine="420"/>
        <w:rPr>
          <w:rFonts w:hint="eastAsia" w:ascii="宋体" w:hAnsi="宋体" w:cs="宋体"/>
          <w:b/>
          <w:u w:val="double"/>
        </w:rPr>
      </w:pPr>
      <w:r>
        <w:rPr>
          <w:rFonts w:hint="eastAsia" w:ascii="宋体" w:hAnsi="宋体" w:cs="宋体"/>
        </w:rPr>
        <w:t>关于进度付款申请单编制的约定：</w:t>
      </w:r>
      <w:r>
        <w:rPr>
          <w:rFonts w:hint="eastAsia" w:ascii="宋体" w:hAnsi="宋体" w:cs="宋体"/>
          <w:b/>
          <w:u w:val="single"/>
        </w:rPr>
        <w:t>按通用条款执行</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12.4.3 进度付款申请单的提交</w:t>
      </w:r>
    </w:p>
    <w:p>
      <w:pPr>
        <w:spacing w:line="360" w:lineRule="exact"/>
        <w:ind w:firstLine="420"/>
        <w:rPr>
          <w:rFonts w:hint="eastAsia" w:ascii="宋体" w:hAnsi="宋体" w:cs="宋体"/>
        </w:rPr>
      </w:pPr>
      <w:r>
        <w:rPr>
          <w:rFonts w:hint="eastAsia" w:ascii="宋体" w:hAnsi="宋体" w:cs="宋体"/>
        </w:rPr>
        <w:t>（1）单价合同进度付款申请单提交的约定：</w:t>
      </w:r>
      <w:r>
        <w:rPr>
          <w:rFonts w:hint="eastAsia" w:ascii="宋体" w:hAnsi="宋体" w:cs="宋体"/>
          <w:u w:val="single"/>
          <w:lang w:val="zh-CN"/>
        </w:rPr>
        <w:t>按通用条款执行。</w:t>
      </w:r>
    </w:p>
    <w:p>
      <w:pPr>
        <w:spacing w:line="360" w:lineRule="exact"/>
        <w:ind w:firstLine="420"/>
        <w:rPr>
          <w:rFonts w:hint="eastAsia" w:ascii="宋体" w:hAnsi="宋体" w:cs="宋体"/>
        </w:rPr>
      </w:pPr>
      <w:r>
        <w:rPr>
          <w:rFonts w:hint="eastAsia" w:ascii="宋体" w:hAnsi="宋体" w:cs="宋体"/>
        </w:rPr>
        <w:t>（2）总价合同进度付款申请单提交的约定：</w:t>
      </w:r>
      <w:r>
        <w:rPr>
          <w:rFonts w:hint="eastAsia" w:ascii="宋体" w:hAnsi="宋体" w:cs="宋体"/>
          <w:u w:val="single"/>
          <w:lang w:val="zh-CN"/>
        </w:rPr>
        <w:t>无。</w:t>
      </w:r>
      <w:r>
        <w:rPr>
          <w:rFonts w:hint="eastAsia" w:ascii="宋体" w:hAnsi="宋体" w:cs="宋体"/>
          <w:u w:val="single"/>
        </w:rPr>
        <w:t xml:space="preserve">     </w:t>
      </w:r>
    </w:p>
    <w:p>
      <w:pPr>
        <w:spacing w:line="360" w:lineRule="exact"/>
        <w:ind w:firstLine="420"/>
        <w:rPr>
          <w:rFonts w:hint="eastAsia" w:ascii="宋体" w:hAnsi="宋体" w:cs="宋体"/>
          <w:u w:val="single"/>
        </w:rPr>
      </w:pPr>
      <w:r>
        <w:rPr>
          <w:rFonts w:hint="eastAsia" w:ascii="宋体" w:hAnsi="宋体" w:cs="宋体"/>
        </w:rPr>
        <w:t>（3）其他价格形式合同进度付款申请单提交的约定：</w:t>
      </w:r>
      <w:r>
        <w:rPr>
          <w:rFonts w:hint="eastAsia" w:ascii="宋体" w:hAnsi="宋体" w:cs="宋体"/>
          <w:u w:val="single"/>
          <w:lang w:val="zh-CN"/>
        </w:rPr>
        <w:t>无。</w:t>
      </w:r>
    </w:p>
    <w:p>
      <w:pPr>
        <w:spacing w:line="360" w:lineRule="exact"/>
        <w:ind w:firstLine="420"/>
        <w:rPr>
          <w:rFonts w:hint="eastAsia" w:ascii="宋体" w:hAnsi="宋体" w:cs="宋体"/>
        </w:rPr>
      </w:pPr>
      <w:r>
        <w:rPr>
          <w:rFonts w:hint="eastAsia" w:ascii="宋体" w:hAnsi="宋体" w:cs="宋体"/>
        </w:rPr>
        <w:t>12.4.4 进度款审核和支付</w:t>
      </w:r>
    </w:p>
    <w:p>
      <w:pPr>
        <w:spacing w:line="360" w:lineRule="exact"/>
        <w:ind w:firstLine="420"/>
        <w:rPr>
          <w:rFonts w:hint="eastAsia" w:ascii="宋体" w:hAnsi="宋体" w:eastAsia="宋体" w:cs="宋体"/>
          <w:u w:val="single"/>
          <w:lang w:eastAsia="zh-CN"/>
        </w:rPr>
      </w:pPr>
      <w:r>
        <w:rPr>
          <w:rFonts w:hint="eastAsia" w:ascii="宋体" w:hAnsi="宋体" w:cs="宋体"/>
        </w:rPr>
        <w:t>（1）监理人审查并报送发包人的期限：</w:t>
      </w:r>
      <w:r>
        <w:rPr>
          <w:rFonts w:hint="eastAsia" w:ascii="宋体" w:hAnsi="宋体" w:cs="宋体"/>
          <w:u w:val="single"/>
        </w:rPr>
        <w:t>按通用条款执行</w:t>
      </w:r>
      <w:r>
        <w:rPr>
          <w:rFonts w:hint="eastAsia" w:ascii="宋体" w:hAnsi="宋体" w:cs="宋体"/>
          <w:u w:val="single"/>
          <w:lang w:eastAsia="zh-CN"/>
        </w:rPr>
        <w:t>。</w:t>
      </w:r>
    </w:p>
    <w:p>
      <w:pPr>
        <w:spacing w:line="360" w:lineRule="exact"/>
        <w:ind w:firstLine="420"/>
        <w:rPr>
          <w:rFonts w:hint="eastAsia" w:ascii="宋体" w:hAnsi="宋体" w:eastAsia="宋体" w:cs="宋体"/>
          <w:u w:val="single"/>
          <w:lang w:eastAsia="zh-CN"/>
        </w:rPr>
      </w:pPr>
      <w:r>
        <w:rPr>
          <w:rFonts w:hint="eastAsia" w:ascii="宋体" w:hAnsi="宋体" w:cs="宋体"/>
        </w:rPr>
        <w:t>发包人完成审批并签发进度款支付证书的期限：</w:t>
      </w:r>
      <w:r>
        <w:rPr>
          <w:rFonts w:hint="eastAsia" w:ascii="宋体" w:hAnsi="宋体" w:cs="宋体"/>
          <w:u w:val="single"/>
        </w:rPr>
        <w:t>按通用条款执行</w:t>
      </w:r>
      <w:r>
        <w:rPr>
          <w:rFonts w:hint="eastAsia" w:ascii="宋体" w:hAnsi="宋体" w:cs="宋体"/>
          <w:u w:val="single"/>
          <w:lang w:eastAsia="zh-CN"/>
        </w:rPr>
        <w:t>。</w:t>
      </w:r>
    </w:p>
    <w:p>
      <w:pPr>
        <w:numPr>
          <w:ilvl w:val="0"/>
          <w:numId w:val="0"/>
        </w:numPr>
        <w:spacing w:line="360" w:lineRule="auto"/>
        <w:ind w:firstLine="420" w:firstLineChars="200"/>
        <w:jc w:val="both"/>
        <w:rPr>
          <w:rFonts w:hint="eastAsia" w:ascii="宋体" w:hAnsi="宋体" w:cs="宋体"/>
          <w:color w:val="auto"/>
        </w:rPr>
      </w:pPr>
      <w:r>
        <w:rPr>
          <w:rFonts w:hint="eastAsia" w:ascii="宋体" w:hAnsi="宋体" w:eastAsia="宋体" w:cs="宋体"/>
          <w:color w:val="auto"/>
          <w:kern w:val="2"/>
          <w:sz w:val="21"/>
          <w:szCs w:val="24"/>
          <w:lang w:val="en-US" w:eastAsia="zh-CN" w:bidi="ar-SA"/>
        </w:rPr>
        <w:t>（2）</w:t>
      </w:r>
      <w:r>
        <w:rPr>
          <w:rFonts w:hint="eastAsia" w:ascii="宋体" w:hAnsi="宋体" w:cs="宋体"/>
        </w:rPr>
        <w:t>发包人支付进度款的</w:t>
      </w:r>
      <w:r>
        <w:rPr>
          <w:rFonts w:hint="eastAsia" w:ascii="宋体" w:hAnsi="宋体" w:cs="宋体"/>
          <w:color w:val="auto"/>
        </w:rPr>
        <w:t>期限：</w:t>
      </w:r>
    </w:p>
    <w:p>
      <w:pPr>
        <w:numPr>
          <w:ilvl w:val="0"/>
          <w:numId w:val="0"/>
        </w:numPr>
        <w:spacing w:line="360" w:lineRule="auto"/>
        <w:ind w:firstLine="422" w:firstLineChars="200"/>
        <w:jc w:val="both"/>
        <w:rPr>
          <w:rFonts w:hint="default" w:ascii="Arial" w:hAnsi="Arial" w:eastAsia="宋体" w:cs="Arial"/>
          <w:b/>
          <w:color w:val="auto"/>
          <w:sz w:val="21"/>
          <w:szCs w:val="21"/>
          <w:u w:val="single"/>
          <w:lang w:eastAsia="zh-CN"/>
        </w:rPr>
      </w:pPr>
      <w:r>
        <w:rPr>
          <w:rFonts w:hint="default" w:ascii="Arial" w:hAnsi="Arial" w:eastAsia="宋体" w:cs="Arial"/>
          <w:b/>
          <w:color w:val="auto"/>
          <w:sz w:val="21"/>
          <w:szCs w:val="21"/>
          <w:u w:val="single"/>
          <w:lang w:eastAsia="zh-CN"/>
        </w:rPr>
        <w:t>①合同签订以及具备实施条件后7个工作日内支付合同价款的40%（含安全文明施工费）在签订合同时，供应商明确表示无需预付款或者主动要求降低预付款比例的，采购人可不适用前述规定。采购人可根据项目特点、供应商信用等情况，决定是否要求供应商提交银行、保险公司等金融机构出具的预付款保函或其他担保措施。（根据《浙江省财政厅关于进一步发挥政府采购政策功能全力推动经济稳进提升的通知》浙财采监[2022]3号文件）</w:t>
      </w:r>
      <w:r>
        <w:rPr>
          <w:rFonts w:hint="eastAsia" w:ascii="Arial" w:hAnsi="Arial" w:cs="Arial"/>
          <w:b/>
          <w:color w:val="auto"/>
          <w:sz w:val="21"/>
          <w:szCs w:val="21"/>
          <w:u w:val="single"/>
          <w:lang w:eastAsia="zh-CN"/>
        </w:rPr>
        <w:t>。</w:t>
      </w:r>
      <w:r>
        <w:rPr>
          <w:rFonts w:hint="default" w:ascii="Arial" w:hAnsi="Arial" w:eastAsia="宋体" w:cs="Arial"/>
          <w:b/>
          <w:color w:val="FF0000"/>
          <w:sz w:val="21"/>
          <w:szCs w:val="21"/>
          <w:u w:val="single"/>
          <w:lang w:eastAsia="zh-CN"/>
        </w:rPr>
        <w:t>注：预付款5%打到公司基本账户或一般账户，35%达到三方监管账户。</w:t>
      </w:r>
    </w:p>
    <w:p>
      <w:pPr>
        <w:spacing w:line="360" w:lineRule="auto"/>
        <w:ind w:firstLine="422" w:firstLineChars="200"/>
        <w:jc w:val="both"/>
        <w:rPr>
          <w:rFonts w:hint="default" w:ascii="Arial" w:hAnsi="Arial" w:eastAsia="宋体" w:cs="Arial"/>
          <w:b/>
          <w:color w:val="auto"/>
          <w:sz w:val="21"/>
          <w:szCs w:val="21"/>
          <w:u w:val="single"/>
          <w:lang w:val="en-US" w:eastAsia="zh-CN"/>
        </w:rPr>
      </w:pPr>
      <w:r>
        <w:rPr>
          <w:rFonts w:hint="default" w:ascii="Arial" w:hAnsi="Arial" w:eastAsia="宋体" w:cs="Arial"/>
          <w:b/>
          <w:color w:val="auto"/>
          <w:sz w:val="21"/>
          <w:szCs w:val="21"/>
          <w:u w:val="single"/>
          <w:lang w:val="en-US" w:eastAsia="zh-CN"/>
        </w:rPr>
        <w:t>②1.①每月15日成交供应商上报实际完成工程量，经监理人和采购人签字确定并收到发票后（满足合同约定支付条件的），7个工作日内支付至已完成工程量的85%。工程款累计支付至合同价款的85%后暂停支付。</w:t>
      </w:r>
    </w:p>
    <w:p>
      <w:pPr>
        <w:spacing w:line="360" w:lineRule="auto"/>
        <w:ind w:firstLine="422" w:firstLineChars="200"/>
        <w:jc w:val="both"/>
        <w:rPr>
          <w:rFonts w:hint="default" w:ascii="Arial" w:hAnsi="Arial" w:eastAsia="宋体" w:cs="Arial"/>
          <w:b/>
          <w:color w:val="auto"/>
          <w:sz w:val="21"/>
          <w:szCs w:val="21"/>
          <w:u w:val="single"/>
          <w:lang w:eastAsia="zh-CN"/>
        </w:rPr>
      </w:pPr>
      <w:r>
        <w:rPr>
          <w:rFonts w:hint="default" w:ascii="Arial" w:hAnsi="Arial" w:eastAsia="宋体" w:cs="Arial"/>
          <w:b/>
          <w:color w:val="auto"/>
          <w:sz w:val="21"/>
          <w:szCs w:val="21"/>
          <w:u w:val="single"/>
          <w:lang w:val="en-US" w:eastAsia="zh-CN"/>
        </w:rPr>
        <w:t>③</w:t>
      </w:r>
      <w:r>
        <w:rPr>
          <w:rFonts w:hint="default" w:ascii="Arial" w:hAnsi="Arial" w:eastAsia="宋体" w:cs="Arial"/>
          <w:b/>
          <w:color w:val="auto"/>
          <w:sz w:val="21"/>
          <w:szCs w:val="21"/>
          <w:u w:val="single"/>
          <w:lang w:eastAsia="zh-CN"/>
        </w:rPr>
        <w:t>办理结算后</w:t>
      </w:r>
      <w:r>
        <w:rPr>
          <w:rFonts w:hint="default" w:ascii="Arial" w:hAnsi="Arial" w:eastAsia="宋体" w:cs="Arial"/>
          <w:b/>
          <w:color w:val="auto"/>
          <w:sz w:val="21"/>
          <w:szCs w:val="21"/>
          <w:u w:val="single"/>
          <w:lang w:val="en-US" w:eastAsia="zh-CN"/>
        </w:rPr>
        <w:t>7个工作日内</w:t>
      </w:r>
      <w:r>
        <w:rPr>
          <w:rFonts w:hint="default" w:ascii="Arial" w:hAnsi="Arial" w:eastAsia="宋体" w:cs="Arial"/>
          <w:b/>
          <w:color w:val="auto"/>
          <w:sz w:val="21"/>
          <w:szCs w:val="21"/>
          <w:u w:val="single"/>
          <w:lang w:eastAsia="zh-CN"/>
        </w:rPr>
        <w:t>支付至审定后结算价款的100%。</w:t>
      </w:r>
    </w:p>
    <w:p>
      <w:pPr>
        <w:spacing w:line="360" w:lineRule="exact"/>
        <w:ind w:firstLine="420"/>
        <w:rPr>
          <w:rFonts w:hint="eastAsia" w:ascii="宋体" w:hAnsi="宋体" w:cs="宋体"/>
          <w:color w:val="auto"/>
          <w:u w:val="single"/>
        </w:rPr>
      </w:pPr>
      <w:r>
        <w:rPr>
          <w:rFonts w:hint="default" w:ascii="Arial" w:hAnsi="Arial" w:eastAsia="宋体" w:cs="Arial"/>
          <w:b/>
          <w:color w:val="auto"/>
          <w:sz w:val="21"/>
          <w:szCs w:val="21"/>
          <w:u w:val="single"/>
          <w:lang w:val="en-US" w:eastAsia="zh-CN"/>
        </w:rPr>
        <w:t>④</w:t>
      </w:r>
      <w:r>
        <w:rPr>
          <w:rFonts w:hint="default" w:ascii="Arial" w:hAnsi="Arial" w:eastAsia="宋体" w:cs="Arial"/>
          <w:b/>
          <w:color w:val="auto"/>
          <w:sz w:val="21"/>
          <w:szCs w:val="21"/>
          <w:u w:val="single"/>
          <w:lang w:eastAsia="zh-CN"/>
        </w:rPr>
        <w:t>发包人向承包人支付的一切费用，承包人不得移作他用。</w:t>
      </w:r>
    </w:p>
    <w:p>
      <w:pPr>
        <w:spacing w:line="360" w:lineRule="exact"/>
        <w:ind w:firstLine="420"/>
        <w:rPr>
          <w:rFonts w:hint="eastAsia" w:ascii="宋体" w:hAnsi="宋体" w:cs="宋体"/>
          <w:u w:val="single"/>
        </w:rPr>
      </w:pPr>
      <w:r>
        <w:rPr>
          <w:rFonts w:hint="eastAsia" w:ascii="宋体" w:hAnsi="宋体" w:cs="宋体"/>
        </w:rPr>
        <w:t>发包人逾期支付进度款的违约金的计算方式：</w:t>
      </w:r>
      <w:r>
        <w:rPr>
          <w:rFonts w:hint="eastAsia" w:ascii="宋体" w:hAnsi="宋体" w:cs="宋体"/>
          <w:u w:val="single"/>
          <w:lang w:val="zh-CN"/>
        </w:rPr>
        <w:t>无。</w:t>
      </w:r>
      <w:r>
        <w:rPr>
          <w:rFonts w:hint="eastAsia" w:ascii="宋体" w:hAnsi="宋体" w:cs="宋体"/>
          <w:u w:val="single"/>
        </w:rPr>
        <w:t xml:space="preserve"> </w:t>
      </w:r>
    </w:p>
    <w:p>
      <w:pPr>
        <w:spacing w:line="360" w:lineRule="exact"/>
        <w:ind w:firstLine="420"/>
        <w:rPr>
          <w:rFonts w:hint="eastAsia" w:ascii="宋体" w:hAnsi="宋体" w:cs="宋体"/>
        </w:rPr>
      </w:pPr>
      <w:r>
        <w:rPr>
          <w:rFonts w:hint="eastAsia" w:ascii="宋体" w:hAnsi="宋体" w:cs="宋体"/>
        </w:rPr>
        <w:t>12.4.6 支付分解表的编制</w:t>
      </w:r>
    </w:p>
    <w:p>
      <w:pPr>
        <w:spacing w:line="360" w:lineRule="exact"/>
        <w:ind w:firstLine="420"/>
        <w:rPr>
          <w:rFonts w:hint="eastAsia" w:ascii="宋体" w:hAnsi="宋体" w:cs="宋体"/>
          <w:u w:val="single"/>
        </w:rPr>
      </w:pPr>
      <w:r>
        <w:rPr>
          <w:rFonts w:hint="eastAsia" w:ascii="宋体" w:hAnsi="宋体" w:cs="宋体"/>
        </w:rPr>
        <w:t>2、总价合同支付分解表的编制与审批：</w:t>
      </w:r>
      <w:r>
        <w:rPr>
          <w:rFonts w:hint="eastAsia" w:ascii="宋体" w:hAnsi="宋体" w:cs="宋体"/>
          <w:u w:val="single"/>
          <w:lang w:val="zh-CN"/>
        </w:rPr>
        <w:t>无。</w:t>
      </w:r>
      <w:r>
        <w:rPr>
          <w:rFonts w:hint="eastAsia" w:ascii="宋体" w:hAnsi="宋体" w:cs="宋体"/>
          <w:u w:val="single"/>
        </w:rPr>
        <w:t xml:space="preserve"> </w:t>
      </w:r>
    </w:p>
    <w:p>
      <w:pPr>
        <w:spacing w:line="360" w:lineRule="exact"/>
        <w:ind w:firstLine="420"/>
        <w:rPr>
          <w:rFonts w:hint="eastAsia" w:ascii="宋体" w:hAnsi="宋体" w:cs="宋体"/>
          <w:u w:val="single"/>
        </w:rPr>
      </w:pPr>
      <w:r>
        <w:rPr>
          <w:rFonts w:hint="eastAsia" w:ascii="宋体" w:hAnsi="宋体" w:cs="宋体"/>
        </w:rPr>
        <w:t>3、单价合同的总价项目支付分解表的编制与审批：</w:t>
      </w:r>
      <w:r>
        <w:rPr>
          <w:rFonts w:hint="default" w:ascii="Arial" w:hAnsi="Arial" w:cs="Arial"/>
          <w:b/>
          <w:color w:val="auto"/>
          <w:sz w:val="21"/>
          <w:szCs w:val="21"/>
          <w:u w:val="single"/>
        </w:rPr>
        <w:t>按通用条款执行</w:t>
      </w:r>
      <w:r>
        <w:rPr>
          <w:rFonts w:hint="eastAsia" w:ascii="宋体" w:hAnsi="宋体" w:cs="宋体"/>
          <w:color w:val="auto"/>
          <w:u w:val="single"/>
          <w:lang w:val="zh-CN"/>
        </w:rPr>
        <w:t>。</w:t>
      </w:r>
      <w:r>
        <w:rPr>
          <w:rFonts w:hint="eastAsia" w:ascii="宋体" w:hAnsi="宋体" w:cs="宋体"/>
          <w:color w:val="auto"/>
          <w:u w:val="single"/>
        </w:rPr>
        <w:t xml:space="preserve"> </w:t>
      </w:r>
    </w:p>
    <w:p>
      <w:pPr>
        <w:pStyle w:val="7"/>
        <w:widowControl w:val="0"/>
        <w:numPr>
          <w:ilvl w:val="2"/>
          <w:numId w:val="0"/>
        </w:numPr>
        <w:spacing w:line="360" w:lineRule="exact"/>
        <w:jc w:val="both"/>
        <w:rPr>
          <w:rFonts w:hint="eastAsia" w:ascii="宋体" w:hAnsi="宋体" w:cs="宋体"/>
          <w:sz w:val="28"/>
          <w:szCs w:val="28"/>
        </w:rPr>
      </w:pPr>
      <w:bookmarkStart w:id="863" w:name="_Toc8159"/>
      <w:bookmarkStart w:id="864" w:name="_Toc3012"/>
      <w:bookmarkStart w:id="865" w:name="_Toc498421093"/>
      <w:bookmarkStart w:id="866" w:name="_Toc29871"/>
      <w:bookmarkStart w:id="867" w:name="_Toc26278"/>
      <w:bookmarkStart w:id="868" w:name="_Toc4530"/>
      <w:bookmarkStart w:id="869" w:name="_Toc15845"/>
      <w:bookmarkStart w:id="870" w:name="_Toc421260800"/>
      <w:r>
        <w:rPr>
          <w:rFonts w:hint="eastAsia" w:ascii="宋体" w:hAnsi="宋体" w:cs="宋体"/>
          <w:sz w:val="28"/>
          <w:szCs w:val="28"/>
        </w:rPr>
        <w:t>13. 验收和工程试车</w:t>
      </w:r>
      <w:bookmarkEnd w:id="863"/>
      <w:bookmarkEnd w:id="864"/>
      <w:bookmarkEnd w:id="865"/>
      <w:bookmarkEnd w:id="866"/>
      <w:bookmarkEnd w:id="867"/>
      <w:bookmarkEnd w:id="868"/>
      <w:bookmarkEnd w:id="869"/>
      <w:bookmarkEnd w:id="870"/>
    </w:p>
    <w:p>
      <w:pPr>
        <w:pStyle w:val="7"/>
        <w:widowControl w:val="0"/>
        <w:numPr>
          <w:ilvl w:val="2"/>
          <w:numId w:val="0"/>
        </w:numPr>
        <w:spacing w:line="360" w:lineRule="exact"/>
        <w:jc w:val="both"/>
        <w:rPr>
          <w:rFonts w:hint="eastAsia" w:ascii="宋体" w:hAnsi="宋体" w:cs="宋体"/>
          <w:sz w:val="28"/>
          <w:szCs w:val="28"/>
        </w:rPr>
      </w:pPr>
      <w:bookmarkStart w:id="871" w:name="_Toc1006"/>
      <w:bookmarkStart w:id="872" w:name="_Toc30371"/>
      <w:bookmarkStart w:id="873" w:name="_Toc1698"/>
      <w:bookmarkStart w:id="874" w:name="_Toc23818"/>
      <w:bookmarkStart w:id="875" w:name="_Toc11189"/>
      <w:bookmarkStart w:id="876" w:name="_Toc25748"/>
      <w:r>
        <w:rPr>
          <w:rFonts w:hint="eastAsia" w:ascii="宋体" w:hAnsi="宋体" w:cs="宋体"/>
          <w:sz w:val="28"/>
          <w:szCs w:val="28"/>
        </w:rPr>
        <w:t>13.1 分部分项工程验收</w:t>
      </w:r>
      <w:bookmarkEnd w:id="871"/>
      <w:bookmarkEnd w:id="872"/>
      <w:bookmarkEnd w:id="873"/>
      <w:bookmarkEnd w:id="874"/>
      <w:bookmarkEnd w:id="875"/>
      <w:bookmarkEnd w:id="876"/>
    </w:p>
    <w:p>
      <w:pPr>
        <w:spacing w:line="360" w:lineRule="exact"/>
        <w:ind w:firstLine="420"/>
        <w:rPr>
          <w:rFonts w:hint="eastAsia" w:ascii="宋体" w:hAnsi="宋体" w:cs="宋体"/>
        </w:rPr>
      </w:pPr>
      <w:r>
        <w:rPr>
          <w:rFonts w:hint="eastAsia" w:ascii="宋体" w:hAnsi="宋体" w:cs="宋体"/>
        </w:rPr>
        <w:t>13.1.2监理人不能按时进行验收时，应提前</w:t>
      </w:r>
      <w:r>
        <w:rPr>
          <w:rFonts w:hint="eastAsia" w:ascii="宋体" w:hAnsi="宋体" w:cs="宋体"/>
          <w:u w:val="single"/>
        </w:rPr>
        <w:t xml:space="preserve"> 24 </w:t>
      </w:r>
      <w:r>
        <w:rPr>
          <w:rFonts w:hint="eastAsia" w:ascii="宋体" w:hAnsi="宋体" w:cs="宋体"/>
        </w:rPr>
        <w:t>小时提交书面延期要求。</w:t>
      </w:r>
    </w:p>
    <w:p>
      <w:pPr>
        <w:spacing w:line="360" w:lineRule="exact"/>
        <w:ind w:firstLine="420"/>
        <w:rPr>
          <w:rFonts w:hint="eastAsia" w:ascii="宋体" w:hAnsi="宋体" w:cs="宋体"/>
          <w:b/>
        </w:rPr>
      </w:pPr>
      <w:r>
        <w:rPr>
          <w:rFonts w:hint="eastAsia" w:ascii="宋体" w:hAnsi="宋体" w:cs="宋体"/>
        </w:rPr>
        <w:t>关于延期最长不得超过：</w:t>
      </w:r>
      <w:r>
        <w:rPr>
          <w:rFonts w:hint="eastAsia" w:ascii="宋体" w:hAnsi="宋体" w:cs="宋体"/>
          <w:u w:val="single"/>
        </w:rPr>
        <w:t xml:space="preserve"> 48 </w:t>
      </w:r>
      <w:r>
        <w:rPr>
          <w:rFonts w:hint="eastAsia" w:ascii="宋体" w:hAnsi="宋体" w:cs="宋体"/>
        </w:rPr>
        <w:t>小时。</w:t>
      </w:r>
    </w:p>
    <w:p>
      <w:pPr>
        <w:pStyle w:val="7"/>
        <w:widowControl w:val="0"/>
        <w:numPr>
          <w:ilvl w:val="2"/>
          <w:numId w:val="0"/>
        </w:numPr>
        <w:spacing w:line="360" w:lineRule="exact"/>
        <w:jc w:val="both"/>
        <w:rPr>
          <w:rFonts w:hint="eastAsia" w:ascii="宋体" w:hAnsi="宋体" w:cs="宋体"/>
          <w:sz w:val="28"/>
          <w:szCs w:val="28"/>
        </w:rPr>
      </w:pPr>
      <w:bookmarkStart w:id="877" w:name="_Toc27210"/>
      <w:bookmarkStart w:id="878" w:name="_Toc18210"/>
      <w:bookmarkStart w:id="879" w:name="_Toc32595"/>
      <w:bookmarkStart w:id="880" w:name="_Toc1779"/>
      <w:bookmarkStart w:id="881" w:name="_Toc28763"/>
      <w:bookmarkStart w:id="882" w:name="_Toc13733"/>
      <w:r>
        <w:rPr>
          <w:rFonts w:hint="eastAsia" w:ascii="宋体" w:hAnsi="宋体" w:cs="宋体"/>
          <w:sz w:val="28"/>
          <w:szCs w:val="28"/>
        </w:rPr>
        <w:t>13.2 竣工验收</w:t>
      </w:r>
      <w:bookmarkEnd w:id="877"/>
      <w:bookmarkEnd w:id="878"/>
      <w:bookmarkEnd w:id="879"/>
      <w:bookmarkEnd w:id="880"/>
      <w:bookmarkEnd w:id="881"/>
      <w:bookmarkEnd w:id="882"/>
    </w:p>
    <w:p>
      <w:pPr>
        <w:spacing w:line="360" w:lineRule="exact"/>
        <w:ind w:firstLine="420"/>
        <w:rPr>
          <w:rFonts w:hint="eastAsia" w:ascii="宋体" w:hAnsi="宋体" w:cs="宋体"/>
        </w:rPr>
      </w:pPr>
      <w:r>
        <w:rPr>
          <w:rFonts w:hint="eastAsia" w:ascii="宋体" w:hAnsi="宋体" w:cs="宋体"/>
        </w:rPr>
        <w:t>13.2.2竣工验收程序</w:t>
      </w:r>
    </w:p>
    <w:p>
      <w:pPr>
        <w:spacing w:line="360" w:lineRule="exact"/>
        <w:ind w:firstLine="420"/>
        <w:rPr>
          <w:rFonts w:hint="eastAsia" w:ascii="宋体" w:hAnsi="宋体" w:cs="宋体"/>
          <w:u w:val="single"/>
        </w:rPr>
      </w:pPr>
      <w:r>
        <w:rPr>
          <w:rFonts w:hint="eastAsia" w:ascii="宋体" w:hAnsi="宋体" w:cs="宋体"/>
        </w:rPr>
        <w:t>关于竣工验收程序的约定：</w:t>
      </w:r>
      <w:r>
        <w:rPr>
          <w:rFonts w:hint="eastAsia" w:ascii="宋体" w:hAnsi="宋体" w:cs="宋体"/>
          <w:u w:val="single"/>
        </w:rPr>
        <w:t xml:space="preserve">    按通用条款执行   </w:t>
      </w:r>
      <w:r>
        <w:rPr>
          <w:rFonts w:hint="eastAsia" w:ascii="宋体" w:hAnsi="宋体" w:cs="宋体"/>
        </w:rPr>
        <w:t>。</w:t>
      </w:r>
    </w:p>
    <w:p>
      <w:pPr>
        <w:spacing w:line="360" w:lineRule="exact"/>
        <w:ind w:firstLine="420"/>
        <w:rPr>
          <w:rFonts w:hint="eastAsia" w:ascii="宋体" w:hAnsi="宋体" w:cs="宋体"/>
          <w:u w:val="single"/>
        </w:rPr>
      </w:pPr>
      <w:r>
        <w:rPr>
          <w:rFonts w:hint="eastAsia" w:ascii="宋体" w:hAnsi="宋体" w:cs="宋体"/>
        </w:rPr>
        <w:t>发包人不按照本项约定组织竣工验收、颁发工程接收证书的违约金的计算方法：</w:t>
      </w:r>
      <w:r>
        <w:rPr>
          <w:rFonts w:hint="eastAsia" w:ascii="宋体" w:hAnsi="宋体" w:cs="宋体"/>
          <w:u w:val="single"/>
          <w:lang w:val="zh-CN"/>
        </w:rPr>
        <w:t>按通用条款执行</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13.2.5移交、接收全部与部分工程</w:t>
      </w:r>
    </w:p>
    <w:p>
      <w:pPr>
        <w:spacing w:line="360" w:lineRule="exact"/>
        <w:ind w:firstLine="420"/>
        <w:rPr>
          <w:rFonts w:hint="eastAsia" w:ascii="宋体" w:hAnsi="宋体" w:cs="宋体"/>
        </w:rPr>
      </w:pPr>
      <w:r>
        <w:rPr>
          <w:rFonts w:hint="eastAsia" w:ascii="宋体" w:hAnsi="宋体" w:cs="宋体"/>
        </w:rPr>
        <w:t>承包人向发包人移交工程的期限：</w:t>
      </w:r>
      <w:r>
        <w:rPr>
          <w:rFonts w:hint="eastAsia" w:ascii="宋体" w:hAnsi="宋体" w:cs="宋体"/>
          <w:u w:val="single"/>
        </w:rPr>
        <w:t xml:space="preserve"> 颁发工程接收证书后7天内</w:t>
      </w:r>
      <w:r>
        <w:rPr>
          <w:rFonts w:hint="eastAsia" w:ascii="宋体" w:hAnsi="宋体" w:cs="宋体"/>
        </w:rPr>
        <w:t>。</w:t>
      </w:r>
    </w:p>
    <w:p>
      <w:pPr>
        <w:spacing w:line="360" w:lineRule="exact"/>
        <w:ind w:firstLine="420"/>
        <w:rPr>
          <w:rFonts w:hint="eastAsia" w:ascii="宋体" w:hAnsi="宋体" w:cs="宋体"/>
          <w:u w:val="single"/>
        </w:rPr>
      </w:pPr>
      <w:r>
        <w:rPr>
          <w:rFonts w:hint="eastAsia" w:ascii="宋体" w:hAnsi="宋体" w:cs="宋体"/>
        </w:rPr>
        <w:t>发包人未按本合同约定接收全部或部分工程的，违约金的计算方法为：</w:t>
      </w:r>
      <w:r>
        <w:rPr>
          <w:rFonts w:hint="eastAsia" w:ascii="宋体" w:hAnsi="宋体" w:cs="宋体"/>
          <w:u w:val="single"/>
          <w:lang w:val="zh-CN"/>
        </w:rPr>
        <w:t xml:space="preserve">无  </w:t>
      </w:r>
      <w:r>
        <w:rPr>
          <w:rFonts w:hint="eastAsia" w:ascii="宋体" w:hAnsi="宋体" w:cs="宋体"/>
          <w:u w:val="single"/>
        </w:rPr>
        <w:t xml:space="preserve">   </w:t>
      </w:r>
      <w:r>
        <w:rPr>
          <w:rFonts w:hint="eastAsia" w:ascii="宋体" w:hAnsi="宋体" w:cs="宋体"/>
        </w:rPr>
        <w:t>。</w:t>
      </w:r>
    </w:p>
    <w:p>
      <w:pPr>
        <w:spacing w:line="360" w:lineRule="exact"/>
        <w:ind w:firstLine="420"/>
        <w:rPr>
          <w:rFonts w:hint="eastAsia" w:ascii="宋体" w:hAnsi="宋体" w:cs="宋体"/>
          <w:u w:val="single"/>
        </w:rPr>
      </w:pPr>
      <w:r>
        <w:rPr>
          <w:rFonts w:hint="eastAsia" w:ascii="宋体" w:hAnsi="宋体" w:cs="宋体"/>
        </w:rPr>
        <w:t>承包人未按时移交工程的，违约金的计算方法为：</w:t>
      </w:r>
      <w:r>
        <w:rPr>
          <w:rFonts w:hint="eastAsia" w:ascii="宋体" w:hAnsi="宋体" w:cs="宋体"/>
          <w:u w:val="single"/>
          <w:lang w:val="zh-CN"/>
        </w:rPr>
        <w:t xml:space="preserve">无 </w:t>
      </w:r>
      <w:r>
        <w:rPr>
          <w:rFonts w:hint="eastAsia" w:ascii="宋体" w:hAnsi="宋体" w:cs="宋体"/>
          <w:u w:val="single"/>
        </w:rPr>
        <w:t xml:space="preserve">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883" w:name="_Toc3544"/>
      <w:bookmarkStart w:id="884" w:name="_Toc2883"/>
      <w:bookmarkStart w:id="885" w:name="_Toc24771"/>
      <w:bookmarkStart w:id="886" w:name="_Toc12251"/>
      <w:bookmarkStart w:id="887" w:name="_Toc22560"/>
      <w:bookmarkStart w:id="888" w:name="_Toc3957"/>
      <w:r>
        <w:rPr>
          <w:rFonts w:hint="eastAsia" w:ascii="宋体" w:hAnsi="宋体" w:cs="宋体"/>
          <w:sz w:val="28"/>
          <w:szCs w:val="28"/>
        </w:rPr>
        <w:t>13.3 工程试车</w:t>
      </w:r>
      <w:bookmarkEnd w:id="883"/>
      <w:bookmarkEnd w:id="884"/>
      <w:bookmarkEnd w:id="885"/>
      <w:bookmarkEnd w:id="886"/>
      <w:bookmarkEnd w:id="887"/>
      <w:bookmarkEnd w:id="888"/>
    </w:p>
    <w:p>
      <w:pPr>
        <w:spacing w:line="360" w:lineRule="exact"/>
        <w:ind w:firstLine="420"/>
        <w:rPr>
          <w:rFonts w:hint="eastAsia" w:ascii="宋体" w:hAnsi="宋体" w:cs="宋体"/>
        </w:rPr>
      </w:pPr>
      <w:r>
        <w:rPr>
          <w:rFonts w:hint="eastAsia" w:ascii="宋体" w:hAnsi="宋体" w:cs="宋体"/>
        </w:rPr>
        <w:t>13.3.1 试车程序</w:t>
      </w:r>
    </w:p>
    <w:p>
      <w:pPr>
        <w:spacing w:line="360" w:lineRule="exact"/>
        <w:ind w:firstLine="420"/>
        <w:rPr>
          <w:rFonts w:hint="eastAsia" w:ascii="宋体" w:hAnsi="宋体" w:cs="宋体"/>
          <w:u w:val="single"/>
        </w:rPr>
      </w:pPr>
      <w:r>
        <w:rPr>
          <w:rFonts w:hint="eastAsia" w:ascii="宋体" w:hAnsi="宋体" w:cs="宋体"/>
        </w:rPr>
        <w:t>工程试车内容：</w:t>
      </w:r>
      <w:r>
        <w:rPr>
          <w:rFonts w:hint="eastAsia" w:ascii="宋体" w:hAnsi="宋体" w:cs="宋体"/>
          <w:u w:val="single"/>
        </w:rPr>
        <w:t>按通用条款执行</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（1）单机无负荷试车费用由</w:t>
      </w:r>
      <w:r>
        <w:rPr>
          <w:rFonts w:hint="eastAsia" w:ascii="宋体" w:hAnsi="宋体" w:cs="宋体"/>
          <w:u w:val="single"/>
        </w:rPr>
        <w:t xml:space="preserve"> 承包人 </w:t>
      </w:r>
      <w:r>
        <w:rPr>
          <w:rFonts w:hint="eastAsia" w:ascii="宋体" w:hAnsi="宋体" w:cs="宋体"/>
        </w:rPr>
        <w:t>承担；</w:t>
      </w:r>
    </w:p>
    <w:p>
      <w:pPr>
        <w:spacing w:line="360" w:lineRule="exact"/>
        <w:ind w:firstLine="420"/>
        <w:rPr>
          <w:rFonts w:hint="eastAsia" w:ascii="宋体" w:hAnsi="宋体" w:cs="宋体"/>
        </w:rPr>
      </w:pPr>
      <w:r>
        <w:rPr>
          <w:rFonts w:hint="eastAsia" w:ascii="宋体" w:hAnsi="宋体" w:cs="宋体"/>
        </w:rPr>
        <w:t>（2）无负荷联动试车费用由</w:t>
      </w:r>
      <w:r>
        <w:rPr>
          <w:rFonts w:hint="eastAsia" w:ascii="宋体" w:hAnsi="宋体" w:cs="宋体"/>
          <w:u w:val="single"/>
        </w:rPr>
        <w:t xml:space="preserve"> 承包人</w:t>
      </w:r>
      <w:r>
        <w:rPr>
          <w:rFonts w:hint="eastAsia" w:ascii="宋体" w:hAnsi="宋体" w:cs="宋体"/>
        </w:rPr>
        <w:t>承担。</w:t>
      </w:r>
    </w:p>
    <w:p>
      <w:pPr>
        <w:spacing w:line="360" w:lineRule="exact"/>
        <w:ind w:firstLine="420"/>
        <w:rPr>
          <w:rFonts w:hint="eastAsia" w:ascii="宋体" w:hAnsi="宋体" w:cs="宋体"/>
        </w:rPr>
      </w:pPr>
      <w:r>
        <w:rPr>
          <w:rFonts w:hint="eastAsia" w:ascii="宋体" w:hAnsi="宋体" w:cs="宋体"/>
        </w:rPr>
        <w:t>13.3.3 投料试车</w:t>
      </w:r>
    </w:p>
    <w:p>
      <w:pPr>
        <w:spacing w:line="360" w:lineRule="exact"/>
        <w:ind w:firstLine="420"/>
        <w:rPr>
          <w:rFonts w:hint="eastAsia" w:ascii="宋体" w:hAnsi="宋体" w:eastAsia="宋体" w:cs="宋体"/>
          <w:u w:val="single"/>
          <w:lang w:eastAsia="zh-CN"/>
        </w:rPr>
      </w:pPr>
      <w:r>
        <w:rPr>
          <w:rFonts w:hint="eastAsia" w:ascii="宋体" w:hAnsi="宋体" w:cs="宋体"/>
        </w:rPr>
        <w:t>关于投料试车相关事项的约定：</w:t>
      </w:r>
      <w:r>
        <w:rPr>
          <w:rFonts w:hint="eastAsia" w:ascii="宋体" w:hAnsi="宋体" w:cs="宋体"/>
          <w:u w:val="single"/>
        </w:rPr>
        <w:t xml:space="preserve">  按通用条款执行</w:t>
      </w:r>
      <w:r>
        <w:rPr>
          <w:rFonts w:hint="eastAsia" w:ascii="宋体" w:hAnsi="宋体" w:cs="宋体"/>
          <w:u w:val="single"/>
          <w:lang w:eastAsia="zh-CN"/>
        </w:rPr>
        <w:t>。</w:t>
      </w:r>
    </w:p>
    <w:p>
      <w:pPr>
        <w:pStyle w:val="7"/>
        <w:widowControl w:val="0"/>
        <w:numPr>
          <w:ilvl w:val="2"/>
          <w:numId w:val="0"/>
        </w:numPr>
        <w:spacing w:line="360" w:lineRule="exact"/>
        <w:jc w:val="both"/>
        <w:rPr>
          <w:rFonts w:hint="eastAsia" w:ascii="宋体" w:hAnsi="宋体" w:cs="宋体"/>
          <w:sz w:val="28"/>
          <w:szCs w:val="28"/>
        </w:rPr>
      </w:pPr>
      <w:bookmarkStart w:id="889" w:name="_Toc6008"/>
      <w:bookmarkStart w:id="890" w:name="_Toc15664"/>
      <w:bookmarkStart w:id="891" w:name="_Toc24174"/>
      <w:bookmarkStart w:id="892" w:name="_Toc9641"/>
      <w:bookmarkStart w:id="893" w:name="_Toc11229"/>
      <w:bookmarkStart w:id="894" w:name="_Toc31590"/>
      <w:r>
        <w:rPr>
          <w:rFonts w:hint="eastAsia" w:ascii="宋体" w:hAnsi="宋体" w:cs="宋体"/>
          <w:sz w:val="28"/>
          <w:szCs w:val="28"/>
        </w:rPr>
        <w:t>13.6 竣工退场</w:t>
      </w:r>
      <w:bookmarkEnd w:id="889"/>
      <w:bookmarkEnd w:id="890"/>
      <w:bookmarkEnd w:id="891"/>
      <w:bookmarkEnd w:id="892"/>
      <w:bookmarkEnd w:id="893"/>
      <w:bookmarkEnd w:id="894"/>
    </w:p>
    <w:p>
      <w:pPr>
        <w:spacing w:line="360" w:lineRule="exact"/>
        <w:ind w:firstLine="420"/>
        <w:rPr>
          <w:rFonts w:hint="eastAsia" w:ascii="宋体" w:hAnsi="宋体" w:cs="宋体"/>
        </w:rPr>
      </w:pPr>
      <w:r>
        <w:rPr>
          <w:rFonts w:hint="eastAsia" w:ascii="宋体" w:hAnsi="宋体" w:cs="宋体"/>
        </w:rPr>
        <w:t>13.6.1 竣工退场</w:t>
      </w:r>
    </w:p>
    <w:p>
      <w:pPr>
        <w:spacing w:line="360" w:lineRule="exact"/>
        <w:ind w:firstLine="420"/>
        <w:rPr>
          <w:rFonts w:hint="eastAsia" w:ascii="宋体" w:hAnsi="宋体" w:cs="宋体"/>
        </w:rPr>
      </w:pPr>
      <w:r>
        <w:rPr>
          <w:rFonts w:hint="eastAsia" w:ascii="宋体" w:hAnsi="宋体" w:cs="宋体"/>
        </w:rPr>
        <w:t>承包人完成竣工退场的期限：</w:t>
      </w:r>
      <w:r>
        <w:rPr>
          <w:rFonts w:hint="eastAsia" w:ascii="宋体" w:hAnsi="宋体" w:cs="宋体"/>
          <w:u w:val="single"/>
        </w:rPr>
        <w:t xml:space="preserve"> 颁发工程接收证书后15天</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895" w:name="_Toc498421094"/>
      <w:bookmarkStart w:id="896" w:name="_Toc20847"/>
      <w:bookmarkStart w:id="897" w:name="_Toc421260801"/>
      <w:bookmarkStart w:id="898" w:name="_Toc12981"/>
      <w:bookmarkStart w:id="899" w:name="_Toc28967"/>
      <w:bookmarkStart w:id="900" w:name="_Toc19827"/>
      <w:bookmarkStart w:id="901" w:name="_Toc30192"/>
      <w:r>
        <w:rPr>
          <w:rFonts w:hint="eastAsia" w:ascii="宋体" w:hAnsi="宋体" w:cs="宋体"/>
          <w:sz w:val="28"/>
          <w:szCs w:val="28"/>
        </w:rPr>
        <w:t>14. 竣工结算</w:t>
      </w:r>
      <w:bookmarkEnd w:id="895"/>
      <w:bookmarkEnd w:id="896"/>
      <w:bookmarkEnd w:id="897"/>
      <w:bookmarkEnd w:id="898"/>
      <w:bookmarkEnd w:id="899"/>
      <w:bookmarkEnd w:id="900"/>
      <w:bookmarkEnd w:id="901"/>
    </w:p>
    <w:p>
      <w:pPr>
        <w:pStyle w:val="7"/>
        <w:widowControl w:val="0"/>
        <w:numPr>
          <w:ilvl w:val="2"/>
          <w:numId w:val="0"/>
        </w:numPr>
        <w:spacing w:line="360" w:lineRule="exact"/>
        <w:jc w:val="both"/>
        <w:rPr>
          <w:rFonts w:hint="eastAsia" w:ascii="宋体" w:hAnsi="宋体" w:cs="宋体"/>
          <w:sz w:val="28"/>
          <w:szCs w:val="28"/>
        </w:rPr>
      </w:pPr>
      <w:bookmarkStart w:id="902" w:name="_Toc4325"/>
      <w:bookmarkStart w:id="903" w:name="_Toc27714"/>
      <w:bookmarkStart w:id="904" w:name="_Toc7370"/>
      <w:bookmarkStart w:id="905" w:name="_Toc17537"/>
      <w:bookmarkStart w:id="906" w:name="_Toc22567"/>
      <w:bookmarkStart w:id="907" w:name="_Toc9614"/>
      <w:r>
        <w:rPr>
          <w:rFonts w:hint="eastAsia" w:ascii="宋体" w:hAnsi="宋体" w:cs="宋体"/>
          <w:sz w:val="28"/>
          <w:szCs w:val="28"/>
        </w:rPr>
        <w:t>14.1 竣工付款申请</w:t>
      </w:r>
      <w:bookmarkEnd w:id="902"/>
      <w:bookmarkEnd w:id="903"/>
      <w:bookmarkEnd w:id="904"/>
      <w:bookmarkEnd w:id="905"/>
      <w:bookmarkEnd w:id="906"/>
      <w:bookmarkEnd w:id="907"/>
    </w:p>
    <w:p>
      <w:pPr>
        <w:spacing w:line="360" w:lineRule="exact"/>
        <w:ind w:firstLine="420"/>
        <w:rPr>
          <w:rFonts w:hint="eastAsia" w:ascii="宋体" w:hAnsi="宋体" w:cs="宋体"/>
        </w:rPr>
      </w:pPr>
      <w:r>
        <w:rPr>
          <w:rFonts w:hint="eastAsia" w:ascii="宋体" w:hAnsi="宋体" w:cs="宋体"/>
        </w:rPr>
        <w:t>承包人提交竣工付款申请单的期限：</w:t>
      </w:r>
      <w:r>
        <w:rPr>
          <w:rFonts w:hint="eastAsia" w:ascii="宋体" w:hAnsi="宋体" w:cs="宋体"/>
          <w:u w:val="single"/>
        </w:rPr>
        <w:t xml:space="preserve">  按通用条款执行</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竣工付款申请单应包括的内容：</w:t>
      </w:r>
      <w:r>
        <w:rPr>
          <w:rFonts w:hint="eastAsia" w:ascii="宋体" w:hAnsi="宋体" w:cs="宋体"/>
          <w:u w:val="single"/>
        </w:rPr>
        <w:t xml:space="preserve">  按通用条款执行</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908" w:name="_Toc1133"/>
      <w:bookmarkStart w:id="909" w:name="_Toc14178"/>
      <w:bookmarkStart w:id="910" w:name="_Toc16093"/>
      <w:bookmarkStart w:id="911" w:name="_Toc28238"/>
      <w:bookmarkStart w:id="912" w:name="_Toc14124"/>
      <w:bookmarkStart w:id="913" w:name="_Toc25983"/>
      <w:r>
        <w:rPr>
          <w:rFonts w:hint="eastAsia" w:ascii="宋体" w:hAnsi="宋体" w:cs="宋体"/>
          <w:sz w:val="28"/>
          <w:szCs w:val="28"/>
        </w:rPr>
        <w:t>14.2 竣工结算审核</w:t>
      </w:r>
      <w:bookmarkEnd w:id="908"/>
      <w:bookmarkEnd w:id="909"/>
      <w:bookmarkEnd w:id="910"/>
      <w:bookmarkEnd w:id="911"/>
      <w:bookmarkEnd w:id="912"/>
      <w:bookmarkEnd w:id="913"/>
    </w:p>
    <w:p>
      <w:pPr>
        <w:spacing w:line="360" w:lineRule="exact"/>
        <w:ind w:firstLine="420"/>
        <w:rPr>
          <w:rFonts w:hint="eastAsia" w:ascii="宋体" w:hAnsi="宋体" w:cs="宋体"/>
        </w:rPr>
      </w:pPr>
      <w:r>
        <w:rPr>
          <w:rFonts w:hint="eastAsia" w:ascii="宋体" w:hAnsi="宋体" w:cs="宋体"/>
        </w:rPr>
        <w:t>发包人审批竣工付款申请单的期限：</w:t>
      </w:r>
      <w:r>
        <w:rPr>
          <w:rFonts w:hint="eastAsia" w:ascii="宋体" w:hAnsi="宋体" w:cs="宋体"/>
          <w:u w:val="single"/>
        </w:rPr>
        <w:t>按通用条款执行，但竣工结算申请单审批期限改为90天</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发包人完成竣工付款的期限：</w:t>
      </w:r>
      <w:r>
        <w:rPr>
          <w:rFonts w:hint="eastAsia" w:ascii="宋体" w:hAnsi="宋体" w:cs="宋体"/>
          <w:u w:val="single"/>
        </w:rPr>
        <w:t xml:space="preserve"> 依法依规完成本工程结算审核工作30天内</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关于竣工付款证书异议部分复核的方式和程序：</w:t>
      </w:r>
      <w:r>
        <w:rPr>
          <w:rFonts w:hint="eastAsia" w:ascii="宋体" w:hAnsi="宋体" w:cs="宋体"/>
          <w:u w:val="single"/>
        </w:rPr>
        <w:t>首先双方协商，无法协商的按照第20条〔争议解决〕约定处理</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914" w:name="_Toc14061"/>
      <w:bookmarkStart w:id="915" w:name="_Toc24477"/>
      <w:bookmarkStart w:id="916" w:name="_Toc30024"/>
      <w:bookmarkStart w:id="917" w:name="_Toc25783"/>
      <w:bookmarkStart w:id="918" w:name="_Toc2606"/>
      <w:bookmarkStart w:id="919" w:name="_Toc23967"/>
      <w:r>
        <w:rPr>
          <w:rFonts w:hint="eastAsia" w:ascii="宋体" w:hAnsi="宋体" w:cs="宋体"/>
          <w:sz w:val="28"/>
          <w:szCs w:val="28"/>
        </w:rPr>
        <w:t>14.4 最终结清</w:t>
      </w:r>
      <w:bookmarkEnd w:id="914"/>
      <w:bookmarkEnd w:id="915"/>
      <w:bookmarkEnd w:id="916"/>
      <w:bookmarkEnd w:id="917"/>
      <w:bookmarkEnd w:id="918"/>
      <w:bookmarkEnd w:id="919"/>
    </w:p>
    <w:p>
      <w:pPr>
        <w:spacing w:line="360" w:lineRule="exact"/>
        <w:ind w:firstLine="420"/>
        <w:rPr>
          <w:rFonts w:hint="eastAsia" w:ascii="宋体" w:hAnsi="宋体" w:cs="宋体"/>
        </w:rPr>
      </w:pPr>
      <w:r>
        <w:rPr>
          <w:rFonts w:hint="eastAsia" w:ascii="宋体" w:hAnsi="宋体" w:cs="宋体"/>
        </w:rPr>
        <w:t>14.4.1 最终结清申请单</w:t>
      </w:r>
    </w:p>
    <w:p>
      <w:pPr>
        <w:spacing w:line="360" w:lineRule="exact"/>
        <w:ind w:firstLine="420"/>
        <w:rPr>
          <w:rFonts w:hint="eastAsia" w:ascii="宋体" w:hAnsi="宋体" w:cs="宋体"/>
        </w:rPr>
      </w:pPr>
      <w:r>
        <w:rPr>
          <w:rFonts w:hint="eastAsia" w:ascii="宋体" w:hAnsi="宋体" w:cs="宋体"/>
        </w:rPr>
        <w:t>承包人提交最终结清申请单的份数：</w:t>
      </w:r>
      <w:r>
        <w:rPr>
          <w:rFonts w:hint="eastAsia" w:ascii="宋体" w:hAnsi="宋体" w:cs="宋体"/>
          <w:u w:val="single"/>
        </w:rPr>
        <w:t xml:space="preserve">    六份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承包人提交最终结算申请单的期限：</w:t>
      </w:r>
      <w:r>
        <w:rPr>
          <w:rFonts w:hint="eastAsia" w:ascii="宋体" w:hAnsi="宋体" w:cs="宋体"/>
          <w:u w:val="single"/>
        </w:rPr>
        <w:t xml:space="preserve"> 缺陷责任期证书颁发后7天内</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14.4.2 最终结清证书和支付</w:t>
      </w:r>
    </w:p>
    <w:p>
      <w:pPr>
        <w:spacing w:line="360" w:lineRule="exact"/>
        <w:ind w:firstLine="420"/>
        <w:rPr>
          <w:rFonts w:hint="eastAsia" w:ascii="宋体" w:hAnsi="宋体" w:cs="宋体"/>
          <w:u w:val="single"/>
        </w:rPr>
      </w:pPr>
      <w:r>
        <w:rPr>
          <w:rFonts w:hint="eastAsia" w:ascii="宋体" w:hAnsi="宋体" w:cs="宋体"/>
        </w:rPr>
        <w:t>（1）发包人完成最终结清申请单的审批并颁发最终结清证书的期限：</w:t>
      </w:r>
      <w:r>
        <w:rPr>
          <w:rFonts w:hint="eastAsia" w:ascii="宋体" w:hAnsi="宋体" w:cs="宋体"/>
          <w:u w:val="single"/>
        </w:rPr>
        <w:t>按通用条款执行</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（2）发包人完成支付的期限：</w:t>
      </w:r>
      <w:r>
        <w:rPr>
          <w:rFonts w:hint="eastAsia" w:ascii="宋体" w:hAnsi="宋体" w:cs="宋体"/>
          <w:u w:val="single"/>
        </w:rPr>
        <w:t>按通用条款执行</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8"/>
          <w:szCs w:val="28"/>
        </w:rPr>
      </w:pPr>
      <w:bookmarkStart w:id="920" w:name="_Toc3703"/>
      <w:bookmarkStart w:id="921" w:name="_Toc498421095"/>
      <w:bookmarkStart w:id="922" w:name="_Toc31201"/>
      <w:bookmarkStart w:id="923" w:name="_Toc421260802"/>
      <w:bookmarkStart w:id="924" w:name="_Toc3413"/>
      <w:bookmarkStart w:id="925" w:name="_Toc3374"/>
      <w:bookmarkStart w:id="926" w:name="_Toc1825"/>
      <w:bookmarkStart w:id="927" w:name="_Toc27364"/>
      <w:r>
        <w:rPr>
          <w:rFonts w:hint="eastAsia" w:ascii="宋体" w:hAnsi="宋体" w:cs="宋体"/>
          <w:sz w:val="28"/>
          <w:szCs w:val="28"/>
        </w:rPr>
        <w:t>15. 缺陷责任期与保修</w:t>
      </w:r>
      <w:bookmarkEnd w:id="920"/>
      <w:bookmarkEnd w:id="921"/>
      <w:bookmarkEnd w:id="922"/>
      <w:bookmarkEnd w:id="923"/>
      <w:bookmarkEnd w:id="924"/>
      <w:bookmarkEnd w:id="925"/>
      <w:bookmarkEnd w:id="926"/>
      <w:bookmarkEnd w:id="927"/>
    </w:p>
    <w:p>
      <w:pPr>
        <w:pStyle w:val="7"/>
        <w:widowControl w:val="0"/>
        <w:numPr>
          <w:ilvl w:val="2"/>
          <w:numId w:val="0"/>
        </w:numPr>
        <w:spacing w:line="360" w:lineRule="exact"/>
        <w:jc w:val="both"/>
        <w:rPr>
          <w:rFonts w:hint="eastAsia" w:ascii="宋体" w:hAnsi="宋体" w:cs="宋体"/>
          <w:sz w:val="28"/>
          <w:szCs w:val="28"/>
        </w:rPr>
      </w:pPr>
      <w:bookmarkStart w:id="928" w:name="_Toc515"/>
      <w:bookmarkStart w:id="929" w:name="_Toc2168"/>
      <w:bookmarkStart w:id="930" w:name="_Toc29947"/>
      <w:bookmarkStart w:id="931" w:name="_Toc7121"/>
      <w:bookmarkStart w:id="932" w:name="_Toc11631"/>
      <w:r>
        <w:rPr>
          <w:rFonts w:hint="eastAsia" w:ascii="宋体" w:hAnsi="宋体" w:cs="宋体"/>
          <w:sz w:val="28"/>
          <w:szCs w:val="28"/>
        </w:rPr>
        <w:t>15.2缺陷责任期</w:t>
      </w:r>
      <w:bookmarkEnd w:id="928"/>
      <w:bookmarkEnd w:id="929"/>
      <w:bookmarkEnd w:id="930"/>
      <w:bookmarkEnd w:id="931"/>
      <w:bookmarkEnd w:id="932"/>
    </w:p>
    <w:p>
      <w:pPr>
        <w:spacing w:line="360" w:lineRule="exact"/>
        <w:ind w:firstLine="420"/>
        <w:rPr>
          <w:rFonts w:hint="default" w:ascii="宋体" w:hAnsi="宋体" w:eastAsia="宋体" w:cs="宋体"/>
          <w:lang w:val="en-US" w:eastAsia="zh-CN"/>
        </w:rPr>
      </w:pPr>
      <w:r>
        <w:rPr>
          <w:rFonts w:hint="eastAsia" w:ascii="宋体" w:hAnsi="宋体" w:cs="宋体"/>
        </w:rPr>
        <w:t>缺陷责任期的具体期限：</w:t>
      </w:r>
      <w:r>
        <w:rPr>
          <w:rFonts w:hint="eastAsia" w:cs="宋体"/>
          <w:szCs w:val="21"/>
          <w:u w:val="single"/>
          <w:lang w:val="en-US" w:eastAsia="zh-CN"/>
        </w:rPr>
        <w:t>24个月。</w:t>
      </w:r>
    </w:p>
    <w:p>
      <w:pPr>
        <w:pStyle w:val="7"/>
        <w:widowControl w:val="0"/>
        <w:numPr>
          <w:ilvl w:val="2"/>
          <w:numId w:val="0"/>
        </w:numPr>
        <w:spacing w:line="360" w:lineRule="exact"/>
        <w:jc w:val="both"/>
        <w:rPr>
          <w:rFonts w:hint="eastAsia" w:ascii="宋体" w:hAnsi="宋体" w:cs="宋体"/>
          <w:sz w:val="28"/>
          <w:szCs w:val="28"/>
        </w:rPr>
      </w:pPr>
      <w:bookmarkStart w:id="933" w:name="_Toc24725"/>
      <w:bookmarkStart w:id="934" w:name="_Toc26138"/>
      <w:bookmarkStart w:id="935" w:name="_Toc17180"/>
      <w:bookmarkStart w:id="936" w:name="_Toc24890"/>
      <w:bookmarkStart w:id="937" w:name="_Toc22678"/>
      <w:bookmarkStart w:id="938" w:name="_Toc10127"/>
      <w:r>
        <w:rPr>
          <w:rFonts w:hint="eastAsia" w:ascii="宋体" w:hAnsi="宋体" w:cs="宋体"/>
          <w:sz w:val="28"/>
          <w:szCs w:val="28"/>
        </w:rPr>
        <w:t>15.3 质量保证金</w:t>
      </w:r>
      <w:bookmarkEnd w:id="933"/>
      <w:bookmarkEnd w:id="934"/>
      <w:bookmarkEnd w:id="935"/>
      <w:bookmarkEnd w:id="936"/>
      <w:bookmarkEnd w:id="937"/>
      <w:bookmarkEnd w:id="938"/>
    </w:p>
    <w:p>
      <w:pPr>
        <w:spacing w:line="360" w:lineRule="exact"/>
        <w:ind w:firstLine="420"/>
        <w:rPr>
          <w:rFonts w:hint="default" w:ascii="宋体" w:hAnsi="宋体" w:eastAsia="宋体" w:cs="宋体"/>
        </w:rPr>
      </w:pPr>
      <w:r>
        <w:rPr>
          <w:rFonts w:hint="eastAsia" w:ascii="宋体" w:hAnsi="宋体" w:eastAsia="宋体" w:cs="宋体"/>
        </w:rPr>
        <w:t>关于是否扣留质量保证金的约定：否。</w:t>
      </w:r>
      <w:r>
        <w:rPr>
          <w:rFonts w:hint="default" w:ascii="宋体" w:hAnsi="宋体" w:eastAsia="宋体" w:cs="宋体"/>
        </w:rPr>
        <w:t>在工程项目竣工前，承包人按专用合同条款第3.7条提供履约担保的，发包人不得同时预留工程质量保证金。</w:t>
      </w:r>
    </w:p>
    <w:p>
      <w:pPr>
        <w:spacing w:line="360" w:lineRule="exact"/>
        <w:ind w:firstLine="420"/>
        <w:rPr>
          <w:rFonts w:hint="default" w:ascii="宋体" w:hAnsi="宋体" w:eastAsia="宋体" w:cs="宋体"/>
        </w:rPr>
      </w:pPr>
      <w:r>
        <w:rPr>
          <w:rFonts w:hint="default" w:ascii="宋体" w:hAnsi="宋体" w:eastAsia="宋体" w:cs="宋体"/>
        </w:rPr>
        <w:t>15.3.1承包人提供质量保证金的方式</w:t>
      </w:r>
    </w:p>
    <w:p>
      <w:pPr>
        <w:spacing w:line="360" w:lineRule="exact"/>
        <w:ind w:firstLine="420"/>
        <w:rPr>
          <w:rFonts w:hint="default" w:ascii="宋体" w:hAnsi="宋体" w:eastAsia="宋体" w:cs="宋体"/>
        </w:rPr>
      </w:pPr>
      <w:r>
        <w:rPr>
          <w:rFonts w:hint="default" w:ascii="宋体" w:hAnsi="宋体" w:eastAsia="宋体" w:cs="宋体"/>
        </w:rPr>
        <w:t>质量保证金采用以下第</w:t>
      </w:r>
      <w:r>
        <w:rPr>
          <w:rFonts w:hint="default" w:ascii="宋体" w:hAnsi="宋体" w:eastAsia="宋体" w:cs="宋体"/>
          <w:u w:val="single"/>
          <w:lang w:val="en-US" w:eastAsia="zh-CN"/>
        </w:rPr>
        <w:t>/</w:t>
      </w:r>
      <w:r>
        <w:rPr>
          <w:rFonts w:hint="default" w:ascii="宋体" w:hAnsi="宋体" w:eastAsia="宋体" w:cs="宋体"/>
        </w:rPr>
        <w:t>种方式：</w:t>
      </w:r>
    </w:p>
    <w:p>
      <w:pPr>
        <w:spacing w:line="360" w:lineRule="exact"/>
        <w:ind w:firstLine="420"/>
        <w:rPr>
          <w:rFonts w:hint="default" w:ascii="宋体" w:hAnsi="宋体" w:eastAsia="宋体" w:cs="宋体"/>
        </w:rPr>
      </w:pPr>
      <w:r>
        <w:rPr>
          <w:rFonts w:hint="default" w:ascii="宋体" w:hAnsi="宋体" w:eastAsia="宋体" w:cs="宋体"/>
        </w:rPr>
        <w:t>（1）质量保证金保函，保证金额为</w:t>
      </w:r>
      <w:r>
        <w:rPr>
          <w:rFonts w:hint="default" w:ascii="宋体" w:hAnsi="宋体" w:eastAsia="宋体" w:cs="宋体"/>
          <w:u w:val="single"/>
        </w:rPr>
        <w:t xml:space="preserve">：  / </w:t>
      </w:r>
      <w:r>
        <w:rPr>
          <w:rFonts w:hint="default" w:ascii="宋体" w:hAnsi="宋体" w:eastAsia="宋体" w:cs="宋体"/>
        </w:rPr>
        <w:t>。</w:t>
      </w:r>
    </w:p>
    <w:p>
      <w:pPr>
        <w:spacing w:line="360" w:lineRule="exact"/>
        <w:ind w:firstLine="420"/>
        <w:rPr>
          <w:rFonts w:hint="default" w:ascii="宋体" w:hAnsi="宋体" w:eastAsia="宋体" w:cs="宋体"/>
        </w:rPr>
      </w:pPr>
      <w:r>
        <w:rPr>
          <w:rFonts w:hint="default" w:ascii="宋体" w:hAnsi="宋体" w:eastAsia="宋体" w:cs="宋体"/>
        </w:rPr>
        <w:t>（2）</w:t>
      </w:r>
      <w:r>
        <w:rPr>
          <w:rFonts w:hint="default" w:ascii="宋体" w:hAnsi="宋体" w:eastAsia="宋体" w:cs="宋体"/>
          <w:u w:val="single"/>
          <w:lang w:val="en-US" w:eastAsia="zh-CN"/>
        </w:rPr>
        <w:t>/%</w:t>
      </w:r>
      <w:r>
        <w:rPr>
          <w:rFonts w:hint="default" w:ascii="宋体" w:hAnsi="宋体" w:eastAsia="宋体" w:cs="宋体"/>
        </w:rPr>
        <w:t>的工程款；</w:t>
      </w:r>
    </w:p>
    <w:p>
      <w:pPr>
        <w:spacing w:line="360" w:lineRule="exact"/>
        <w:ind w:firstLine="420"/>
        <w:rPr>
          <w:rFonts w:hint="default" w:ascii="宋体" w:hAnsi="宋体" w:eastAsia="宋体" w:cs="宋体"/>
        </w:rPr>
      </w:pPr>
      <w:r>
        <w:rPr>
          <w:rFonts w:hint="default" w:ascii="宋体" w:hAnsi="宋体" w:eastAsia="宋体" w:cs="宋体"/>
        </w:rPr>
        <w:t>（3）其他方式:</w:t>
      </w:r>
      <w:r>
        <w:rPr>
          <w:rFonts w:hint="default" w:ascii="宋体" w:hAnsi="宋体" w:eastAsia="宋体" w:cs="宋体"/>
          <w:u w:val="single"/>
        </w:rPr>
        <w:t xml:space="preserve">  / </w:t>
      </w:r>
      <w:r>
        <w:rPr>
          <w:rFonts w:hint="default" w:ascii="宋体" w:hAnsi="宋体" w:eastAsia="宋体" w:cs="宋体"/>
        </w:rPr>
        <w:t>。</w:t>
      </w:r>
    </w:p>
    <w:p>
      <w:pPr>
        <w:spacing w:line="360" w:lineRule="exact"/>
        <w:ind w:firstLine="420"/>
        <w:rPr>
          <w:rFonts w:hint="default" w:ascii="宋体" w:hAnsi="宋体" w:eastAsia="宋体" w:cs="宋体"/>
        </w:rPr>
      </w:pPr>
      <w:r>
        <w:rPr>
          <w:rFonts w:hint="default" w:ascii="宋体" w:hAnsi="宋体" w:eastAsia="宋体" w:cs="宋体"/>
        </w:rPr>
        <w:t>15.3.2质量保证金的扣留</w:t>
      </w:r>
    </w:p>
    <w:p>
      <w:pPr>
        <w:spacing w:line="360" w:lineRule="exact"/>
        <w:ind w:firstLine="420"/>
        <w:rPr>
          <w:rFonts w:hint="default" w:ascii="宋体" w:hAnsi="宋体" w:eastAsia="宋体" w:cs="宋体"/>
        </w:rPr>
      </w:pPr>
      <w:r>
        <w:rPr>
          <w:rFonts w:hint="default" w:ascii="宋体" w:hAnsi="宋体" w:eastAsia="宋体" w:cs="宋体"/>
        </w:rPr>
        <w:t>质量保证金的扣留采取以下第</w:t>
      </w:r>
      <w:r>
        <w:rPr>
          <w:rFonts w:hint="default" w:ascii="宋体" w:hAnsi="宋体" w:eastAsia="宋体" w:cs="宋体"/>
          <w:u w:val="single"/>
          <w:lang w:val="en-US" w:eastAsia="zh-CN"/>
        </w:rPr>
        <w:t xml:space="preserve"> / </w:t>
      </w:r>
      <w:r>
        <w:rPr>
          <w:rFonts w:hint="default" w:ascii="宋体" w:hAnsi="宋体" w:eastAsia="宋体" w:cs="宋体"/>
        </w:rPr>
        <w:t>种方式：</w:t>
      </w:r>
    </w:p>
    <w:p>
      <w:pPr>
        <w:spacing w:line="360" w:lineRule="exact"/>
        <w:ind w:firstLine="420"/>
        <w:rPr>
          <w:rFonts w:hint="default" w:ascii="宋体" w:hAnsi="宋体" w:eastAsia="宋体" w:cs="宋体"/>
        </w:rPr>
      </w:pPr>
      <w:r>
        <w:rPr>
          <w:rFonts w:hint="default" w:ascii="宋体" w:hAnsi="宋体" w:eastAsia="宋体" w:cs="宋体"/>
        </w:rPr>
        <w:t>（1）在支付工程进度款时逐次扣留，在此情形下，质量保证金的计算基数不包括预付款的支付、扣回以及价格调整的金额；</w:t>
      </w:r>
    </w:p>
    <w:p>
      <w:pPr>
        <w:spacing w:line="360" w:lineRule="exact"/>
        <w:ind w:firstLine="420"/>
        <w:rPr>
          <w:rFonts w:hint="default" w:ascii="宋体" w:hAnsi="宋体" w:eastAsia="宋体" w:cs="宋体"/>
        </w:rPr>
      </w:pPr>
      <w:r>
        <w:rPr>
          <w:rFonts w:hint="default" w:ascii="宋体" w:hAnsi="宋体" w:eastAsia="宋体" w:cs="宋体"/>
        </w:rPr>
        <w:t>（2）工程竣工结算时一次性扣留质量保证金；</w:t>
      </w:r>
    </w:p>
    <w:p>
      <w:pPr>
        <w:spacing w:line="360" w:lineRule="exact"/>
        <w:ind w:firstLine="420"/>
        <w:rPr>
          <w:rFonts w:hint="eastAsia" w:ascii="宋体" w:hAnsi="宋体" w:eastAsia="宋体" w:cs="宋体"/>
        </w:rPr>
      </w:pPr>
      <w:r>
        <w:rPr>
          <w:rFonts w:hint="default" w:ascii="宋体" w:hAnsi="宋体" w:eastAsia="宋体" w:cs="宋体"/>
        </w:rPr>
        <w:t>（3）其他扣留方式:</w:t>
      </w:r>
      <w:r>
        <w:rPr>
          <w:rFonts w:hint="default" w:ascii="宋体" w:hAnsi="宋体" w:eastAsia="宋体" w:cs="宋体"/>
          <w:u w:val="single"/>
        </w:rPr>
        <w:t xml:space="preserve">  / </w:t>
      </w:r>
      <w:r>
        <w:rPr>
          <w:rFonts w:hint="default" w:ascii="宋体" w:hAnsi="宋体" w:eastAsia="宋体" w:cs="宋体"/>
        </w:rPr>
        <w:t>。</w:t>
      </w:r>
    </w:p>
    <w:p>
      <w:pPr>
        <w:pStyle w:val="7"/>
        <w:widowControl w:val="0"/>
        <w:numPr>
          <w:ilvl w:val="2"/>
          <w:numId w:val="0"/>
        </w:numPr>
        <w:spacing w:line="360" w:lineRule="exact"/>
        <w:jc w:val="both"/>
        <w:rPr>
          <w:rFonts w:hint="eastAsia" w:ascii="宋体" w:hAnsi="宋体" w:cs="宋体"/>
          <w:sz w:val="28"/>
          <w:szCs w:val="28"/>
        </w:rPr>
      </w:pPr>
      <w:bookmarkStart w:id="939" w:name="_Toc6518"/>
      <w:bookmarkStart w:id="940" w:name="_Toc28929"/>
      <w:bookmarkStart w:id="941" w:name="_Toc14466"/>
      <w:bookmarkStart w:id="942" w:name="_Toc7718"/>
      <w:bookmarkStart w:id="943" w:name="_Toc2241"/>
      <w:bookmarkStart w:id="944" w:name="_Toc23805"/>
      <w:r>
        <w:rPr>
          <w:rFonts w:hint="eastAsia" w:ascii="宋体" w:hAnsi="宋体" w:cs="宋体"/>
          <w:sz w:val="28"/>
          <w:szCs w:val="28"/>
        </w:rPr>
        <w:t>15.4保修</w:t>
      </w:r>
      <w:bookmarkEnd w:id="939"/>
      <w:bookmarkEnd w:id="940"/>
      <w:bookmarkEnd w:id="941"/>
      <w:bookmarkEnd w:id="942"/>
      <w:bookmarkEnd w:id="943"/>
      <w:bookmarkEnd w:id="944"/>
    </w:p>
    <w:p>
      <w:pPr>
        <w:spacing w:line="360" w:lineRule="exact"/>
        <w:ind w:firstLine="420"/>
        <w:rPr>
          <w:rFonts w:hint="eastAsia" w:ascii="宋体" w:hAnsi="宋体" w:cs="宋体"/>
        </w:rPr>
      </w:pPr>
      <w:r>
        <w:rPr>
          <w:rFonts w:hint="eastAsia" w:ascii="宋体" w:hAnsi="宋体" w:cs="宋体"/>
        </w:rPr>
        <w:t>15.4.1 保修责任</w:t>
      </w:r>
    </w:p>
    <w:p>
      <w:pPr>
        <w:spacing w:line="360" w:lineRule="exact"/>
        <w:ind w:firstLine="420"/>
        <w:rPr>
          <w:rFonts w:hint="eastAsia" w:ascii="宋体" w:hAnsi="宋体" w:cs="宋体"/>
        </w:rPr>
      </w:pPr>
      <w:r>
        <w:rPr>
          <w:rFonts w:hint="eastAsia" w:ascii="宋体" w:hAnsi="宋体" w:cs="宋体"/>
        </w:rPr>
        <w:t>工程保</w:t>
      </w:r>
      <w:r>
        <w:rPr>
          <w:rFonts w:hint="eastAsia" w:ascii="宋体" w:hAnsi="宋体" w:cs="宋体"/>
          <w:color w:val="auto"/>
        </w:rPr>
        <w:t>修期为：</w:t>
      </w:r>
      <w:r>
        <w:rPr>
          <w:rFonts w:hint="eastAsia" w:ascii="宋体" w:hAnsi="宋体"/>
          <w:szCs w:val="21"/>
          <w:u w:val="single"/>
        </w:rPr>
        <w:t>按通用条款和附件3《工程质量保修书》执行</w:t>
      </w:r>
      <w:r>
        <w:rPr>
          <w:rFonts w:hint="eastAsia" w:ascii="宋体" w:hAnsi="宋体"/>
          <w:color w:val="auto"/>
          <w:szCs w:val="21"/>
          <w:u w:val="single"/>
          <w:lang w:eastAsia="zh-CN"/>
        </w:rPr>
        <w:t>。</w:t>
      </w:r>
      <w:r>
        <w:rPr>
          <w:rFonts w:hint="eastAsia" w:ascii="宋体" w:hAnsi="宋体" w:cs="宋体"/>
          <w:color w:val="auto"/>
          <w:u w:val="single"/>
        </w:rPr>
        <w:t xml:space="preserve"> </w:t>
      </w:r>
    </w:p>
    <w:p>
      <w:pPr>
        <w:spacing w:line="360" w:lineRule="exact"/>
        <w:ind w:firstLine="420"/>
        <w:rPr>
          <w:rFonts w:hint="eastAsia" w:ascii="宋体" w:hAnsi="宋体" w:cs="宋体"/>
        </w:rPr>
      </w:pPr>
      <w:r>
        <w:rPr>
          <w:rFonts w:hint="eastAsia" w:ascii="宋体" w:hAnsi="宋体" w:cs="宋体"/>
        </w:rPr>
        <w:t>15.4.3 修复通知</w:t>
      </w:r>
    </w:p>
    <w:p>
      <w:pPr>
        <w:spacing w:line="360" w:lineRule="exact"/>
        <w:ind w:firstLine="420"/>
        <w:rPr>
          <w:rFonts w:hint="eastAsia" w:ascii="宋体" w:hAnsi="宋体" w:cs="宋体"/>
          <w:u w:val="single"/>
        </w:rPr>
      </w:pPr>
      <w:r>
        <w:rPr>
          <w:rFonts w:hint="eastAsia" w:ascii="宋体" w:hAnsi="宋体" w:cs="宋体"/>
        </w:rPr>
        <w:t>承包人收到保修通知并到达工程现场的合理时间：</w:t>
      </w:r>
      <w:r>
        <w:rPr>
          <w:rFonts w:hint="eastAsia" w:ascii="宋体" w:hAnsi="宋体" w:cs="宋体"/>
          <w:u w:val="single"/>
        </w:rPr>
        <w:t xml:space="preserve">  1天（24小时内）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4"/>
          <w:szCs w:val="24"/>
        </w:rPr>
      </w:pPr>
      <w:bookmarkStart w:id="945" w:name="_Toc2068"/>
      <w:bookmarkStart w:id="946" w:name="_Toc31294"/>
      <w:bookmarkStart w:id="947" w:name="_Toc421260803"/>
      <w:bookmarkStart w:id="948" w:name="_Toc30315"/>
      <w:bookmarkStart w:id="949" w:name="_Toc27115"/>
      <w:bookmarkStart w:id="950" w:name="_Toc498421096"/>
      <w:bookmarkStart w:id="951" w:name="_Toc31670"/>
      <w:bookmarkStart w:id="952" w:name="_Toc5475"/>
      <w:r>
        <w:rPr>
          <w:rFonts w:hint="eastAsia" w:ascii="宋体" w:hAnsi="宋体" w:cs="宋体"/>
          <w:sz w:val="24"/>
          <w:szCs w:val="24"/>
        </w:rPr>
        <w:t>16. 违约</w:t>
      </w:r>
      <w:bookmarkEnd w:id="945"/>
      <w:bookmarkEnd w:id="946"/>
      <w:bookmarkEnd w:id="947"/>
      <w:bookmarkEnd w:id="948"/>
      <w:bookmarkEnd w:id="949"/>
      <w:bookmarkEnd w:id="950"/>
      <w:bookmarkEnd w:id="951"/>
      <w:bookmarkEnd w:id="952"/>
    </w:p>
    <w:p>
      <w:pPr>
        <w:pStyle w:val="7"/>
        <w:widowControl w:val="0"/>
        <w:numPr>
          <w:ilvl w:val="2"/>
          <w:numId w:val="0"/>
        </w:numPr>
        <w:spacing w:line="360" w:lineRule="exact"/>
        <w:jc w:val="both"/>
        <w:rPr>
          <w:rFonts w:hint="eastAsia" w:ascii="宋体" w:hAnsi="宋体" w:cs="宋体"/>
          <w:sz w:val="24"/>
          <w:szCs w:val="24"/>
        </w:rPr>
      </w:pPr>
      <w:bookmarkStart w:id="953" w:name="_Toc23881"/>
      <w:bookmarkStart w:id="954" w:name="_Toc118"/>
      <w:bookmarkStart w:id="955" w:name="_Toc4830"/>
      <w:bookmarkStart w:id="956" w:name="_Toc25952"/>
      <w:bookmarkStart w:id="957" w:name="_Toc7468"/>
      <w:bookmarkStart w:id="958" w:name="_Toc6683"/>
      <w:r>
        <w:rPr>
          <w:rFonts w:hint="eastAsia" w:ascii="宋体" w:hAnsi="宋体" w:cs="宋体"/>
          <w:sz w:val="24"/>
          <w:szCs w:val="24"/>
        </w:rPr>
        <w:t>16.1 发包人违约</w:t>
      </w:r>
      <w:bookmarkEnd w:id="953"/>
      <w:bookmarkEnd w:id="954"/>
      <w:bookmarkEnd w:id="955"/>
      <w:bookmarkEnd w:id="956"/>
      <w:bookmarkEnd w:id="957"/>
      <w:bookmarkEnd w:id="958"/>
    </w:p>
    <w:p>
      <w:pPr>
        <w:spacing w:line="360" w:lineRule="exact"/>
        <w:ind w:firstLine="420"/>
        <w:rPr>
          <w:rFonts w:hint="eastAsia" w:ascii="宋体" w:hAnsi="宋体" w:cs="宋体"/>
        </w:rPr>
      </w:pPr>
      <w:r>
        <w:rPr>
          <w:rFonts w:hint="eastAsia" w:ascii="宋体" w:hAnsi="宋体" w:cs="宋体"/>
        </w:rPr>
        <w:t>16.1.1发包人违约的情形</w:t>
      </w:r>
    </w:p>
    <w:p>
      <w:pPr>
        <w:spacing w:line="360" w:lineRule="exact"/>
        <w:ind w:firstLine="420"/>
        <w:rPr>
          <w:rFonts w:hint="eastAsia" w:ascii="宋体" w:hAnsi="宋体" w:cs="宋体"/>
          <w:u w:val="single"/>
        </w:rPr>
      </w:pPr>
      <w:r>
        <w:rPr>
          <w:rFonts w:hint="eastAsia" w:ascii="宋体" w:hAnsi="宋体" w:cs="宋体"/>
        </w:rPr>
        <w:t>发包人违约的其他情形：</w:t>
      </w:r>
      <w:r>
        <w:rPr>
          <w:rFonts w:hint="eastAsia" w:ascii="宋体" w:hAnsi="宋体" w:cs="宋体"/>
          <w:u w:val="single"/>
        </w:rPr>
        <w:t xml:space="preserve">     /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16.1.2 发包人违约的责任</w:t>
      </w:r>
    </w:p>
    <w:p>
      <w:pPr>
        <w:spacing w:line="360" w:lineRule="exact"/>
        <w:ind w:firstLine="420"/>
        <w:rPr>
          <w:rFonts w:hint="eastAsia" w:ascii="宋体" w:hAnsi="宋体" w:cs="宋体"/>
        </w:rPr>
      </w:pPr>
      <w:r>
        <w:rPr>
          <w:rFonts w:hint="eastAsia" w:ascii="宋体" w:hAnsi="宋体" w:cs="宋体"/>
        </w:rPr>
        <w:t>发包人违约责任的承担方式和计算方法：</w:t>
      </w:r>
    </w:p>
    <w:p>
      <w:pPr>
        <w:spacing w:line="360" w:lineRule="exact"/>
        <w:ind w:firstLine="420"/>
        <w:rPr>
          <w:rFonts w:hint="eastAsia" w:ascii="宋体" w:hAnsi="宋体" w:cs="宋体"/>
          <w:u w:val="single"/>
        </w:rPr>
      </w:pPr>
      <w:r>
        <w:rPr>
          <w:rFonts w:hint="eastAsia" w:ascii="宋体" w:hAnsi="宋体" w:cs="宋体"/>
        </w:rPr>
        <w:t>（1）因发包人原因未能在计划开工日期前7天内下达开工通知的违约责任：</w:t>
      </w:r>
      <w:r>
        <w:rPr>
          <w:rFonts w:hint="eastAsia" w:ascii="宋体" w:hAnsi="宋体" w:cs="宋体"/>
          <w:u w:val="single"/>
        </w:rPr>
        <w:t>不增加费用、合理利润，增加延误的工期</w:t>
      </w:r>
      <w:r>
        <w:rPr>
          <w:rFonts w:hint="eastAsia" w:ascii="宋体" w:hAnsi="宋体" w:cs="宋体"/>
        </w:rPr>
        <w:t>。</w:t>
      </w:r>
    </w:p>
    <w:p>
      <w:pPr>
        <w:spacing w:line="360" w:lineRule="exact"/>
        <w:ind w:firstLine="420"/>
        <w:rPr>
          <w:rFonts w:hint="eastAsia" w:ascii="宋体" w:hAnsi="宋体" w:cs="宋体"/>
          <w:u w:val="single"/>
        </w:rPr>
      </w:pPr>
      <w:r>
        <w:rPr>
          <w:rFonts w:hint="eastAsia" w:ascii="宋体" w:hAnsi="宋体" w:cs="宋体"/>
        </w:rPr>
        <w:t>（2）因发包人原因未能按合同约定支付合同价款的违约责任：</w:t>
      </w:r>
      <w:r>
        <w:rPr>
          <w:rFonts w:hint="eastAsia" w:ascii="宋体" w:hAnsi="宋体" w:cs="宋体"/>
          <w:u w:val="single"/>
        </w:rPr>
        <w:t>按专用条款中各类款项支付违约条款执行</w:t>
      </w:r>
      <w:r>
        <w:rPr>
          <w:rFonts w:hint="eastAsia" w:ascii="宋体" w:hAnsi="宋体" w:cs="宋体"/>
        </w:rPr>
        <w:t>。</w:t>
      </w:r>
    </w:p>
    <w:p>
      <w:pPr>
        <w:spacing w:line="360" w:lineRule="exact"/>
        <w:ind w:firstLine="420"/>
        <w:rPr>
          <w:rFonts w:hint="eastAsia" w:ascii="宋体" w:hAnsi="宋体" w:cs="宋体"/>
          <w:u w:val="single"/>
        </w:rPr>
      </w:pPr>
      <w:r>
        <w:rPr>
          <w:rFonts w:hint="eastAsia" w:ascii="宋体" w:hAnsi="宋体" w:cs="宋体"/>
        </w:rPr>
        <w:t>（3）发包人违反第10.1款〔变更的范围〕第（2）项约定，自行实施被取消的工作或转由他人实施的违约责任：</w:t>
      </w:r>
      <w:r>
        <w:rPr>
          <w:rFonts w:hint="eastAsia" w:ascii="宋体" w:hAnsi="宋体" w:cs="宋体"/>
          <w:u w:val="single"/>
        </w:rPr>
        <w:t>双方商定此条款不违约，发包人不承担违约责任</w:t>
      </w:r>
      <w:r>
        <w:rPr>
          <w:rFonts w:hint="eastAsia" w:ascii="宋体" w:hAnsi="宋体" w:cs="宋体"/>
        </w:rPr>
        <w:t>。</w:t>
      </w:r>
    </w:p>
    <w:p>
      <w:pPr>
        <w:spacing w:line="360" w:lineRule="exact"/>
        <w:ind w:firstLine="420"/>
        <w:rPr>
          <w:rFonts w:hint="eastAsia" w:ascii="宋体" w:hAnsi="宋体" w:cs="宋体"/>
          <w:u w:val="single"/>
        </w:rPr>
      </w:pPr>
      <w:r>
        <w:rPr>
          <w:rFonts w:hint="eastAsia" w:ascii="宋体" w:hAnsi="宋体" w:cs="宋体"/>
        </w:rPr>
        <w:t>（4）发包人提供的材料、工程设备的规格、数量或质量不符合合同约定，或因发包人原因导致交货日期延误或交货地点变更等情况的违约责任：</w:t>
      </w:r>
      <w:r>
        <w:rPr>
          <w:rFonts w:hint="eastAsia" w:ascii="宋体" w:hAnsi="宋体" w:cs="宋体"/>
          <w:u w:val="single"/>
        </w:rPr>
        <w:t>不增加费用、合理利润，增加延误的工期</w:t>
      </w:r>
      <w:r>
        <w:rPr>
          <w:rFonts w:hint="eastAsia" w:ascii="宋体" w:hAnsi="宋体" w:cs="宋体"/>
        </w:rPr>
        <w:t>。</w:t>
      </w:r>
    </w:p>
    <w:p>
      <w:pPr>
        <w:spacing w:line="360" w:lineRule="exact"/>
        <w:ind w:firstLine="420"/>
        <w:rPr>
          <w:rFonts w:hint="eastAsia" w:ascii="宋体" w:hAnsi="宋体" w:cs="宋体"/>
          <w:u w:val="single"/>
        </w:rPr>
      </w:pPr>
      <w:r>
        <w:rPr>
          <w:rFonts w:hint="eastAsia" w:ascii="宋体" w:hAnsi="宋体" w:cs="宋体"/>
        </w:rPr>
        <w:t>（5）因发包人违反合同约定造成暂停施工的违约责任：</w:t>
      </w:r>
      <w:r>
        <w:rPr>
          <w:rFonts w:hint="eastAsia" w:ascii="宋体" w:hAnsi="宋体" w:cs="宋体"/>
          <w:u w:val="single"/>
        </w:rPr>
        <w:t>不增加费用、合理利润，增加延误的工期。</w:t>
      </w:r>
    </w:p>
    <w:p>
      <w:pPr>
        <w:spacing w:line="360" w:lineRule="exact"/>
        <w:ind w:firstLine="420"/>
        <w:rPr>
          <w:rFonts w:hint="eastAsia" w:ascii="宋体" w:hAnsi="宋体" w:cs="宋体"/>
          <w:u w:val="single"/>
        </w:rPr>
      </w:pPr>
      <w:r>
        <w:rPr>
          <w:rFonts w:hint="eastAsia" w:ascii="宋体" w:hAnsi="宋体" w:cs="宋体"/>
        </w:rPr>
        <w:t>（6）发包人无正当理由没有在约定期限内发出复工指示，导致承包人无法复工的违约责任：</w:t>
      </w:r>
      <w:r>
        <w:rPr>
          <w:rFonts w:hint="eastAsia" w:ascii="宋体" w:hAnsi="宋体" w:cs="宋体"/>
          <w:u w:val="single"/>
        </w:rPr>
        <w:t xml:space="preserve">             不增加费用、合理利润，增加延误的工期</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（7）其他：</w:t>
      </w:r>
      <w:r>
        <w:rPr>
          <w:rFonts w:hint="eastAsia" w:ascii="宋体" w:hAnsi="宋体" w:cs="宋体"/>
          <w:u w:val="single"/>
        </w:rPr>
        <w:t xml:space="preserve">           /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16.1.3 因发包人违约解除合同</w:t>
      </w:r>
    </w:p>
    <w:p>
      <w:pPr>
        <w:spacing w:line="360" w:lineRule="exact"/>
        <w:ind w:firstLine="420"/>
        <w:rPr>
          <w:rFonts w:hint="eastAsia" w:ascii="宋体" w:hAnsi="宋体" w:cs="宋体"/>
        </w:rPr>
      </w:pPr>
      <w:r>
        <w:rPr>
          <w:rFonts w:hint="eastAsia" w:ascii="宋体" w:hAnsi="宋体" w:cs="宋体"/>
        </w:rPr>
        <w:t>承包人按16.1.1项〔发包人违约的情形〕约定暂停施工满</w:t>
      </w:r>
      <w:r>
        <w:rPr>
          <w:rFonts w:hint="eastAsia" w:ascii="宋体" w:hAnsi="宋体" w:cs="宋体"/>
          <w:u w:val="single"/>
        </w:rPr>
        <w:t xml:space="preserve"> 28 </w:t>
      </w:r>
      <w:r>
        <w:rPr>
          <w:rFonts w:hint="eastAsia" w:ascii="宋体" w:hAnsi="宋体" w:cs="宋体"/>
        </w:rPr>
        <w:t>天后发包人仍不纠正其违约行为并致使合同目的不能实现的，承包人有权解除合同。</w:t>
      </w:r>
    </w:p>
    <w:p>
      <w:pPr>
        <w:pStyle w:val="7"/>
        <w:widowControl w:val="0"/>
        <w:numPr>
          <w:ilvl w:val="2"/>
          <w:numId w:val="0"/>
        </w:numPr>
        <w:spacing w:line="360" w:lineRule="exact"/>
        <w:jc w:val="both"/>
        <w:rPr>
          <w:rFonts w:hint="eastAsia" w:ascii="宋体" w:hAnsi="宋体" w:cs="宋体"/>
          <w:sz w:val="24"/>
          <w:szCs w:val="24"/>
        </w:rPr>
      </w:pPr>
      <w:bookmarkStart w:id="959" w:name="_Toc26753"/>
      <w:bookmarkStart w:id="960" w:name="_Toc28050"/>
      <w:bookmarkStart w:id="961" w:name="_Toc288"/>
      <w:bookmarkStart w:id="962" w:name="_Toc22605"/>
      <w:bookmarkStart w:id="963" w:name="_Toc27400"/>
      <w:bookmarkStart w:id="964" w:name="_Toc9528"/>
      <w:r>
        <w:rPr>
          <w:rFonts w:hint="eastAsia" w:ascii="宋体" w:hAnsi="宋体" w:cs="宋体"/>
          <w:sz w:val="24"/>
          <w:szCs w:val="24"/>
        </w:rPr>
        <w:t>16.2 承包人违约</w:t>
      </w:r>
      <w:bookmarkEnd w:id="959"/>
      <w:bookmarkEnd w:id="960"/>
      <w:bookmarkEnd w:id="961"/>
      <w:bookmarkEnd w:id="962"/>
      <w:bookmarkEnd w:id="963"/>
      <w:bookmarkEnd w:id="964"/>
    </w:p>
    <w:p>
      <w:pPr>
        <w:spacing w:line="360" w:lineRule="exact"/>
        <w:ind w:firstLine="420"/>
        <w:rPr>
          <w:rFonts w:hint="eastAsia" w:ascii="宋体" w:hAnsi="宋体" w:cs="宋体"/>
        </w:rPr>
      </w:pPr>
      <w:r>
        <w:rPr>
          <w:rFonts w:hint="eastAsia" w:ascii="宋体" w:hAnsi="宋体" w:cs="宋体"/>
        </w:rPr>
        <w:t>16.2.1 承包人违约的情形</w:t>
      </w:r>
    </w:p>
    <w:p>
      <w:pPr>
        <w:spacing w:line="360" w:lineRule="auto"/>
        <w:ind w:firstLine="420"/>
        <w:rPr>
          <w:rFonts w:hint="eastAsia" w:ascii="宋体" w:hAnsi="宋体" w:cs="宋体"/>
          <w:u w:val="single"/>
        </w:rPr>
      </w:pPr>
      <w:r>
        <w:rPr>
          <w:rFonts w:hint="eastAsia" w:ascii="宋体" w:hAnsi="宋体" w:cs="宋体"/>
        </w:rPr>
        <w:t>承包人违约的其他情形：</w:t>
      </w:r>
      <w:r>
        <w:rPr>
          <w:rFonts w:hint="eastAsia" w:ascii="楷体_GB2312" w:eastAsia="楷体_GB2312"/>
          <w:b/>
          <w:color w:val="000000"/>
          <w:szCs w:val="21"/>
          <w:u w:val="single"/>
        </w:rPr>
        <w:t>若工程质量验收达不到合同中约定的质量标准，承包人必须无条件返工到合同约定的质量标准，返工后仍未达到合同约定的质量标准的，则承包人向发包人支付违约金为签约合同价款的2%。工期延误由承包人承担。发包人可从应向承包人支付的任何金额中扣除此项违约金。</w:t>
      </w:r>
    </w:p>
    <w:p>
      <w:pPr>
        <w:spacing w:line="360" w:lineRule="exact"/>
        <w:ind w:firstLine="420"/>
        <w:rPr>
          <w:rFonts w:hint="eastAsia" w:ascii="宋体" w:hAnsi="宋体" w:cs="宋体"/>
        </w:rPr>
      </w:pPr>
      <w:r>
        <w:rPr>
          <w:rFonts w:hint="eastAsia" w:ascii="宋体" w:hAnsi="宋体" w:cs="宋体"/>
        </w:rPr>
        <w:t>16.2.2承包人违约的责任</w:t>
      </w:r>
    </w:p>
    <w:p>
      <w:pPr>
        <w:spacing w:line="360" w:lineRule="exact"/>
        <w:ind w:firstLine="420"/>
        <w:rPr>
          <w:rFonts w:hint="eastAsia" w:ascii="宋体" w:hAnsi="宋体" w:cs="宋体"/>
          <w:u w:val="single"/>
        </w:rPr>
      </w:pPr>
      <w:r>
        <w:rPr>
          <w:rFonts w:hint="eastAsia" w:ascii="宋体" w:hAnsi="宋体" w:cs="宋体"/>
        </w:rPr>
        <w:t>承包人违约责任的承担方式和计算方法：</w:t>
      </w:r>
      <w:r>
        <w:rPr>
          <w:rFonts w:hint="eastAsia" w:ascii="宋体" w:hAnsi="宋体" w:cs="宋体"/>
          <w:u w:val="single"/>
        </w:rPr>
        <w:t xml:space="preserve">按通用条款执行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16.2.3 因承包人违约解除合同</w:t>
      </w:r>
    </w:p>
    <w:p>
      <w:pPr>
        <w:spacing w:line="360" w:lineRule="exact"/>
        <w:ind w:firstLine="420"/>
        <w:rPr>
          <w:rFonts w:hint="eastAsia" w:ascii="宋体" w:hAnsi="宋体" w:cs="宋体"/>
        </w:rPr>
      </w:pPr>
      <w:r>
        <w:rPr>
          <w:rFonts w:hint="eastAsia" w:ascii="宋体" w:hAnsi="宋体" w:cs="宋体"/>
        </w:rPr>
        <w:t>关于承包人违约解除合同的特别约定：</w:t>
      </w:r>
      <w:r>
        <w:rPr>
          <w:rFonts w:hint="eastAsia" w:ascii="宋体" w:hAnsi="宋体" w:cs="宋体"/>
          <w:u w:val="single"/>
        </w:rPr>
        <w:t xml:space="preserve">按通用条款执行                            </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发包人继续使用承包人在施工现场的材料、设备、临时工程、承包人文件和由承包人或以其名义编制的其他文件的费用承担方式：</w:t>
      </w:r>
      <w:r>
        <w:rPr>
          <w:rFonts w:hint="eastAsia" w:ascii="宋体" w:hAnsi="宋体" w:cs="宋体"/>
          <w:u w:val="single"/>
        </w:rPr>
        <w:t xml:space="preserve">按通用条款执行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4"/>
          <w:szCs w:val="24"/>
        </w:rPr>
      </w:pPr>
      <w:bookmarkStart w:id="965" w:name="_Toc7610"/>
      <w:bookmarkStart w:id="966" w:name="_Toc22461"/>
      <w:bookmarkStart w:id="967" w:name="_Toc3869"/>
      <w:bookmarkStart w:id="968" w:name="_Toc498421097"/>
      <w:bookmarkStart w:id="969" w:name="_Toc22488"/>
      <w:bookmarkStart w:id="970" w:name="_Toc23242"/>
      <w:bookmarkStart w:id="971" w:name="_Toc421260804"/>
      <w:bookmarkStart w:id="972" w:name="_Toc21796"/>
      <w:r>
        <w:rPr>
          <w:rFonts w:hint="eastAsia" w:ascii="宋体" w:hAnsi="宋体" w:cs="宋体"/>
          <w:sz w:val="24"/>
          <w:szCs w:val="24"/>
        </w:rPr>
        <w:t>17. 不可抗力</w:t>
      </w:r>
      <w:bookmarkEnd w:id="965"/>
      <w:bookmarkEnd w:id="966"/>
      <w:bookmarkEnd w:id="967"/>
      <w:bookmarkEnd w:id="968"/>
      <w:bookmarkEnd w:id="969"/>
      <w:bookmarkEnd w:id="970"/>
      <w:bookmarkEnd w:id="971"/>
      <w:bookmarkEnd w:id="972"/>
      <w:r>
        <w:rPr>
          <w:rFonts w:hint="eastAsia" w:ascii="宋体" w:hAnsi="宋体" w:cs="宋体"/>
          <w:sz w:val="24"/>
          <w:szCs w:val="24"/>
        </w:rPr>
        <w:t xml:space="preserve"> </w:t>
      </w:r>
    </w:p>
    <w:p>
      <w:pPr>
        <w:pStyle w:val="7"/>
        <w:widowControl w:val="0"/>
        <w:numPr>
          <w:ilvl w:val="2"/>
          <w:numId w:val="0"/>
        </w:numPr>
        <w:spacing w:line="360" w:lineRule="exact"/>
        <w:jc w:val="both"/>
        <w:rPr>
          <w:rFonts w:hint="eastAsia" w:ascii="宋体" w:hAnsi="宋体" w:cs="宋体"/>
          <w:sz w:val="24"/>
          <w:szCs w:val="24"/>
        </w:rPr>
      </w:pPr>
      <w:bookmarkStart w:id="973" w:name="_Toc16114"/>
      <w:bookmarkStart w:id="974" w:name="_Toc20933"/>
      <w:bookmarkStart w:id="975" w:name="_Toc3865"/>
      <w:bookmarkStart w:id="976" w:name="_Toc3470"/>
      <w:bookmarkStart w:id="977" w:name="_Toc3685"/>
      <w:bookmarkStart w:id="978" w:name="_Toc6974"/>
      <w:r>
        <w:rPr>
          <w:rFonts w:hint="eastAsia" w:ascii="宋体" w:hAnsi="宋体" w:cs="宋体"/>
          <w:sz w:val="24"/>
          <w:szCs w:val="24"/>
        </w:rPr>
        <w:t>17.1 不可抗力的确认</w:t>
      </w:r>
      <w:bookmarkEnd w:id="973"/>
      <w:bookmarkEnd w:id="974"/>
      <w:bookmarkEnd w:id="975"/>
      <w:bookmarkEnd w:id="976"/>
      <w:bookmarkEnd w:id="977"/>
      <w:bookmarkEnd w:id="978"/>
    </w:p>
    <w:p>
      <w:pPr>
        <w:spacing w:line="360" w:lineRule="exact"/>
        <w:ind w:firstLine="420"/>
        <w:rPr>
          <w:rFonts w:hint="eastAsia" w:ascii="宋体" w:hAnsi="宋体" w:cs="宋体"/>
          <w:u w:val="single"/>
        </w:rPr>
      </w:pPr>
      <w:r>
        <w:rPr>
          <w:rFonts w:hint="eastAsia" w:ascii="宋体" w:hAnsi="宋体" w:cs="宋体"/>
        </w:rPr>
        <w:t xml:space="preserve">除通用合同条款约定的不可抗力事件之外，视为不可抗力的其他情形： </w:t>
      </w:r>
      <w:r>
        <w:rPr>
          <w:rFonts w:hint="eastAsia" w:ascii="宋体" w:hAnsi="宋体" w:cs="宋体"/>
          <w:u w:val="single"/>
        </w:rPr>
        <w:t xml:space="preserve"> 台风、暴雨等不可预见的，政府部门发出通知需强制停工的情形。停工时间：自政府部门发出书面通知之日起至解除强制停工止（具体以发包人书面通知为准）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4"/>
          <w:szCs w:val="24"/>
        </w:rPr>
      </w:pPr>
      <w:bookmarkStart w:id="979" w:name="_Toc16818"/>
      <w:bookmarkStart w:id="980" w:name="_Toc11686"/>
      <w:bookmarkStart w:id="981" w:name="_Toc31040"/>
      <w:bookmarkStart w:id="982" w:name="_Toc48"/>
      <w:bookmarkStart w:id="983" w:name="_Toc16715"/>
      <w:bookmarkStart w:id="984" w:name="_Toc9666"/>
      <w:r>
        <w:rPr>
          <w:rFonts w:hint="eastAsia" w:ascii="宋体" w:hAnsi="宋体" w:cs="宋体"/>
          <w:sz w:val="24"/>
          <w:szCs w:val="24"/>
        </w:rPr>
        <w:t>17.4 因不可抗力解除合同</w:t>
      </w:r>
      <w:bookmarkEnd w:id="979"/>
      <w:bookmarkEnd w:id="980"/>
      <w:bookmarkEnd w:id="981"/>
      <w:bookmarkEnd w:id="982"/>
      <w:bookmarkEnd w:id="983"/>
      <w:bookmarkEnd w:id="984"/>
    </w:p>
    <w:p>
      <w:pPr>
        <w:spacing w:line="360" w:lineRule="exact"/>
        <w:ind w:firstLine="420"/>
        <w:rPr>
          <w:rFonts w:hint="eastAsia" w:ascii="宋体" w:hAnsi="宋体" w:cs="宋体"/>
        </w:rPr>
      </w:pPr>
      <w:r>
        <w:rPr>
          <w:rFonts w:hint="eastAsia" w:ascii="宋体" w:hAnsi="宋体" w:cs="宋体"/>
        </w:rPr>
        <w:t>合同解除后，发包人应在商定或确定发包人应支付款项后</w:t>
      </w:r>
      <w:r>
        <w:rPr>
          <w:rFonts w:hint="eastAsia" w:ascii="宋体" w:hAnsi="宋体" w:cs="宋体"/>
          <w:u w:val="single"/>
        </w:rPr>
        <w:t xml:space="preserve"> 60 </w:t>
      </w:r>
      <w:r>
        <w:rPr>
          <w:rFonts w:hint="eastAsia" w:ascii="宋体" w:hAnsi="宋体" w:cs="宋体"/>
        </w:rPr>
        <w:t>天内完成款项的支付。</w:t>
      </w:r>
    </w:p>
    <w:p>
      <w:pPr>
        <w:pStyle w:val="7"/>
        <w:widowControl w:val="0"/>
        <w:numPr>
          <w:ilvl w:val="2"/>
          <w:numId w:val="0"/>
        </w:numPr>
        <w:spacing w:line="360" w:lineRule="exact"/>
        <w:jc w:val="both"/>
        <w:rPr>
          <w:rFonts w:hint="eastAsia" w:ascii="宋体" w:hAnsi="宋体" w:cs="宋体"/>
          <w:sz w:val="24"/>
          <w:szCs w:val="24"/>
        </w:rPr>
      </w:pPr>
      <w:bookmarkStart w:id="985" w:name="_Toc25229"/>
      <w:bookmarkStart w:id="986" w:name="_Toc421260805"/>
      <w:bookmarkStart w:id="987" w:name="_Toc10085"/>
      <w:bookmarkStart w:id="988" w:name="_Toc676"/>
      <w:bookmarkStart w:id="989" w:name="_Toc498421098"/>
      <w:bookmarkStart w:id="990" w:name="_Toc12293"/>
      <w:bookmarkStart w:id="991" w:name="_Toc15471"/>
      <w:bookmarkStart w:id="992" w:name="_Toc9123"/>
      <w:r>
        <w:rPr>
          <w:rFonts w:hint="eastAsia" w:ascii="宋体" w:hAnsi="宋体" w:cs="宋体"/>
          <w:sz w:val="24"/>
          <w:szCs w:val="24"/>
        </w:rPr>
        <w:t>18. 保险</w:t>
      </w:r>
      <w:bookmarkEnd w:id="985"/>
      <w:bookmarkEnd w:id="986"/>
      <w:bookmarkEnd w:id="987"/>
      <w:bookmarkEnd w:id="988"/>
      <w:bookmarkEnd w:id="989"/>
      <w:bookmarkEnd w:id="990"/>
      <w:bookmarkEnd w:id="991"/>
      <w:bookmarkEnd w:id="992"/>
    </w:p>
    <w:p>
      <w:pPr>
        <w:pStyle w:val="7"/>
        <w:widowControl w:val="0"/>
        <w:numPr>
          <w:ilvl w:val="2"/>
          <w:numId w:val="0"/>
        </w:numPr>
        <w:spacing w:line="360" w:lineRule="exact"/>
        <w:jc w:val="both"/>
        <w:rPr>
          <w:rFonts w:hint="eastAsia" w:ascii="宋体" w:hAnsi="宋体" w:cs="宋体"/>
          <w:sz w:val="24"/>
          <w:szCs w:val="24"/>
        </w:rPr>
      </w:pPr>
      <w:bookmarkStart w:id="993" w:name="_Toc14552"/>
      <w:bookmarkStart w:id="994" w:name="_Toc15415"/>
      <w:bookmarkStart w:id="995" w:name="_Toc19972"/>
      <w:bookmarkStart w:id="996" w:name="_Toc9960"/>
      <w:bookmarkStart w:id="997" w:name="_Toc5760"/>
      <w:r>
        <w:rPr>
          <w:rFonts w:hint="eastAsia" w:ascii="宋体" w:hAnsi="宋体" w:cs="宋体"/>
          <w:sz w:val="24"/>
          <w:szCs w:val="24"/>
        </w:rPr>
        <w:t>18.1 工程保险</w:t>
      </w:r>
      <w:bookmarkEnd w:id="993"/>
      <w:bookmarkEnd w:id="994"/>
      <w:bookmarkEnd w:id="995"/>
      <w:bookmarkEnd w:id="996"/>
      <w:bookmarkEnd w:id="997"/>
    </w:p>
    <w:p>
      <w:pPr>
        <w:spacing w:line="360" w:lineRule="exact"/>
        <w:ind w:firstLine="420"/>
        <w:rPr>
          <w:rFonts w:hint="eastAsia" w:ascii="宋体" w:hAnsi="宋体" w:cs="宋体"/>
        </w:rPr>
      </w:pPr>
      <w:r>
        <w:rPr>
          <w:rFonts w:hint="eastAsia" w:ascii="宋体" w:hAnsi="宋体" w:cs="宋体"/>
        </w:rPr>
        <w:t>关于工程保险的特别约定：</w:t>
      </w:r>
      <w:r>
        <w:rPr>
          <w:rFonts w:hint="eastAsia" w:ascii="宋体" w:hAnsi="宋体" w:cs="宋体"/>
          <w:u w:val="single"/>
        </w:rPr>
        <w:t xml:space="preserve">    按通用条款执行   </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4"/>
          <w:szCs w:val="24"/>
        </w:rPr>
      </w:pPr>
      <w:bookmarkStart w:id="998" w:name="_Toc23365"/>
      <w:bookmarkStart w:id="999" w:name="_Toc22829"/>
      <w:bookmarkStart w:id="1000" w:name="_Toc19140"/>
      <w:bookmarkStart w:id="1001" w:name="_Toc27261"/>
      <w:bookmarkStart w:id="1002" w:name="_Toc1821"/>
      <w:bookmarkStart w:id="1003" w:name="_Toc24030"/>
      <w:r>
        <w:rPr>
          <w:rFonts w:hint="eastAsia" w:ascii="宋体" w:hAnsi="宋体" w:cs="宋体"/>
          <w:sz w:val="24"/>
          <w:szCs w:val="24"/>
        </w:rPr>
        <w:t>18.3 其他保险</w:t>
      </w:r>
      <w:bookmarkEnd w:id="998"/>
      <w:bookmarkEnd w:id="999"/>
      <w:bookmarkEnd w:id="1000"/>
      <w:bookmarkEnd w:id="1001"/>
      <w:bookmarkEnd w:id="1002"/>
      <w:bookmarkEnd w:id="1003"/>
    </w:p>
    <w:p>
      <w:pPr>
        <w:spacing w:line="360" w:lineRule="exact"/>
        <w:ind w:firstLine="420"/>
        <w:rPr>
          <w:rFonts w:hint="eastAsia" w:ascii="宋体" w:hAnsi="宋体" w:cs="宋体"/>
        </w:rPr>
      </w:pPr>
      <w:r>
        <w:rPr>
          <w:rFonts w:hint="eastAsia" w:ascii="宋体" w:hAnsi="宋体" w:cs="宋体"/>
          <w:u w:val="none"/>
        </w:rPr>
        <w:t>关于其他保险的约定</w:t>
      </w:r>
      <w:r>
        <w:rPr>
          <w:rFonts w:hint="eastAsia" w:ascii="宋体" w:hAnsi="宋体" w:cs="宋体"/>
          <w:u w:val="single"/>
        </w:rPr>
        <w:t>：承包人要为其施工现场的全部人员（含发包人和监理人工作人员）办理意外伤害保险并支付保险费，包括其员工及为履行合同聘请的第三方的人员</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承包人是否应为其施工设备等办理财产保险：</w:t>
      </w:r>
      <w:r>
        <w:rPr>
          <w:rFonts w:hint="eastAsia" w:ascii="宋体" w:hAnsi="宋体" w:cs="宋体"/>
          <w:u w:val="single"/>
          <w:lang w:val="en-US" w:eastAsia="zh-CN"/>
        </w:rPr>
        <w:t>是</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4"/>
          <w:szCs w:val="24"/>
        </w:rPr>
      </w:pPr>
      <w:bookmarkStart w:id="1004" w:name="_Toc10409"/>
      <w:bookmarkStart w:id="1005" w:name="_Toc8391"/>
      <w:bookmarkStart w:id="1006" w:name="_Toc10604"/>
      <w:bookmarkStart w:id="1007" w:name="_Toc30633"/>
      <w:bookmarkStart w:id="1008" w:name="_Toc25903"/>
      <w:bookmarkStart w:id="1009" w:name="_Toc23359"/>
      <w:r>
        <w:rPr>
          <w:rFonts w:hint="eastAsia" w:ascii="宋体" w:hAnsi="宋体" w:cs="宋体"/>
          <w:sz w:val="24"/>
          <w:szCs w:val="24"/>
        </w:rPr>
        <w:t>18.7 通知义务</w:t>
      </w:r>
      <w:bookmarkEnd w:id="1004"/>
      <w:bookmarkEnd w:id="1005"/>
      <w:bookmarkEnd w:id="1006"/>
      <w:bookmarkEnd w:id="1007"/>
      <w:bookmarkEnd w:id="1008"/>
      <w:bookmarkEnd w:id="1009"/>
    </w:p>
    <w:p>
      <w:pPr>
        <w:spacing w:line="360" w:lineRule="exact"/>
        <w:ind w:firstLine="420"/>
        <w:rPr>
          <w:rFonts w:hint="eastAsia" w:ascii="宋体" w:hAnsi="宋体" w:cs="宋体"/>
        </w:rPr>
      </w:pPr>
      <w:r>
        <w:rPr>
          <w:rFonts w:hint="eastAsia" w:ascii="宋体" w:hAnsi="宋体" w:cs="宋体"/>
        </w:rPr>
        <w:t>关于变更保险合同时的通知义务的约定：</w:t>
      </w:r>
      <w:r>
        <w:rPr>
          <w:rFonts w:hint="eastAsia" w:ascii="宋体" w:hAnsi="宋体" w:cs="宋体"/>
          <w:u w:val="single"/>
        </w:rPr>
        <w:t>按通用条款执行</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4"/>
          <w:szCs w:val="24"/>
        </w:rPr>
      </w:pPr>
      <w:bookmarkStart w:id="1010" w:name="_Toc12407"/>
      <w:bookmarkStart w:id="1011" w:name="_Toc29945"/>
      <w:bookmarkStart w:id="1012" w:name="_Toc29873"/>
      <w:bookmarkStart w:id="1013" w:name="_Toc25752"/>
      <w:bookmarkStart w:id="1014" w:name="_Toc30340"/>
      <w:bookmarkStart w:id="1015" w:name="_Toc421260806"/>
      <w:bookmarkStart w:id="1016" w:name="_Toc12566"/>
      <w:bookmarkStart w:id="1017" w:name="_Toc498421099"/>
      <w:r>
        <w:rPr>
          <w:rFonts w:hint="eastAsia" w:ascii="宋体" w:hAnsi="宋体" w:cs="宋体"/>
          <w:sz w:val="24"/>
          <w:szCs w:val="24"/>
        </w:rPr>
        <w:t>20. 争议解决</w:t>
      </w:r>
      <w:bookmarkEnd w:id="1010"/>
      <w:bookmarkEnd w:id="1011"/>
      <w:bookmarkEnd w:id="1012"/>
      <w:bookmarkEnd w:id="1013"/>
      <w:bookmarkEnd w:id="1014"/>
      <w:bookmarkEnd w:id="1015"/>
      <w:bookmarkEnd w:id="1016"/>
      <w:bookmarkEnd w:id="1017"/>
    </w:p>
    <w:p>
      <w:pPr>
        <w:pStyle w:val="7"/>
        <w:widowControl w:val="0"/>
        <w:numPr>
          <w:ilvl w:val="2"/>
          <w:numId w:val="0"/>
        </w:numPr>
        <w:spacing w:line="360" w:lineRule="exact"/>
        <w:jc w:val="both"/>
        <w:rPr>
          <w:rFonts w:hint="eastAsia" w:ascii="宋体" w:hAnsi="宋体" w:cs="宋体"/>
          <w:sz w:val="24"/>
          <w:szCs w:val="24"/>
        </w:rPr>
      </w:pPr>
      <w:bookmarkStart w:id="1018" w:name="_Toc11466"/>
      <w:bookmarkStart w:id="1019" w:name="_Toc27886"/>
      <w:bookmarkStart w:id="1020" w:name="_Toc23526"/>
      <w:bookmarkStart w:id="1021" w:name="_Toc2167"/>
      <w:bookmarkStart w:id="1022" w:name="_Toc8689"/>
      <w:bookmarkStart w:id="1023" w:name="_Toc6347"/>
      <w:r>
        <w:rPr>
          <w:rFonts w:hint="eastAsia" w:ascii="宋体" w:hAnsi="宋体" w:cs="宋体"/>
          <w:sz w:val="24"/>
          <w:szCs w:val="24"/>
        </w:rPr>
        <w:t>20.3 争议评审</w:t>
      </w:r>
      <w:bookmarkEnd w:id="1018"/>
      <w:bookmarkEnd w:id="1019"/>
      <w:bookmarkEnd w:id="1020"/>
      <w:bookmarkEnd w:id="1021"/>
      <w:bookmarkEnd w:id="1022"/>
      <w:bookmarkEnd w:id="1023"/>
    </w:p>
    <w:p>
      <w:pPr>
        <w:spacing w:line="360" w:lineRule="exact"/>
        <w:ind w:firstLine="420"/>
        <w:rPr>
          <w:rFonts w:hint="eastAsia" w:ascii="宋体" w:hAnsi="宋体" w:cs="宋体"/>
          <w:u w:val="single"/>
        </w:rPr>
      </w:pPr>
      <w:r>
        <w:rPr>
          <w:rFonts w:hint="eastAsia" w:ascii="宋体" w:hAnsi="宋体" w:cs="宋体"/>
        </w:rPr>
        <w:t>合同当事人是否同意将工程争议提交争议评审小组决定：</w:t>
      </w:r>
      <w:r>
        <w:rPr>
          <w:rFonts w:hint="eastAsia" w:ascii="宋体" w:hAnsi="宋体" w:cs="宋体"/>
          <w:u w:val="single"/>
          <w:lang w:val="en-US" w:eastAsia="zh-CN"/>
        </w:rPr>
        <w:t>否</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20.3.1 争议评审小组的确定</w:t>
      </w:r>
    </w:p>
    <w:p>
      <w:pPr>
        <w:spacing w:line="360" w:lineRule="exact"/>
        <w:ind w:firstLine="420"/>
        <w:rPr>
          <w:rFonts w:hint="eastAsia" w:ascii="宋体" w:hAnsi="宋体" w:cs="宋体"/>
          <w:u w:val="single"/>
        </w:rPr>
      </w:pPr>
      <w:r>
        <w:rPr>
          <w:rFonts w:hint="eastAsia" w:ascii="宋体" w:hAnsi="宋体" w:cs="宋体"/>
        </w:rPr>
        <w:t>争议评审小组成员的确定：</w:t>
      </w:r>
      <w:r>
        <w:rPr>
          <w:rFonts w:hint="eastAsia" w:ascii="宋体" w:hAnsi="宋体" w:cs="宋体"/>
          <w:u w:val="single"/>
          <w:lang w:val="en-US" w:eastAsia="zh-CN"/>
        </w:rPr>
        <w:t>无</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选定争议评审员的期限：</w:t>
      </w:r>
      <w:r>
        <w:rPr>
          <w:rFonts w:hint="eastAsia" w:ascii="宋体" w:hAnsi="宋体" w:cs="宋体"/>
          <w:u w:val="single"/>
          <w:lang w:val="en-US" w:eastAsia="zh-CN"/>
        </w:rPr>
        <w:t>无</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争议评审小组成员的报酬承担方式：</w:t>
      </w:r>
      <w:r>
        <w:rPr>
          <w:rFonts w:hint="eastAsia" w:ascii="宋体" w:hAnsi="宋体" w:cs="宋体"/>
          <w:u w:val="single"/>
          <w:lang w:val="en-US" w:eastAsia="zh-CN"/>
        </w:rPr>
        <w:t>无</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其他事项的约定：</w:t>
      </w:r>
      <w:r>
        <w:rPr>
          <w:rFonts w:hint="eastAsia" w:ascii="宋体" w:hAnsi="宋体" w:cs="宋体"/>
          <w:u w:val="single"/>
          <w:lang w:val="en-US" w:eastAsia="zh-CN"/>
        </w:rPr>
        <w:t>无</w:t>
      </w:r>
      <w:r>
        <w:rPr>
          <w:rFonts w:hint="eastAsia" w:ascii="宋体" w:hAnsi="宋体" w:cs="宋体"/>
        </w:rPr>
        <w:t>。</w:t>
      </w:r>
    </w:p>
    <w:p>
      <w:pPr>
        <w:spacing w:line="360" w:lineRule="exact"/>
        <w:ind w:firstLine="420"/>
        <w:rPr>
          <w:rFonts w:hint="eastAsia" w:ascii="宋体" w:hAnsi="宋体" w:cs="宋体"/>
        </w:rPr>
      </w:pPr>
      <w:r>
        <w:rPr>
          <w:rFonts w:hint="eastAsia" w:ascii="宋体" w:hAnsi="宋体" w:cs="宋体"/>
        </w:rPr>
        <w:t>20.3.2 争议评审小组的决定</w:t>
      </w:r>
    </w:p>
    <w:p>
      <w:pPr>
        <w:spacing w:line="360" w:lineRule="exact"/>
        <w:ind w:firstLine="420"/>
        <w:rPr>
          <w:rFonts w:hint="eastAsia" w:ascii="宋体" w:hAnsi="宋体" w:cs="宋体"/>
        </w:rPr>
      </w:pPr>
      <w:r>
        <w:rPr>
          <w:rFonts w:hint="eastAsia" w:ascii="宋体" w:hAnsi="宋体" w:cs="宋体"/>
        </w:rPr>
        <w:t>合同当事人关于本项的约定：</w:t>
      </w:r>
      <w:r>
        <w:rPr>
          <w:rFonts w:hint="eastAsia" w:ascii="宋体" w:hAnsi="宋体" w:cs="宋体"/>
          <w:u w:val="single"/>
          <w:lang w:val="en-US" w:eastAsia="zh-CN"/>
        </w:rPr>
        <w:t>无</w:t>
      </w:r>
      <w:r>
        <w:rPr>
          <w:rFonts w:hint="eastAsia" w:ascii="宋体" w:hAnsi="宋体" w:cs="宋体"/>
        </w:rPr>
        <w:t>。</w:t>
      </w:r>
    </w:p>
    <w:p>
      <w:pPr>
        <w:pStyle w:val="7"/>
        <w:widowControl w:val="0"/>
        <w:numPr>
          <w:ilvl w:val="2"/>
          <w:numId w:val="0"/>
        </w:numPr>
        <w:spacing w:line="360" w:lineRule="exact"/>
        <w:jc w:val="both"/>
        <w:rPr>
          <w:rFonts w:hint="eastAsia" w:ascii="宋体" w:hAnsi="宋体" w:cs="宋体"/>
          <w:sz w:val="24"/>
          <w:szCs w:val="24"/>
        </w:rPr>
      </w:pPr>
      <w:bookmarkStart w:id="1024" w:name="_Toc7258"/>
      <w:bookmarkStart w:id="1025" w:name="_Toc565"/>
      <w:bookmarkStart w:id="1026" w:name="_Toc19353"/>
      <w:bookmarkStart w:id="1027" w:name="_Toc22165"/>
      <w:bookmarkStart w:id="1028" w:name="_Toc28130"/>
      <w:bookmarkStart w:id="1029" w:name="_Toc9597"/>
      <w:r>
        <w:rPr>
          <w:rFonts w:hint="eastAsia" w:ascii="宋体" w:hAnsi="宋体" w:cs="宋体"/>
          <w:sz w:val="24"/>
          <w:szCs w:val="24"/>
        </w:rPr>
        <w:t>20.4 仲裁或诉讼</w:t>
      </w:r>
      <w:bookmarkEnd w:id="1024"/>
      <w:bookmarkEnd w:id="1025"/>
      <w:bookmarkEnd w:id="1026"/>
      <w:bookmarkEnd w:id="1027"/>
      <w:bookmarkEnd w:id="1028"/>
      <w:bookmarkEnd w:id="1029"/>
    </w:p>
    <w:p>
      <w:pPr>
        <w:spacing w:line="360" w:lineRule="exact"/>
        <w:ind w:firstLine="420"/>
        <w:rPr>
          <w:rFonts w:hint="eastAsia" w:ascii="宋体" w:hAnsi="宋体" w:cs="宋体"/>
        </w:rPr>
      </w:pPr>
      <w:r>
        <w:rPr>
          <w:rFonts w:hint="eastAsia" w:ascii="宋体" w:hAnsi="宋体" w:cs="宋体"/>
        </w:rPr>
        <w:t>因合同及合同有关事项发生的争议，按下列第</w:t>
      </w:r>
      <w:r>
        <w:rPr>
          <w:rFonts w:hint="eastAsia" w:ascii="宋体" w:hAnsi="宋体" w:cs="宋体"/>
          <w:u w:val="single"/>
        </w:rPr>
        <w:t xml:space="preserve"> </w:t>
      </w:r>
      <w:r>
        <w:rPr>
          <w:rFonts w:hint="eastAsia" w:ascii="宋体" w:hAnsi="宋体" w:cs="宋体"/>
          <w:b/>
          <w:u w:val="single"/>
        </w:rPr>
        <w:t>(2)</w:t>
      </w:r>
      <w:r>
        <w:rPr>
          <w:rFonts w:hint="eastAsia" w:ascii="宋体" w:hAnsi="宋体" w:cs="宋体"/>
          <w:u w:val="single"/>
        </w:rPr>
        <w:t xml:space="preserve"> </w:t>
      </w:r>
      <w:r>
        <w:rPr>
          <w:rFonts w:hint="eastAsia" w:ascii="宋体" w:hAnsi="宋体" w:cs="宋体"/>
        </w:rPr>
        <w:t>种方式解决：</w:t>
      </w:r>
    </w:p>
    <w:p>
      <w:pPr>
        <w:spacing w:line="360" w:lineRule="exact"/>
        <w:ind w:firstLine="420"/>
        <w:rPr>
          <w:rFonts w:hint="eastAsia" w:ascii="宋体" w:hAnsi="宋体" w:cs="宋体"/>
        </w:rPr>
      </w:pPr>
      <w:r>
        <w:rPr>
          <w:rFonts w:hint="eastAsia" w:ascii="宋体" w:hAnsi="宋体" w:cs="宋体"/>
        </w:rPr>
        <w:t>（1）向</w:t>
      </w:r>
      <w:r>
        <w:rPr>
          <w:rFonts w:hint="eastAsia" w:ascii="宋体" w:hAnsi="宋体" w:cs="宋体"/>
          <w:u w:val="single"/>
        </w:rPr>
        <w:t xml:space="preserve">                </w:t>
      </w:r>
      <w:r>
        <w:rPr>
          <w:rFonts w:hint="eastAsia" w:ascii="宋体" w:hAnsi="宋体" w:cs="宋体"/>
        </w:rPr>
        <w:t>仲裁委员会申请仲裁；</w:t>
      </w:r>
    </w:p>
    <w:p>
      <w:pPr>
        <w:spacing w:line="360" w:lineRule="exact"/>
        <w:ind w:firstLine="420"/>
        <w:rPr>
          <w:rFonts w:hint="eastAsia" w:ascii="宋体" w:hAnsi="宋体" w:cs="宋体"/>
        </w:rPr>
      </w:pPr>
      <w:r>
        <w:rPr>
          <w:rFonts w:hint="eastAsia" w:ascii="宋体" w:hAnsi="宋体" w:cs="宋体"/>
        </w:rPr>
        <w:t>（2）向</w:t>
      </w:r>
      <w:r>
        <w:rPr>
          <w:rFonts w:hint="eastAsia" w:ascii="宋体" w:hAnsi="宋体" w:cs="宋体"/>
          <w:u w:val="single"/>
        </w:rPr>
        <w:t xml:space="preserve"> 工程项目所在地</w:t>
      </w:r>
      <w:r>
        <w:rPr>
          <w:rFonts w:hint="eastAsia" w:ascii="宋体" w:hAnsi="宋体" w:cs="宋体"/>
        </w:rPr>
        <w:t>人民法院起诉</w:t>
      </w:r>
    </w:p>
    <w:p>
      <w:pPr>
        <w:pStyle w:val="7"/>
        <w:widowControl w:val="0"/>
        <w:numPr>
          <w:ilvl w:val="2"/>
          <w:numId w:val="0"/>
        </w:numPr>
        <w:spacing w:line="360" w:lineRule="exact"/>
        <w:jc w:val="both"/>
        <w:rPr>
          <w:rFonts w:hint="eastAsia" w:ascii="宋体" w:hAnsi="宋体" w:cs="宋体"/>
          <w:sz w:val="24"/>
          <w:szCs w:val="24"/>
        </w:rPr>
      </w:pPr>
      <w:bookmarkStart w:id="1030" w:name="_Toc17429"/>
      <w:bookmarkStart w:id="1031" w:name="_Toc421260807"/>
      <w:bookmarkStart w:id="1032" w:name="_Toc32037"/>
      <w:bookmarkStart w:id="1033" w:name="_Toc3241"/>
      <w:bookmarkStart w:id="1034" w:name="_Toc498421100"/>
      <w:bookmarkStart w:id="1035" w:name="_Toc456629362"/>
      <w:bookmarkStart w:id="1036" w:name="_Toc453437393"/>
      <w:bookmarkStart w:id="1037" w:name="_Toc23069"/>
      <w:bookmarkStart w:id="1038" w:name="_Toc16045"/>
      <w:bookmarkStart w:id="1039" w:name="_Toc362"/>
      <w:r>
        <w:rPr>
          <w:rFonts w:hint="eastAsia" w:ascii="宋体" w:hAnsi="宋体" w:cs="宋体"/>
          <w:sz w:val="24"/>
          <w:szCs w:val="24"/>
        </w:rPr>
        <w:t>21. 补充条款</w:t>
      </w:r>
      <w:bookmarkEnd w:id="1030"/>
      <w:bookmarkEnd w:id="1031"/>
      <w:bookmarkEnd w:id="1032"/>
      <w:bookmarkEnd w:id="1033"/>
      <w:bookmarkEnd w:id="1034"/>
      <w:bookmarkEnd w:id="1035"/>
      <w:bookmarkEnd w:id="1036"/>
      <w:bookmarkEnd w:id="1037"/>
      <w:bookmarkEnd w:id="1038"/>
      <w:bookmarkEnd w:id="1039"/>
    </w:p>
    <w:p>
      <w:pPr>
        <w:snapToGrid w:val="0"/>
        <w:ind w:firstLine="420"/>
        <w:rPr>
          <w:rFonts w:hint="eastAsia"/>
          <w:b/>
          <w:bCs/>
          <w:color w:val="auto"/>
          <w:szCs w:val="21"/>
        </w:rPr>
      </w:pPr>
      <w:r>
        <w:rPr>
          <w:rFonts w:hint="eastAsia"/>
          <w:b/>
          <w:bCs/>
          <w:color w:val="auto"/>
          <w:szCs w:val="21"/>
        </w:rPr>
        <w:t>21.1双方约定的承包人其他违约责任：</w:t>
      </w:r>
    </w:p>
    <w:p>
      <w:pPr>
        <w:spacing w:line="360" w:lineRule="auto"/>
        <w:ind w:firstLine="414" w:firstLineChars="200"/>
        <w:rPr>
          <w:rFonts w:hint="default" w:eastAsia="宋体"/>
          <w:b/>
          <w:bCs/>
          <w:color w:val="auto"/>
          <w:spacing w:val="-2"/>
          <w:u w:val="single"/>
          <w:lang w:val="en-US" w:eastAsia="zh-CN"/>
        </w:rPr>
      </w:pPr>
      <w:r>
        <w:rPr>
          <w:rFonts w:hint="eastAsia"/>
          <w:b/>
          <w:bCs/>
          <w:color w:val="auto"/>
          <w:spacing w:val="-2"/>
          <w:u w:val="single"/>
        </w:rPr>
        <w:t>A、投标文件中拟派的项目负责人及</w:t>
      </w:r>
      <w:r>
        <w:rPr>
          <w:rFonts w:hint="eastAsia"/>
          <w:b/>
          <w:bCs/>
          <w:color w:val="auto"/>
          <w:spacing w:val="-2"/>
          <w:u w:val="single"/>
          <w:lang w:eastAsia="zh-CN"/>
        </w:rPr>
        <w:t>其他</w:t>
      </w:r>
      <w:r>
        <w:rPr>
          <w:rFonts w:hint="eastAsia"/>
          <w:b/>
          <w:bCs/>
          <w:color w:val="auto"/>
          <w:spacing w:val="-2"/>
          <w:u w:val="single"/>
        </w:rPr>
        <w:t>管理人员（施工员、安全员、质检员等）必须到位，实行工地考勤制度（由承包单位自行配备考勤机考勤打卡），若项目负责人擅自离开工地及若每月在工地天数不足</w:t>
      </w:r>
      <w:r>
        <w:rPr>
          <w:b/>
          <w:bCs/>
          <w:color w:val="auto"/>
          <w:spacing w:val="-2"/>
          <w:u w:val="single"/>
        </w:rPr>
        <w:t>24</w:t>
      </w:r>
      <w:r>
        <w:rPr>
          <w:rFonts w:hint="eastAsia"/>
          <w:b/>
          <w:bCs/>
          <w:color w:val="auto"/>
          <w:spacing w:val="-2"/>
          <w:u w:val="single"/>
        </w:rPr>
        <w:t>天（特殊情况经甲方同意例外）者，以不到位处理，按每天罚以违约金</w:t>
      </w:r>
      <w:r>
        <w:rPr>
          <w:rFonts w:hint="eastAsia"/>
          <w:b/>
          <w:bCs/>
          <w:color w:val="auto"/>
          <w:spacing w:val="-2"/>
          <w:u w:val="single"/>
          <w:lang w:val="en-US" w:eastAsia="zh-CN"/>
        </w:rPr>
        <w:t>1</w:t>
      </w:r>
      <w:r>
        <w:rPr>
          <w:b/>
          <w:bCs/>
          <w:color w:val="auto"/>
          <w:spacing w:val="-2"/>
          <w:u w:val="single"/>
        </w:rPr>
        <w:t>00</w:t>
      </w:r>
      <w:r>
        <w:rPr>
          <w:rFonts w:hint="eastAsia"/>
          <w:b/>
          <w:bCs/>
          <w:color w:val="auto"/>
          <w:spacing w:val="-2"/>
          <w:u w:val="single"/>
          <w:lang w:val="en-US" w:eastAsia="zh-CN"/>
        </w:rPr>
        <w:t>0</w:t>
      </w:r>
      <w:r>
        <w:rPr>
          <w:rFonts w:hint="eastAsia"/>
          <w:b/>
          <w:bCs/>
          <w:color w:val="auto"/>
          <w:spacing w:val="-2"/>
          <w:u w:val="single"/>
        </w:rPr>
        <w:t>元</w:t>
      </w:r>
      <w:r>
        <w:rPr>
          <w:b/>
          <w:bCs/>
          <w:color w:val="auto"/>
          <w:spacing w:val="-2"/>
          <w:u w:val="single"/>
        </w:rPr>
        <w:t>/</w:t>
      </w:r>
      <w:r>
        <w:rPr>
          <w:rFonts w:hint="eastAsia"/>
          <w:b/>
          <w:bCs/>
          <w:color w:val="auto"/>
          <w:spacing w:val="-2"/>
          <w:u w:val="single"/>
        </w:rPr>
        <w:t>人。若</w:t>
      </w:r>
      <w:r>
        <w:rPr>
          <w:rFonts w:hint="eastAsia"/>
          <w:b/>
          <w:bCs/>
          <w:color w:val="auto"/>
          <w:spacing w:val="-2"/>
          <w:u w:val="single"/>
          <w:lang w:eastAsia="zh-CN"/>
        </w:rPr>
        <w:t>其他</w:t>
      </w:r>
      <w:r>
        <w:rPr>
          <w:rFonts w:hint="eastAsia"/>
          <w:b/>
          <w:bCs/>
          <w:color w:val="auto"/>
          <w:spacing w:val="-2"/>
          <w:u w:val="single"/>
        </w:rPr>
        <w:t>管理人员（施工员、安全员、质检员等）擅自离开工地及若每月在工地天数不足</w:t>
      </w:r>
      <w:r>
        <w:rPr>
          <w:b/>
          <w:bCs/>
          <w:color w:val="auto"/>
          <w:spacing w:val="-2"/>
          <w:u w:val="single"/>
        </w:rPr>
        <w:t>24</w:t>
      </w:r>
      <w:r>
        <w:rPr>
          <w:rFonts w:hint="eastAsia"/>
          <w:b/>
          <w:bCs/>
          <w:color w:val="auto"/>
          <w:spacing w:val="-2"/>
          <w:u w:val="single"/>
        </w:rPr>
        <w:t>天（特殊情况经甲方同意例外）者，以不到位处理，按每天罚以违约金</w:t>
      </w:r>
      <w:r>
        <w:rPr>
          <w:rFonts w:hint="eastAsia"/>
          <w:b/>
          <w:bCs/>
          <w:color w:val="auto"/>
          <w:spacing w:val="-2"/>
          <w:u w:val="single"/>
          <w:lang w:val="en-US" w:eastAsia="zh-CN"/>
        </w:rPr>
        <w:t>500</w:t>
      </w:r>
      <w:r>
        <w:rPr>
          <w:rFonts w:hint="eastAsia"/>
          <w:b/>
          <w:bCs/>
          <w:color w:val="auto"/>
          <w:spacing w:val="-2"/>
          <w:u w:val="single"/>
        </w:rPr>
        <w:t>元</w:t>
      </w:r>
      <w:r>
        <w:rPr>
          <w:b/>
          <w:bCs/>
          <w:color w:val="auto"/>
          <w:spacing w:val="-2"/>
          <w:u w:val="single"/>
        </w:rPr>
        <w:t>/</w:t>
      </w:r>
      <w:r>
        <w:rPr>
          <w:rFonts w:hint="eastAsia"/>
          <w:b/>
          <w:bCs/>
          <w:color w:val="auto"/>
          <w:spacing w:val="-2"/>
          <w:u w:val="single"/>
        </w:rPr>
        <w:t>人。违约金可在支付任一期工程款中扣除。</w:t>
      </w:r>
      <w:r>
        <w:rPr>
          <w:rFonts w:hint="eastAsia"/>
          <w:b/>
          <w:bCs/>
          <w:color w:val="auto"/>
          <w:spacing w:val="-2"/>
          <w:u w:val="single"/>
          <w:lang w:val="en-US" w:eastAsia="zh-CN"/>
        </w:rPr>
        <w:t>若</w:t>
      </w:r>
      <w:r>
        <w:rPr>
          <w:rFonts w:hint="eastAsia"/>
          <w:b/>
          <w:bCs/>
          <w:color w:val="auto"/>
          <w:spacing w:val="-2"/>
          <w:u w:val="single"/>
          <w:lang w:eastAsia="zh-CN"/>
        </w:rPr>
        <w:t>其他</w:t>
      </w:r>
      <w:r>
        <w:rPr>
          <w:rFonts w:hint="eastAsia"/>
          <w:b/>
          <w:bCs/>
          <w:color w:val="auto"/>
          <w:spacing w:val="-2"/>
          <w:u w:val="single"/>
        </w:rPr>
        <w:t>管理人员（施工员、安全员、质检员等）</w:t>
      </w:r>
      <w:r>
        <w:rPr>
          <w:rFonts w:hint="eastAsia"/>
          <w:b/>
          <w:bCs/>
          <w:color w:val="auto"/>
          <w:spacing w:val="-2"/>
          <w:u w:val="single"/>
          <w:lang w:val="en-US" w:eastAsia="zh-CN"/>
        </w:rPr>
        <w:t>职责履行不佳，建设单位提出更换的，按20000元收取违约金。</w:t>
      </w:r>
    </w:p>
    <w:p>
      <w:pPr>
        <w:spacing w:line="360" w:lineRule="auto"/>
        <w:ind w:firstLine="422" w:firstLineChars="200"/>
        <w:rPr>
          <w:rFonts w:hint="eastAsia"/>
          <w:b/>
          <w:bCs/>
          <w:color w:val="auto"/>
          <w:u w:val="single"/>
        </w:rPr>
      </w:pPr>
      <w:r>
        <w:rPr>
          <w:rFonts w:hint="eastAsia"/>
          <w:b/>
          <w:bCs/>
          <w:color w:val="auto"/>
          <w:u w:val="single"/>
        </w:rPr>
        <w:t>B、项目负责人不得更换（特殊原因除外）。存在下列情形之一的除外：</w:t>
      </w:r>
    </w:p>
    <w:p>
      <w:pPr>
        <w:spacing w:line="360" w:lineRule="auto"/>
        <w:ind w:firstLine="422" w:firstLineChars="200"/>
        <w:rPr>
          <w:rFonts w:hint="eastAsia"/>
          <w:b/>
          <w:bCs/>
          <w:color w:val="auto"/>
        </w:rPr>
      </w:pPr>
      <w:r>
        <w:rPr>
          <w:rFonts w:hint="eastAsia"/>
          <w:b/>
          <w:bCs/>
          <w:color w:val="auto"/>
        </w:rPr>
        <w:t>①因管理原因发生重大质量安全事故不适合再任的；</w:t>
      </w:r>
    </w:p>
    <w:p>
      <w:pPr>
        <w:spacing w:line="360" w:lineRule="auto"/>
        <w:ind w:firstLine="422" w:firstLineChars="200"/>
        <w:rPr>
          <w:rFonts w:hint="eastAsia"/>
          <w:b/>
          <w:bCs/>
          <w:color w:val="auto"/>
        </w:rPr>
      </w:pPr>
      <w:r>
        <w:rPr>
          <w:rFonts w:hint="eastAsia"/>
          <w:b/>
          <w:bCs/>
          <w:color w:val="auto"/>
        </w:rPr>
        <w:t>②被责令停止执业、羁押或判刑的；</w:t>
      </w:r>
    </w:p>
    <w:p>
      <w:pPr>
        <w:spacing w:line="360" w:lineRule="auto"/>
        <w:ind w:firstLine="422" w:firstLineChars="200"/>
        <w:rPr>
          <w:rFonts w:hint="eastAsia"/>
          <w:b/>
          <w:bCs/>
          <w:color w:val="auto"/>
        </w:rPr>
      </w:pPr>
      <w:r>
        <w:rPr>
          <w:rFonts w:hint="eastAsia"/>
          <w:b/>
          <w:bCs/>
          <w:color w:val="auto"/>
        </w:rPr>
        <w:t>③因特殊原因无法继续履行合同责任和义务的；</w:t>
      </w:r>
    </w:p>
    <w:p>
      <w:pPr>
        <w:spacing w:line="360" w:lineRule="auto"/>
        <w:ind w:firstLine="422" w:firstLineChars="200"/>
        <w:rPr>
          <w:rFonts w:hint="eastAsia"/>
          <w:b/>
          <w:bCs/>
          <w:color w:val="auto"/>
        </w:rPr>
      </w:pPr>
      <w:r>
        <w:rPr>
          <w:rFonts w:hint="eastAsia"/>
          <w:b/>
          <w:bCs/>
          <w:color w:val="auto"/>
        </w:rPr>
        <w:t>④因职责履行不佳，建设单位提出更换的。</w:t>
      </w:r>
    </w:p>
    <w:p>
      <w:pPr>
        <w:snapToGrid w:val="0"/>
        <w:spacing w:line="360" w:lineRule="auto"/>
        <w:ind w:firstLine="420"/>
        <w:rPr>
          <w:rFonts w:hint="eastAsia"/>
          <w:b/>
          <w:bCs/>
          <w:color w:val="auto"/>
          <w:szCs w:val="21"/>
          <w:u w:val="single"/>
        </w:rPr>
      </w:pPr>
      <w:r>
        <w:rPr>
          <w:rFonts w:hint="eastAsia"/>
          <w:b/>
          <w:bCs/>
          <w:color w:val="auto"/>
          <w:szCs w:val="21"/>
          <w:u w:val="single"/>
        </w:rPr>
        <w:t>符合以上第①、②、③项情形确需更换的，由承包人提出书面申请，征得发包人同意，经行政监督部门审核，报市公共资源交易管委办备案，方可办理更换手续，且更换后的人员不得低于原投标承诺人员所具有的资格和业绩条件，更换的人员的名单在市公共资源交易网上予以公布。</w:t>
      </w:r>
    </w:p>
    <w:p>
      <w:pPr>
        <w:snapToGrid w:val="0"/>
        <w:spacing w:line="360" w:lineRule="auto"/>
        <w:ind w:firstLine="420"/>
        <w:rPr>
          <w:rFonts w:hint="eastAsia"/>
          <w:b/>
          <w:bCs/>
          <w:color w:val="auto"/>
          <w:szCs w:val="21"/>
          <w:u w:val="single"/>
        </w:rPr>
      </w:pPr>
      <w:r>
        <w:rPr>
          <w:rFonts w:hint="eastAsia"/>
          <w:b/>
          <w:bCs/>
          <w:color w:val="auto"/>
          <w:szCs w:val="21"/>
          <w:u w:val="single"/>
        </w:rPr>
        <w:t>以上①、②</w:t>
      </w:r>
      <w:r>
        <w:rPr>
          <w:rFonts w:hint="eastAsia"/>
          <w:b/>
          <w:bCs/>
          <w:color w:val="auto"/>
          <w:szCs w:val="21"/>
          <w:u w:val="single"/>
          <w:lang w:eastAsia="zh-CN"/>
        </w:rPr>
        <w:t>、</w:t>
      </w:r>
      <w:r>
        <w:rPr>
          <w:rFonts w:hint="eastAsia"/>
          <w:b/>
          <w:bCs/>
          <w:color w:val="auto"/>
          <w:szCs w:val="21"/>
          <w:u w:val="single"/>
        </w:rPr>
        <w:t>③、④项情形，按</w:t>
      </w:r>
      <w:r>
        <w:rPr>
          <w:rFonts w:hint="eastAsia"/>
          <w:b/>
          <w:bCs/>
          <w:color w:val="auto"/>
          <w:szCs w:val="21"/>
          <w:u w:val="single"/>
          <w:lang w:eastAsia="zh-CN"/>
        </w:rPr>
        <w:t>2</w:t>
      </w:r>
      <w:r>
        <w:rPr>
          <w:rFonts w:hint="eastAsia"/>
          <w:b/>
          <w:bCs/>
          <w:color w:val="auto"/>
          <w:szCs w:val="21"/>
          <w:u w:val="single"/>
          <w:lang w:val="en-US" w:eastAsia="zh-CN"/>
        </w:rPr>
        <w:t>0000元</w:t>
      </w:r>
      <w:r>
        <w:rPr>
          <w:rFonts w:hint="eastAsia"/>
          <w:b/>
          <w:bCs/>
          <w:color w:val="auto"/>
          <w:szCs w:val="21"/>
          <w:u w:val="single"/>
        </w:rPr>
        <w:t>收取违约金；承包人擅自更换项目负责人的，按</w:t>
      </w:r>
      <w:r>
        <w:rPr>
          <w:rFonts w:hint="eastAsia"/>
          <w:b/>
          <w:bCs/>
          <w:color w:val="auto"/>
          <w:szCs w:val="21"/>
          <w:u w:val="single"/>
          <w:lang w:val="en-US" w:eastAsia="zh-CN"/>
        </w:rPr>
        <w:t>20000元</w:t>
      </w:r>
      <w:r>
        <w:rPr>
          <w:rFonts w:hint="eastAsia"/>
          <w:b/>
          <w:bCs/>
          <w:color w:val="auto"/>
          <w:szCs w:val="21"/>
          <w:u w:val="single"/>
        </w:rPr>
        <w:t>收取违约金。</w:t>
      </w:r>
    </w:p>
    <w:p>
      <w:pPr>
        <w:keepNext w:val="0"/>
        <w:keepLines w:val="0"/>
        <w:pageBreakBefore w:val="0"/>
        <w:widowControl w:val="0"/>
        <w:kinsoku/>
        <w:wordWrap/>
        <w:overflowPunct/>
        <w:topLinePunct w:val="0"/>
        <w:autoSpaceDE/>
        <w:autoSpaceDN/>
        <w:bidi w:val="0"/>
        <w:adjustRightInd w:val="0"/>
        <w:snapToGrid/>
        <w:spacing w:line="400" w:lineRule="exact"/>
        <w:ind w:firstLine="422" w:firstLineChars="200"/>
        <w:textAlignment w:val="auto"/>
        <w:rPr>
          <w:rFonts w:hint="eastAsia" w:ascii="宋体" w:hAnsi="宋体" w:eastAsia="宋体" w:cs="宋体"/>
          <w:b/>
        </w:rPr>
      </w:pPr>
      <w:r>
        <w:rPr>
          <w:rFonts w:hint="eastAsia" w:ascii="宋体" w:hAnsi="宋体" w:eastAsia="宋体" w:cs="宋体"/>
          <w:b/>
          <w:szCs w:val="21"/>
        </w:rPr>
        <w:t>21.3</w:t>
      </w:r>
      <w:r>
        <w:rPr>
          <w:rFonts w:hint="eastAsia" w:ascii="宋体" w:hAnsi="宋体" w:eastAsia="宋体" w:cs="宋体"/>
          <w:b/>
        </w:rPr>
        <w:t>政策处理原因造成施工工期延误的，其工期予以顺延，所引起的有关费和及工程量变化，已含在合同价中，今后不予补偿。</w:t>
      </w:r>
    </w:p>
    <w:p>
      <w:pPr>
        <w:keepNext w:val="0"/>
        <w:keepLines w:val="0"/>
        <w:pageBreakBefore w:val="0"/>
        <w:widowControl w:val="0"/>
        <w:tabs>
          <w:tab w:val="left" w:pos="1620"/>
        </w:tabs>
        <w:kinsoku/>
        <w:wordWrap/>
        <w:overflowPunct/>
        <w:topLinePunct w:val="0"/>
        <w:autoSpaceDE/>
        <w:autoSpaceDN/>
        <w:bidi w:val="0"/>
        <w:adjustRightInd w:val="0"/>
        <w:snapToGrid/>
        <w:spacing w:line="400" w:lineRule="exact"/>
        <w:ind w:firstLine="420"/>
        <w:textAlignment w:val="auto"/>
        <w:rPr>
          <w:rFonts w:hint="eastAsia" w:ascii="宋体" w:hAnsi="宋体" w:eastAsia="宋体" w:cs="宋体"/>
          <w:szCs w:val="21"/>
        </w:rPr>
      </w:pPr>
      <w:r>
        <w:rPr>
          <w:rFonts w:hint="eastAsia" w:ascii="宋体" w:hAnsi="宋体" w:eastAsia="宋体" w:cs="宋体"/>
          <w:szCs w:val="21"/>
        </w:rPr>
        <w:t>21.4根据《温州市人民政府关于印发深入开展“温州无欠薪”行动实施方案的通知》（温政办【2017】72号）文件精神，承包人应认真落实建筑业企业农民工工资保证金制度、施工现场作业人员实名管理制度、民工工资和工程款分账管理、建设工程综合保险、银行代发工资、设置工资维权信息告示牌等各项制度，工程工资款支付应按《关于规范温州市建筑工程工资款与其他工程款分账管理的通知》（温住建发[2018]4号）文件执行。</w:t>
      </w:r>
    </w:p>
    <w:p>
      <w:pPr>
        <w:keepNext w:val="0"/>
        <w:keepLines w:val="0"/>
        <w:pageBreakBefore w:val="0"/>
        <w:widowControl w:val="0"/>
        <w:tabs>
          <w:tab w:val="left" w:pos="1620"/>
        </w:tabs>
        <w:kinsoku/>
        <w:wordWrap/>
        <w:overflowPunct/>
        <w:topLinePunct w:val="0"/>
        <w:autoSpaceDE/>
        <w:autoSpaceDN/>
        <w:bidi w:val="0"/>
        <w:adjustRightInd w:val="0"/>
        <w:snapToGrid/>
        <w:spacing w:line="400" w:lineRule="exact"/>
        <w:ind w:firstLine="420"/>
        <w:textAlignment w:val="auto"/>
        <w:rPr>
          <w:rFonts w:hint="eastAsia" w:ascii="宋体" w:hAnsi="宋体" w:eastAsia="宋体" w:cs="宋体"/>
          <w:b/>
          <w:bCs/>
          <w:szCs w:val="21"/>
          <w:lang w:eastAsia="zh-CN"/>
        </w:rPr>
      </w:pPr>
      <w:r>
        <w:rPr>
          <w:rFonts w:hint="eastAsia" w:ascii="宋体" w:hAnsi="宋体" w:eastAsia="宋体" w:cs="宋体"/>
          <w:b/>
          <w:bCs/>
          <w:szCs w:val="21"/>
        </w:rPr>
        <w:t>21.5在</w:t>
      </w:r>
      <w:r>
        <w:rPr>
          <w:rFonts w:hint="eastAsia" w:ascii="宋体" w:hAnsi="宋体" w:eastAsia="宋体" w:cs="宋体"/>
          <w:b/>
          <w:bCs/>
          <w:szCs w:val="21"/>
          <w:lang w:eastAsia="zh-CN"/>
        </w:rPr>
        <w:t>签订合同后并收到发包</w:t>
      </w:r>
      <w:r>
        <w:rPr>
          <w:rFonts w:hint="eastAsia" w:ascii="宋体" w:hAnsi="宋体" w:cs="宋体"/>
          <w:b/>
          <w:bCs/>
          <w:szCs w:val="21"/>
          <w:lang w:eastAsia="zh-CN"/>
        </w:rPr>
        <w:t>人</w:t>
      </w:r>
      <w:r>
        <w:rPr>
          <w:rFonts w:hint="eastAsia" w:ascii="宋体" w:hAnsi="宋体" w:eastAsia="宋体" w:cs="宋体"/>
          <w:b/>
          <w:bCs/>
          <w:szCs w:val="21"/>
          <w:lang w:eastAsia="zh-CN"/>
        </w:rPr>
        <w:t>通知之日起</w:t>
      </w:r>
      <w:r>
        <w:rPr>
          <w:rFonts w:hint="eastAsia" w:ascii="宋体" w:hAnsi="宋体" w:eastAsia="宋体" w:cs="宋体"/>
          <w:b/>
          <w:bCs/>
          <w:szCs w:val="21"/>
          <w:lang w:val="en-US" w:eastAsia="zh-CN"/>
        </w:rPr>
        <w:t>7天内</w:t>
      </w:r>
      <w:r>
        <w:rPr>
          <w:rFonts w:hint="eastAsia" w:ascii="宋体" w:hAnsi="宋体" w:eastAsia="宋体" w:cs="宋体"/>
          <w:b/>
          <w:bCs/>
          <w:szCs w:val="21"/>
        </w:rPr>
        <w:t>，承包</w:t>
      </w:r>
      <w:r>
        <w:rPr>
          <w:rFonts w:hint="eastAsia" w:ascii="宋体" w:hAnsi="宋体" w:cs="宋体"/>
          <w:b/>
          <w:bCs/>
          <w:szCs w:val="21"/>
          <w:lang w:eastAsia="zh-CN"/>
        </w:rPr>
        <w:t>人</w:t>
      </w:r>
      <w:r>
        <w:rPr>
          <w:rFonts w:hint="eastAsia" w:ascii="宋体" w:hAnsi="宋体" w:eastAsia="宋体" w:cs="宋体"/>
          <w:b/>
          <w:bCs/>
          <w:szCs w:val="21"/>
        </w:rPr>
        <w:t>故意拖延或不进场做好施工准备工作，发包</w:t>
      </w:r>
      <w:r>
        <w:rPr>
          <w:rFonts w:hint="eastAsia" w:ascii="宋体" w:hAnsi="宋体" w:cs="宋体"/>
          <w:b/>
          <w:bCs/>
          <w:szCs w:val="21"/>
          <w:lang w:eastAsia="zh-CN"/>
        </w:rPr>
        <w:t>人</w:t>
      </w:r>
      <w:r>
        <w:rPr>
          <w:rFonts w:hint="eastAsia" w:ascii="宋体" w:hAnsi="宋体" w:eastAsia="宋体" w:cs="宋体"/>
          <w:b/>
          <w:bCs/>
          <w:szCs w:val="21"/>
        </w:rPr>
        <w:t>可以单方面中止施工合同，并没收其履约担保</w:t>
      </w:r>
      <w:r>
        <w:rPr>
          <w:rFonts w:hint="eastAsia" w:ascii="宋体" w:hAnsi="宋体" w:eastAsia="宋体" w:cs="宋体"/>
          <w:b/>
          <w:bCs/>
          <w:szCs w:val="21"/>
          <w:lang w:eastAsia="zh-CN"/>
        </w:rPr>
        <w:t>。如已支付预付款的，全额退回。</w:t>
      </w:r>
    </w:p>
    <w:p>
      <w:pPr>
        <w:keepNext w:val="0"/>
        <w:keepLines w:val="0"/>
        <w:pageBreakBefore w:val="0"/>
        <w:widowControl w:val="0"/>
        <w:tabs>
          <w:tab w:val="left" w:pos="1620"/>
        </w:tabs>
        <w:kinsoku/>
        <w:wordWrap/>
        <w:overflowPunct/>
        <w:topLinePunct w:val="0"/>
        <w:autoSpaceDE/>
        <w:autoSpaceDN/>
        <w:bidi w:val="0"/>
        <w:adjustRightInd w:val="0"/>
        <w:snapToGrid/>
        <w:spacing w:line="400" w:lineRule="exact"/>
        <w:ind w:firstLine="420"/>
        <w:textAlignment w:val="auto"/>
        <w:rPr>
          <w:rFonts w:hint="eastAsia" w:ascii="宋体" w:hAnsi="宋体" w:eastAsia="宋体" w:cs="宋体"/>
          <w:b/>
          <w:bCs/>
          <w:szCs w:val="21"/>
          <w:lang w:val="en-US" w:eastAsia="zh-Hans"/>
        </w:rPr>
      </w:pPr>
      <w:r>
        <w:rPr>
          <w:rFonts w:hint="eastAsia" w:ascii="宋体" w:hAnsi="宋体" w:eastAsia="宋体" w:cs="宋体"/>
          <w:b/>
          <w:bCs/>
          <w:szCs w:val="21"/>
          <w:lang w:val="en-US" w:eastAsia="zh-CN"/>
        </w:rPr>
        <w:t>21.6</w:t>
      </w:r>
      <w:r>
        <w:rPr>
          <w:rFonts w:hint="eastAsia" w:ascii="宋体" w:hAnsi="宋体" w:eastAsia="宋体" w:cs="宋体"/>
          <w:b/>
          <w:bCs/>
          <w:szCs w:val="21"/>
          <w:lang w:val="en-US" w:eastAsia="zh-Hans"/>
        </w:rPr>
        <w:t>无论何种方式合同解除，承包人均应在合同解除次日起</w:t>
      </w:r>
      <w:r>
        <w:rPr>
          <w:rFonts w:hint="eastAsia" w:ascii="宋体" w:hAnsi="宋体" w:eastAsia="宋体" w:cs="宋体"/>
          <w:b/>
          <w:bCs/>
          <w:szCs w:val="21"/>
          <w:lang w:eastAsia="zh-Hans"/>
        </w:rPr>
        <w:t>7</w:t>
      </w:r>
      <w:r>
        <w:rPr>
          <w:rFonts w:hint="eastAsia" w:ascii="宋体" w:hAnsi="宋体" w:eastAsia="宋体" w:cs="宋体"/>
          <w:b/>
          <w:bCs/>
          <w:szCs w:val="21"/>
          <w:lang w:val="en-US" w:eastAsia="zh-Hans"/>
        </w:rPr>
        <w:t>个工作日退场完毕并移交所有工程备案资料；否则每逾期一天按照合同金额的万分之五计算逾期违约金。</w:t>
      </w:r>
    </w:p>
    <w:p>
      <w:pPr>
        <w:keepNext w:val="0"/>
        <w:keepLines w:val="0"/>
        <w:pageBreakBefore w:val="0"/>
        <w:widowControl w:val="0"/>
        <w:tabs>
          <w:tab w:val="left" w:pos="1620"/>
        </w:tabs>
        <w:kinsoku/>
        <w:wordWrap/>
        <w:overflowPunct/>
        <w:topLinePunct w:val="0"/>
        <w:autoSpaceDE/>
        <w:autoSpaceDN/>
        <w:bidi w:val="0"/>
        <w:adjustRightInd w:val="0"/>
        <w:snapToGrid/>
        <w:spacing w:line="400" w:lineRule="exact"/>
        <w:ind w:firstLine="420"/>
        <w:textAlignment w:val="auto"/>
        <w:rPr>
          <w:rFonts w:hint="eastAsia" w:ascii="宋体" w:hAnsi="宋体" w:eastAsia="宋体" w:cs="宋体"/>
          <w:b/>
          <w:bCs/>
          <w:szCs w:val="21"/>
          <w:lang w:val="en-US" w:eastAsia="zh-CN"/>
        </w:rPr>
      </w:pPr>
      <w:r>
        <w:rPr>
          <w:rFonts w:hint="eastAsia" w:ascii="宋体" w:hAnsi="宋体" w:eastAsia="宋体" w:cs="宋体"/>
          <w:b/>
          <w:bCs/>
          <w:szCs w:val="21"/>
          <w:lang w:val="en-US" w:eastAsia="zh-CN"/>
        </w:rPr>
        <w:t>21.</w:t>
      </w:r>
      <w:r>
        <w:rPr>
          <w:rFonts w:hint="eastAsia" w:ascii="宋体" w:hAnsi="宋体" w:cs="宋体"/>
          <w:b/>
          <w:bCs/>
          <w:szCs w:val="21"/>
          <w:lang w:val="en-US" w:eastAsia="zh-CN"/>
        </w:rPr>
        <w:t>7</w:t>
      </w:r>
      <w:r>
        <w:rPr>
          <w:rFonts w:hint="eastAsia" w:ascii="宋体" w:hAnsi="宋体" w:eastAsia="宋体" w:cs="宋体"/>
          <w:b/>
          <w:bCs/>
          <w:szCs w:val="21"/>
          <w:lang w:val="en-US" w:eastAsia="zh-CN"/>
        </w:rPr>
        <w:t xml:space="preserve"> 施工前承包人需将施工相关方案报</w:t>
      </w:r>
      <w:r>
        <w:rPr>
          <w:rFonts w:hint="eastAsia" w:ascii="宋体" w:hAnsi="宋体" w:cs="宋体"/>
          <w:b/>
          <w:bCs/>
          <w:szCs w:val="21"/>
          <w:lang w:val="en-US" w:eastAsia="zh-CN"/>
        </w:rPr>
        <w:t>有关</w:t>
      </w:r>
      <w:r>
        <w:rPr>
          <w:rFonts w:hint="eastAsia" w:ascii="宋体" w:hAnsi="宋体" w:eastAsia="宋体" w:cs="宋体"/>
          <w:b/>
          <w:bCs/>
          <w:szCs w:val="21"/>
          <w:lang w:val="en-US" w:eastAsia="zh-CN"/>
        </w:rPr>
        <w:t>部门的审批，发包人协助办理开工前的审批手续工作。</w:t>
      </w:r>
    </w:p>
    <w:p>
      <w:pPr>
        <w:keepNext w:val="0"/>
        <w:keepLines w:val="0"/>
        <w:pageBreakBefore w:val="0"/>
        <w:widowControl w:val="0"/>
        <w:tabs>
          <w:tab w:val="left" w:pos="1620"/>
        </w:tabs>
        <w:kinsoku/>
        <w:wordWrap/>
        <w:overflowPunct/>
        <w:topLinePunct w:val="0"/>
        <w:autoSpaceDE/>
        <w:autoSpaceDN/>
        <w:bidi w:val="0"/>
        <w:adjustRightInd w:val="0"/>
        <w:snapToGrid/>
        <w:spacing w:line="400" w:lineRule="exact"/>
        <w:ind w:firstLine="420"/>
        <w:textAlignment w:val="auto"/>
        <w:rPr>
          <w:rFonts w:hint="eastAsia" w:ascii="宋体" w:hAnsi="宋体" w:eastAsia="宋体" w:cs="宋体"/>
          <w:szCs w:val="21"/>
        </w:rPr>
      </w:pPr>
      <w:r>
        <w:rPr>
          <w:rFonts w:hint="eastAsia" w:ascii="宋体" w:hAnsi="宋体" w:eastAsia="宋体" w:cs="宋体"/>
          <w:szCs w:val="21"/>
        </w:rPr>
        <w:t>21.</w:t>
      </w:r>
      <w:r>
        <w:rPr>
          <w:rFonts w:hint="eastAsia" w:ascii="宋体" w:hAnsi="宋体" w:cs="宋体"/>
          <w:szCs w:val="21"/>
          <w:lang w:val="en-US" w:eastAsia="zh-CN"/>
        </w:rPr>
        <w:t>8</w:t>
      </w:r>
      <w:r>
        <w:rPr>
          <w:rFonts w:hint="eastAsia" w:ascii="宋体" w:hAnsi="宋体" w:eastAsia="宋体" w:cs="宋体"/>
          <w:szCs w:val="21"/>
        </w:rPr>
        <w:t>未尽事宜，双方协商解决。</w:t>
      </w:r>
    </w:p>
    <w:p>
      <w:pPr>
        <w:widowControl w:val="0"/>
        <w:spacing w:line="360" w:lineRule="exact"/>
        <w:ind w:firstLine="420"/>
        <w:rPr>
          <w:rFonts w:hint="eastAsia" w:ascii="宋体" w:hAnsi="宋体" w:cs="宋体"/>
          <w:color w:val="auto"/>
          <w:highlight w:val="none"/>
        </w:rPr>
      </w:pPr>
    </w:p>
    <w:p>
      <w:pPr>
        <w:widowControl w:val="0"/>
        <w:spacing w:line="360" w:lineRule="exact"/>
        <w:ind w:firstLine="420"/>
        <w:rPr>
          <w:rFonts w:hint="eastAsia" w:ascii="宋体" w:hAnsi="宋体" w:cs="宋体"/>
          <w:color w:val="auto"/>
          <w:highlight w:val="none"/>
        </w:rPr>
      </w:pPr>
    </w:p>
    <w:p>
      <w:pPr>
        <w:widowControl w:val="0"/>
        <w:spacing w:line="360" w:lineRule="exact"/>
        <w:ind w:firstLine="420"/>
        <w:rPr>
          <w:rFonts w:hint="eastAsia" w:ascii="宋体" w:hAnsi="宋体" w:cs="宋体"/>
          <w:color w:val="auto"/>
          <w:highlight w:val="none"/>
        </w:rPr>
      </w:pPr>
    </w:p>
    <w:p>
      <w:pPr>
        <w:widowControl w:val="0"/>
        <w:spacing w:line="360" w:lineRule="exact"/>
        <w:ind w:firstLine="420"/>
        <w:rPr>
          <w:rFonts w:hint="eastAsia" w:ascii="宋体" w:hAnsi="宋体" w:cs="宋体"/>
          <w:color w:val="auto"/>
          <w:highlight w:val="none"/>
        </w:rPr>
      </w:pPr>
    </w:p>
    <w:p>
      <w:pPr>
        <w:widowControl w:val="0"/>
        <w:spacing w:line="360" w:lineRule="exact"/>
        <w:ind w:firstLine="420"/>
        <w:rPr>
          <w:rFonts w:hint="eastAsia" w:ascii="宋体" w:hAnsi="宋体" w:cs="宋体"/>
          <w:color w:val="auto"/>
          <w:highlight w:val="none"/>
        </w:rPr>
      </w:pPr>
    </w:p>
    <w:p>
      <w:pPr>
        <w:widowControl w:val="0"/>
        <w:spacing w:line="360" w:lineRule="exact"/>
        <w:ind w:firstLine="420"/>
        <w:rPr>
          <w:rFonts w:hint="eastAsia" w:ascii="宋体" w:hAnsi="宋体" w:cs="宋体"/>
          <w:color w:val="auto"/>
          <w:highlight w:val="none"/>
        </w:rPr>
      </w:pPr>
    </w:p>
    <w:p>
      <w:pPr>
        <w:pStyle w:val="2"/>
        <w:rPr>
          <w:rFonts w:hint="eastAsia" w:ascii="宋体" w:hAnsi="宋体" w:cs="宋体"/>
          <w:color w:val="auto"/>
          <w:highlight w:val="none"/>
        </w:rPr>
      </w:pPr>
    </w:p>
    <w:p>
      <w:pPr>
        <w:widowControl w:val="0"/>
        <w:spacing w:line="360" w:lineRule="exact"/>
        <w:ind w:firstLine="420"/>
        <w:rPr>
          <w:rFonts w:hint="eastAsia" w:ascii="宋体" w:hAnsi="宋体" w:cs="宋体"/>
          <w:color w:val="auto"/>
          <w:highlight w:val="none"/>
        </w:rPr>
      </w:pPr>
      <w:r>
        <w:rPr>
          <w:rFonts w:hint="eastAsia" w:ascii="宋体" w:hAnsi="宋体" w:cs="宋体"/>
          <w:color w:val="auto"/>
          <w:highlight w:val="none"/>
        </w:rPr>
        <w:t>附件</w:t>
      </w:r>
      <w:bookmarkEnd w:id="502"/>
      <w:r>
        <w:rPr>
          <w:rFonts w:hint="eastAsia" w:ascii="宋体" w:hAnsi="宋体" w:cs="宋体"/>
          <w:color w:val="auto"/>
          <w:highlight w:val="none"/>
        </w:rPr>
        <w:t>目录</w:t>
      </w:r>
    </w:p>
    <w:p>
      <w:pPr>
        <w:widowControl w:val="0"/>
        <w:spacing w:line="360" w:lineRule="exact"/>
        <w:ind w:firstLine="420"/>
        <w:rPr>
          <w:rFonts w:hint="eastAsia" w:ascii="宋体" w:hAnsi="宋体" w:cs="宋体"/>
          <w:color w:val="auto"/>
          <w:highlight w:val="none"/>
        </w:rPr>
      </w:pPr>
      <w:r>
        <w:rPr>
          <w:rFonts w:hint="eastAsia" w:ascii="宋体" w:hAnsi="宋体" w:cs="宋体"/>
          <w:color w:val="auto"/>
          <w:highlight w:val="none"/>
        </w:rPr>
        <w:t>协议书附件：</w:t>
      </w:r>
    </w:p>
    <w:p>
      <w:pPr>
        <w:widowControl w:val="0"/>
        <w:spacing w:line="360" w:lineRule="exact"/>
        <w:ind w:firstLine="420"/>
        <w:rPr>
          <w:rFonts w:hint="eastAsia" w:ascii="宋体" w:hAnsi="宋体" w:cs="宋体"/>
          <w:color w:val="auto"/>
          <w:highlight w:val="none"/>
        </w:rPr>
      </w:pPr>
      <w:r>
        <w:rPr>
          <w:rFonts w:hint="eastAsia" w:ascii="宋体" w:hAnsi="宋体" w:cs="宋体"/>
          <w:color w:val="auto"/>
          <w:highlight w:val="none"/>
        </w:rPr>
        <w:t>附件1：承包人承揽工程项目一览表</w:t>
      </w:r>
    </w:p>
    <w:p>
      <w:pPr>
        <w:widowControl w:val="0"/>
        <w:spacing w:line="360" w:lineRule="exact"/>
        <w:ind w:firstLine="420"/>
        <w:rPr>
          <w:rFonts w:hint="eastAsia" w:ascii="宋体" w:hAnsi="宋体" w:cs="宋体"/>
          <w:color w:val="auto"/>
          <w:highlight w:val="none"/>
        </w:rPr>
      </w:pPr>
      <w:r>
        <w:rPr>
          <w:rFonts w:hint="eastAsia" w:ascii="宋体" w:hAnsi="宋体" w:cs="宋体"/>
          <w:color w:val="auto"/>
          <w:highlight w:val="none"/>
        </w:rPr>
        <w:t>专用合同条款附件：</w:t>
      </w:r>
    </w:p>
    <w:p>
      <w:pPr>
        <w:widowControl w:val="0"/>
        <w:spacing w:line="360" w:lineRule="exact"/>
        <w:ind w:firstLine="420"/>
        <w:rPr>
          <w:rFonts w:hint="eastAsia" w:ascii="宋体" w:hAnsi="宋体" w:cs="宋体"/>
          <w:color w:val="auto"/>
          <w:highlight w:val="none"/>
        </w:rPr>
      </w:pPr>
      <w:r>
        <w:rPr>
          <w:rFonts w:hint="eastAsia" w:ascii="宋体" w:hAnsi="宋体" w:cs="宋体"/>
          <w:color w:val="auto"/>
          <w:highlight w:val="none"/>
        </w:rPr>
        <w:t>附件2：发包人供应材料设备一览表</w:t>
      </w:r>
    </w:p>
    <w:p>
      <w:pPr>
        <w:widowControl w:val="0"/>
        <w:spacing w:line="360" w:lineRule="exact"/>
        <w:ind w:firstLine="420"/>
        <w:rPr>
          <w:rFonts w:ascii="宋体" w:hAnsi="宋体" w:cs="宋体"/>
          <w:color w:val="auto"/>
          <w:highlight w:val="none"/>
        </w:rPr>
      </w:pPr>
      <w:r>
        <w:rPr>
          <w:rFonts w:hint="eastAsia" w:ascii="宋体" w:hAnsi="宋体" w:cs="宋体"/>
          <w:color w:val="auto"/>
          <w:highlight w:val="none"/>
        </w:rPr>
        <w:t>附件3：工程质量保修书</w:t>
      </w:r>
    </w:p>
    <w:p>
      <w:pPr>
        <w:widowControl w:val="0"/>
        <w:spacing w:line="360" w:lineRule="exact"/>
        <w:ind w:firstLine="420"/>
        <w:rPr>
          <w:rFonts w:hint="eastAsia" w:ascii="宋体" w:hAnsi="宋体" w:cs="宋体"/>
          <w:color w:val="auto"/>
          <w:highlight w:val="none"/>
        </w:rPr>
      </w:pPr>
      <w:r>
        <w:rPr>
          <w:rFonts w:hint="eastAsia" w:ascii="宋体" w:hAnsi="宋体" w:cs="宋体"/>
          <w:color w:val="auto"/>
          <w:highlight w:val="none"/>
        </w:rPr>
        <w:t>附件4：主要建设工程文件目录</w:t>
      </w:r>
    </w:p>
    <w:p>
      <w:pPr>
        <w:widowControl w:val="0"/>
        <w:spacing w:line="360" w:lineRule="exact"/>
        <w:ind w:firstLine="420"/>
        <w:rPr>
          <w:rFonts w:hint="eastAsia" w:ascii="宋体" w:hAnsi="宋体" w:cs="宋体"/>
          <w:color w:val="auto"/>
          <w:highlight w:val="none"/>
        </w:rPr>
      </w:pPr>
      <w:r>
        <w:rPr>
          <w:rFonts w:hint="eastAsia" w:ascii="宋体" w:hAnsi="宋体" w:cs="宋体"/>
          <w:color w:val="auto"/>
          <w:highlight w:val="none"/>
        </w:rPr>
        <w:t>附件5：承包人用于本工程施工的机械设备表</w:t>
      </w:r>
    </w:p>
    <w:p>
      <w:pPr>
        <w:widowControl w:val="0"/>
        <w:spacing w:line="360" w:lineRule="exact"/>
        <w:ind w:firstLine="420"/>
        <w:rPr>
          <w:rFonts w:hint="eastAsia" w:ascii="宋体" w:hAnsi="宋体" w:cs="宋体"/>
          <w:color w:val="auto"/>
          <w:highlight w:val="none"/>
        </w:rPr>
      </w:pPr>
      <w:r>
        <w:rPr>
          <w:rFonts w:hint="eastAsia" w:ascii="宋体" w:hAnsi="宋体" w:cs="宋体"/>
          <w:color w:val="auto"/>
          <w:highlight w:val="none"/>
        </w:rPr>
        <w:t>附件6：承包人主要施工管理人员表</w:t>
      </w:r>
    </w:p>
    <w:p>
      <w:pPr>
        <w:widowControl w:val="0"/>
        <w:spacing w:line="360" w:lineRule="exact"/>
        <w:ind w:firstLine="420"/>
        <w:rPr>
          <w:rFonts w:hint="eastAsia" w:ascii="宋体" w:hAnsi="宋体" w:cs="宋体"/>
          <w:color w:val="auto"/>
          <w:highlight w:val="none"/>
        </w:rPr>
      </w:pPr>
      <w:r>
        <w:rPr>
          <w:rFonts w:hint="eastAsia" w:ascii="宋体" w:hAnsi="宋体" w:cs="宋体"/>
          <w:color w:val="auto"/>
          <w:highlight w:val="none"/>
        </w:rPr>
        <w:t>附件7：分包人主要施工管理人员表</w:t>
      </w:r>
    </w:p>
    <w:p>
      <w:pPr>
        <w:widowControl w:val="0"/>
        <w:spacing w:line="360" w:lineRule="exact"/>
        <w:ind w:firstLine="420"/>
        <w:rPr>
          <w:rFonts w:hint="eastAsia" w:ascii="宋体" w:hAnsi="宋体" w:cs="宋体"/>
          <w:color w:val="auto"/>
          <w:highlight w:val="none"/>
        </w:rPr>
      </w:pPr>
      <w:r>
        <w:rPr>
          <w:rFonts w:hint="eastAsia" w:ascii="宋体" w:hAnsi="宋体" w:cs="宋体"/>
          <w:color w:val="auto"/>
          <w:highlight w:val="none"/>
        </w:rPr>
        <w:t>附件8：履约担保格式</w:t>
      </w:r>
    </w:p>
    <w:p>
      <w:pPr>
        <w:widowControl w:val="0"/>
        <w:spacing w:line="360" w:lineRule="exact"/>
        <w:ind w:firstLine="420"/>
        <w:rPr>
          <w:rFonts w:hint="eastAsia" w:ascii="宋体" w:hAnsi="宋体" w:cs="宋体"/>
          <w:color w:val="auto"/>
          <w:highlight w:val="none"/>
        </w:rPr>
      </w:pPr>
      <w:r>
        <w:rPr>
          <w:rFonts w:hint="eastAsia" w:ascii="宋体" w:hAnsi="宋体" w:cs="宋体"/>
          <w:color w:val="auto"/>
          <w:highlight w:val="none"/>
        </w:rPr>
        <w:t>附件9：预付款担保格式</w:t>
      </w:r>
    </w:p>
    <w:p>
      <w:pPr>
        <w:widowControl w:val="0"/>
        <w:spacing w:line="360" w:lineRule="exact"/>
        <w:ind w:firstLine="420"/>
        <w:rPr>
          <w:rFonts w:hint="eastAsia" w:ascii="宋体" w:hAnsi="宋体" w:cs="宋体"/>
          <w:color w:val="auto"/>
          <w:highlight w:val="none"/>
        </w:rPr>
      </w:pPr>
      <w:r>
        <w:rPr>
          <w:rFonts w:hint="eastAsia" w:ascii="宋体" w:hAnsi="宋体" w:cs="宋体"/>
          <w:color w:val="auto"/>
          <w:highlight w:val="none"/>
        </w:rPr>
        <w:t>附件10：支付担保格式</w:t>
      </w:r>
    </w:p>
    <w:p>
      <w:pPr>
        <w:widowControl w:val="0"/>
        <w:spacing w:line="360" w:lineRule="exact"/>
        <w:ind w:firstLine="420"/>
        <w:rPr>
          <w:rFonts w:hint="eastAsia" w:ascii="宋体" w:hAnsi="宋体" w:cs="宋体"/>
          <w:color w:val="auto"/>
          <w:highlight w:val="none"/>
        </w:rPr>
      </w:pPr>
      <w:r>
        <w:rPr>
          <w:rFonts w:hint="eastAsia" w:ascii="宋体" w:hAnsi="宋体" w:cs="宋体"/>
          <w:color w:val="auto"/>
          <w:highlight w:val="none"/>
        </w:rPr>
        <w:t>附件</w:t>
      </w:r>
      <w:r>
        <w:rPr>
          <w:rFonts w:ascii="宋体" w:hAnsi="宋体" w:cs="宋体"/>
          <w:color w:val="auto"/>
          <w:highlight w:val="none"/>
        </w:rPr>
        <w:t>1</w:t>
      </w:r>
      <w:r>
        <w:rPr>
          <w:rFonts w:hint="eastAsia" w:ascii="宋体" w:hAnsi="宋体" w:cs="宋体"/>
          <w:color w:val="auto"/>
          <w:highlight w:val="none"/>
        </w:rPr>
        <w:t>1：暂估价一览表</w:t>
      </w:r>
    </w:p>
    <w:p>
      <w:pPr>
        <w:widowControl w:val="0"/>
        <w:spacing w:line="360" w:lineRule="exact"/>
        <w:ind w:firstLine="420"/>
        <w:rPr>
          <w:rFonts w:hint="eastAsia" w:ascii="宋体" w:hAnsi="宋体" w:cs="宋体"/>
          <w:color w:val="auto"/>
          <w:highlight w:val="none"/>
        </w:rPr>
      </w:pPr>
      <w:r>
        <w:rPr>
          <w:rFonts w:hint="eastAsia" w:ascii="宋体" w:hAnsi="宋体" w:cs="宋体"/>
          <w:color w:val="auto"/>
          <w:highlight w:val="none"/>
        </w:rPr>
        <w:t>附件</w:t>
      </w:r>
      <w:r>
        <w:rPr>
          <w:rFonts w:ascii="宋体" w:hAnsi="宋体" w:cs="宋体"/>
          <w:color w:val="auto"/>
          <w:highlight w:val="none"/>
        </w:rPr>
        <w:t>1</w:t>
      </w:r>
      <w:r>
        <w:rPr>
          <w:rFonts w:hint="eastAsia" w:ascii="宋体" w:hAnsi="宋体" w:cs="宋体"/>
          <w:color w:val="auto"/>
          <w:highlight w:val="none"/>
        </w:rPr>
        <w:t>2：建设工程廉政责任书</w:t>
      </w:r>
    </w:p>
    <w:p>
      <w:pPr>
        <w:widowControl w:val="0"/>
        <w:spacing w:line="360" w:lineRule="exact"/>
        <w:ind w:firstLine="420"/>
        <w:rPr>
          <w:rFonts w:hint="eastAsia" w:ascii="宋体" w:hAnsi="宋体" w:cs="宋体"/>
          <w:color w:val="auto"/>
          <w:highlight w:val="none"/>
        </w:rPr>
      </w:pPr>
      <w:r>
        <w:rPr>
          <w:rFonts w:hint="eastAsia" w:ascii="宋体" w:hAnsi="宋体" w:cs="宋体"/>
          <w:color w:val="auto"/>
          <w:highlight w:val="none"/>
        </w:rPr>
        <w:t>附件13：农民工工资承诺书</w:t>
      </w:r>
    </w:p>
    <w:p>
      <w:pPr>
        <w:spacing w:beforeLines="50" w:afterLines="50"/>
        <w:rPr>
          <w:rFonts w:hint="eastAsia"/>
          <w:b/>
          <w:color w:val="auto"/>
          <w:szCs w:val="21"/>
          <w:highlight w:val="none"/>
        </w:rPr>
      </w:pPr>
      <w:r>
        <w:rPr>
          <w:color w:val="auto"/>
          <w:szCs w:val="21"/>
          <w:highlight w:val="none"/>
        </w:rPr>
        <w:br w:type="page"/>
      </w:r>
      <w:r>
        <w:rPr>
          <w:rFonts w:hint="eastAsia"/>
          <w:b/>
          <w:color w:val="auto"/>
          <w:szCs w:val="21"/>
          <w:highlight w:val="none"/>
        </w:rPr>
        <w:t>附件1：</w:t>
      </w:r>
      <w:r>
        <w:rPr>
          <w:b/>
          <w:color w:val="auto"/>
          <w:szCs w:val="21"/>
          <w:highlight w:val="none"/>
        </w:rPr>
        <w:t>承包人承揽工程项目一览表</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12"/>
        <w:gridCol w:w="912"/>
        <w:gridCol w:w="912"/>
        <w:gridCol w:w="913"/>
        <w:gridCol w:w="913"/>
        <w:gridCol w:w="755"/>
        <w:gridCol w:w="1070"/>
        <w:gridCol w:w="913"/>
        <w:gridCol w:w="913"/>
        <w:gridCol w:w="9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04" w:hRule="atLeast"/>
        </w:trPr>
        <w:tc>
          <w:tcPr>
            <w:tcW w:w="912" w:type="dxa"/>
            <w:tcBorders>
              <w:top w:val="single" w:color="auto" w:sz="12" w:space="0"/>
              <w:bottom w:val="double" w:color="auto" w:sz="6" w:space="0"/>
            </w:tcBorders>
            <w:vAlign w:val="center"/>
          </w:tcPr>
          <w:p>
            <w:pPr>
              <w:pStyle w:val="2"/>
              <w:keepNext/>
              <w:spacing w:line="400" w:lineRule="exact"/>
              <w:ind w:left="63" w:right="6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单位工程名称</w:t>
            </w:r>
          </w:p>
        </w:tc>
        <w:tc>
          <w:tcPr>
            <w:tcW w:w="912" w:type="dxa"/>
            <w:tcBorders>
              <w:top w:val="single" w:color="auto" w:sz="12" w:space="0"/>
              <w:bottom w:val="double" w:color="auto" w:sz="6" w:space="0"/>
            </w:tcBorders>
            <w:vAlign w:val="center"/>
          </w:tcPr>
          <w:p>
            <w:pPr>
              <w:pStyle w:val="2"/>
              <w:keepNext/>
              <w:spacing w:line="400" w:lineRule="exact"/>
              <w:ind w:left="63" w:right="6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建设</w:t>
            </w:r>
          </w:p>
          <w:p>
            <w:pPr>
              <w:pStyle w:val="2"/>
              <w:keepNext/>
              <w:spacing w:line="400" w:lineRule="exact"/>
              <w:ind w:left="63" w:right="6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规模</w:t>
            </w:r>
          </w:p>
        </w:tc>
        <w:tc>
          <w:tcPr>
            <w:tcW w:w="912" w:type="dxa"/>
            <w:tcBorders>
              <w:top w:val="single" w:color="auto" w:sz="12" w:space="0"/>
              <w:bottom w:val="double" w:color="auto" w:sz="6" w:space="0"/>
            </w:tcBorders>
            <w:vAlign w:val="center"/>
          </w:tcPr>
          <w:p>
            <w:pPr>
              <w:pStyle w:val="2"/>
              <w:keepNext/>
              <w:spacing w:line="400" w:lineRule="exact"/>
              <w:ind w:left="63" w:right="6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建筑面积(m2)</w:t>
            </w:r>
          </w:p>
        </w:tc>
        <w:tc>
          <w:tcPr>
            <w:tcW w:w="913" w:type="dxa"/>
            <w:tcBorders>
              <w:top w:val="single" w:color="auto" w:sz="12" w:space="0"/>
              <w:bottom w:val="double" w:color="auto" w:sz="6" w:space="0"/>
            </w:tcBorders>
            <w:vAlign w:val="center"/>
          </w:tcPr>
          <w:p>
            <w:pPr>
              <w:pStyle w:val="2"/>
              <w:keepNext/>
              <w:spacing w:line="400" w:lineRule="exact"/>
              <w:ind w:left="63" w:right="6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结构</w:t>
            </w:r>
          </w:p>
          <w:p>
            <w:pPr>
              <w:pStyle w:val="2"/>
              <w:keepNext/>
              <w:spacing w:line="400" w:lineRule="exact"/>
              <w:ind w:left="63" w:right="6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形式</w:t>
            </w:r>
          </w:p>
        </w:tc>
        <w:tc>
          <w:tcPr>
            <w:tcW w:w="913" w:type="dxa"/>
            <w:tcBorders>
              <w:top w:val="single" w:color="auto" w:sz="12" w:space="0"/>
              <w:bottom w:val="double" w:color="auto" w:sz="6" w:space="0"/>
            </w:tcBorders>
            <w:vAlign w:val="center"/>
          </w:tcPr>
          <w:p>
            <w:pPr>
              <w:pStyle w:val="2"/>
              <w:keepNext/>
              <w:spacing w:line="400" w:lineRule="exact"/>
              <w:ind w:left="63" w:right="6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层数</w:t>
            </w:r>
          </w:p>
        </w:tc>
        <w:tc>
          <w:tcPr>
            <w:tcW w:w="755" w:type="dxa"/>
            <w:tcBorders>
              <w:top w:val="single" w:color="auto" w:sz="12" w:space="0"/>
              <w:bottom w:val="double" w:color="auto" w:sz="6" w:space="0"/>
            </w:tcBorders>
            <w:vAlign w:val="center"/>
          </w:tcPr>
          <w:p>
            <w:pPr>
              <w:pStyle w:val="2"/>
              <w:keepNext/>
              <w:spacing w:line="400" w:lineRule="exact"/>
              <w:ind w:left="63" w:right="6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生产</w:t>
            </w:r>
          </w:p>
          <w:p>
            <w:pPr>
              <w:pStyle w:val="2"/>
              <w:keepNext/>
              <w:spacing w:line="400" w:lineRule="exact"/>
              <w:ind w:left="63" w:right="6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能力</w:t>
            </w:r>
          </w:p>
        </w:tc>
        <w:tc>
          <w:tcPr>
            <w:tcW w:w="1070" w:type="dxa"/>
            <w:tcBorders>
              <w:top w:val="single" w:color="auto" w:sz="12" w:space="0"/>
              <w:bottom w:val="double" w:color="auto" w:sz="6" w:space="0"/>
            </w:tcBorders>
            <w:vAlign w:val="center"/>
          </w:tcPr>
          <w:p>
            <w:pPr>
              <w:pStyle w:val="2"/>
              <w:keepNext/>
              <w:spacing w:line="400" w:lineRule="exact"/>
              <w:ind w:left="63" w:right="6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设备安装内容</w:t>
            </w:r>
          </w:p>
        </w:tc>
        <w:tc>
          <w:tcPr>
            <w:tcW w:w="913" w:type="dxa"/>
            <w:tcBorders>
              <w:top w:val="single" w:color="auto" w:sz="12" w:space="0"/>
              <w:bottom w:val="double" w:color="auto" w:sz="6" w:space="0"/>
            </w:tcBorders>
            <w:vAlign w:val="center"/>
          </w:tcPr>
          <w:p>
            <w:pPr>
              <w:pStyle w:val="2"/>
              <w:keepNext/>
              <w:spacing w:line="400" w:lineRule="exact"/>
              <w:ind w:left="63" w:right="6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合同价格（元）</w:t>
            </w:r>
          </w:p>
        </w:tc>
        <w:tc>
          <w:tcPr>
            <w:tcW w:w="913" w:type="dxa"/>
            <w:tcBorders>
              <w:top w:val="single" w:color="auto" w:sz="12" w:space="0"/>
              <w:bottom w:val="double" w:color="auto" w:sz="6" w:space="0"/>
            </w:tcBorders>
            <w:vAlign w:val="center"/>
          </w:tcPr>
          <w:p>
            <w:pPr>
              <w:pStyle w:val="2"/>
              <w:keepNext/>
              <w:spacing w:line="400" w:lineRule="exact"/>
              <w:ind w:left="63" w:right="6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开工</w:t>
            </w:r>
          </w:p>
          <w:p>
            <w:pPr>
              <w:pStyle w:val="2"/>
              <w:keepNext/>
              <w:spacing w:line="400" w:lineRule="exact"/>
              <w:ind w:left="63" w:right="6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tc>
        <w:tc>
          <w:tcPr>
            <w:tcW w:w="913" w:type="dxa"/>
            <w:tcBorders>
              <w:top w:val="single" w:color="auto" w:sz="12" w:space="0"/>
              <w:bottom w:val="double" w:color="auto" w:sz="6" w:space="0"/>
            </w:tcBorders>
            <w:vAlign w:val="center"/>
          </w:tcPr>
          <w:p>
            <w:pPr>
              <w:pStyle w:val="2"/>
              <w:keepNext/>
              <w:spacing w:line="400" w:lineRule="exact"/>
              <w:ind w:left="63" w:right="6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竣工</w:t>
            </w:r>
          </w:p>
          <w:p>
            <w:pPr>
              <w:pStyle w:val="2"/>
              <w:keepNext/>
              <w:spacing w:line="400" w:lineRule="exact"/>
              <w:ind w:left="63" w:right="63"/>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5" w:hRule="atLeast"/>
        </w:trPr>
        <w:tc>
          <w:tcPr>
            <w:tcW w:w="912" w:type="dxa"/>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755" w:type="dxa"/>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1070" w:type="dxa"/>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5" w:hRule="atLeast"/>
        </w:trPr>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755"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1070"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5" w:hRule="atLeast"/>
        </w:trPr>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755"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1070"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5" w:hRule="atLeast"/>
        </w:trPr>
        <w:tc>
          <w:tcPr>
            <w:tcW w:w="912"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755"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1070"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5" w:hRule="atLeast"/>
        </w:trPr>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755"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1070"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5" w:hRule="atLeast"/>
        </w:trPr>
        <w:tc>
          <w:tcPr>
            <w:tcW w:w="912"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755"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1070"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5" w:hRule="atLeast"/>
        </w:trPr>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755"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1070"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5" w:hRule="atLeast"/>
        </w:trPr>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755"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1070"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5" w:hRule="atLeast"/>
        </w:trPr>
        <w:tc>
          <w:tcPr>
            <w:tcW w:w="912"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755"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1070"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755"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1070"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5" w:hRule="atLeast"/>
        </w:trPr>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755"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1070"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5" w:hRule="atLeast"/>
        </w:trPr>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755"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1070"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5" w:hRule="atLeast"/>
        </w:trPr>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755"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1070"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5" w:hRule="atLeast"/>
        </w:trPr>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755"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1070"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5" w:hRule="atLeast"/>
        </w:trPr>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755"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1070"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5" w:hRule="atLeast"/>
        </w:trPr>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755"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1070"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5" w:hRule="atLeast"/>
        </w:trPr>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755"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1070"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5" w:hRule="atLeast"/>
        </w:trPr>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755"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1070"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tcBorders>
              <w:top w:val="nil"/>
            </w:tcBorders>
            <w:vAlign w:val="center"/>
          </w:tcPr>
          <w:p>
            <w:pPr>
              <w:pStyle w:val="2"/>
              <w:keepNext/>
              <w:spacing w:line="400" w:lineRule="exact"/>
              <w:ind w:left="63" w:right="63"/>
              <w:rPr>
                <w:rFonts w:ascii="宋体" w:hAnsi="宋体" w:eastAsia="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5" w:hRule="atLeast"/>
        </w:trPr>
        <w:tc>
          <w:tcPr>
            <w:tcW w:w="912"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755"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1070"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5" w:hRule="atLeast"/>
        </w:trPr>
        <w:tc>
          <w:tcPr>
            <w:tcW w:w="912"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755"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1070"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5" w:hRule="atLeast"/>
        </w:trPr>
        <w:tc>
          <w:tcPr>
            <w:tcW w:w="912"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2"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755"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1070"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c>
          <w:tcPr>
            <w:tcW w:w="913" w:type="dxa"/>
            <w:vAlign w:val="center"/>
          </w:tcPr>
          <w:p>
            <w:pPr>
              <w:pStyle w:val="2"/>
              <w:keepNext/>
              <w:spacing w:line="400" w:lineRule="exact"/>
              <w:ind w:left="63" w:right="63"/>
              <w:rPr>
                <w:rFonts w:ascii="宋体" w:hAnsi="宋体" w:eastAsia="Times New Roman"/>
                <w:color w:val="auto"/>
                <w:sz w:val="18"/>
                <w:szCs w:val="18"/>
                <w:highlight w:val="none"/>
              </w:rPr>
            </w:pPr>
          </w:p>
        </w:tc>
      </w:tr>
    </w:tbl>
    <w:p>
      <w:pPr>
        <w:spacing w:afterLines="50"/>
        <w:ind w:firstLine="420"/>
        <w:rPr>
          <w:rFonts w:hint="eastAsia"/>
          <w:color w:val="auto"/>
          <w:highlight w:val="none"/>
        </w:rPr>
        <w:sectPr>
          <w:footerReference r:id="rId10" w:type="default"/>
          <w:pgSz w:w="11906" w:h="16838"/>
          <w:pgMar w:top="1984" w:right="1418" w:bottom="1418" w:left="1418" w:header="680" w:footer="737" w:gutter="0"/>
          <w:pgNumType w:fmt="decimal"/>
          <w:cols w:space="720" w:num="1"/>
          <w:rtlGutter w:val="0"/>
          <w:docGrid w:linePitch="312" w:charSpace="0"/>
        </w:sectPr>
      </w:pPr>
    </w:p>
    <w:p>
      <w:pPr>
        <w:spacing w:beforeLines="50" w:afterLines="50" w:line="440" w:lineRule="exact"/>
        <w:rPr>
          <w:rFonts w:hint="eastAsia"/>
          <w:b/>
          <w:color w:val="auto"/>
          <w:szCs w:val="21"/>
          <w:highlight w:val="none"/>
        </w:rPr>
      </w:pPr>
      <w:r>
        <w:rPr>
          <w:b/>
          <w:color w:val="auto"/>
          <w:szCs w:val="21"/>
          <w:highlight w:val="none"/>
        </w:rPr>
        <w:t>附</w:t>
      </w:r>
      <w:bookmarkStart w:id="1040" w:name="_Toc296346726"/>
      <w:bookmarkStart w:id="1041" w:name="_Toc267261692"/>
      <w:bookmarkStart w:id="1042" w:name="_Toc296891053"/>
      <w:bookmarkStart w:id="1043" w:name="_Toc296891265"/>
      <w:bookmarkStart w:id="1044" w:name="_Toc296944564"/>
      <w:bookmarkStart w:id="1045" w:name="_Toc296503225"/>
      <w:bookmarkStart w:id="1046" w:name="_Toc296347224"/>
      <w:r>
        <w:rPr>
          <w:b/>
          <w:color w:val="auto"/>
          <w:szCs w:val="21"/>
          <w:highlight w:val="none"/>
        </w:rPr>
        <w:t>件</w:t>
      </w:r>
      <w:r>
        <w:rPr>
          <w:rFonts w:hint="eastAsia"/>
          <w:b/>
          <w:color w:val="auto"/>
          <w:szCs w:val="21"/>
          <w:highlight w:val="none"/>
        </w:rPr>
        <w:t>2</w:t>
      </w:r>
      <w:r>
        <w:rPr>
          <w:b/>
          <w:color w:val="auto"/>
          <w:szCs w:val="21"/>
          <w:highlight w:val="none"/>
        </w:rPr>
        <w:t>：</w:t>
      </w:r>
      <w:bookmarkEnd w:id="1040"/>
      <w:bookmarkEnd w:id="1041"/>
      <w:bookmarkEnd w:id="1042"/>
      <w:bookmarkEnd w:id="1043"/>
      <w:bookmarkEnd w:id="1044"/>
      <w:bookmarkEnd w:id="1045"/>
      <w:bookmarkEnd w:id="1046"/>
      <w:r>
        <w:rPr>
          <w:b/>
          <w:color w:val="auto"/>
          <w:szCs w:val="21"/>
          <w:highlight w:val="none"/>
        </w:rPr>
        <w:t>发包人供应材料设备一览表</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11"/>
        <w:gridCol w:w="1024"/>
        <w:gridCol w:w="1024"/>
        <w:gridCol w:w="683"/>
        <w:gridCol w:w="683"/>
        <w:gridCol w:w="856"/>
        <w:gridCol w:w="1060"/>
        <w:gridCol w:w="1023"/>
        <w:gridCol w:w="1023"/>
        <w:gridCol w:w="6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711" w:type="dxa"/>
            <w:tcBorders>
              <w:top w:val="single" w:color="auto" w:sz="12" w:space="0"/>
              <w:bottom w:val="double" w:color="auto" w:sz="6" w:space="0"/>
            </w:tcBorders>
            <w:vAlign w:val="center"/>
          </w:tcPr>
          <w:p>
            <w:pPr>
              <w:pStyle w:val="2"/>
              <w:keepNext/>
              <w:spacing w:line="400" w:lineRule="exact"/>
              <w:ind w:left="63" w:right="6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024" w:type="dxa"/>
            <w:tcBorders>
              <w:top w:val="single" w:color="auto" w:sz="12" w:space="0"/>
              <w:bottom w:val="double" w:color="auto" w:sz="6" w:space="0"/>
            </w:tcBorders>
            <w:vAlign w:val="center"/>
          </w:tcPr>
          <w:p>
            <w:pPr>
              <w:pStyle w:val="2"/>
              <w:keepNext/>
              <w:spacing w:line="400" w:lineRule="exact"/>
              <w:ind w:left="63" w:right="6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材料、</w:t>
            </w:r>
          </w:p>
          <w:p>
            <w:pPr>
              <w:pStyle w:val="2"/>
              <w:keepNext/>
              <w:spacing w:line="400" w:lineRule="exact"/>
              <w:ind w:left="63" w:right="6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设备品种</w:t>
            </w:r>
          </w:p>
        </w:tc>
        <w:tc>
          <w:tcPr>
            <w:tcW w:w="1024" w:type="dxa"/>
            <w:tcBorders>
              <w:top w:val="single" w:color="auto" w:sz="12" w:space="0"/>
              <w:bottom w:val="double" w:color="auto" w:sz="6" w:space="0"/>
            </w:tcBorders>
            <w:vAlign w:val="center"/>
          </w:tcPr>
          <w:p>
            <w:pPr>
              <w:pStyle w:val="2"/>
              <w:keepNext/>
              <w:spacing w:line="400" w:lineRule="exact"/>
              <w:ind w:left="63" w:right="6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683" w:type="dxa"/>
            <w:tcBorders>
              <w:top w:val="single" w:color="auto" w:sz="12" w:space="0"/>
              <w:bottom w:val="double" w:color="auto" w:sz="6" w:space="0"/>
            </w:tcBorders>
            <w:vAlign w:val="center"/>
          </w:tcPr>
          <w:p>
            <w:pPr>
              <w:pStyle w:val="2"/>
              <w:keepNext/>
              <w:spacing w:line="400" w:lineRule="exact"/>
              <w:ind w:left="63" w:right="6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683" w:type="dxa"/>
            <w:tcBorders>
              <w:top w:val="single" w:color="auto" w:sz="12" w:space="0"/>
              <w:bottom w:val="double" w:color="auto" w:sz="6" w:space="0"/>
            </w:tcBorders>
            <w:vAlign w:val="center"/>
          </w:tcPr>
          <w:p>
            <w:pPr>
              <w:pStyle w:val="2"/>
              <w:keepNext/>
              <w:spacing w:line="400" w:lineRule="exact"/>
              <w:ind w:left="63" w:right="6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856" w:type="dxa"/>
            <w:tcBorders>
              <w:top w:val="single" w:color="auto" w:sz="12" w:space="0"/>
              <w:bottom w:val="double" w:color="auto" w:sz="6" w:space="0"/>
            </w:tcBorders>
            <w:vAlign w:val="center"/>
          </w:tcPr>
          <w:p>
            <w:pPr>
              <w:pStyle w:val="2"/>
              <w:keepNext/>
              <w:spacing w:line="400" w:lineRule="exact"/>
              <w:ind w:left="63" w:right="6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单价（元）</w:t>
            </w:r>
          </w:p>
        </w:tc>
        <w:tc>
          <w:tcPr>
            <w:tcW w:w="1060" w:type="dxa"/>
            <w:tcBorders>
              <w:top w:val="single" w:color="auto" w:sz="12" w:space="0"/>
              <w:bottom w:val="double" w:color="auto" w:sz="6" w:space="0"/>
            </w:tcBorders>
            <w:vAlign w:val="center"/>
          </w:tcPr>
          <w:p>
            <w:pPr>
              <w:pStyle w:val="2"/>
              <w:keepNext/>
              <w:spacing w:line="400" w:lineRule="exact"/>
              <w:ind w:left="63" w:right="6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质量等级</w:t>
            </w:r>
          </w:p>
        </w:tc>
        <w:tc>
          <w:tcPr>
            <w:tcW w:w="1023" w:type="dxa"/>
            <w:tcBorders>
              <w:top w:val="single" w:color="auto" w:sz="12" w:space="0"/>
              <w:bottom w:val="double" w:color="auto" w:sz="6" w:space="0"/>
            </w:tcBorders>
            <w:vAlign w:val="center"/>
          </w:tcPr>
          <w:p>
            <w:pPr>
              <w:pStyle w:val="2"/>
              <w:keepNext/>
              <w:spacing w:line="400" w:lineRule="exact"/>
              <w:ind w:left="63" w:right="6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供应时间</w:t>
            </w:r>
          </w:p>
        </w:tc>
        <w:tc>
          <w:tcPr>
            <w:tcW w:w="1023" w:type="dxa"/>
            <w:tcBorders>
              <w:top w:val="single" w:color="auto" w:sz="12" w:space="0"/>
              <w:bottom w:val="double" w:color="auto" w:sz="6" w:space="0"/>
            </w:tcBorders>
            <w:vAlign w:val="center"/>
          </w:tcPr>
          <w:p>
            <w:pPr>
              <w:pStyle w:val="2"/>
              <w:keepNext/>
              <w:spacing w:line="400" w:lineRule="exact"/>
              <w:ind w:left="63" w:right="6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送达地点</w:t>
            </w:r>
          </w:p>
        </w:tc>
        <w:tc>
          <w:tcPr>
            <w:tcW w:w="683" w:type="dxa"/>
            <w:tcBorders>
              <w:top w:val="single" w:color="auto" w:sz="12" w:space="0"/>
              <w:bottom w:val="double" w:color="auto" w:sz="6" w:space="0"/>
            </w:tcBorders>
            <w:vAlign w:val="center"/>
          </w:tcPr>
          <w:p>
            <w:pPr>
              <w:pStyle w:val="2"/>
              <w:keepNext/>
              <w:spacing w:line="400" w:lineRule="exact"/>
              <w:ind w:left="63" w:right="6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11" w:type="dxa"/>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Cs w:val="21"/>
                <w:highlight w:val="none"/>
              </w:rPr>
            </w:pPr>
          </w:p>
        </w:tc>
        <w:tc>
          <w:tcPr>
            <w:tcW w:w="1024" w:type="dxa"/>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Cs w:val="21"/>
                <w:highlight w:val="none"/>
              </w:rPr>
            </w:pPr>
          </w:p>
        </w:tc>
        <w:tc>
          <w:tcPr>
            <w:tcW w:w="1024" w:type="dxa"/>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Cs w:val="21"/>
                <w:highlight w:val="none"/>
              </w:rPr>
            </w:pPr>
          </w:p>
        </w:tc>
        <w:tc>
          <w:tcPr>
            <w:tcW w:w="683" w:type="dxa"/>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Cs w:val="21"/>
                <w:highlight w:val="none"/>
              </w:rPr>
            </w:pPr>
          </w:p>
        </w:tc>
        <w:tc>
          <w:tcPr>
            <w:tcW w:w="683" w:type="dxa"/>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Cs w:val="21"/>
                <w:highlight w:val="none"/>
              </w:rPr>
            </w:pPr>
          </w:p>
        </w:tc>
        <w:tc>
          <w:tcPr>
            <w:tcW w:w="856" w:type="dxa"/>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Cs w:val="21"/>
                <w:highlight w:val="none"/>
              </w:rPr>
            </w:pPr>
          </w:p>
        </w:tc>
        <w:tc>
          <w:tcPr>
            <w:tcW w:w="1060" w:type="dxa"/>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Cs w:val="21"/>
                <w:highlight w:val="none"/>
              </w:rPr>
            </w:pPr>
          </w:p>
        </w:tc>
        <w:tc>
          <w:tcPr>
            <w:tcW w:w="1023" w:type="dxa"/>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Cs w:val="21"/>
                <w:highlight w:val="none"/>
              </w:rPr>
            </w:pPr>
          </w:p>
        </w:tc>
        <w:tc>
          <w:tcPr>
            <w:tcW w:w="1023" w:type="dxa"/>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Cs w:val="21"/>
                <w:highlight w:val="none"/>
              </w:rPr>
            </w:pPr>
          </w:p>
        </w:tc>
        <w:tc>
          <w:tcPr>
            <w:tcW w:w="683" w:type="dxa"/>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11" w:type="dxa"/>
            <w:tcBorders>
              <w:top w:val="nil"/>
            </w:tcBorders>
            <w:vAlign w:val="center"/>
          </w:tcPr>
          <w:p>
            <w:pPr>
              <w:pStyle w:val="2"/>
              <w:keepNext/>
              <w:spacing w:line="400" w:lineRule="exact"/>
              <w:ind w:left="63" w:right="63"/>
              <w:rPr>
                <w:rFonts w:ascii="宋体" w:hAnsi="宋体" w:eastAsia="Times New Roman"/>
                <w:color w:val="auto"/>
                <w:szCs w:val="21"/>
                <w:highlight w:val="none"/>
              </w:rPr>
            </w:pPr>
          </w:p>
        </w:tc>
        <w:tc>
          <w:tcPr>
            <w:tcW w:w="1024" w:type="dxa"/>
            <w:tcBorders>
              <w:top w:val="nil"/>
            </w:tcBorders>
            <w:vAlign w:val="center"/>
          </w:tcPr>
          <w:p>
            <w:pPr>
              <w:pStyle w:val="2"/>
              <w:keepNext/>
              <w:spacing w:line="400" w:lineRule="exact"/>
              <w:ind w:left="63" w:right="63"/>
              <w:rPr>
                <w:rFonts w:ascii="宋体" w:hAnsi="宋体" w:eastAsia="Times New Roman"/>
                <w:color w:val="auto"/>
                <w:szCs w:val="21"/>
                <w:highlight w:val="none"/>
              </w:rPr>
            </w:pPr>
          </w:p>
        </w:tc>
        <w:tc>
          <w:tcPr>
            <w:tcW w:w="1024" w:type="dxa"/>
            <w:tcBorders>
              <w:top w:val="nil"/>
            </w:tcBorders>
            <w:vAlign w:val="center"/>
          </w:tcPr>
          <w:p>
            <w:pPr>
              <w:pStyle w:val="2"/>
              <w:keepNext/>
              <w:spacing w:line="400" w:lineRule="exact"/>
              <w:ind w:left="63" w:right="63"/>
              <w:rPr>
                <w:rFonts w:ascii="宋体" w:hAnsi="宋体" w:eastAsia="Times New Roman"/>
                <w:color w:val="auto"/>
                <w:szCs w:val="21"/>
                <w:highlight w:val="none"/>
              </w:rPr>
            </w:pPr>
          </w:p>
        </w:tc>
        <w:tc>
          <w:tcPr>
            <w:tcW w:w="683" w:type="dxa"/>
            <w:tcBorders>
              <w:top w:val="nil"/>
            </w:tcBorders>
            <w:vAlign w:val="center"/>
          </w:tcPr>
          <w:p>
            <w:pPr>
              <w:pStyle w:val="2"/>
              <w:keepNext/>
              <w:spacing w:line="400" w:lineRule="exact"/>
              <w:ind w:left="63" w:right="63"/>
              <w:rPr>
                <w:rFonts w:ascii="宋体" w:hAnsi="宋体" w:eastAsia="Times New Roman"/>
                <w:color w:val="auto"/>
                <w:szCs w:val="21"/>
                <w:highlight w:val="none"/>
              </w:rPr>
            </w:pPr>
          </w:p>
        </w:tc>
        <w:tc>
          <w:tcPr>
            <w:tcW w:w="683" w:type="dxa"/>
            <w:tcBorders>
              <w:top w:val="nil"/>
            </w:tcBorders>
            <w:vAlign w:val="center"/>
          </w:tcPr>
          <w:p>
            <w:pPr>
              <w:pStyle w:val="2"/>
              <w:keepNext/>
              <w:spacing w:line="400" w:lineRule="exact"/>
              <w:ind w:left="63" w:right="63"/>
              <w:rPr>
                <w:rFonts w:ascii="宋体" w:hAnsi="宋体" w:eastAsia="Times New Roman"/>
                <w:color w:val="auto"/>
                <w:szCs w:val="21"/>
                <w:highlight w:val="none"/>
              </w:rPr>
            </w:pPr>
          </w:p>
        </w:tc>
        <w:tc>
          <w:tcPr>
            <w:tcW w:w="856" w:type="dxa"/>
            <w:tcBorders>
              <w:top w:val="nil"/>
            </w:tcBorders>
            <w:vAlign w:val="center"/>
          </w:tcPr>
          <w:p>
            <w:pPr>
              <w:pStyle w:val="2"/>
              <w:keepNext/>
              <w:spacing w:line="400" w:lineRule="exact"/>
              <w:ind w:left="63" w:right="63"/>
              <w:rPr>
                <w:rFonts w:ascii="宋体" w:hAnsi="宋体" w:eastAsia="Times New Roman"/>
                <w:color w:val="auto"/>
                <w:szCs w:val="21"/>
                <w:highlight w:val="none"/>
              </w:rPr>
            </w:pPr>
          </w:p>
        </w:tc>
        <w:tc>
          <w:tcPr>
            <w:tcW w:w="1060" w:type="dxa"/>
            <w:tcBorders>
              <w:top w:val="nil"/>
            </w:tcBorders>
            <w:vAlign w:val="center"/>
          </w:tcPr>
          <w:p>
            <w:pPr>
              <w:pStyle w:val="2"/>
              <w:keepNext/>
              <w:spacing w:line="400" w:lineRule="exact"/>
              <w:ind w:left="63" w:right="63"/>
              <w:rPr>
                <w:rFonts w:ascii="宋体" w:hAnsi="宋体" w:eastAsia="Times New Roman"/>
                <w:color w:val="auto"/>
                <w:szCs w:val="21"/>
                <w:highlight w:val="none"/>
              </w:rPr>
            </w:pPr>
          </w:p>
        </w:tc>
        <w:tc>
          <w:tcPr>
            <w:tcW w:w="1023" w:type="dxa"/>
            <w:tcBorders>
              <w:top w:val="nil"/>
            </w:tcBorders>
            <w:vAlign w:val="center"/>
          </w:tcPr>
          <w:p>
            <w:pPr>
              <w:pStyle w:val="2"/>
              <w:keepNext/>
              <w:spacing w:line="400" w:lineRule="exact"/>
              <w:ind w:left="63" w:right="63"/>
              <w:rPr>
                <w:rFonts w:ascii="宋体" w:hAnsi="宋体" w:eastAsia="Times New Roman"/>
                <w:color w:val="auto"/>
                <w:szCs w:val="21"/>
                <w:highlight w:val="none"/>
              </w:rPr>
            </w:pPr>
          </w:p>
        </w:tc>
        <w:tc>
          <w:tcPr>
            <w:tcW w:w="1023" w:type="dxa"/>
            <w:tcBorders>
              <w:top w:val="nil"/>
            </w:tcBorders>
            <w:vAlign w:val="center"/>
          </w:tcPr>
          <w:p>
            <w:pPr>
              <w:pStyle w:val="2"/>
              <w:keepNext/>
              <w:spacing w:line="400" w:lineRule="exact"/>
              <w:ind w:left="63" w:right="63"/>
              <w:rPr>
                <w:rFonts w:ascii="宋体" w:hAnsi="宋体" w:eastAsia="Times New Roman"/>
                <w:color w:val="auto"/>
                <w:szCs w:val="21"/>
                <w:highlight w:val="none"/>
              </w:rPr>
            </w:pPr>
          </w:p>
        </w:tc>
        <w:tc>
          <w:tcPr>
            <w:tcW w:w="683" w:type="dxa"/>
            <w:tcBorders>
              <w:top w:val="nil"/>
            </w:tcBorders>
            <w:vAlign w:val="center"/>
          </w:tcPr>
          <w:p>
            <w:pPr>
              <w:pStyle w:val="2"/>
              <w:keepNext/>
              <w:spacing w:line="400" w:lineRule="exact"/>
              <w:ind w:left="63" w:right="63"/>
              <w:rPr>
                <w:rFonts w:ascii="宋体" w:hAnsi="宋体" w:eastAsia="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11" w:type="dxa"/>
            <w:vAlign w:val="center"/>
          </w:tcPr>
          <w:p>
            <w:pPr>
              <w:pStyle w:val="2"/>
              <w:keepNext/>
              <w:spacing w:line="400" w:lineRule="exact"/>
              <w:ind w:left="63" w:right="63"/>
              <w:rPr>
                <w:rFonts w:ascii="宋体" w:hAnsi="宋体" w:eastAsia="Times New Roman"/>
                <w:color w:val="auto"/>
                <w:szCs w:val="21"/>
                <w:highlight w:val="none"/>
              </w:rPr>
            </w:pPr>
          </w:p>
        </w:tc>
        <w:tc>
          <w:tcPr>
            <w:tcW w:w="1024" w:type="dxa"/>
            <w:vAlign w:val="center"/>
          </w:tcPr>
          <w:p>
            <w:pPr>
              <w:pStyle w:val="2"/>
              <w:keepNext/>
              <w:spacing w:line="400" w:lineRule="exact"/>
              <w:ind w:left="63" w:right="63"/>
              <w:rPr>
                <w:rFonts w:ascii="宋体" w:hAnsi="宋体" w:eastAsia="Times New Roman"/>
                <w:color w:val="auto"/>
                <w:szCs w:val="21"/>
                <w:highlight w:val="none"/>
              </w:rPr>
            </w:pPr>
          </w:p>
        </w:tc>
        <w:tc>
          <w:tcPr>
            <w:tcW w:w="1024" w:type="dxa"/>
            <w:vAlign w:val="center"/>
          </w:tcPr>
          <w:p>
            <w:pPr>
              <w:pStyle w:val="2"/>
              <w:keepNext/>
              <w:spacing w:line="400" w:lineRule="exact"/>
              <w:ind w:left="63" w:right="63"/>
              <w:rPr>
                <w:rFonts w:ascii="宋体" w:hAnsi="宋体" w:eastAsia="Times New Roman"/>
                <w:color w:val="auto"/>
                <w:szCs w:val="21"/>
                <w:highlight w:val="none"/>
              </w:rPr>
            </w:pPr>
          </w:p>
        </w:tc>
        <w:tc>
          <w:tcPr>
            <w:tcW w:w="683" w:type="dxa"/>
            <w:vAlign w:val="center"/>
          </w:tcPr>
          <w:p>
            <w:pPr>
              <w:pStyle w:val="2"/>
              <w:keepNext/>
              <w:spacing w:line="400" w:lineRule="exact"/>
              <w:ind w:left="63" w:right="63"/>
              <w:rPr>
                <w:rFonts w:ascii="宋体" w:hAnsi="宋体" w:eastAsia="Times New Roman"/>
                <w:color w:val="auto"/>
                <w:szCs w:val="21"/>
                <w:highlight w:val="none"/>
              </w:rPr>
            </w:pPr>
          </w:p>
        </w:tc>
        <w:tc>
          <w:tcPr>
            <w:tcW w:w="683" w:type="dxa"/>
            <w:vAlign w:val="center"/>
          </w:tcPr>
          <w:p>
            <w:pPr>
              <w:pStyle w:val="2"/>
              <w:keepNext/>
              <w:spacing w:line="400" w:lineRule="exact"/>
              <w:ind w:left="63" w:right="63"/>
              <w:rPr>
                <w:rFonts w:ascii="宋体" w:hAnsi="宋体" w:eastAsia="Times New Roman"/>
                <w:color w:val="auto"/>
                <w:szCs w:val="21"/>
                <w:highlight w:val="none"/>
              </w:rPr>
            </w:pPr>
          </w:p>
        </w:tc>
        <w:tc>
          <w:tcPr>
            <w:tcW w:w="856" w:type="dxa"/>
            <w:vAlign w:val="center"/>
          </w:tcPr>
          <w:p>
            <w:pPr>
              <w:pStyle w:val="2"/>
              <w:keepNext/>
              <w:spacing w:line="400" w:lineRule="exact"/>
              <w:ind w:left="63" w:right="63"/>
              <w:rPr>
                <w:rFonts w:ascii="宋体" w:hAnsi="宋体" w:eastAsia="Times New Roman"/>
                <w:color w:val="auto"/>
                <w:szCs w:val="21"/>
                <w:highlight w:val="none"/>
              </w:rPr>
            </w:pPr>
          </w:p>
        </w:tc>
        <w:tc>
          <w:tcPr>
            <w:tcW w:w="1060" w:type="dxa"/>
            <w:vAlign w:val="center"/>
          </w:tcPr>
          <w:p>
            <w:pPr>
              <w:pStyle w:val="2"/>
              <w:keepNext/>
              <w:spacing w:line="400" w:lineRule="exact"/>
              <w:ind w:left="63" w:right="63"/>
              <w:rPr>
                <w:rFonts w:ascii="宋体" w:hAnsi="宋体" w:eastAsia="Times New Roman"/>
                <w:color w:val="auto"/>
                <w:szCs w:val="21"/>
                <w:highlight w:val="none"/>
              </w:rPr>
            </w:pPr>
          </w:p>
        </w:tc>
        <w:tc>
          <w:tcPr>
            <w:tcW w:w="1023" w:type="dxa"/>
            <w:vAlign w:val="center"/>
          </w:tcPr>
          <w:p>
            <w:pPr>
              <w:pStyle w:val="2"/>
              <w:keepNext/>
              <w:spacing w:line="400" w:lineRule="exact"/>
              <w:ind w:left="63" w:right="63"/>
              <w:rPr>
                <w:rFonts w:ascii="宋体" w:hAnsi="宋体" w:eastAsia="Times New Roman"/>
                <w:color w:val="auto"/>
                <w:szCs w:val="21"/>
                <w:highlight w:val="none"/>
              </w:rPr>
            </w:pPr>
          </w:p>
        </w:tc>
        <w:tc>
          <w:tcPr>
            <w:tcW w:w="1023" w:type="dxa"/>
            <w:vAlign w:val="center"/>
          </w:tcPr>
          <w:p>
            <w:pPr>
              <w:pStyle w:val="2"/>
              <w:keepNext/>
              <w:spacing w:line="400" w:lineRule="exact"/>
              <w:ind w:left="63" w:right="63"/>
              <w:rPr>
                <w:rFonts w:ascii="宋体" w:hAnsi="宋体" w:eastAsia="Times New Roman"/>
                <w:color w:val="auto"/>
                <w:szCs w:val="21"/>
                <w:highlight w:val="none"/>
              </w:rPr>
            </w:pPr>
          </w:p>
        </w:tc>
        <w:tc>
          <w:tcPr>
            <w:tcW w:w="683" w:type="dxa"/>
            <w:vAlign w:val="center"/>
          </w:tcPr>
          <w:p>
            <w:pPr>
              <w:pStyle w:val="2"/>
              <w:keepNext/>
              <w:spacing w:line="400" w:lineRule="exact"/>
              <w:ind w:left="63" w:right="63"/>
              <w:rPr>
                <w:rFonts w:ascii="宋体" w:hAnsi="宋体" w:eastAsia="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11" w:type="dxa"/>
            <w:vAlign w:val="center"/>
          </w:tcPr>
          <w:p>
            <w:pPr>
              <w:pStyle w:val="2"/>
              <w:keepNext/>
              <w:spacing w:line="400" w:lineRule="exact"/>
              <w:ind w:left="63" w:right="63"/>
              <w:rPr>
                <w:rFonts w:ascii="宋体" w:hAnsi="宋体" w:eastAsia="Times New Roman"/>
                <w:color w:val="auto"/>
                <w:szCs w:val="21"/>
                <w:highlight w:val="none"/>
              </w:rPr>
            </w:pPr>
          </w:p>
        </w:tc>
        <w:tc>
          <w:tcPr>
            <w:tcW w:w="1024" w:type="dxa"/>
            <w:vAlign w:val="center"/>
          </w:tcPr>
          <w:p>
            <w:pPr>
              <w:pStyle w:val="2"/>
              <w:keepNext/>
              <w:spacing w:line="400" w:lineRule="exact"/>
              <w:ind w:left="63" w:right="63"/>
              <w:rPr>
                <w:rFonts w:ascii="宋体" w:hAnsi="宋体" w:eastAsia="Times New Roman"/>
                <w:color w:val="auto"/>
                <w:szCs w:val="21"/>
                <w:highlight w:val="none"/>
              </w:rPr>
            </w:pPr>
          </w:p>
        </w:tc>
        <w:tc>
          <w:tcPr>
            <w:tcW w:w="1024" w:type="dxa"/>
            <w:vAlign w:val="center"/>
          </w:tcPr>
          <w:p>
            <w:pPr>
              <w:pStyle w:val="2"/>
              <w:keepNext/>
              <w:spacing w:line="400" w:lineRule="exact"/>
              <w:ind w:left="63" w:right="63"/>
              <w:rPr>
                <w:rFonts w:ascii="宋体" w:hAnsi="宋体" w:eastAsia="Times New Roman"/>
                <w:color w:val="auto"/>
                <w:szCs w:val="21"/>
                <w:highlight w:val="none"/>
              </w:rPr>
            </w:pPr>
          </w:p>
        </w:tc>
        <w:tc>
          <w:tcPr>
            <w:tcW w:w="683" w:type="dxa"/>
            <w:vAlign w:val="center"/>
          </w:tcPr>
          <w:p>
            <w:pPr>
              <w:pStyle w:val="2"/>
              <w:keepNext/>
              <w:spacing w:line="400" w:lineRule="exact"/>
              <w:ind w:left="63" w:right="63"/>
              <w:rPr>
                <w:rFonts w:ascii="宋体" w:hAnsi="宋体" w:eastAsia="Times New Roman"/>
                <w:color w:val="auto"/>
                <w:szCs w:val="21"/>
                <w:highlight w:val="none"/>
              </w:rPr>
            </w:pPr>
          </w:p>
        </w:tc>
        <w:tc>
          <w:tcPr>
            <w:tcW w:w="683" w:type="dxa"/>
            <w:vAlign w:val="center"/>
          </w:tcPr>
          <w:p>
            <w:pPr>
              <w:pStyle w:val="2"/>
              <w:keepNext/>
              <w:spacing w:line="400" w:lineRule="exact"/>
              <w:ind w:left="63" w:right="63"/>
              <w:rPr>
                <w:rFonts w:ascii="宋体" w:hAnsi="宋体" w:eastAsia="Times New Roman"/>
                <w:color w:val="auto"/>
                <w:szCs w:val="21"/>
                <w:highlight w:val="none"/>
              </w:rPr>
            </w:pPr>
          </w:p>
        </w:tc>
        <w:tc>
          <w:tcPr>
            <w:tcW w:w="856" w:type="dxa"/>
            <w:vAlign w:val="center"/>
          </w:tcPr>
          <w:p>
            <w:pPr>
              <w:pStyle w:val="2"/>
              <w:keepNext/>
              <w:spacing w:line="400" w:lineRule="exact"/>
              <w:ind w:left="63" w:right="63"/>
              <w:rPr>
                <w:rFonts w:ascii="宋体" w:hAnsi="宋体" w:eastAsia="Times New Roman"/>
                <w:color w:val="auto"/>
                <w:szCs w:val="21"/>
                <w:highlight w:val="none"/>
              </w:rPr>
            </w:pPr>
          </w:p>
        </w:tc>
        <w:tc>
          <w:tcPr>
            <w:tcW w:w="1060" w:type="dxa"/>
            <w:vAlign w:val="center"/>
          </w:tcPr>
          <w:p>
            <w:pPr>
              <w:pStyle w:val="2"/>
              <w:keepNext/>
              <w:spacing w:line="400" w:lineRule="exact"/>
              <w:ind w:left="63" w:right="63"/>
              <w:rPr>
                <w:rFonts w:ascii="宋体" w:hAnsi="宋体" w:eastAsia="Times New Roman"/>
                <w:color w:val="auto"/>
                <w:szCs w:val="21"/>
                <w:highlight w:val="none"/>
              </w:rPr>
            </w:pPr>
          </w:p>
        </w:tc>
        <w:tc>
          <w:tcPr>
            <w:tcW w:w="1023" w:type="dxa"/>
            <w:vAlign w:val="center"/>
          </w:tcPr>
          <w:p>
            <w:pPr>
              <w:pStyle w:val="2"/>
              <w:keepNext/>
              <w:spacing w:line="400" w:lineRule="exact"/>
              <w:ind w:left="63" w:right="63"/>
              <w:rPr>
                <w:rFonts w:ascii="宋体" w:hAnsi="宋体" w:eastAsia="Times New Roman"/>
                <w:color w:val="auto"/>
                <w:szCs w:val="21"/>
                <w:highlight w:val="none"/>
              </w:rPr>
            </w:pPr>
          </w:p>
        </w:tc>
        <w:tc>
          <w:tcPr>
            <w:tcW w:w="1023" w:type="dxa"/>
            <w:vAlign w:val="center"/>
          </w:tcPr>
          <w:p>
            <w:pPr>
              <w:pStyle w:val="2"/>
              <w:keepNext/>
              <w:spacing w:line="400" w:lineRule="exact"/>
              <w:ind w:left="63" w:right="63"/>
              <w:rPr>
                <w:rFonts w:ascii="宋体" w:hAnsi="宋体" w:eastAsia="Times New Roman"/>
                <w:color w:val="auto"/>
                <w:szCs w:val="21"/>
                <w:highlight w:val="none"/>
              </w:rPr>
            </w:pPr>
          </w:p>
        </w:tc>
        <w:tc>
          <w:tcPr>
            <w:tcW w:w="683" w:type="dxa"/>
            <w:vAlign w:val="center"/>
          </w:tcPr>
          <w:p>
            <w:pPr>
              <w:pStyle w:val="2"/>
              <w:keepNext/>
              <w:spacing w:line="400" w:lineRule="exact"/>
              <w:ind w:left="63" w:right="63"/>
              <w:rPr>
                <w:rFonts w:ascii="宋体" w:hAnsi="宋体" w:eastAsia="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11" w:type="dxa"/>
            <w:vAlign w:val="center"/>
          </w:tcPr>
          <w:p>
            <w:pPr>
              <w:pStyle w:val="2"/>
              <w:keepNext/>
              <w:spacing w:line="400" w:lineRule="exact"/>
              <w:ind w:left="63" w:right="63"/>
              <w:rPr>
                <w:rFonts w:ascii="宋体" w:hAnsi="宋体" w:eastAsia="Times New Roman"/>
                <w:color w:val="auto"/>
                <w:szCs w:val="21"/>
                <w:highlight w:val="none"/>
              </w:rPr>
            </w:pPr>
          </w:p>
        </w:tc>
        <w:tc>
          <w:tcPr>
            <w:tcW w:w="1024" w:type="dxa"/>
            <w:vAlign w:val="center"/>
          </w:tcPr>
          <w:p>
            <w:pPr>
              <w:pStyle w:val="2"/>
              <w:keepNext/>
              <w:spacing w:line="400" w:lineRule="exact"/>
              <w:ind w:left="63" w:right="63"/>
              <w:rPr>
                <w:rFonts w:ascii="宋体" w:hAnsi="宋体" w:eastAsia="Times New Roman"/>
                <w:color w:val="auto"/>
                <w:szCs w:val="21"/>
                <w:highlight w:val="none"/>
              </w:rPr>
            </w:pPr>
          </w:p>
        </w:tc>
        <w:tc>
          <w:tcPr>
            <w:tcW w:w="1024" w:type="dxa"/>
            <w:vAlign w:val="center"/>
          </w:tcPr>
          <w:p>
            <w:pPr>
              <w:pStyle w:val="2"/>
              <w:keepNext/>
              <w:spacing w:line="400" w:lineRule="exact"/>
              <w:ind w:left="63" w:right="63"/>
              <w:rPr>
                <w:rFonts w:ascii="宋体" w:hAnsi="宋体" w:eastAsia="Times New Roman"/>
                <w:color w:val="auto"/>
                <w:szCs w:val="21"/>
                <w:highlight w:val="none"/>
              </w:rPr>
            </w:pPr>
          </w:p>
        </w:tc>
        <w:tc>
          <w:tcPr>
            <w:tcW w:w="683" w:type="dxa"/>
            <w:vAlign w:val="center"/>
          </w:tcPr>
          <w:p>
            <w:pPr>
              <w:pStyle w:val="2"/>
              <w:keepNext/>
              <w:spacing w:line="400" w:lineRule="exact"/>
              <w:ind w:left="63" w:right="63"/>
              <w:rPr>
                <w:rFonts w:ascii="宋体" w:hAnsi="宋体" w:eastAsia="Times New Roman"/>
                <w:color w:val="auto"/>
                <w:szCs w:val="21"/>
                <w:highlight w:val="none"/>
              </w:rPr>
            </w:pPr>
          </w:p>
        </w:tc>
        <w:tc>
          <w:tcPr>
            <w:tcW w:w="683" w:type="dxa"/>
            <w:vAlign w:val="center"/>
          </w:tcPr>
          <w:p>
            <w:pPr>
              <w:pStyle w:val="2"/>
              <w:keepNext/>
              <w:spacing w:line="400" w:lineRule="exact"/>
              <w:ind w:left="63" w:right="63"/>
              <w:rPr>
                <w:rFonts w:ascii="宋体" w:hAnsi="宋体" w:eastAsia="Times New Roman"/>
                <w:color w:val="auto"/>
                <w:szCs w:val="21"/>
                <w:highlight w:val="none"/>
              </w:rPr>
            </w:pPr>
          </w:p>
        </w:tc>
        <w:tc>
          <w:tcPr>
            <w:tcW w:w="856" w:type="dxa"/>
            <w:vAlign w:val="center"/>
          </w:tcPr>
          <w:p>
            <w:pPr>
              <w:pStyle w:val="2"/>
              <w:keepNext/>
              <w:spacing w:line="400" w:lineRule="exact"/>
              <w:ind w:left="63" w:right="63"/>
              <w:rPr>
                <w:rFonts w:ascii="宋体" w:hAnsi="宋体" w:eastAsia="Times New Roman"/>
                <w:color w:val="auto"/>
                <w:szCs w:val="21"/>
                <w:highlight w:val="none"/>
              </w:rPr>
            </w:pPr>
          </w:p>
        </w:tc>
        <w:tc>
          <w:tcPr>
            <w:tcW w:w="1060" w:type="dxa"/>
            <w:vAlign w:val="center"/>
          </w:tcPr>
          <w:p>
            <w:pPr>
              <w:pStyle w:val="2"/>
              <w:keepNext/>
              <w:spacing w:line="400" w:lineRule="exact"/>
              <w:ind w:left="63" w:right="63"/>
              <w:rPr>
                <w:rFonts w:ascii="宋体" w:hAnsi="宋体" w:eastAsia="Times New Roman"/>
                <w:color w:val="auto"/>
                <w:szCs w:val="21"/>
                <w:highlight w:val="none"/>
              </w:rPr>
            </w:pPr>
          </w:p>
        </w:tc>
        <w:tc>
          <w:tcPr>
            <w:tcW w:w="1023" w:type="dxa"/>
            <w:vAlign w:val="center"/>
          </w:tcPr>
          <w:p>
            <w:pPr>
              <w:pStyle w:val="2"/>
              <w:keepNext/>
              <w:spacing w:line="400" w:lineRule="exact"/>
              <w:ind w:left="63" w:right="63"/>
              <w:rPr>
                <w:rFonts w:ascii="宋体" w:hAnsi="宋体" w:eastAsia="Times New Roman"/>
                <w:color w:val="auto"/>
                <w:szCs w:val="21"/>
                <w:highlight w:val="none"/>
              </w:rPr>
            </w:pPr>
          </w:p>
        </w:tc>
        <w:tc>
          <w:tcPr>
            <w:tcW w:w="1023" w:type="dxa"/>
            <w:vAlign w:val="center"/>
          </w:tcPr>
          <w:p>
            <w:pPr>
              <w:pStyle w:val="2"/>
              <w:keepNext/>
              <w:spacing w:line="400" w:lineRule="exact"/>
              <w:ind w:left="63" w:right="63"/>
              <w:rPr>
                <w:rFonts w:ascii="宋体" w:hAnsi="宋体" w:eastAsia="Times New Roman"/>
                <w:color w:val="auto"/>
                <w:szCs w:val="21"/>
                <w:highlight w:val="none"/>
              </w:rPr>
            </w:pPr>
          </w:p>
        </w:tc>
        <w:tc>
          <w:tcPr>
            <w:tcW w:w="683" w:type="dxa"/>
            <w:vAlign w:val="center"/>
          </w:tcPr>
          <w:p>
            <w:pPr>
              <w:pStyle w:val="2"/>
              <w:keepNext/>
              <w:spacing w:line="400" w:lineRule="exact"/>
              <w:ind w:left="63" w:right="63"/>
              <w:rPr>
                <w:rFonts w:ascii="宋体" w:hAnsi="宋体" w:eastAsia="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11" w:type="dxa"/>
            <w:vAlign w:val="center"/>
          </w:tcPr>
          <w:p>
            <w:pPr>
              <w:pStyle w:val="2"/>
              <w:keepNext/>
              <w:spacing w:line="400" w:lineRule="exact"/>
              <w:ind w:left="63" w:right="63"/>
              <w:rPr>
                <w:rFonts w:ascii="宋体" w:hAnsi="宋体" w:eastAsia="Times New Roman"/>
                <w:color w:val="auto"/>
                <w:szCs w:val="21"/>
                <w:highlight w:val="none"/>
              </w:rPr>
            </w:pPr>
          </w:p>
        </w:tc>
        <w:tc>
          <w:tcPr>
            <w:tcW w:w="1024" w:type="dxa"/>
            <w:vAlign w:val="center"/>
          </w:tcPr>
          <w:p>
            <w:pPr>
              <w:pStyle w:val="2"/>
              <w:keepNext/>
              <w:spacing w:line="400" w:lineRule="exact"/>
              <w:ind w:left="63" w:right="63"/>
              <w:rPr>
                <w:rFonts w:ascii="宋体" w:hAnsi="宋体" w:eastAsia="Times New Roman"/>
                <w:color w:val="auto"/>
                <w:szCs w:val="21"/>
                <w:highlight w:val="none"/>
              </w:rPr>
            </w:pPr>
          </w:p>
        </w:tc>
        <w:tc>
          <w:tcPr>
            <w:tcW w:w="1024" w:type="dxa"/>
            <w:vAlign w:val="center"/>
          </w:tcPr>
          <w:p>
            <w:pPr>
              <w:pStyle w:val="2"/>
              <w:keepNext/>
              <w:spacing w:line="400" w:lineRule="exact"/>
              <w:ind w:left="63" w:right="63"/>
              <w:rPr>
                <w:rFonts w:ascii="宋体" w:hAnsi="宋体" w:eastAsia="Times New Roman"/>
                <w:color w:val="auto"/>
                <w:szCs w:val="21"/>
                <w:highlight w:val="none"/>
              </w:rPr>
            </w:pPr>
          </w:p>
        </w:tc>
        <w:tc>
          <w:tcPr>
            <w:tcW w:w="683" w:type="dxa"/>
            <w:vAlign w:val="center"/>
          </w:tcPr>
          <w:p>
            <w:pPr>
              <w:pStyle w:val="2"/>
              <w:keepNext/>
              <w:spacing w:line="400" w:lineRule="exact"/>
              <w:ind w:left="63" w:right="63"/>
              <w:rPr>
                <w:rFonts w:ascii="宋体" w:hAnsi="宋体" w:eastAsia="Times New Roman"/>
                <w:color w:val="auto"/>
                <w:szCs w:val="21"/>
                <w:highlight w:val="none"/>
              </w:rPr>
            </w:pPr>
          </w:p>
        </w:tc>
        <w:tc>
          <w:tcPr>
            <w:tcW w:w="683" w:type="dxa"/>
            <w:vAlign w:val="center"/>
          </w:tcPr>
          <w:p>
            <w:pPr>
              <w:pStyle w:val="2"/>
              <w:keepNext/>
              <w:spacing w:line="400" w:lineRule="exact"/>
              <w:ind w:left="63" w:right="63"/>
              <w:rPr>
                <w:rFonts w:ascii="宋体" w:hAnsi="宋体" w:eastAsia="Times New Roman"/>
                <w:color w:val="auto"/>
                <w:szCs w:val="21"/>
                <w:highlight w:val="none"/>
              </w:rPr>
            </w:pPr>
          </w:p>
        </w:tc>
        <w:tc>
          <w:tcPr>
            <w:tcW w:w="856" w:type="dxa"/>
            <w:vAlign w:val="center"/>
          </w:tcPr>
          <w:p>
            <w:pPr>
              <w:pStyle w:val="2"/>
              <w:keepNext/>
              <w:spacing w:line="400" w:lineRule="exact"/>
              <w:ind w:left="63" w:right="63"/>
              <w:rPr>
                <w:rFonts w:ascii="宋体" w:hAnsi="宋体" w:eastAsia="Times New Roman"/>
                <w:color w:val="auto"/>
                <w:szCs w:val="21"/>
                <w:highlight w:val="none"/>
              </w:rPr>
            </w:pPr>
          </w:p>
        </w:tc>
        <w:tc>
          <w:tcPr>
            <w:tcW w:w="1060" w:type="dxa"/>
            <w:vAlign w:val="center"/>
          </w:tcPr>
          <w:p>
            <w:pPr>
              <w:pStyle w:val="2"/>
              <w:keepNext/>
              <w:spacing w:line="400" w:lineRule="exact"/>
              <w:ind w:left="63" w:right="63"/>
              <w:rPr>
                <w:rFonts w:ascii="宋体" w:hAnsi="宋体" w:eastAsia="Times New Roman"/>
                <w:color w:val="auto"/>
                <w:szCs w:val="21"/>
                <w:highlight w:val="none"/>
              </w:rPr>
            </w:pPr>
          </w:p>
        </w:tc>
        <w:tc>
          <w:tcPr>
            <w:tcW w:w="1023" w:type="dxa"/>
            <w:vAlign w:val="center"/>
          </w:tcPr>
          <w:p>
            <w:pPr>
              <w:pStyle w:val="2"/>
              <w:keepNext/>
              <w:spacing w:line="400" w:lineRule="exact"/>
              <w:ind w:left="63" w:right="63"/>
              <w:rPr>
                <w:rFonts w:ascii="宋体" w:hAnsi="宋体" w:eastAsia="Times New Roman"/>
                <w:color w:val="auto"/>
                <w:szCs w:val="21"/>
                <w:highlight w:val="none"/>
              </w:rPr>
            </w:pPr>
          </w:p>
        </w:tc>
        <w:tc>
          <w:tcPr>
            <w:tcW w:w="1023" w:type="dxa"/>
            <w:vAlign w:val="center"/>
          </w:tcPr>
          <w:p>
            <w:pPr>
              <w:pStyle w:val="2"/>
              <w:keepNext/>
              <w:spacing w:line="400" w:lineRule="exact"/>
              <w:ind w:left="63" w:right="63"/>
              <w:rPr>
                <w:rFonts w:ascii="宋体" w:hAnsi="宋体" w:eastAsia="Times New Roman"/>
                <w:color w:val="auto"/>
                <w:szCs w:val="21"/>
                <w:highlight w:val="none"/>
              </w:rPr>
            </w:pPr>
          </w:p>
        </w:tc>
        <w:tc>
          <w:tcPr>
            <w:tcW w:w="683" w:type="dxa"/>
            <w:vAlign w:val="center"/>
          </w:tcPr>
          <w:p>
            <w:pPr>
              <w:pStyle w:val="2"/>
              <w:keepNext/>
              <w:spacing w:line="400" w:lineRule="exact"/>
              <w:ind w:left="63" w:right="63"/>
              <w:rPr>
                <w:rFonts w:ascii="宋体" w:hAnsi="宋体" w:eastAsia="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11" w:type="dxa"/>
            <w:vAlign w:val="center"/>
          </w:tcPr>
          <w:p>
            <w:pPr>
              <w:pStyle w:val="2"/>
              <w:keepNext/>
              <w:spacing w:line="400" w:lineRule="exact"/>
              <w:ind w:left="63" w:right="63"/>
              <w:rPr>
                <w:rFonts w:ascii="宋体" w:hAnsi="宋体" w:eastAsia="Times New Roman"/>
                <w:color w:val="auto"/>
                <w:szCs w:val="21"/>
                <w:highlight w:val="none"/>
              </w:rPr>
            </w:pPr>
          </w:p>
        </w:tc>
        <w:tc>
          <w:tcPr>
            <w:tcW w:w="1024" w:type="dxa"/>
            <w:vAlign w:val="center"/>
          </w:tcPr>
          <w:p>
            <w:pPr>
              <w:pStyle w:val="2"/>
              <w:keepNext/>
              <w:spacing w:line="400" w:lineRule="exact"/>
              <w:ind w:left="63" w:right="63"/>
              <w:rPr>
                <w:rFonts w:ascii="宋体" w:hAnsi="宋体" w:eastAsia="Times New Roman"/>
                <w:color w:val="auto"/>
                <w:szCs w:val="21"/>
                <w:highlight w:val="none"/>
              </w:rPr>
            </w:pPr>
          </w:p>
        </w:tc>
        <w:tc>
          <w:tcPr>
            <w:tcW w:w="1024" w:type="dxa"/>
            <w:vAlign w:val="center"/>
          </w:tcPr>
          <w:p>
            <w:pPr>
              <w:pStyle w:val="2"/>
              <w:keepNext/>
              <w:spacing w:line="400" w:lineRule="exact"/>
              <w:ind w:left="63" w:right="63"/>
              <w:rPr>
                <w:rFonts w:ascii="宋体" w:hAnsi="宋体" w:eastAsia="Times New Roman"/>
                <w:color w:val="auto"/>
                <w:szCs w:val="21"/>
                <w:highlight w:val="none"/>
              </w:rPr>
            </w:pPr>
          </w:p>
        </w:tc>
        <w:tc>
          <w:tcPr>
            <w:tcW w:w="683" w:type="dxa"/>
            <w:vAlign w:val="center"/>
          </w:tcPr>
          <w:p>
            <w:pPr>
              <w:pStyle w:val="2"/>
              <w:keepNext/>
              <w:spacing w:line="400" w:lineRule="exact"/>
              <w:ind w:left="63" w:right="63"/>
              <w:rPr>
                <w:rFonts w:ascii="宋体" w:hAnsi="宋体" w:eastAsia="Times New Roman"/>
                <w:color w:val="auto"/>
                <w:szCs w:val="21"/>
                <w:highlight w:val="none"/>
              </w:rPr>
            </w:pPr>
          </w:p>
        </w:tc>
        <w:tc>
          <w:tcPr>
            <w:tcW w:w="683" w:type="dxa"/>
            <w:vAlign w:val="center"/>
          </w:tcPr>
          <w:p>
            <w:pPr>
              <w:pStyle w:val="2"/>
              <w:keepNext/>
              <w:spacing w:line="400" w:lineRule="exact"/>
              <w:ind w:left="63" w:right="63"/>
              <w:rPr>
                <w:rFonts w:ascii="宋体" w:hAnsi="宋体" w:eastAsia="Times New Roman"/>
                <w:color w:val="auto"/>
                <w:szCs w:val="21"/>
                <w:highlight w:val="none"/>
              </w:rPr>
            </w:pPr>
          </w:p>
        </w:tc>
        <w:tc>
          <w:tcPr>
            <w:tcW w:w="856" w:type="dxa"/>
            <w:vAlign w:val="center"/>
          </w:tcPr>
          <w:p>
            <w:pPr>
              <w:pStyle w:val="2"/>
              <w:keepNext/>
              <w:spacing w:line="400" w:lineRule="exact"/>
              <w:ind w:left="63" w:right="63"/>
              <w:rPr>
                <w:rFonts w:ascii="宋体" w:hAnsi="宋体" w:eastAsia="Times New Roman"/>
                <w:color w:val="auto"/>
                <w:szCs w:val="21"/>
                <w:highlight w:val="none"/>
              </w:rPr>
            </w:pPr>
          </w:p>
        </w:tc>
        <w:tc>
          <w:tcPr>
            <w:tcW w:w="1060" w:type="dxa"/>
            <w:vAlign w:val="center"/>
          </w:tcPr>
          <w:p>
            <w:pPr>
              <w:pStyle w:val="2"/>
              <w:keepNext/>
              <w:spacing w:line="400" w:lineRule="exact"/>
              <w:ind w:left="63" w:right="63"/>
              <w:rPr>
                <w:rFonts w:ascii="宋体" w:hAnsi="宋体" w:eastAsia="Times New Roman"/>
                <w:color w:val="auto"/>
                <w:szCs w:val="21"/>
                <w:highlight w:val="none"/>
              </w:rPr>
            </w:pPr>
          </w:p>
        </w:tc>
        <w:tc>
          <w:tcPr>
            <w:tcW w:w="1023" w:type="dxa"/>
            <w:vAlign w:val="center"/>
          </w:tcPr>
          <w:p>
            <w:pPr>
              <w:pStyle w:val="2"/>
              <w:keepNext/>
              <w:spacing w:line="400" w:lineRule="exact"/>
              <w:ind w:left="63" w:right="63"/>
              <w:rPr>
                <w:rFonts w:ascii="宋体" w:hAnsi="宋体" w:eastAsia="Times New Roman"/>
                <w:color w:val="auto"/>
                <w:szCs w:val="21"/>
                <w:highlight w:val="none"/>
              </w:rPr>
            </w:pPr>
          </w:p>
        </w:tc>
        <w:tc>
          <w:tcPr>
            <w:tcW w:w="1023" w:type="dxa"/>
            <w:vAlign w:val="center"/>
          </w:tcPr>
          <w:p>
            <w:pPr>
              <w:pStyle w:val="2"/>
              <w:keepNext/>
              <w:spacing w:line="400" w:lineRule="exact"/>
              <w:ind w:left="63" w:right="63"/>
              <w:rPr>
                <w:rFonts w:ascii="宋体" w:hAnsi="宋体" w:eastAsia="Times New Roman"/>
                <w:color w:val="auto"/>
                <w:szCs w:val="21"/>
                <w:highlight w:val="none"/>
              </w:rPr>
            </w:pPr>
          </w:p>
        </w:tc>
        <w:tc>
          <w:tcPr>
            <w:tcW w:w="683" w:type="dxa"/>
            <w:vAlign w:val="center"/>
          </w:tcPr>
          <w:p>
            <w:pPr>
              <w:pStyle w:val="2"/>
              <w:keepNext/>
              <w:spacing w:line="400" w:lineRule="exact"/>
              <w:ind w:left="63" w:right="63"/>
              <w:rPr>
                <w:rFonts w:ascii="宋体" w:hAnsi="宋体" w:eastAsia="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11" w:type="dxa"/>
            <w:vAlign w:val="center"/>
          </w:tcPr>
          <w:p>
            <w:pPr>
              <w:pStyle w:val="2"/>
              <w:keepNext/>
              <w:spacing w:line="400" w:lineRule="exact"/>
              <w:ind w:left="63" w:right="63"/>
              <w:rPr>
                <w:rFonts w:ascii="宋体" w:hAnsi="宋体" w:eastAsia="Times New Roman"/>
                <w:color w:val="auto"/>
                <w:szCs w:val="21"/>
                <w:highlight w:val="none"/>
              </w:rPr>
            </w:pPr>
          </w:p>
        </w:tc>
        <w:tc>
          <w:tcPr>
            <w:tcW w:w="1024" w:type="dxa"/>
            <w:vAlign w:val="center"/>
          </w:tcPr>
          <w:p>
            <w:pPr>
              <w:pStyle w:val="2"/>
              <w:keepNext/>
              <w:spacing w:line="400" w:lineRule="exact"/>
              <w:ind w:left="63" w:right="63"/>
              <w:rPr>
                <w:rFonts w:ascii="宋体" w:hAnsi="宋体" w:eastAsia="Times New Roman"/>
                <w:color w:val="auto"/>
                <w:szCs w:val="21"/>
                <w:highlight w:val="none"/>
              </w:rPr>
            </w:pPr>
          </w:p>
        </w:tc>
        <w:tc>
          <w:tcPr>
            <w:tcW w:w="1024" w:type="dxa"/>
            <w:vAlign w:val="center"/>
          </w:tcPr>
          <w:p>
            <w:pPr>
              <w:pStyle w:val="2"/>
              <w:keepNext/>
              <w:spacing w:line="400" w:lineRule="exact"/>
              <w:ind w:left="63" w:right="63"/>
              <w:rPr>
                <w:rFonts w:ascii="宋体" w:hAnsi="宋体" w:eastAsia="Times New Roman"/>
                <w:color w:val="auto"/>
                <w:szCs w:val="21"/>
                <w:highlight w:val="none"/>
              </w:rPr>
            </w:pPr>
          </w:p>
        </w:tc>
        <w:tc>
          <w:tcPr>
            <w:tcW w:w="683" w:type="dxa"/>
            <w:vAlign w:val="center"/>
          </w:tcPr>
          <w:p>
            <w:pPr>
              <w:pStyle w:val="2"/>
              <w:keepNext/>
              <w:spacing w:line="400" w:lineRule="exact"/>
              <w:ind w:left="63" w:right="63"/>
              <w:rPr>
                <w:rFonts w:ascii="宋体" w:hAnsi="宋体" w:eastAsia="Times New Roman"/>
                <w:color w:val="auto"/>
                <w:szCs w:val="21"/>
                <w:highlight w:val="none"/>
              </w:rPr>
            </w:pPr>
          </w:p>
        </w:tc>
        <w:tc>
          <w:tcPr>
            <w:tcW w:w="683" w:type="dxa"/>
            <w:vAlign w:val="center"/>
          </w:tcPr>
          <w:p>
            <w:pPr>
              <w:pStyle w:val="2"/>
              <w:keepNext/>
              <w:spacing w:line="400" w:lineRule="exact"/>
              <w:ind w:left="63" w:right="63"/>
              <w:rPr>
                <w:rFonts w:ascii="宋体" w:hAnsi="宋体" w:eastAsia="Times New Roman"/>
                <w:color w:val="auto"/>
                <w:szCs w:val="21"/>
                <w:highlight w:val="none"/>
              </w:rPr>
            </w:pPr>
          </w:p>
        </w:tc>
        <w:tc>
          <w:tcPr>
            <w:tcW w:w="856" w:type="dxa"/>
            <w:vAlign w:val="center"/>
          </w:tcPr>
          <w:p>
            <w:pPr>
              <w:pStyle w:val="2"/>
              <w:keepNext/>
              <w:spacing w:line="400" w:lineRule="exact"/>
              <w:ind w:left="63" w:right="63"/>
              <w:rPr>
                <w:rFonts w:ascii="宋体" w:hAnsi="宋体" w:eastAsia="Times New Roman"/>
                <w:color w:val="auto"/>
                <w:szCs w:val="21"/>
                <w:highlight w:val="none"/>
              </w:rPr>
            </w:pPr>
          </w:p>
        </w:tc>
        <w:tc>
          <w:tcPr>
            <w:tcW w:w="1060" w:type="dxa"/>
            <w:vAlign w:val="center"/>
          </w:tcPr>
          <w:p>
            <w:pPr>
              <w:pStyle w:val="2"/>
              <w:keepNext/>
              <w:spacing w:line="400" w:lineRule="exact"/>
              <w:ind w:left="63" w:right="63"/>
              <w:rPr>
                <w:rFonts w:ascii="宋体" w:hAnsi="宋体" w:eastAsia="Times New Roman"/>
                <w:color w:val="auto"/>
                <w:szCs w:val="21"/>
                <w:highlight w:val="none"/>
              </w:rPr>
            </w:pPr>
          </w:p>
        </w:tc>
        <w:tc>
          <w:tcPr>
            <w:tcW w:w="1023" w:type="dxa"/>
            <w:vAlign w:val="center"/>
          </w:tcPr>
          <w:p>
            <w:pPr>
              <w:pStyle w:val="2"/>
              <w:keepNext/>
              <w:spacing w:line="400" w:lineRule="exact"/>
              <w:ind w:left="63" w:right="63"/>
              <w:rPr>
                <w:rFonts w:ascii="宋体" w:hAnsi="宋体" w:eastAsia="Times New Roman"/>
                <w:color w:val="auto"/>
                <w:szCs w:val="21"/>
                <w:highlight w:val="none"/>
              </w:rPr>
            </w:pPr>
          </w:p>
        </w:tc>
        <w:tc>
          <w:tcPr>
            <w:tcW w:w="1023" w:type="dxa"/>
            <w:vAlign w:val="center"/>
          </w:tcPr>
          <w:p>
            <w:pPr>
              <w:pStyle w:val="2"/>
              <w:keepNext/>
              <w:spacing w:line="400" w:lineRule="exact"/>
              <w:ind w:left="63" w:right="63"/>
              <w:rPr>
                <w:rFonts w:ascii="宋体" w:hAnsi="宋体" w:eastAsia="Times New Roman"/>
                <w:color w:val="auto"/>
                <w:szCs w:val="21"/>
                <w:highlight w:val="none"/>
              </w:rPr>
            </w:pPr>
          </w:p>
        </w:tc>
        <w:tc>
          <w:tcPr>
            <w:tcW w:w="683" w:type="dxa"/>
            <w:vAlign w:val="center"/>
          </w:tcPr>
          <w:p>
            <w:pPr>
              <w:pStyle w:val="2"/>
              <w:keepNext/>
              <w:spacing w:line="400" w:lineRule="exact"/>
              <w:ind w:left="63" w:right="63"/>
              <w:rPr>
                <w:rFonts w:ascii="宋体" w:hAnsi="宋体" w:eastAsia="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11" w:type="dxa"/>
            <w:vAlign w:val="center"/>
          </w:tcPr>
          <w:p>
            <w:pPr>
              <w:jc w:val="center"/>
              <w:rPr>
                <w:color w:val="auto"/>
                <w:szCs w:val="21"/>
                <w:highlight w:val="none"/>
              </w:rPr>
            </w:pPr>
          </w:p>
        </w:tc>
        <w:tc>
          <w:tcPr>
            <w:tcW w:w="1024" w:type="dxa"/>
            <w:vAlign w:val="center"/>
          </w:tcPr>
          <w:p>
            <w:pPr>
              <w:jc w:val="center"/>
              <w:rPr>
                <w:color w:val="auto"/>
                <w:szCs w:val="21"/>
                <w:highlight w:val="none"/>
              </w:rPr>
            </w:pPr>
          </w:p>
        </w:tc>
        <w:tc>
          <w:tcPr>
            <w:tcW w:w="1024"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c>
          <w:tcPr>
            <w:tcW w:w="856" w:type="dxa"/>
            <w:vAlign w:val="center"/>
          </w:tcPr>
          <w:p>
            <w:pPr>
              <w:jc w:val="center"/>
              <w:rPr>
                <w:color w:val="auto"/>
                <w:szCs w:val="21"/>
                <w:highlight w:val="none"/>
              </w:rPr>
            </w:pPr>
          </w:p>
        </w:tc>
        <w:tc>
          <w:tcPr>
            <w:tcW w:w="1060" w:type="dxa"/>
            <w:vAlign w:val="center"/>
          </w:tcPr>
          <w:p>
            <w:pPr>
              <w:jc w:val="center"/>
              <w:rPr>
                <w:color w:val="auto"/>
                <w:szCs w:val="21"/>
                <w:highlight w:val="none"/>
              </w:rPr>
            </w:pPr>
          </w:p>
        </w:tc>
        <w:tc>
          <w:tcPr>
            <w:tcW w:w="1023" w:type="dxa"/>
            <w:vAlign w:val="center"/>
          </w:tcPr>
          <w:p>
            <w:pPr>
              <w:jc w:val="center"/>
              <w:rPr>
                <w:color w:val="auto"/>
                <w:szCs w:val="21"/>
                <w:highlight w:val="none"/>
              </w:rPr>
            </w:pPr>
          </w:p>
        </w:tc>
        <w:tc>
          <w:tcPr>
            <w:tcW w:w="1023"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11" w:type="dxa"/>
            <w:vAlign w:val="center"/>
          </w:tcPr>
          <w:p>
            <w:pPr>
              <w:pStyle w:val="2"/>
              <w:keepNext/>
              <w:spacing w:line="400" w:lineRule="exact"/>
              <w:ind w:left="63" w:right="63"/>
              <w:rPr>
                <w:rFonts w:ascii="宋体" w:hAnsi="宋体" w:eastAsia="Times New Roman"/>
                <w:color w:val="auto"/>
                <w:szCs w:val="21"/>
                <w:highlight w:val="none"/>
              </w:rPr>
            </w:pPr>
          </w:p>
        </w:tc>
        <w:tc>
          <w:tcPr>
            <w:tcW w:w="1024" w:type="dxa"/>
            <w:vAlign w:val="center"/>
          </w:tcPr>
          <w:p>
            <w:pPr>
              <w:pStyle w:val="2"/>
              <w:keepNext/>
              <w:spacing w:line="400" w:lineRule="exact"/>
              <w:ind w:left="63" w:right="63"/>
              <w:rPr>
                <w:rFonts w:ascii="宋体" w:hAnsi="宋体" w:eastAsia="Times New Roman"/>
                <w:color w:val="auto"/>
                <w:szCs w:val="21"/>
                <w:highlight w:val="none"/>
              </w:rPr>
            </w:pPr>
          </w:p>
        </w:tc>
        <w:tc>
          <w:tcPr>
            <w:tcW w:w="1024" w:type="dxa"/>
            <w:vAlign w:val="center"/>
          </w:tcPr>
          <w:p>
            <w:pPr>
              <w:pStyle w:val="2"/>
              <w:keepNext/>
              <w:spacing w:line="400" w:lineRule="exact"/>
              <w:ind w:left="63" w:right="63"/>
              <w:rPr>
                <w:rFonts w:ascii="宋体" w:hAnsi="宋体" w:eastAsia="Times New Roman"/>
                <w:color w:val="auto"/>
                <w:szCs w:val="21"/>
                <w:highlight w:val="none"/>
              </w:rPr>
            </w:pPr>
          </w:p>
        </w:tc>
        <w:tc>
          <w:tcPr>
            <w:tcW w:w="683" w:type="dxa"/>
            <w:vAlign w:val="center"/>
          </w:tcPr>
          <w:p>
            <w:pPr>
              <w:pStyle w:val="2"/>
              <w:keepNext/>
              <w:spacing w:line="400" w:lineRule="exact"/>
              <w:ind w:left="63" w:right="63"/>
              <w:rPr>
                <w:rFonts w:ascii="宋体" w:hAnsi="宋体" w:eastAsia="Times New Roman"/>
                <w:color w:val="auto"/>
                <w:szCs w:val="21"/>
                <w:highlight w:val="none"/>
              </w:rPr>
            </w:pPr>
          </w:p>
        </w:tc>
        <w:tc>
          <w:tcPr>
            <w:tcW w:w="683" w:type="dxa"/>
            <w:vAlign w:val="center"/>
          </w:tcPr>
          <w:p>
            <w:pPr>
              <w:pStyle w:val="2"/>
              <w:keepNext/>
              <w:spacing w:line="400" w:lineRule="exact"/>
              <w:ind w:left="63" w:right="63"/>
              <w:rPr>
                <w:rFonts w:ascii="宋体" w:hAnsi="宋体" w:eastAsia="Times New Roman"/>
                <w:color w:val="auto"/>
                <w:szCs w:val="21"/>
                <w:highlight w:val="none"/>
              </w:rPr>
            </w:pPr>
          </w:p>
        </w:tc>
        <w:tc>
          <w:tcPr>
            <w:tcW w:w="856" w:type="dxa"/>
            <w:vAlign w:val="center"/>
          </w:tcPr>
          <w:p>
            <w:pPr>
              <w:pStyle w:val="2"/>
              <w:keepNext/>
              <w:spacing w:line="400" w:lineRule="exact"/>
              <w:ind w:left="63" w:right="63"/>
              <w:rPr>
                <w:rFonts w:ascii="宋体" w:hAnsi="宋体" w:eastAsia="Times New Roman"/>
                <w:color w:val="auto"/>
                <w:szCs w:val="21"/>
                <w:highlight w:val="none"/>
              </w:rPr>
            </w:pPr>
          </w:p>
        </w:tc>
        <w:tc>
          <w:tcPr>
            <w:tcW w:w="1060" w:type="dxa"/>
            <w:vAlign w:val="center"/>
          </w:tcPr>
          <w:p>
            <w:pPr>
              <w:pStyle w:val="2"/>
              <w:keepNext/>
              <w:spacing w:line="400" w:lineRule="exact"/>
              <w:ind w:left="63" w:right="63"/>
              <w:rPr>
                <w:rFonts w:ascii="宋体" w:hAnsi="宋体" w:eastAsia="Times New Roman"/>
                <w:color w:val="auto"/>
                <w:szCs w:val="21"/>
                <w:highlight w:val="none"/>
              </w:rPr>
            </w:pPr>
          </w:p>
        </w:tc>
        <w:tc>
          <w:tcPr>
            <w:tcW w:w="1023" w:type="dxa"/>
            <w:vAlign w:val="center"/>
          </w:tcPr>
          <w:p>
            <w:pPr>
              <w:pStyle w:val="2"/>
              <w:keepNext/>
              <w:spacing w:line="400" w:lineRule="exact"/>
              <w:ind w:left="63" w:right="63"/>
              <w:rPr>
                <w:rFonts w:ascii="宋体" w:hAnsi="宋体" w:eastAsia="Times New Roman"/>
                <w:color w:val="auto"/>
                <w:szCs w:val="21"/>
                <w:highlight w:val="none"/>
              </w:rPr>
            </w:pPr>
          </w:p>
        </w:tc>
        <w:tc>
          <w:tcPr>
            <w:tcW w:w="1023" w:type="dxa"/>
            <w:vAlign w:val="center"/>
          </w:tcPr>
          <w:p>
            <w:pPr>
              <w:pStyle w:val="2"/>
              <w:keepNext/>
              <w:spacing w:line="400" w:lineRule="exact"/>
              <w:ind w:left="63" w:right="63"/>
              <w:rPr>
                <w:rFonts w:ascii="宋体" w:hAnsi="宋体" w:eastAsia="Times New Roman"/>
                <w:color w:val="auto"/>
                <w:szCs w:val="21"/>
                <w:highlight w:val="none"/>
              </w:rPr>
            </w:pPr>
          </w:p>
        </w:tc>
        <w:tc>
          <w:tcPr>
            <w:tcW w:w="683" w:type="dxa"/>
            <w:vAlign w:val="center"/>
          </w:tcPr>
          <w:p>
            <w:pPr>
              <w:pStyle w:val="2"/>
              <w:keepNext/>
              <w:spacing w:line="400" w:lineRule="exact"/>
              <w:ind w:left="63" w:right="63"/>
              <w:rPr>
                <w:rFonts w:ascii="宋体" w:hAnsi="宋体" w:eastAsia="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11" w:type="dxa"/>
            <w:vAlign w:val="center"/>
          </w:tcPr>
          <w:p>
            <w:pPr>
              <w:jc w:val="center"/>
              <w:rPr>
                <w:color w:val="auto"/>
                <w:szCs w:val="21"/>
                <w:highlight w:val="none"/>
              </w:rPr>
            </w:pPr>
          </w:p>
        </w:tc>
        <w:tc>
          <w:tcPr>
            <w:tcW w:w="1024" w:type="dxa"/>
            <w:vAlign w:val="center"/>
          </w:tcPr>
          <w:p>
            <w:pPr>
              <w:jc w:val="center"/>
              <w:rPr>
                <w:color w:val="auto"/>
                <w:szCs w:val="21"/>
                <w:highlight w:val="none"/>
              </w:rPr>
            </w:pPr>
          </w:p>
        </w:tc>
        <w:tc>
          <w:tcPr>
            <w:tcW w:w="1024"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c>
          <w:tcPr>
            <w:tcW w:w="856" w:type="dxa"/>
            <w:vAlign w:val="center"/>
          </w:tcPr>
          <w:p>
            <w:pPr>
              <w:jc w:val="center"/>
              <w:rPr>
                <w:color w:val="auto"/>
                <w:szCs w:val="21"/>
                <w:highlight w:val="none"/>
              </w:rPr>
            </w:pPr>
          </w:p>
        </w:tc>
        <w:tc>
          <w:tcPr>
            <w:tcW w:w="1060" w:type="dxa"/>
            <w:vAlign w:val="center"/>
          </w:tcPr>
          <w:p>
            <w:pPr>
              <w:jc w:val="center"/>
              <w:rPr>
                <w:color w:val="auto"/>
                <w:szCs w:val="21"/>
                <w:highlight w:val="none"/>
              </w:rPr>
            </w:pPr>
          </w:p>
        </w:tc>
        <w:tc>
          <w:tcPr>
            <w:tcW w:w="1023" w:type="dxa"/>
            <w:vAlign w:val="center"/>
          </w:tcPr>
          <w:p>
            <w:pPr>
              <w:jc w:val="center"/>
              <w:rPr>
                <w:color w:val="auto"/>
                <w:szCs w:val="21"/>
                <w:highlight w:val="none"/>
              </w:rPr>
            </w:pPr>
          </w:p>
        </w:tc>
        <w:tc>
          <w:tcPr>
            <w:tcW w:w="1023"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11" w:type="dxa"/>
            <w:vAlign w:val="center"/>
          </w:tcPr>
          <w:p>
            <w:pPr>
              <w:jc w:val="center"/>
              <w:rPr>
                <w:color w:val="auto"/>
                <w:szCs w:val="21"/>
                <w:highlight w:val="none"/>
              </w:rPr>
            </w:pPr>
          </w:p>
        </w:tc>
        <w:tc>
          <w:tcPr>
            <w:tcW w:w="1024" w:type="dxa"/>
            <w:vAlign w:val="center"/>
          </w:tcPr>
          <w:p>
            <w:pPr>
              <w:jc w:val="center"/>
              <w:rPr>
                <w:color w:val="auto"/>
                <w:szCs w:val="21"/>
                <w:highlight w:val="none"/>
              </w:rPr>
            </w:pPr>
          </w:p>
        </w:tc>
        <w:tc>
          <w:tcPr>
            <w:tcW w:w="1024"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c>
          <w:tcPr>
            <w:tcW w:w="856" w:type="dxa"/>
            <w:vAlign w:val="center"/>
          </w:tcPr>
          <w:p>
            <w:pPr>
              <w:jc w:val="center"/>
              <w:rPr>
                <w:color w:val="auto"/>
                <w:szCs w:val="21"/>
                <w:highlight w:val="none"/>
              </w:rPr>
            </w:pPr>
          </w:p>
        </w:tc>
        <w:tc>
          <w:tcPr>
            <w:tcW w:w="1060" w:type="dxa"/>
            <w:vAlign w:val="center"/>
          </w:tcPr>
          <w:p>
            <w:pPr>
              <w:jc w:val="center"/>
              <w:rPr>
                <w:color w:val="auto"/>
                <w:szCs w:val="21"/>
                <w:highlight w:val="none"/>
              </w:rPr>
            </w:pPr>
          </w:p>
        </w:tc>
        <w:tc>
          <w:tcPr>
            <w:tcW w:w="1023" w:type="dxa"/>
            <w:vAlign w:val="center"/>
          </w:tcPr>
          <w:p>
            <w:pPr>
              <w:jc w:val="center"/>
              <w:rPr>
                <w:color w:val="auto"/>
                <w:szCs w:val="21"/>
                <w:highlight w:val="none"/>
              </w:rPr>
            </w:pPr>
          </w:p>
        </w:tc>
        <w:tc>
          <w:tcPr>
            <w:tcW w:w="1023"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11" w:type="dxa"/>
            <w:vAlign w:val="center"/>
          </w:tcPr>
          <w:p>
            <w:pPr>
              <w:jc w:val="center"/>
              <w:rPr>
                <w:color w:val="auto"/>
                <w:szCs w:val="21"/>
                <w:highlight w:val="none"/>
              </w:rPr>
            </w:pPr>
          </w:p>
        </w:tc>
        <w:tc>
          <w:tcPr>
            <w:tcW w:w="1024" w:type="dxa"/>
            <w:vAlign w:val="center"/>
          </w:tcPr>
          <w:p>
            <w:pPr>
              <w:jc w:val="center"/>
              <w:rPr>
                <w:color w:val="auto"/>
                <w:szCs w:val="21"/>
                <w:highlight w:val="none"/>
              </w:rPr>
            </w:pPr>
          </w:p>
        </w:tc>
        <w:tc>
          <w:tcPr>
            <w:tcW w:w="1024"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c>
          <w:tcPr>
            <w:tcW w:w="856" w:type="dxa"/>
            <w:vAlign w:val="center"/>
          </w:tcPr>
          <w:p>
            <w:pPr>
              <w:jc w:val="center"/>
              <w:rPr>
                <w:color w:val="auto"/>
                <w:szCs w:val="21"/>
                <w:highlight w:val="none"/>
              </w:rPr>
            </w:pPr>
          </w:p>
        </w:tc>
        <w:tc>
          <w:tcPr>
            <w:tcW w:w="1060" w:type="dxa"/>
            <w:vAlign w:val="center"/>
          </w:tcPr>
          <w:p>
            <w:pPr>
              <w:jc w:val="center"/>
              <w:rPr>
                <w:color w:val="auto"/>
                <w:szCs w:val="21"/>
                <w:highlight w:val="none"/>
              </w:rPr>
            </w:pPr>
          </w:p>
        </w:tc>
        <w:tc>
          <w:tcPr>
            <w:tcW w:w="1023" w:type="dxa"/>
            <w:vAlign w:val="center"/>
          </w:tcPr>
          <w:p>
            <w:pPr>
              <w:jc w:val="center"/>
              <w:rPr>
                <w:color w:val="auto"/>
                <w:szCs w:val="21"/>
                <w:highlight w:val="none"/>
              </w:rPr>
            </w:pPr>
          </w:p>
        </w:tc>
        <w:tc>
          <w:tcPr>
            <w:tcW w:w="1023"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11" w:type="dxa"/>
            <w:vAlign w:val="center"/>
          </w:tcPr>
          <w:p>
            <w:pPr>
              <w:jc w:val="center"/>
              <w:rPr>
                <w:color w:val="auto"/>
                <w:szCs w:val="21"/>
                <w:highlight w:val="none"/>
              </w:rPr>
            </w:pPr>
          </w:p>
        </w:tc>
        <w:tc>
          <w:tcPr>
            <w:tcW w:w="1024" w:type="dxa"/>
            <w:vAlign w:val="center"/>
          </w:tcPr>
          <w:p>
            <w:pPr>
              <w:jc w:val="center"/>
              <w:rPr>
                <w:color w:val="auto"/>
                <w:szCs w:val="21"/>
                <w:highlight w:val="none"/>
              </w:rPr>
            </w:pPr>
          </w:p>
        </w:tc>
        <w:tc>
          <w:tcPr>
            <w:tcW w:w="1024"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c>
          <w:tcPr>
            <w:tcW w:w="856" w:type="dxa"/>
            <w:vAlign w:val="center"/>
          </w:tcPr>
          <w:p>
            <w:pPr>
              <w:jc w:val="center"/>
              <w:rPr>
                <w:color w:val="auto"/>
                <w:szCs w:val="21"/>
                <w:highlight w:val="none"/>
              </w:rPr>
            </w:pPr>
          </w:p>
        </w:tc>
        <w:tc>
          <w:tcPr>
            <w:tcW w:w="1060" w:type="dxa"/>
            <w:vAlign w:val="center"/>
          </w:tcPr>
          <w:p>
            <w:pPr>
              <w:jc w:val="center"/>
              <w:rPr>
                <w:color w:val="auto"/>
                <w:szCs w:val="21"/>
                <w:highlight w:val="none"/>
              </w:rPr>
            </w:pPr>
          </w:p>
        </w:tc>
        <w:tc>
          <w:tcPr>
            <w:tcW w:w="1023" w:type="dxa"/>
            <w:vAlign w:val="center"/>
          </w:tcPr>
          <w:p>
            <w:pPr>
              <w:jc w:val="center"/>
              <w:rPr>
                <w:color w:val="auto"/>
                <w:szCs w:val="21"/>
                <w:highlight w:val="none"/>
              </w:rPr>
            </w:pPr>
          </w:p>
        </w:tc>
        <w:tc>
          <w:tcPr>
            <w:tcW w:w="1023"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11" w:type="dxa"/>
            <w:vAlign w:val="center"/>
          </w:tcPr>
          <w:p>
            <w:pPr>
              <w:jc w:val="center"/>
              <w:rPr>
                <w:color w:val="auto"/>
                <w:szCs w:val="21"/>
                <w:highlight w:val="none"/>
              </w:rPr>
            </w:pPr>
          </w:p>
        </w:tc>
        <w:tc>
          <w:tcPr>
            <w:tcW w:w="1024" w:type="dxa"/>
            <w:vAlign w:val="center"/>
          </w:tcPr>
          <w:p>
            <w:pPr>
              <w:jc w:val="center"/>
              <w:rPr>
                <w:color w:val="auto"/>
                <w:szCs w:val="21"/>
                <w:highlight w:val="none"/>
              </w:rPr>
            </w:pPr>
          </w:p>
        </w:tc>
        <w:tc>
          <w:tcPr>
            <w:tcW w:w="1024"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c>
          <w:tcPr>
            <w:tcW w:w="856" w:type="dxa"/>
            <w:vAlign w:val="center"/>
          </w:tcPr>
          <w:p>
            <w:pPr>
              <w:jc w:val="center"/>
              <w:rPr>
                <w:color w:val="auto"/>
                <w:szCs w:val="21"/>
                <w:highlight w:val="none"/>
              </w:rPr>
            </w:pPr>
          </w:p>
        </w:tc>
        <w:tc>
          <w:tcPr>
            <w:tcW w:w="1060" w:type="dxa"/>
            <w:vAlign w:val="center"/>
          </w:tcPr>
          <w:p>
            <w:pPr>
              <w:jc w:val="center"/>
              <w:rPr>
                <w:color w:val="auto"/>
                <w:szCs w:val="21"/>
                <w:highlight w:val="none"/>
              </w:rPr>
            </w:pPr>
          </w:p>
        </w:tc>
        <w:tc>
          <w:tcPr>
            <w:tcW w:w="1023" w:type="dxa"/>
            <w:vAlign w:val="center"/>
          </w:tcPr>
          <w:p>
            <w:pPr>
              <w:jc w:val="center"/>
              <w:rPr>
                <w:color w:val="auto"/>
                <w:szCs w:val="21"/>
                <w:highlight w:val="none"/>
              </w:rPr>
            </w:pPr>
          </w:p>
        </w:tc>
        <w:tc>
          <w:tcPr>
            <w:tcW w:w="1023"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11" w:type="dxa"/>
            <w:vAlign w:val="center"/>
          </w:tcPr>
          <w:p>
            <w:pPr>
              <w:jc w:val="center"/>
              <w:rPr>
                <w:color w:val="auto"/>
                <w:szCs w:val="21"/>
                <w:highlight w:val="none"/>
              </w:rPr>
            </w:pPr>
          </w:p>
        </w:tc>
        <w:tc>
          <w:tcPr>
            <w:tcW w:w="1024" w:type="dxa"/>
            <w:vAlign w:val="center"/>
          </w:tcPr>
          <w:p>
            <w:pPr>
              <w:jc w:val="center"/>
              <w:rPr>
                <w:color w:val="auto"/>
                <w:szCs w:val="21"/>
                <w:highlight w:val="none"/>
              </w:rPr>
            </w:pPr>
          </w:p>
        </w:tc>
        <w:tc>
          <w:tcPr>
            <w:tcW w:w="1024"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c>
          <w:tcPr>
            <w:tcW w:w="856" w:type="dxa"/>
            <w:vAlign w:val="center"/>
          </w:tcPr>
          <w:p>
            <w:pPr>
              <w:jc w:val="center"/>
              <w:rPr>
                <w:color w:val="auto"/>
                <w:szCs w:val="21"/>
                <w:highlight w:val="none"/>
              </w:rPr>
            </w:pPr>
          </w:p>
        </w:tc>
        <w:tc>
          <w:tcPr>
            <w:tcW w:w="1060" w:type="dxa"/>
            <w:vAlign w:val="center"/>
          </w:tcPr>
          <w:p>
            <w:pPr>
              <w:jc w:val="center"/>
              <w:rPr>
                <w:color w:val="auto"/>
                <w:szCs w:val="21"/>
                <w:highlight w:val="none"/>
              </w:rPr>
            </w:pPr>
          </w:p>
        </w:tc>
        <w:tc>
          <w:tcPr>
            <w:tcW w:w="1023" w:type="dxa"/>
            <w:vAlign w:val="center"/>
          </w:tcPr>
          <w:p>
            <w:pPr>
              <w:jc w:val="center"/>
              <w:rPr>
                <w:color w:val="auto"/>
                <w:szCs w:val="21"/>
                <w:highlight w:val="none"/>
              </w:rPr>
            </w:pPr>
          </w:p>
        </w:tc>
        <w:tc>
          <w:tcPr>
            <w:tcW w:w="1023"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711" w:type="dxa"/>
            <w:vAlign w:val="center"/>
          </w:tcPr>
          <w:p>
            <w:pPr>
              <w:jc w:val="center"/>
              <w:rPr>
                <w:color w:val="auto"/>
                <w:szCs w:val="21"/>
                <w:highlight w:val="none"/>
              </w:rPr>
            </w:pPr>
          </w:p>
        </w:tc>
        <w:tc>
          <w:tcPr>
            <w:tcW w:w="1024" w:type="dxa"/>
            <w:vAlign w:val="center"/>
          </w:tcPr>
          <w:p>
            <w:pPr>
              <w:jc w:val="center"/>
              <w:rPr>
                <w:color w:val="auto"/>
                <w:szCs w:val="21"/>
                <w:highlight w:val="none"/>
              </w:rPr>
            </w:pPr>
          </w:p>
        </w:tc>
        <w:tc>
          <w:tcPr>
            <w:tcW w:w="1024"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c>
          <w:tcPr>
            <w:tcW w:w="856" w:type="dxa"/>
            <w:vAlign w:val="center"/>
          </w:tcPr>
          <w:p>
            <w:pPr>
              <w:jc w:val="center"/>
              <w:rPr>
                <w:color w:val="auto"/>
                <w:szCs w:val="21"/>
                <w:highlight w:val="none"/>
              </w:rPr>
            </w:pPr>
          </w:p>
        </w:tc>
        <w:tc>
          <w:tcPr>
            <w:tcW w:w="1060" w:type="dxa"/>
            <w:vAlign w:val="center"/>
          </w:tcPr>
          <w:p>
            <w:pPr>
              <w:jc w:val="center"/>
              <w:rPr>
                <w:color w:val="auto"/>
                <w:szCs w:val="21"/>
                <w:highlight w:val="none"/>
              </w:rPr>
            </w:pPr>
          </w:p>
        </w:tc>
        <w:tc>
          <w:tcPr>
            <w:tcW w:w="1023" w:type="dxa"/>
            <w:vAlign w:val="center"/>
          </w:tcPr>
          <w:p>
            <w:pPr>
              <w:jc w:val="center"/>
              <w:rPr>
                <w:color w:val="auto"/>
                <w:szCs w:val="21"/>
                <w:highlight w:val="none"/>
              </w:rPr>
            </w:pPr>
          </w:p>
        </w:tc>
        <w:tc>
          <w:tcPr>
            <w:tcW w:w="1023"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trPr>
        <w:tc>
          <w:tcPr>
            <w:tcW w:w="711" w:type="dxa"/>
            <w:vAlign w:val="center"/>
          </w:tcPr>
          <w:p>
            <w:pPr>
              <w:jc w:val="center"/>
              <w:rPr>
                <w:color w:val="auto"/>
                <w:szCs w:val="21"/>
                <w:highlight w:val="none"/>
              </w:rPr>
            </w:pPr>
          </w:p>
        </w:tc>
        <w:tc>
          <w:tcPr>
            <w:tcW w:w="1024" w:type="dxa"/>
            <w:vAlign w:val="center"/>
          </w:tcPr>
          <w:p>
            <w:pPr>
              <w:jc w:val="center"/>
              <w:rPr>
                <w:color w:val="auto"/>
                <w:szCs w:val="21"/>
                <w:highlight w:val="none"/>
              </w:rPr>
            </w:pPr>
          </w:p>
        </w:tc>
        <w:tc>
          <w:tcPr>
            <w:tcW w:w="1024"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c>
          <w:tcPr>
            <w:tcW w:w="856" w:type="dxa"/>
            <w:vAlign w:val="center"/>
          </w:tcPr>
          <w:p>
            <w:pPr>
              <w:jc w:val="center"/>
              <w:rPr>
                <w:color w:val="auto"/>
                <w:szCs w:val="21"/>
                <w:highlight w:val="none"/>
              </w:rPr>
            </w:pPr>
          </w:p>
        </w:tc>
        <w:tc>
          <w:tcPr>
            <w:tcW w:w="1060" w:type="dxa"/>
            <w:vAlign w:val="center"/>
          </w:tcPr>
          <w:p>
            <w:pPr>
              <w:jc w:val="center"/>
              <w:rPr>
                <w:color w:val="auto"/>
                <w:szCs w:val="21"/>
                <w:highlight w:val="none"/>
              </w:rPr>
            </w:pPr>
          </w:p>
        </w:tc>
        <w:tc>
          <w:tcPr>
            <w:tcW w:w="1023" w:type="dxa"/>
            <w:vAlign w:val="center"/>
          </w:tcPr>
          <w:p>
            <w:pPr>
              <w:jc w:val="center"/>
              <w:rPr>
                <w:color w:val="auto"/>
                <w:szCs w:val="21"/>
                <w:highlight w:val="none"/>
              </w:rPr>
            </w:pPr>
          </w:p>
        </w:tc>
        <w:tc>
          <w:tcPr>
            <w:tcW w:w="1023" w:type="dxa"/>
            <w:vAlign w:val="center"/>
          </w:tcPr>
          <w:p>
            <w:pPr>
              <w:jc w:val="center"/>
              <w:rPr>
                <w:color w:val="auto"/>
                <w:szCs w:val="21"/>
                <w:highlight w:val="none"/>
              </w:rPr>
            </w:pPr>
          </w:p>
        </w:tc>
        <w:tc>
          <w:tcPr>
            <w:tcW w:w="683" w:type="dxa"/>
            <w:vAlign w:val="center"/>
          </w:tcPr>
          <w:p>
            <w:pPr>
              <w:jc w:val="center"/>
              <w:rPr>
                <w:color w:val="auto"/>
                <w:szCs w:val="21"/>
                <w:highlight w:val="none"/>
              </w:rPr>
            </w:pPr>
          </w:p>
        </w:tc>
      </w:tr>
    </w:tbl>
    <w:p>
      <w:pPr>
        <w:spacing w:afterLines="50"/>
        <w:rPr>
          <w:rFonts w:hint="eastAsia"/>
          <w:b/>
          <w:color w:val="auto"/>
          <w:szCs w:val="21"/>
          <w:highlight w:val="none"/>
        </w:rPr>
      </w:pPr>
      <w:r>
        <w:rPr>
          <w:color w:val="auto"/>
          <w:sz w:val="30"/>
          <w:szCs w:val="30"/>
          <w:highlight w:val="none"/>
        </w:rPr>
        <w:br w:type="page"/>
      </w:r>
      <w:r>
        <w:rPr>
          <w:rFonts w:hint="eastAsia"/>
          <w:b/>
          <w:color w:val="auto"/>
          <w:szCs w:val="21"/>
          <w:highlight w:val="none"/>
        </w:rPr>
        <w:t>附件3：质量保修书格式</w:t>
      </w:r>
    </w:p>
    <w:p>
      <w:pPr>
        <w:spacing w:line="360" w:lineRule="auto"/>
        <w:ind w:firstLine="562"/>
        <w:jc w:val="center"/>
        <w:rPr>
          <w:rFonts w:hint="eastAsia"/>
          <w:b/>
          <w:color w:val="auto"/>
          <w:sz w:val="28"/>
          <w:szCs w:val="28"/>
          <w:highlight w:val="none"/>
        </w:rPr>
      </w:pPr>
      <w:r>
        <w:rPr>
          <w:rFonts w:hint="eastAsia"/>
          <w:b/>
          <w:color w:val="auto"/>
          <w:sz w:val="28"/>
          <w:szCs w:val="28"/>
          <w:highlight w:val="none"/>
        </w:rPr>
        <w:t>工程质量保修书</w:t>
      </w:r>
    </w:p>
    <w:p>
      <w:pPr>
        <w:spacing w:line="360" w:lineRule="auto"/>
        <w:ind w:firstLine="420"/>
        <w:rPr>
          <w:rFonts w:hint="eastAsia"/>
          <w:color w:val="auto"/>
          <w:szCs w:val="21"/>
          <w:highlight w:val="none"/>
        </w:rPr>
      </w:pPr>
      <w:r>
        <w:rPr>
          <w:rFonts w:hint="eastAsia"/>
          <w:color w:val="auto"/>
          <w:szCs w:val="21"/>
          <w:highlight w:val="none"/>
        </w:rPr>
        <w:t>发包人（全称）：</w:t>
      </w:r>
      <w:r>
        <w:rPr>
          <w:rFonts w:hint="eastAsia"/>
          <w:color w:val="auto"/>
          <w:szCs w:val="21"/>
          <w:highlight w:val="none"/>
          <w:u w:val="single"/>
        </w:rPr>
        <w:t xml:space="preserve">                                               </w:t>
      </w:r>
    </w:p>
    <w:p>
      <w:pPr>
        <w:spacing w:line="360" w:lineRule="auto"/>
        <w:ind w:firstLine="420"/>
        <w:rPr>
          <w:rFonts w:hint="eastAsia"/>
          <w:color w:val="auto"/>
          <w:szCs w:val="21"/>
          <w:highlight w:val="none"/>
        </w:rPr>
      </w:pPr>
      <w:r>
        <w:rPr>
          <w:rFonts w:hint="eastAsia"/>
          <w:color w:val="auto"/>
          <w:szCs w:val="21"/>
          <w:highlight w:val="none"/>
        </w:rPr>
        <w:t>承包人（全称）：</w:t>
      </w:r>
      <w:r>
        <w:rPr>
          <w:rFonts w:hint="eastAsia"/>
          <w:color w:val="auto"/>
          <w:szCs w:val="21"/>
          <w:highlight w:val="none"/>
          <w:u w:val="single"/>
        </w:rPr>
        <w:t xml:space="preserve">                                               </w:t>
      </w:r>
    </w:p>
    <w:p>
      <w:pPr>
        <w:spacing w:line="360" w:lineRule="auto"/>
        <w:ind w:firstLine="420"/>
        <w:rPr>
          <w:rFonts w:hint="eastAsia"/>
          <w:color w:val="auto"/>
          <w:szCs w:val="21"/>
          <w:highlight w:val="none"/>
        </w:rPr>
      </w:pPr>
      <w:r>
        <w:rPr>
          <w:rFonts w:hint="eastAsia"/>
          <w:color w:val="auto"/>
          <w:szCs w:val="21"/>
          <w:highlight w:val="none"/>
        </w:rPr>
        <w:t>发包人和承包人根据《中华人民共和国建筑法》和《建设工程质量管理条例》，经协商一致就</w:t>
      </w:r>
      <w:r>
        <w:rPr>
          <w:rFonts w:hint="eastAsia"/>
          <w:color w:val="auto"/>
          <w:szCs w:val="21"/>
          <w:highlight w:val="none"/>
          <w:u w:val="single"/>
        </w:rPr>
        <w:t xml:space="preserve">        </w:t>
      </w:r>
      <w:r>
        <w:rPr>
          <w:rFonts w:hint="eastAsia"/>
          <w:color w:val="auto"/>
          <w:szCs w:val="21"/>
          <w:highlight w:val="none"/>
        </w:rPr>
        <w:t>(工程全称)签订工程质量保修书。</w:t>
      </w:r>
    </w:p>
    <w:p>
      <w:pPr>
        <w:spacing w:line="360" w:lineRule="auto"/>
        <w:ind w:firstLine="420"/>
        <w:rPr>
          <w:rFonts w:hint="eastAsia"/>
          <w:color w:val="auto"/>
          <w:szCs w:val="21"/>
          <w:highlight w:val="none"/>
        </w:rPr>
      </w:pPr>
      <w:r>
        <w:rPr>
          <w:rFonts w:hint="eastAsia"/>
          <w:color w:val="auto"/>
          <w:szCs w:val="21"/>
          <w:highlight w:val="none"/>
        </w:rPr>
        <w:t>一、工程保修范围和内容</w:t>
      </w:r>
    </w:p>
    <w:p>
      <w:pPr>
        <w:spacing w:line="360" w:lineRule="auto"/>
        <w:ind w:firstLine="420"/>
        <w:rPr>
          <w:rFonts w:hint="eastAsia"/>
          <w:color w:val="auto"/>
          <w:szCs w:val="21"/>
          <w:highlight w:val="none"/>
        </w:rPr>
      </w:pPr>
      <w:r>
        <w:rPr>
          <w:rFonts w:hint="eastAsia"/>
          <w:color w:val="auto"/>
          <w:szCs w:val="21"/>
          <w:highlight w:val="none"/>
        </w:rPr>
        <w:t>承包人在保修期内，按照有关法律、法规、规章的管理规定和双方约定，承担本工程保修责任。</w:t>
      </w:r>
    </w:p>
    <w:p>
      <w:pPr>
        <w:spacing w:line="360" w:lineRule="auto"/>
        <w:ind w:firstLine="420"/>
        <w:rPr>
          <w:rFonts w:hint="eastAsia"/>
          <w:color w:val="auto"/>
          <w:szCs w:val="21"/>
          <w:highlight w:val="none"/>
          <w:u w:val="single"/>
        </w:rPr>
      </w:pPr>
      <w:r>
        <w:rPr>
          <w:rFonts w:hint="eastAsia"/>
          <w:color w:val="auto"/>
          <w:szCs w:val="21"/>
          <w:highlight w:val="none"/>
        </w:rPr>
        <w:t>保修责任范围包括地基基础工程、主体结构工程，屋面防水工程、有防水要求的卫生间、房间和外墙面的防渗漏，供热与供冷系统，电气管线、给排水管道、设备安装和土建、安装及附属工程，以及双方约定的其他项目。具体保修的内容，双方约定如下：</w:t>
      </w:r>
      <w:r>
        <w:rPr>
          <w:rFonts w:hint="eastAsia"/>
          <w:color w:val="auto"/>
          <w:szCs w:val="21"/>
          <w:highlight w:val="none"/>
          <w:u w:val="single"/>
        </w:rPr>
        <w:t xml:space="preserve">                                                          </w:t>
      </w:r>
    </w:p>
    <w:p>
      <w:pPr>
        <w:spacing w:line="360" w:lineRule="auto"/>
        <w:ind w:firstLine="420"/>
        <w:rPr>
          <w:rFonts w:hint="eastAsia"/>
          <w:color w:val="auto"/>
          <w:szCs w:val="21"/>
          <w:highlight w:val="none"/>
        </w:rPr>
      </w:pPr>
      <w:r>
        <w:rPr>
          <w:rFonts w:hint="eastAsia"/>
          <w:color w:val="auto"/>
          <w:szCs w:val="21"/>
          <w:highlight w:val="none"/>
        </w:rPr>
        <w:t>二、质量保修期</w:t>
      </w:r>
    </w:p>
    <w:p>
      <w:pPr>
        <w:spacing w:line="360" w:lineRule="auto"/>
        <w:ind w:firstLine="420"/>
        <w:rPr>
          <w:rFonts w:hint="eastAsia"/>
          <w:color w:val="auto"/>
          <w:szCs w:val="21"/>
          <w:highlight w:val="none"/>
        </w:rPr>
      </w:pPr>
      <w:r>
        <w:rPr>
          <w:rFonts w:hint="eastAsia"/>
          <w:color w:val="auto"/>
          <w:szCs w:val="21"/>
          <w:highlight w:val="none"/>
        </w:rPr>
        <w:t>双方根据《建设工程质量管理条例》及有关规定，约定本工程的保修期如下：</w:t>
      </w:r>
    </w:p>
    <w:p>
      <w:pPr>
        <w:spacing w:line="360" w:lineRule="auto"/>
        <w:ind w:firstLine="898" w:firstLineChars="428"/>
        <w:rPr>
          <w:rFonts w:hint="eastAsia"/>
          <w:color w:val="auto"/>
          <w:szCs w:val="21"/>
          <w:highlight w:val="none"/>
        </w:rPr>
      </w:pPr>
      <w:r>
        <w:rPr>
          <w:rFonts w:hint="eastAsia"/>
          <w:color w:val="auto"/>
          <w:szCs w:val="21"/>
          <w:highlight w:val="none"/>
        </w:rPr>
        <w:t>1．地基基础工程和主体结构工程为设计文件规定的该工程合理使用年限；</w:t>
      </w:r>
    </w:p>
    <w:p>
      <w:pPr>
        <w:spacing w:line="360" w:lineRule="auto"/>
        <w:ind w:firstLine="898" w:firstLineChars="428"/>
        <w:rPr>
          <w:rFonts w:hint="eastAsia"/>
          <w:color w:val="auto"/>
          <w:szCs w:val="21"/>
          <w:highlight w:val="none"/>
        </w:rPr>
      </w:pPr>
      <w:r>
        <w:rPr>
          <w:rFonts w:hint="eastAsia"/>
          <w:color w:val="auto"/>
          <w:szCs w:val="21"/>
          <w:highlight w:val="none"/>
        </w:rPr>
        <w:t>2．屋面防水工程、有防水要求的卫生间、房间和外墙面的防渗漏为</w:t>
      </w:r>
      <w:r>
        <w:rPr>
          <w:rFonts w:hint="eastAsia"/>
          <w:color w:val="auto"/>
          <w:szCs w:val="21"/>
          <w:highlight w:val="none"/>
          <w:u w:val="single"/>
        </w:rPr>
        <w:t xml:space="preserve">        </w:t>
      </w:r>
      <w:r>
        <w:rPr>
          <w:rFonts w:hint="eastAsia"/>
          <w:color w:val="auto"/>
          <w:szCs w:val="21"/>
          <w:highlight w:val="none"/>
        </w:rPr>
        <w:t>年；</w:t>
      </w:r>
    </w:p>
    <w:p>
      <w:pPr>
        <w:spacing w:line="360" w:lineRule="auto"/>
        <w:ind w:firstLine="898" w:firstLineChars="428"/>
        <w:rPr>
          <w:rFonts w:hint="eastAsia"/>
          <w:color w:val="auto"/>
          <w:szCs w:val="21"/>
          <w:highlight w:val="none"/>
        </w:rPr>
      </w:pPr>
      <w:r>
        <w:rPr>
          <w:rFonts w:hint="eastAsia"/>
          <w:color w:val="auto"/>
          <w:szCs w:val="21"/>
          <w:highlight w:val="none"/>
        </w:rPr>
        <w:t>3．装修工程为</w:t>
      </w:r>
      <w:r>
        <w:rPr>
          <w:rFonts w:hint="eastAsia"/>
          <w:color w:val="auto"/>
          <w:szCs w:val="21"/>
          <w:highlight w:val="none"/>
          <w:u w:val="single"/>
        </w:rPr>
        <w:t xml:space="preserve">    </w:t>
      </w:r>
      <w:r>
        <w:rPr>
          <w:rFonts w:hint="eastAsia"/>
          <w:color w:val="auto"/>
          <w:szCs w:val="21"/>
          <w:highlight w:val="none"/>
        </w:rPr>
        <w:t>年；</w:t>
      </w:r>
    </w:p>
    <w:p>
      <w:pPr>
        <w:spacing w:line="360" w:lineRule="auto"/>
        <w:ind w:firstLine="898" w:firstLineChars="428"/>
        <w:rPr>
          <w:rFonts w:hint="eastAsia"/>
          <w:color w:val="auto"/>
          <w:szCs w:val="21"/>
          <w:highlight w:val="none"/>
        </w:rPr>
      </w:pPr>
      <w:r>
        <w:rPr>
          <w:rFonts w:hint="eastAsia"/>
          <w:color w:val="auto"/>
          <w:szCs w:val="21"/>
          <w:highlight w:val="none"/>
        </w:rPr>
        <w:t>4．电气管线、给排水管道、设备安装工程为</w:t>
      </w:r>
      <w:r>
        <w:rPr>
          <w:rFonts w:hint="eastAsia"/>
          <w:color w:val="auto"/>
          <w:szCs w:val="21"/>
          <w:highlight w:val="none"/>
          <w:u w:val="single"/>
        </w:rPr>
        <w:t xml:space="preserve">        </w:t>
      </w:r>
      <w:r>
        <w:rPr>
          <w:rFonts w:hint="eastAsia"/>
          <w:color w:val="auto"/>
          <w:szCs w:val="21"/>
          <w:highlight w:val="none"/>
        </w:rPr>
        <w:t>年；</w:t>
      </w:r>
    </w:p>
    <w:p>
      <w:pPr>
        <w:spacing w:line="360" w:lineRule="auto"/>
        <w:ind w:firstLine="898" w:firstLineChars="428"/>
        <w:rPr>
          <w:rFonts w:hint="eastAsia"/>
          <w:color w:val="auto"/>
          <w:szCs w:val="21"/>
          <w:highlight w:val="none"/>
        </w:rPr>
      </w:pPr>
      <w:r>
        <w:rPr>
          <w:rFonts w:hint="eastAsia"/>
          <w:color w:val="auto"/>
          <w:szCs w:val="21"/>
          <w:highlight w:val="none"/>
        </w:rPr>
        <w:t>5．供热与供冷系统为</w:t>
      </w:r>
      <w:r>
        <w:rPr>
          <w:rFonts w:hint="eastAsia"/>
          <w:color w:val="auto"/>
          <w:szCs w:val="21"/>
          <w:highlight w:val="none"/>
          <w:u w:val="single"/>
        </w:rPr>
        <w:t xml:space="preserve">           </w:t>
      </w:r>
      <w:r>
        <w:rPr>
          <w:rFonts w:hint="eastAsia"/>
          <w:color w:val="auto"/>
          <w:szCs w:val="21"/>
          <w:highlight w:val="none"/>
        </w:rPr>
        <w:t>个采暖期、供冷期；</w:t>
      </w:r>
    </w:p>
    <w:p>
      <w:pPr>
        <w:spacing w:line="360" w:lineRule="auto"/>
        <w:ind w:firstLine="898" w:firstLineChars="428"/>
        <w:rPr>
          <w:rFonts w:hint="eastAsia"/>
          <w:color w:val="auto"/>
          <w:szCs w:val="21"/>
          <w:highlight w:val="none"/>
        </w:rPr>
      </w:pPr>
      <w:r>
        <w:rPr>
          <w:rFonts w:hint="eastAsia"/>
          <w:color w:val="auto"/>
          <w:szCs w:val="21"/>
          <w:highlight w:val="none"/>
        </w:rPr>
        <w:t>6．住宅小区内的给排水设施、道路等配套工程为</w:t>
      </w:r>
      <w:r>
        <w:rPr>
          <w:rFonts w:hint="eastAsia"/>
          <w:color w:val="auto"/>
          <w:szCs w:val="21"/>
          <w:highlight w:val="none"/>
          <w:u w:val="single"/>
        </w:rPr>
        <w:t xml:space="preserve">        </w:t>
      </w:r>
      <w:r>
        <w:rPr>
          <w:rFonts w:hint="eastAsia"/>
          <w:color w:val="auto"/>
          <w:szCs w:val="21"/>
          <w:highlight w:val="none"/>
        </w:rPr>
        <w:t>年；</w:t>
      </w:r>
    </w:p>
    <w:p>
      <w:pPr>
        <w:spacing w:line="360" w:lineRule="auto"/>
        <w:ind w:firstLine="420"/>
        <w:rPr>
          <w:rFonts w:hint="eastAsia"/>
          <w:color w:val="auto"/>
          <w:szCs w:val="21"/>
          <w:highlight w:val="none"/>
          <w:u w:val="single"/>
        </w:rPr>
      </w:pPr>
      <w:r>
        <w:rPr>
          <w:rFonts w:hint="eastAsia"/>
          <w:color w:val="auto"/>
          <w:szCs w:val="21"/>
          <w:highlight w:val="none"/>
        </w:rPr>
        <w:t>7．其他项目保修期限约定如下：</w:t>
      </w:r>
      <w:r>
        <w:rPr>
          <w:rFonts w:hint="eastAsia"/>
          <w:color w:val="auto"/>
          <w:szCs w:val="21"/>
          <w:highlight w:val="none"/>
          <w:u w:val="single"/>
        </w:rPr>
        <w:t xml:space="preserve">                                                                   </w:t>
      </w:r>
    </w:p>
    <w:p>
      <w:pPr>
        <w:spacing w:line="360" w:lineRule="auto"/>
        <w:ind w:firstLine="420"/>
        <w:rPr>
          <w:color w:val="auto"/>
          <w:szCs w:val="21"/>
          <w:highlight w:val="none"/>
        </w:rPr>
      </w:pPr>
      <w:r>
        <w:rPr>
          <w:color w:val="auto"/>
          <w:szCs w:val="21"/>
          <w:highlight w:val="none"/>
        </w:rPr>
        <w:t>三、缺陷责任期</w:t>
      </w:r>
    </w:p>
    <w:p>
      <w:pPr>
        <w:spacing w:line="360" w:lineRule="auto"/>
        <w:ind w:firstLine="420"/>
        <w:rPr>
          <w:color w:val="auto"/>
          <w:szCs w:val="21"/>
          <w:highlight w:val="none"/>
        </w:rPr>
      </w:pPr>
      <w:r>
        <w:rPr>
          <w:color w:val="auto"/>
          <w:szCs w:val="21"/>
          <w:highlight w:val="none"/>
        </w:rPr>
        <w:t>工程缺陷责任期为</w:t>
      </w:r>
      <w:r>
        <w:rPr>
          <w:color w:val="auto"/>
          <w:szCs w:val="21"/>
          <w:highlight w:val="none"/>
          <w:u w:val="single"/>
        </w:rPr>
        <w:t xml:space="preserve"> </w:t>
      </w:r>
      <w:r>
        <w:rPr>
          <w:rFonts w:hint="eastAsia"/>
          <w:color w:val="auto"/>
          <w:szCs w:val="21"/>
          <w:highlight w:val="none"/>
          <w:u w:val="single"/>
        </w:rPr>
        <w:t xml:space="preserve">24 </w:t>
      </w:r>
      <w:r>
        <w:rPr>
          <w:color w:val="auto"/>
          <w:szCs w:val="21"/>
          <w:highlight w:val="none"/>
        </w:rPr>
        <w:t>个月，缺陷责任期自工程</w:t>
      </w:r>
      <w:r>
        <w:rPr>
          <w:rFonts w:hint="eastAsia"/>
          <w:color w:val="auto"/>
          <w:szCs w:val="21"/>
          <w:highlight w:val="none"/>
        </w:rPr>
        <w:t>通过竣工验收</w:t>
      </w:r>
      <w:r>
        <w:rPr>
          <w:color w:val="auto"/>
          <w:szCs w:val="21"/>
          <w:highlight w:val="none"/>
        </w:rPr>
        <w:t>之日起计算。单位工程先于全部工程进行验收，单位工程缺陷责任期自单位工程验收合格之日起算。</w:t>
      </w:r>
    </w:p>
    <w:p>
      <w:pPr>
        <w:spacing w:line="360" w:lineRule="auto"/>
        <w:ind w:firstLine="420"/>
        <w:rPr>
          <w:rFonts w:hint="eastAsia"/>
          <w:color w:val="auto"/>
          <w:szCs w:val="21"/>
          <w:highlight w:val="none"/>
        </w:rPr>
      </w:pPr>
      <w:r>
        <w:rPr>
          <w:rFonts w:hint="eastAsia"/>
          <w:color w:val="auto"/>
          <w:szCs w:val="21"/>
          <w:highlight w:val="none"/>
        </w:rPr>
        <w:t>四、保修责任</w:t>
      </w:r>
    </w:p>
    <w:p>
      <w:pPr>
        <w:spacing w:line="360" w:lineRule="auto"/>
        <w:ind w:firstLine="420"/>
        <w:rPr>
          <w:rFonts w:hint="eastAsia"/>
          <w:color w:val="auto"/>
          <w:szCs w:val="21"/>
          <w:highlight w:val="none"/>
        </w:rPr>
      </w:pPr>
      <w:r>
        <w:rPr>
          <w:rFonts w:hint="eastAsia"/>
          <w:color w:val="auto"/>
          <w:szCs w:val="21"/>
          <w:highlight w:val="none"/>
        </w:rPr>
        <w:t>1．属于责任范围、内容的项目，承包人应当在接到保修通知之日起7天内派人保修。承包人不在约定期限内派人保修的，发包人可以委托他人修理。</w:t>
      </w:r>
    </w:p>
    <w:p>
      <w:pPr>
        <w:spacing w:line="360" w:lineRule="auto"/>
        <w:ind w:firstLine="420"/>
        <w:rPr>
          <w:rFonts w:hint="eastAsia"/>
          <w:color w:val="auto"/>
          <w:szCs w:val="21"/>
          <w:highlight w:val="none"/>
        </w:rPr>
      </w:pPr>
      <w:r>
        <w:rPr>
          <w:rFonts w:hint="eastAsia"/>
          <w:color w:val="auto"/>
          <w:szCs w:val="21"/>
          <w:highlight w:val="none"/>
        </w:rPr>
        <w:t>2．发生紧急抢修事故的，承包人在接到事故通知后，应当立即到达事故现场抢修。</w:t>
      </w:r>
    </w:p>
    <w:p>
      <w:pPr>
        <w:spacing w:line="360" w:lineRule="auto"/>
        <w:ind w:firstLine="420"/>
        <w:rPr>
          <w:rFonts w:hint="eastAsia"/>
          <w:color w:val="auto"/>
          <w:szCs w:val="21"/>
          <w:highlight w:val="none"/>
        </w:rPr>
      </w:pPr>
      <w:r>
        <w:rPr>
          <w:rFonts w:hint="eastAsia"/>
          <w:color w:val="auto"/>
          <w:szCs w:val="21"/>
          <w:highlight w:val="none"/>
        </w:rPr>
        <w:t>3．对于涉及结构安全的质量问题，应当按照《房屋建筑工程质量保修办法》的规定，立即向当地建设行政主管部门报告，采取安全防范措施；由原设计人或者具有相应资质等级的设计人提出保修方案，承包人实施保修。</w:t>
      </w:r>
    </w:p>
    <w:p>
      <w:pPr>
        <w:spacing w:line="360" w:lineRule="auto"/>
        <w:ind w:firstLine="420"/>
        <w:rPr>
          <w:rFonts w:hint="eastAsia"/>
          <w:color w:val="auto"/>
          <w:szCs w:val="21"/>
          <w:highlight w:val="none"/>
        </w:rPr>
      </w:pPr>
      <w:r>
        <w:rPr>
          <w:rFonts w:hint="eastAsia"/>
          <w:color w:val="auto"/>
          <w:szCs w:val="21"/>
          <w:highlight w:val="none"/>
        </w:rPr>
        <w:t>4．质量保修完成后，由发包人组织验收。</w:t>
      </w:r>
    </w:p>
    <w:p>
      <w:pPr>
        <w:spacing w:line="360" w:lineRule="auto"/>
        <w:ind w:firstLine="420"/>
        <w:rPr>
          <w:rFonts w:hint="eastAsia"/>
          <w:color w:val="auto"/>
          <w:szCs w:val="21"/>
          <w:highlight w:val="none"/>
        </w:rPr>
      </w:pPr>
      <w:r>
        <w:rPr>
          <w:rFonts w:hint="eastAsia"/>
          <w:color w:val="auto"/>
          <w:szCs w:val="21"/>
          <w:highlight w:val="none"/>
        </w:rPr>
        <w:t>五、保修费用</w:t>
      </w:r>
    </w:p>
    <w:p>
      <w:pPr>
        <w:spacing w:line="360" w:lineRule="auto"/>
        <w:ind w:firstLine="420"/>
        <w:rPr>
          <w:rFonts w:hint="eastAsia"/>
          <w:color w:val="auto"/>
          <w:szCs w:val="21"/>
          <w:highlight w:val="none"/>
        </w:rPr>
      </w:pPr>
      <w:r>
        <w:rPr>
          <w:rFonts w:hint="eastAsia"/>
          <w:color w:val="auto"/>
          <w:szCs w:val="21"/>
          <w:highlight w:val="none"/>
        </w:rPr>
        <w:t>保修费用由造成质量缺陷的责任方承担。</w:t>
      </w:r>
    </w:p>
    <w:p>
      <w:pPr>
        <w:spacing w:line="360" w:lineRule="auto"/>
        <w:ind w:firstLine="409" w:firstLineChars="195"/>
        <w:rPr>
          <w:rFonts w:hint="eastAsia"/>
          <w:color w:val="auto"/>
          <w:szCs w:val="21"/>
          <w:highlight w:val="none"/>
        </w:rPr>
      </w:pPr>
      <w:r>
        <w:rPr>
          <w:rFonts w:hint="eastAsia"/>
          <w:color w:val="auto"/>
          <w:szCs w:val="21"/>
          <w:highlight w:val="none"/>
        </w:rPr>
        <w:t>六、双方约定的其他工程保修责任事项：</w:t>
      </w:r>
      <w:r>
        <w:rPr>
          <w:color w:val="auto"/>
          <w:szCs w:val="21"/>
          <w:highlight w:val="none"/>
          <w:u w:val="single"/>
        </w:rPr>
        <w:t>保修期执行相关规定</w:t>
      </w:r>
      <w:r>
        <w:rPr>
          <w:rFonts w:hint="eastAsia"/>
          <w:b/>
          <w:color w:val="auto"/>
          <w:szCs w:val="21"/>
          <w:highlight w:val="none"/>
          <w:u w:val="single"/>
        </w:rPr>
        <w:t>。</w:t>
      </w:r>
    </w:p>
    <w:p>
      <w:pPr>
        <w:spacing w:line="360" w:lineRule="auto"/>
        <w:ind w:firstLine="420"/>
        <w:rPr>
          <w:rFonts w:hint="eastAsia"/>
          <w:color w:val="auto"/>
          <w:szCs w:val="21"/>
          <w:highlight w:val="none"/>
        </w:rPr>
      </w:pPr>
      <w:r>
        <w:rPr>
          <w:rFonts w:hint="eastAsia"/>
          <w:color w:val="auto"/>
          <w:szCs w:val="21"/>
          <w:highlight w:val="none"/>
        </w:rPr>
        <w:t>工程质量保修书由发包人、承包人在工程竣工验收前共同签署，作为施工合同附件，其有效期限至保修期满。</w:t>
      </w:r>
    </w:p>
    <w:p>
      <w:pPr>
        <w:spacing w:line="360" w:lineRule="auto"/>
        <w:ind w:firstLine="420"/>
        <w:rPr>
          <w:rFonts w:hint="eastAsia"/>
          <w:color w:val="auto"/>
          <w:szCs w:val="21"/>
          <w:highlight w:val="none"/>
        </w:rPr>
      </w:pPr>
    </w:p>
    <w:p>
      <w:pPr>
        <w:spacing w:line="360" w:lineRule="auto"/>
        <w:ind w:firstLine="420"/>
        <w:rPr>
          <w:rFonts w:hint="eastAsia"/>
          <w:color w:val="auto"/>
          <w:szCs w:val="21"/>
          <w:highlight w:val="none"/>
        </w:rPr>
      </w:pPr>
      <w:r>
        <w:rPr>
          <w:rFonts w:hint="eastAsia"/>
          <w:color w:val="auto"/>
          <w:szCs w:val="21"/>
          <w:highlight w:val="none"/>
        </w:rPr>
        <w:t>发包人(公章)：</w:t>
      </w:r>
      <w:r>
        <w:rPr>
          <w:rFonts w:hint="eastAsia"/>
          <w:color w:val="auto"/>
          <w:szCs w:val="21"/>
          <w:highlight w:val="none"/>
          <w:u w:val="single"/>
        </w:rPr>
        <w:t xml:space="preserve">                 </w:t>
      </w:r>
      <w:r>
        <w:rPr>
          <w:rFonts w:hint="eastAsia"/>
          <w:color w:val="auto"/>
          <w:szCs w:val="21"/>
          <w:highlight w:val="none"/>
        </w:rPr>
        <w:t xml:space="preserve">          承包人(公章)：</w:t>
      </w:r>
      <w:r>
        <w:rPr>
          <w:rFonts w:hint="eastAsia"/>
          <w:color w:val="auto"/>
          <w:szCs w:val="21"/>
          <w:highlight w:val="none"/>
          <w:u w:val="single"/>
        </w:rPr>
        <w:t xml:space="preserve">                  </w:t>
      </w:r>
    </w:p>
    <w:p>
      <w:pPr>
        <w:spacing w:line="360" w:lineRule="auto"/>
        <w:ind w:firstLine="420"/>
        <w:rPr>
          <w:rFonts w:hint="eastAsia"/>
          <w:color w:val="auto"/>
          <w:szCs w:val="21"/>
          <w:highlight w:val="none"/>
        </w:rPr>
      </w:pPr>
      <w:r>
        <w:rPr>
          <w:rFonts w:hint="eastAsia"/>
          <w:color w:val="auto"/>
          <w:szCs w:val="21"/>
          <w:highlight w:val="none"/>
        </w:rPr>
        <w:t>地址：</w:t>
      </w:r>
      <w:r>
        <w:rPr>
          <w:rFonts w:hint="eastAsia"/>
          <w:color w:val="auto"/>
          <w:szCs w:val="21"/>
          <w:highlight w:val="none"/>
          <w:u w:val="single"/>
        </w:rPr>
        <w:t xml:space="preserve">                         </w:t>
      </w:r>
      <w:r>
        <w:rPr>
          <w:rFonts w:hint="eastAsia"/>
          <w:color w:val="auto"/>
          <w:szCs w:val="21"/>
          <w:highlight w:val="none"/>
        </w:rPr>
        <w:t xml:space="preserve">          地址：</w:t>
      </w:r>
      <w:r>
        <w:rPr>
          <w:rFonts w:hint="eastAsia"/>
          <w:color w:val="auto"/>
          <w:szCs w:val="21"/>
          <w:highlight w:val="none"/>
          <w:u w:val="single"/>
        </w:rPr>
        <w:t xml:space="preserve">                          </w:t>
      </w:r>
    </w:p>
    <w:p>
      <w:pPr>
        <w:spacing w:line="360" w:lineRule="auto"/>
        <w:ind w:firstLine="420"/>
        <w:rPr>
          <w:rFonts w:hint="eastAsia"/>
          <w:color w:val="auto"/>
          <w:szCs w:val="21"/>
          <w:highlight w:val="none"/>
          <w:u w:val="single"/>
        </w:rPr>
      </w:pPr>
      <w:r>
        <w:rPr>
          <w:rFonts w:hint="eastAsia"/>
          <w:color w:val="auto"/>
          <w:szCs w:val="21"/>
          <w:highlight w:val="none"/>
        </w:rPr>
        <w:t>法定代表人(签字)：</w:t>
      </w:r>
      <w:r>
        <w:rPr>
          <w:rFonts w:hint="eastAsia"/>
          <w:color w:val="auto"/>
          <w:szCs w:val="21"/>
          <w:highlight w:val="none"/>
          <w:u w:val="single"/>
        </w:rPr>
        <w:t xml:space="preserve">             </w:t>
      </w:r>
      <w:r>
        <w:rPr>
          <w:rFonts w:hint="eastAsia"/>
          <w:color w:val="auto"/>
          <w:szCs w:val="21"/>
          <w:highlight w:val="none"/>
        </w:rPr>
        <w:t xml:space="preserve">          法定代表人(签字)：</w:t>
      </w:r>
      <w:r>
        <w:rPr>
          <w:rFonts w:hint="eastAsia"/>
          <w:color w:val="auto"/>
          <w:szCs w:val="21"/>
          <w:highlight w:val="none"/>
          <w:u w:val="single"/>
        </w:rPr>
        <w:t xml:space="preserve">              </w:t>
      </w:r>
    </w:p>
    <w:p>
      <w:pPr>
        <w:spacing w:line="360" w:lineRule="auto"/>
        <w:ind w:firstLine="420"/>
        <w:rPr>
          <w:rFonts w:hint="eastAsia"/>
          <w:color w:val="auto"/>
          <w:szCs w:val="21"/>
          <w:highlight w:val="none"/>
        </w:rPr>
      </w:pPr>
      <w:r>
        <w:rPr>
          <w:rFonts w:hint="eastAsia"/>
          <w:color w:val="auto"/>
          <w:szCs w:val="21"/>
          <w:highlight w:val="none"/>
        </w:rPr>
        <w:t>委托代理人(签字)：</w:t>
      </w:r>
      <w:r>
        <w:rPr>
          <w:rFonts w:hint="eastAsia"/>
          <w:color w:val="auto"/>
          <w:szCs w:val="21"/>
          <w:highlight w:val="none"/>
          <w:u w:val="single"/>
        </w:rPr>
        <w:t xml:space="preserve">             </w:t>
      </w:r>
      <w:r>
        <w:rPr>
          <w:rFonts w:hint="eastAsia"/>
          <w:color w:val="auto"/>
          <w:szCs w:val="21"/>
          <w:highlight w:val="none"/>
        </w:rPr>
        <w:t xml:space="preserve">          委托代理人(签字)：</w:t>
      </w:r>
      <w:r>
        <w:rPr>
          <w:rFonts w:hint="eastAsia"/>
          <w:color w:val="auto"/>
          <w:szCs w:val="21"/>
          <w:highlight w:val="none"/>
          <w:u w:val="single"/>
        </w:rPr>
        <w:t xml:space="preserve">              </w:t>
      </w:r>
    </w:p>
    <w:p>
      <w:pPr>
        <w:spacing w:line="360" w:lineRule="auto"/>
        <w:ind w:firstLine="420"/>
        <w:rPr>
          <w:rFonts w:hint="eastAsia"/>
          <w:color w:val="auto"/>
          <w:szCs w:val="21"/>
          <w:highlight w:val="none"/>
        </w:rPr>
      </w:pPr>
      <w:r>
        <w:rPr>
          <w:rFonts w:hint="eastAsia"/>
          <w:color w:val="auto"/>
          <w:szCs w:val="21"/>
          <w:highlight w:val="none"/>
        </w:rPr>
        <w:t>电话：</w:t>
      </w:r>
      <w:r>
        <w:rPr>
          <w:rFonts w:hint="eastAsia"/>
          <w:color w:val="auto"/>
          <w:szCs w:val="21"/>
          <w:highlight w:val="none"/>
          <w:u w:val="single"/>
        </w:rPr>
        <w:t xml:space="preserve">                         </w:t>
      </w:r>
      <w:r>
        <w:rPr>
          <w:rFonts w:hint="eastAsia"/>
          <w:color w:val="auto"/>
          <w:szCs w:val="21"/>
          <w:highlight w:val="none"/>
        </w:rPr>
        <w:t xml:space="preserve">          电话：</w:t>
      </w:r>
      <w:r>
        <w:rPr>
          <w:rFonts w:hint="eastAsia"/>
          <w:color w:val="auto"/>
          <w:szCs w:val="21"/>
          <w:highlight w:val="none"/>
          <w:u w:val="single"/>
        </w:rPr>
        <w:t xml:space="preserve">                          </w:t>
      </w:r>
    </w:p>
    <w:p>
      <w:pPr>
        <w:spacing w:line="360" w:lineRule="auto"/>
        <w:ind w:firstLine="420"/>
        <w:rPr>
          <w:rFonts w:hint="eastAsia"/>
          <w:color w:val="auto"/>
          <w:szCs w:val="21"/>
          <w:highlight w:val="none"/>
        </w:rPr>
      </w:pPr>
      <w:r>
        <w:rPr>
          <w:rFonts w:hint="eastAsia"/>
          <w:color w:val="auto"/>
          <w:szCs w:val="21"/>
          <w:highlight w:val="none"/>
        </w:rPr>
        <w:t>传真：</w:t>
      </w:r>
      <w:r>
        <w:rPr>
          <w:rFonts w:hint="eastAsia"/>
          <w:color w:val="auto"/>
          <w:szCs w:val="21"/>
          <w:highlight w:val="none"/>
          <w:u w:val="single"/>
        </w:rPr>
        <w:t xml:space="preserve">                         </w:t>
      </w:r>
      <w:r>
        <w:rPr>
          <w:rFonts w:hint="eastAsia"/>
          <w:color w:val="auto"/>
          <w:szCs w:val="21"/>
          <w:highlight w:val="none"/>
        </w:rPr>
        <w:t xml:space="preserve">          传真：</w:t>
      </w:r>
      <w:r>
        <w:rPr>
          <w:rFonts w:hint="eastAsia"/>
          <w:color w:val="auto"/>
          <w:szCs w:val="21"/>
          <w:highlight w:val="none"/>
          <w:u w:val="single"/>
        </w:rPr>
        <w:t xml:space="preserve">                          </w:t>
      </w:r>
    </w:p>
    <w:p>
      <w:pPr>
        <w:spacing w:line="360" w:lineRule="auto"/>
        <w:ind w:firstLine="420"/>
        <w:rPr>
          <w:rFonts w:hint="eastAsia"/>
          <w:color w:val="auto"/>
          <w:szCs w:val="21"/>
          <w:highlight w:val="none"/>
        </w:rPr>
      </w:pPr>
      <w:r>
        <w:rPr>
          <w:rFonts w:hint="eastAsia"/>
          <w:color w:val="auto"/>
          <w:szCs w:val="21"/>
          <w:highlight w:val="none"/>
        </w:rPr>
        <w:t>开户银行：</w:t>
      </w:r>
      <w:r>
        <w:rPr>
          <w:rFonts w:hint="eastAsia"/>
          <w:color w:val="auto"/>
          <w:szCs w:val="21"/>
          <w:highlight w:val="none"/>
          <w:u w:val="single"/>
        </w:rPr>
        <w:t xml:space="preserve">                     </w:t>
      </w:r>
      <w:r>
        <w:rPr>
          <w:rFonts w:hint="eastAsia"/>
          <w:color w:val="auto"/>
          <w:szCs w:val="21"/>
          <w:highlight w:val="none"/>
        </w:rPr>
        <w:t xml:space="preserve">          开户银行：</w:t>
      </w:r>
      <w:r>
        <w:rPr>
          <w:rFonts w:hint="eastAsia"/>
          <w:color w:val="auto"/>
          <w:szCs w:val="21"/>
          <w:highlight w:val="none"/>
          <w:u w:val="single"/>
        </w:rPr>
        <w:t xml:space="preserve">                      </w:t>
      </w:r>
    </w:p>
    <w:p>
      <w:pPr>
        <w:spacing w:line="360" w:lineRule="auto"/>
        <w:ind w:firstLine="420"/>
        <w:rPr>
          <w:rFonts w:hint="eastAsia"/>
          <w:color w:val="auto"/>
          <w:szCs w:val="21"/>
          <w:highlight w:val="none"/>
        </w:rPr>
      </w:pPr>
      <w:r>
        <w:rPr>
          <w:rFonts w:hint="eastAsia"/>
          <w:color w:val="auto"/>
          <w:szCs w:val="21"/>
          <w:highlight w:val="none"/>
        </w:rPr>
        <w:t>帐号：</w:t>
      </w:r>
      <w:r>
        <w:rPr>
          <w:rFonts w:hint="eastAsia"/>
          <w:color w:val="auto"/>
          <w:szCs w:val="21"/>
          <w:highlight w:val="none"/>
          <w:u w:val="single"/>
        </w:rPr>
        <w:t xml:space="preserve">                         </w:t>
      </w:r>
      <w:r>
        <w:rPr>
          <w:rFonts w:hint="eastAsia"/>
          <w:color w:val="auto"/>
          <w:szCs w:val="21"/>
          <w:highlight w:val="none"/>
        </w:rPr>
        <w:t xml:space="preserve">          帐号：</w:t>
      </w:r>
      <w:r>
        <w:rPr>
          <w:rFonts w:hint="eastAsia"/>
          <w:color w:val="auto"/>
          <w:szCs w:val="21"/>
          <w:highlight w:val="none"/>
          <w:u w:val="single"/>
        </w:rPr>
        <w:t xml:space="preserve">                          </w:t>
      </w:r>
    </w:p>
    <w:p>
      <w:pPr>
        <w:spacing w:line="360" w:lineRule="auto"/>
        <w:ind w:firstLine="420"/>
        <w:rPr>
          <w:color w:val="auto"/>
          <w:szCs w:val="21"/>
          <w:highlight w:val="none"/>
          <w:u w:val="single"/>
        </w:rPr>
      </w:pPr>
      <w:r>
        <w:rPr>
          <w:rFonts w:hint="eastAsia"/>
          <w:color w:val="auto"/>
          <w:szCs w:val="21"/>
          <w:highlight w:val="none"/>
        </w:rPr>
        <w:t>邮政编码：</w:t>
      </w:r>
      <w:r>
        <w:rPr>
          <w:rFonts w:hint="eastAsia"/>
          <w:color w:val="auto"/>
          <w:szCs w:val="21"/>
          <w:highlight w:val="none"/>
          <w:u w:val="single"/>
        </w:rPr>
        <w:t xml:space="preserve">                     </w:t>
      </w:r>
      <w:r>
        <w:rPr>
          <w:rFonts w:hint="eastAsia"/>
          <w:color w:val="auto"/>
          <w:szCs w:val="21"/>
          <w:highlight w:val="none"/>
        </w:rPr>
        <w:t xml:space="preserve">          邮政编码：</w:t>
      </w:r>
      <w:r>
        <w:rPr>
          <w:rFonts w:hint="eastAsia"/>
          <w:color w:val="auto"/>
          <w:szCs w:val="21"/>
          <w:highlight w:val="none"/>
          <w:u w:val="single"/>
        </w:rPr>
        <w:t xml:space="preserve">                      </w:t>
      </w:r>
    </w:p>
    <w:p>
      <w:pPr>
        <w:spacing w:afterLines="50" w:line="400" w:lineRule="exact"/>
        <w:rPr>
          <w:b/>
          <w:color w:val="auto"/>
          <w:szCs w:val="21"/>
          <w:highlight w:val="none"/>
        </w:rPr>
      </w:pPr>
      <w:r>
        <w:rPr>
          <w:color w:val="auto"/>
          <w:szCs w:val="21"/>
          <w:highlight w:val="none"/>
          <w:u w:val="single"/>
        </w:rPr>
        <w:br w:type="page"/>
      </w:r>
      <w:r>
        <w:rPr>
          <w:rFonts w:hint="eastAsia"/>
          <w:b/>
          <w:color w:val="auto"/>
          <w:szCs w:val="21"/>
          <w:highlight w:val="none"/>
        </w:rPr>
        <w:t>附件4：</w:t>
      </w:r>
      <w:r>
        <w:rPr>
          <w:b/>
          <w:color w:val="auto"/>
          <w:szCs w:val="21"/>
          <w:highlight w:val="none"/>
        </w:rPr>
        <w:t>主要建设工程文件目录</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61"/>
        <w:gridCol w:w="1366"/>
        <w:gridCol w:w="1366"/>
        <w:gridCol w:w="1195"/>
        <w:gridCol w:w="1366"/>
        <w:gridCol w:w="17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561"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文件名称</w:t>
            </w:r>
          </w:p>
        </w:tc>
        <w:tc>
          <w:tcPr>
            <w:tcW w:w="1366"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套数</w:t>
            </w:r>
          </w:p>
        </w:tc>
        <w:tc>
          <w:tcPr>
            <w:tcW w:w="1366"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费用</w:t>
            </w:r>
            <w:r>
              <w:rPr>
                <w:rFonts w:hint="eastAsia" w:ascii="宋体" w:hAnsi="宋体" w:eastAsia="Times New Roman"/>
                <w:color w:val="auto"/>
                <w:sz w:val="21"/>
                <w:szCs w:val="21"/>
                <w:highlight w:val="none"/>
              </w:rPr>
              <w:t>（元）</w:t>
            </w:r>
          </w:p>
        </w:tc>
        <w:tc>
          <w:tcPr>
            <w:tcW w:w="1195"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质量</w:t>
            </w:r>
          </w:p>
        </w:tc>
        <w:tc>
          <w:tcPr>
            <w:tcW w:w="1366" w:type="dxa"/>
            <w:tcBorders>
              <w:top w:val="single" w:color="auto" w:sz="12" w:space="0"/>
              <w:bottom w:val="double" w:color="auto" w:sz="6" w:space="0"/>
            </w:tcBorders>
            <w:vAlign w:val="center"/>
          </w:tcPr>
          <w:p>
            <w:pPr>
              <w:jc w:val="center"/>
              <w:rPr>
                <w:color w:val="auto"/>
                <w:szCs w:val="21"/>
                <w:highlight w:val="none"/>
              </w:rPr>
            </w:pPr>
            <w:r>
              <w:rPr>
                <w:color w:val="auto"/>
                <w:szCs w:val="21"/>
                <w:highlight w:val="none"/>
              </w:rPr>
              <w:t>移交时间</w:t>
            </w:r>
          </w:p>
        </w:tc>
        <w:tc>
          <w:tcPr>
            <w:tcW w:w="1706" w:type="dxa"/>
            <w:tcBorders>
              <w:top w:val="single" w:color="auto" w:sz="12" w:space="0"/>
              <w:bottom w:val="double" w:color="auto" w:sz="6" w:space="0"/>
            </w:tcBorders>
            <w:vAlign w:val="center"/>
          </w:tcPr>
          <w:p>
            <w:pPr>
              <w:jc w:val="center"/>
              <w:rPr>
                <w:color w:val="auto"/>
                <w:szCs w:val="21"/>
                <w:highlight w:val="none"/>
              </w:rPr>
            </w:pPr>
            <w:r>
              <w:rPr>
                <w:color w:val="auto"/>
                <w:szCs w:val="21"/>
                <w:highlight w:val="none"/>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561" w:type="dxa"/>
            <w:tcBorders>
              <w:top w:val="double" w:color="auto" w:sz="6" w:space="0"/>
              <w:bottom w:val="single" w:color="auto" w:sz="6" w:space="0"/>
            </w:tcBorders>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tcBorders>
              <w:top w:val="double" w:color="auto" w:sz="6" w:space="0"/>
              <w:bottom w:val="single" w:color="auto" w:sz="6" w:space="0"/>
            </w:tcBorders>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tcBorders>
              <w:top w:val="double" w:color="auto" w:sz="6" w:space="0"/>
              <w:bottom w:val="single" w:color="auto" w:sz="6" w:space="0"/>
            </w:tcBorders>
            <w:vAlign w:val="center"/>
          </w:tcPr>
          <w:p>
            <w:pPr>
              <w:pStyle w:val="2"/>
              <w:keepNext/>
              <w:spacing w:line="400" w:lineRule="exact"/>
              <w:ind w:left="63" w:right="63"/>
              <w:jc w:val="center"/>
              <w:rPr>
                <w:rFonts w:ascii="宋体" w:hAnsi="宋体" w:eastAsia="Times New Roman"/>
                <w:color w:val="auto"/>
                <w:szCs w:val="30"/>
                <w:highlight w:val="none"/>
              </w:rPr>
            </w:pPr>
          </w:p>
        </w:tc>
        <w:tc>
          <w:tcPr>
            <w:tcW w:w="1195" w:type="dxa"/>
            <w:tcBorders>
              <w:top w:val="double" w:color="auto" w:sz="6" w:space="0"/>
              <w:bottom w:val="single" w:color="auto" w:sz="6" w:space="0"/>
            </w:tcBorders>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tcBorders>
              <w:top w:val="double" w:color="auto" w:sz="6" w:space="0"/>
              <w:bottom w:val="single" w:color="auto" w:sz="6" w:space="0"/>
            </w:tcBorders>
            <w:vAlign w:val="center"/>
          </w:tcPr>
          <w:p>
            <w:pPr>
              <w:pStyle w:val="2"/>
              <w:keepNext/>
              <w:spacing w:line="400" w:lineRule="exact"/>
              <w:ind w:left="63" w:right="63"/>
              <w:jc w:val="center"/>
              <w:rPr>
                <w:rFonts w:ascii="宋体" w:hAnsi="宋体" w:eastAsia="Times New Roman"/>
                <w:color w:val="auto"/>
                <w:szCs w:val="30"/>
                <w:highlight w:val="none"/>
              </w:rPr>
            </w:pPr>
          </w:p>
        </w:tc>
        <w:tc>
          <w:tcPr>
            <w:tcW w:w="1706" w:type="dxa"/>
            <w:tcBorders>
              <w:top w:val="double" w:color="auto" w:sz="6" w:space="0"/>
              <w:bottom w:val="single" w:color="auto" w:sz="6" w:space="0"/>
            </w:tcBorders>
            <w:vAlign w:val="center"/>
          </w:tcPr>
          <w:p>
            <w:pPr>
              <w:pStyle w:val="2"/>
              <w:keepNext/>
              <w:spacing w:line="400" w:lineRule="exact"/>
              <w:ind w:left="63" w:right="63"/>
              <w:jc w:val="center"/>
              <w:rPr>
                <w:rFonts w:ascii="宋体" w:hAnsi="宋体" w:eastAsia="Times New Roman"/>
                <w:color w:val="auto"/>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561" w:type="dxa"/>
            <w:tcBorders>
              <w:top w:val="nil"/>
            </w:tcBorders>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tcBorders>
              <w:top w:val="nil"/>
            </w:tcBorders>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tcBorders>
              <w:top w:val="nil"/>
            </w:tcBorders>
            <w:vAlign w:val="center"/>
          </w:tcPr>
          <w:p>
            <w:pPr>
              <w:pStyle w:val="2"/>
              <w:keepNext/>
              <w:spacing w:line="400" w:lineRule="exact"/>
              <w:ind w:left="63" w:right="63"/>
              <w:jc w:val="center"/>
              <w:rPr>
                <w:rFonts w:ascii="宋体" w:hAnsi="宋体" w:eastAsia="Times New Roman"/>
                <w:color w:val="auto"/>
                <w:szCs w:val="30"/>
                <w:highlight w:val="none"/>
              </w:rPr>
            </w:pPr>
          </w:p>
        </w:tc>
        <w:tc>
          <w:tcPr>
            <w:tcW w:w="1195" w:type="dxa"/>
            <w:tcBorders>
              <w:top w:val="nil"/>
            </w:tcBorders>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tcBorders>
              <w:top w:val="nil"/>
            </w:tcBorders>
            <w:vAlign w:val="center"/>
          </w:tcPr>
          <w:p>
            <w:pPr>
              <w:pStyle w:val="2"/>
              <w:keepNext/>
              <w:spacing w:line="400" w:lineRule="exact"/>
              <w:ind w:left="63" w:right="63"/>
              <w:jc w:val="center"/>
              <w:rPr>
                <w:rFonts w:ascii="宋体" w:hAnsi="宋体" w:eastAsia="Times New Roman"/>
                <w:color w:val="auto"/>
                <w:szCs w:val="30"/>
                <w:highlight w:val="none"/>
              </w:rPr>
            </w:pPr>
          </w:p>
        </w:tc>
        <w:tc>
          <w:tcPr>
            <w:tcW w:w="1706" w:type="dxa"/>
            <w:tcBorders>
              <w:top w:val="nil"/>
            </w:tcBorders>
            <w:vAlign w:val="center"/>
          </w:tcPr>
          <w:p>
            <w:pPr>
              <w:pStyle w:val="2"/>
              <w:keepNext/>
              <w:spacing w:line="400" w:lineRule="exact"/>
              <w:ind w:left="63" w:right="63"/>
              <w:jc w:val="center"/>
              <w:rPr>
                <w:rFonts w:ascii="宋体" w:hAnsi="宋体" w:eastAsia="Times New Roman"/>
                <w:color w:val="auto"/>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561"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195"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706" w:type="dxa"/>
            <w:vAlign w:val="center"/>
          </w:tcPr>
          <w:p>
            <w:pPr>
              <w:pStyle w:val="2"/>
              <w:keepNext/>
              <w:spacing w:line="400" w:lineRule="exact"/>
              <w:ind w:left="63" w:right="63"/>
              <w:jc w:val="center"/>
              <w:rPr>
                <w:rFonts w:ascii="宋体" w:hAnsi="宋体" w:eastAsia="Times New Roman"/>
                <w:color w:val="auto"/>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561"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195"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706" w:type="dxa"/>
            <w:vAlign w:val="center"/>
          </w:tcPr>
          <w:p>
            <w:pPr>
              <w:pStyle w:val="2"/>
              <w:keepNext/>
              <w:spacing w:line="400" w:lineRule="exact"/>
              <w:ind w:left="63" w:right="63"/>
              <w:jc w:val="center"/>
              <w:rPr>
                <w:rFonts w:ascii="宋体" w:hAnsi="宋体" w:eastAsia="Times New Roman"/>
                <w:color w:val="auto"/>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561"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195"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706" w:type="dxa"/>
            <w:vAlign w:val="center"/>
          </w:tcPr>
          <w:p>
            <w:pPr>
              <w:pStyle w:val="2"/>
              <w:keepNext/>
              <w:spacing w:line="400" w:lineRule="exact"/>
              <w:ind w:left="63" w:right="63"/>
              <w:jc w:val="center"/>
              <w:rPr>
                <w:rFonts w:ascii="宋体" w:hAnsi="宋体" w:eastAsia="Times New Roman"/>
                <w:color w:val="auto"/>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561"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195"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706" w:type="dxa"/>
            <w:vAlign w:val="center"/>
          </w:tcPr>
          <w:p>
            <w:pPr>
              <w:pStyle w:val="2"/>
              <w:keepNext/>
              <w:spacing w:line="400" w:lineRule="exact"/>
              <w:ind w:left="63" w:right="63"/>
              <w:jc w:val="center"/>
              <w:rPr>
                <w:rFonts w:ascii="宋体" w:hAnsi="宋体" w:eastAsia="Times New Roman"/>
                <w:color w:val="auto"/>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561"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195"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706" w:type="dxa"/>
            <w:vAlign w:val="center"/>
          </w:tcPr>
          <w:p>
            <w:pPr>
              <w:pStyle w:val="2"/>
              <w:keepNext/>
              <w:spacing w:line="400" w:lineRule="exact"/>
              <w:ind w:left="63" w:right="63"/>
              <w:jc w:val="center"/>
              <w:rPr>
                <w:rFonts w:ascii="宋体" w:hAnsi="宋体" w:eastAsia="Times New Roman"/>
                <w:color w:val="auto"/>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561"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195"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706" w:type="dxa"/>
            <w:vAlign w:val="center"/>
          </w:tcPr>
          <w:p>
            <w:pPr>
              <w:pStyle w:val="2"/>
              <w:keepNext/>
              <w:spacing w:line="400" w:lineRule="exact"/>
              <w:ind w:left="63" w:right="63"/>
              <w:jc w:val="center"/>
              <w:rPr>
                <w:rFonts w:ascii="宋体" w:hAnsi="宋体" w:eastAsia="Times New Roman"/>
                <w:color w:val="auto"/>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561"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195"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706" w:type="dxa"/>
            <w:vAlign w:val="top"/>
          </w:tcPr>
          <w:p>
            <w:pPr>
              <w:jc w:val="center"/>
              <w:rPr>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561"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195"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366" w:type="dxa"/>
            <w:vAlign w:val="center"/>
          </w:tcPr>
          <w:p>
            <w:pPr>
              <w:pStyle w:val="2"/>
              <w:keepNext/>
              <w:spacing w:line="400" w:lineRule="exact"/>
              <w:ind w:left="63" w:right="63"/>
              <w:jc w:val="center"/>
              <w:rPr>
                <w:rFonts w:ascii="宋体" w:hAnsi="宋体" w:eastAsia="Times New Roman"/>
                <w:color w:val="auto"/>
                <w:szCs w:val="30"/>
                <w:highlight w:val="none"/>
              </w:rPr>
            </w:pPr>
          </w:p>
        </w:tc>
        <w:tc>
          <w:tcPr>
            <w:tcW w:w="1706" w:type="dxa"/>
            <w:vAlign w:val="center"/>
          </w:tcPr>
          <w:p>
            <w:pPr>
              <w:pStyle w:val="2"/>
              <w:keepNext/>
              <w:spacing w:line="400" w:lineRule="exact"/>
              <w:ind w:left="63" w:right="63"/>
              <w:jc w:val="center"/>
              <w:rPr>
                <w:rFonts w:ascii="宋体" w:hAnsi="宋体" w:eastAsia="Times New Roman"/>
                <w:color w:val="auto"/>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561"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195"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706" w:type="dxa"/>
            <w:vAlign w:val="top"/>
          </w:tcPr>
          <w:p>
            <w:pPr>
              <w:jc w:val="center"/>
              <w:rPr>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561"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195"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706" w:type="dxa"/>
            <w:vAlign w:val="top"/>
          </w:tcPr>
          <w:p>
            <w:pPr>
              <w:jc w:val="center"/>
              <w:rPr>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561"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195"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706" w:type="dxa"/>
            <w:vAlign w:val="top"/>
          </w:tcPr>
          <w:p>
            <w:pPr>
              <w:jc w:val="center"/>
              <w:rPr>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561"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195"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706" w:type="dxa"/>
            <w:vAlign w:val="top"/>
          </w:tcPr>
          <w:p>
            <w:pPr>
              <w:jc w:val="center"/>
              <w:rPr>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561"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195"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706" w:type="dxa"/>
            <w:vAlign w:val="top"/>
          </w:tcPr>
          <w:p>
            <w:pPr>
              <w:jc w:val="center"/>
              <w:rPr>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561"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195"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706" w:type="dxa"/>
            <w:vAlign w:val="top"/>
          </w:tcPr>
          <w:p>
            <w:pPr>
              <w:jc w:val="center"/>
              <w:rPr>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561"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195"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706" w:type="dxa"/>
            <w:vAlign w:val="top"/>
          </w:tcPr>
          <w:p>
            <w:pPr>
              <w:jc w:val="center"/>
              <w:rPr>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561"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195"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706" w:type="dxa"/>
            <w:vAlign w:val="top"/>
          </w:tcPr>
          <w:p>
            <w:pPr>
              <w:jc w:val="center"/>
              <w:rPr>
                <w:color w:val="auto"/>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561"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195" w:type="dxa"/>
            <w:vAlign w:val="top"/>
          </w:tcPr>
          <w:p>
            <w:pPr>
              <w:jc w:val="center"/>
              <w:rPr>
                <w:color w:val="auto"/>
                <w:sz w:val="30"/>
                <w:szCs w:val="30"/>
                <w:highlight w:val="none"/>
              </w:rPr>
            </w:pPr>
          </w:p>
        </w:tc>
        <w:tc>
          <w:tcPr>
            <w:tcW w:w="1366" w:type="dxa"/>
            <w:vAlign w:val="top"/>
          </w:tcPr>
          <w:p>
            <w:pPr>
              <w:jc w:val="center"/>
              <w:rPr>
                <w:color w:val="auto"/>
                <w:sz w:val="30"/>
                <w:szCs w:val="30"/>
                <w:highlight w:val="none"/>
              </w:rPr>
            </w:pPr>
          </w:p>
        </w:tc>
        <w:tc>
          <w:tcPr>
            <w:tcW w:w="1706" w:type="dxa"/>
            <w:vAlign w:val="top"/>
          </w:tcPr>
          <w:p>
            <w:pPr>
              <w:jc w:val="center"/>
              <w:rPr>
                <w:color w:val="auto"/>
                <w:sz w:val="30"/>
                <w:szCs w:val="30"/>
                <w:highlight w:val="none"/>
              </w:rPr>
            </w:pPr>
          </w:p>
        </w:tc>
      </w:tr>
    </w:tbl>
    <w:p>
      <w:pPr>
        <w:spacing w:afterLines="50"/>
        <w:ind w:firstLine="480"/>
        <w:rPr>
          <w:color w:val="auto"/>
          <w:sz w:val="24"/>
          <w:highlight w:val="none"/>
        </w:rPr>
      </w:pPr>
      <w:bookmarkStart w:id="1047" w:name="_Toc296347226"/>
      <w:bookmarkStart w:id="1048" w:name="_Toc296944566"/>
      <w:bookmarkStart w:id="1049" w:name="_Toc267261698"/>
      <w:bookmarkStart w:id="1050" w:name="_Toc296503227"/>
      <w:bookmarkStart w:id="1051" w:name="_Toc296891267"/>
      <w:bookmarkStart w:id="1052" w:name="_Toc296891055"/>
      <w:bookmarkStart w:id="1053" w:name="_Toc296346728"/>
    </w:p>
    <w:p>
      <w:pPr>
        <w:spacing w:afterLines="50"/>
        <w:rPr>
          <w:b/>
          <w:color w:val="auto"/>
          <w:szCs w:val="21"/>
          <w:highlight w:val="none"/>
        </w:rPr>
      </w:pPr>
      <w:r>
        <w:rPr>
          <w:color w:val="auto"/>
          <w:sz w:val="24"/>
          <w:highlight w:val="none"/>
        </w:rPr>
        <w:br w:type="page"/>
      </w:r>
      <w:r>
        <w:rPr>
          <w:rFonts w:hint="eastAsia"/>
          <w:b/>
          <w:color w:val="auto"/>
          <w:szCs w:val="21"/>
          <w:highlight w:val="none"/>
        </w:rPr>
        <w:t>附件5</w:t>
      </w:r>
      <w:r>
        <w:rPr>
          <w:b/>
          <w:color w:val="auto"/>
          <w:szCs w:val="21"/>
          <w:highlight w:val="none"/>
        </w:rPr>
        <w:t>：</w:t>
      </w:r>
      <w:bookmarkEnd w:id="1047"/>
      <w:bookmarkEnd w:id="1048"/>
      <w:bookmarkEnd w:id="1049"/>
      <w:bookmarkEnd w:id="1050"/>
      <w:bookmarkEnd w:id="1051"/>
      <w:bookmarkEnd w:id="1052"/>
      <w:bookmarkEnd w:id="1053"/>
      <w:r>
        <w:rPr>
          <w:b/>
          <w:color w:val="auto"/>
          <w:szCs w:val="21"/>
          <w:highlight w:val="none"/>
        </w:rPr>
        <w:t>承包人用于本工程施工的机械设备表</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023"/>
        <w:gridCol w:w="1024"/>
        <w:gridCol w:w="854"/>
        <w:gridCol w:w="854"/>
        <w:gridCol w:w="1024"/>
        <w:gridCol w:w="1024"/>
        <w:gridCol w:w="1024"/>
        <w:gridCol w:w="8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序号</w:t>
            </w:r>
          </w:p>
        </w:tc>
        <w:tc>
          <w:tcPr>
            <w:tcW w:w="1023"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机械或设备名称</w:t>
            </w:r>
          </w:p>
        </w:tc>
        <w:tc>
          <w:tcPr>
            <w:tcW w:w="1024"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规格型号</w:t>
            </w:r>
          </w:p>
        </w:tc>
        <w:tc>
          <w:tcPr>
            <w:tcW w:w="854"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数量</w:t>
            </w:r>
          </w:p>
        </w:tc>
        <w:tc>
          <w:tcPr>
            <w:tcW w:w="854"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产地</w:t>
            </w:r>
          </w:p>
        </w:tc>
        <w:tc>
          <w:tcPr>
            <w:tcW w:w="1024"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制造年份</w:t>
            </w:r>
          </w:p>
        </w:tc>
        <w:tc>
          <w:tcPr>
            <w:tcW w:w="1024" w:type="dxa"/>
            <w:tcBorders>
              <w:top w:val="single" w:color="auto" w:sz="12" w:space="0"/>
              <w:bottom w:val="double" w:color="auto" w:sz="6" w:space="0"/>
            </w:tcBorders>
            <w:vAlign w:val="center"/>
          </w:tcPr>
          <w:p>
            <w:pPr>
              <w:pStyle w:val="2"/>
              <w:keepNext/>
              <w:spacing w:line="400" w:lineRule="exact"/>
              <w:ind w:left="63" w:right="63"/>
              <w:rPr>
                <w:rFonts w:hint="eastAsia" w:ascii="宋体" w:hAnsi="宋体" w:eastAsia="Times New Roman"/>
                <w:color w:val="auto"/>
                <w:sz w:val="21"/>
                <w:szCs w:val="21"/>
                <w:highlight w:val="none"/>
              </w:rPr>
            </w:pPr>
            <w:r>
              <w:rPr>
                <w:rFonts w:ascii="宋体" w:hAnsi="宋体" w:eastAsia="Times New Roman"/>
                <w:color w:val="auto"/>
                <w:sz w:val="21"/>
                <w:szCs w:val="21"/>
                <w:highlight w:val="none"/>
              </w:rPr>
              <w:t>额定功率</w:t>
            </w:r>
          </w:p>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(kW)</w:t>
            </w:r>
          </w:p>
        </w:tc>
        <w:tc>
          <w:tcPr>
            <w:tcW w:w="1024"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生产能力</w:t>
            </w:r>
          </w:p>
        </w:tc>
        <w:tc>
          <w:tcPr>
            <w:tcW w:w="854"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79" w:type="dxa"/>
            <w:tcBorders>
              <w:top w:val="double" w:color="auto" w:sz="6" w:space="0"/>
              <w:bottom w:val="single" w:color="auto" w:sz="6" w:space="0"/>
            </w:tcBorders>
            <w:vAlign w:val="center"/>
          </w:tcPr>
          <w:p>
            <w:pPr>
              <w:pStyle w:val="2"/>
              <w:keepNext/>
              <w:spacing w:line="400" w:lineRule="exact"/>
              <w:ind w:left="63" w:right="63"/>
              <w:jc w:val="center"/>
              <w:rPr>
                <w:rFonts w:ascii="宋体" w:hAnsi="宋体" w:eastAsia="Times New Roman"/>
                <w:color w:val="auto"/>
                <w:szCs w:val="21"/>
                <w:highlight w:val="none"/>
              </w:rPr>
            </w:pPr>
          </w:p>
        </w:tc>
        <w:tc>
          <w:tcPr>
            <w:tcW w:w="1023" w:type="dxa"/>
            <w:tcBorders>
              <w:top w:val="double" w:color="auto" w:sz="6" w:space="0"/>
              <w:bottom w:val="single" w:color="auto" w:sz="6" w:space="0"/>
            </w:tcBorders>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tcBorders>
              <w:top w:val="double" w:color="auto" w:sz="6" w:space="0"/>
              <w:bottom w:val="single" w:color="auto" w:sz="6" w:space="0"/>
            </w:tcBorders>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tcBorders>
              <w:top w:val="double" w:color="auto" w:sz="6" w:space="0"/>
              <w:bottom w:val="single" w:color="auto" w:sz="6" w:space="0"/>
            </w:tcBorders>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tcBorders>
              <w:top w:val="double" w:color="auto" w:sz="6" w:space="0"/>
              <w:bottom w:val="single" w:color="auto" w:sz="6" w:space="0"/>
            </w:tcBorders>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tcBorders>
              <w:top w:val="double" w:color="auto" w:sz="6" w:space="0"/>
              <w:bottom w:val="single" w:color="auto" w:sz="6" w:space="0"/>
            </w:tcBorders>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tcBorders>
              <w:top w:val="double" w:color="auto" w:sz="6" w:space="0"/>
              <w:bottom w:val="single" w:color="auto" w:sz="6" w:space="0"/>
            </w:tcBorders>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tcBorders>
              <w:top w:val="double" w:color="auto" w:sz="6" w:space="0"/>
              <w:bottom w:val="single" w:color="auto" w:sz="6" w:space="0"/>
            </w:tcBorders>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tcBorders>
              <w:top w:val="double" w:color="auto" w:sz="6" w:space="0"/>
              <w:bottom w:val="single" w:color="auto" w:sz="6" w:space="0"/>
            </w:tcBorders>
            <w:vAlign w:val="center"/>
          </w:tcPr>
          <w:p>
            <w:pPr>
              <w:pStyle w:val="2"/>
              <w:keepNext/>
              <w:spacing w:line="400" w:lineRule="exact"/>
              <w:ind w:left="63" w:right="63"/>
              <w:jc w:val="center"/>
              <w:rPr>
                <w:rFonts w:ascii="宋体" w:hAnsi="宋体" w:eastAsia="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79" w:type="dxa"/>
            <w:tcBorders>
              <w:top w:val="nil"/>
            </w:tcBorders>
            <w:vAlign w:val="center"/>
          </w:tcPr>
          <w:p>
            <w:pPr>
              <w:pStyle w:val="2"/>
              <w:keepNext/>
              <w:spacing w:line="400" w:lineRule="exact"/>
              <w:ind w:left="63" w:right="63"/>
              <w:jc w:val="center"/>
              <w:rPr>
                <w:rFonts w:ascii="宋体" w:hAnsi="宋体" w:eastAsia="Times New Roman"/>
                <w:color w:val="auto"/>
                <w:szCs w:val="21"/>
                <w:highlight w:val="none"/>
              </w:rPr>
            </w:pPr>
          </w:p>
        </w:tc>
        <w:tc>
          <w:tcPr>
            <w:tcW w:w="1023" w:type="dxa"/>
            <w:tcBorders>
              <w:top w:val="nil"/>
            </w:tcBorders>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tcBorders>
              <w:top w:val="nil"/>
            </w:tcBorders>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tcBorders>
              <w:top w:val="nil"/>
            </w:tcBorders>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tcBorders>
              <w:top w:val="nil"/>
            </w:tcBorders>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tcBorders>
              <w:top w:val="nil"/>
            </w:tcBorders>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tcBorders>
              <w:top w:val="nil"/>
            </w:tcBorders>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tcBorders>
              <w:top w:val="nil"/>
            </w:tcBorders>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tcBorders>
              <w:top w:val="nil"/>
            </w:tcBorders>
            <w:vAlign w:val="center"/>
          </w:tcPr>
          <w:p>
            <w:pPr>
              <w:pStyle w:val="2"/>
              <w:keepNext/>
              <w:spacing w:line="400" w:lineRule="exact"/>
              <w:ind w:left="63" w:right="63"/>
              <w:jc w:val="center"/>
              <w:rPr>
                <w:rFonts w:ascii="宋体" w:hAnsi="宋体" w:eastAsia="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79"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3"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vAlign w:val="center"/>
          </w:tcPr>
          <w:p>
            <w:pPr>
              <w:pStyle w:val="2"/>
              <w:keepNext/>
              <w:spacing w:line="400" w:lineRule="exact"/>
              <w:ind w:left="63" w:right="63"/>
              <w:jc w:val="center"/>
              <w:rPr>
                <w:rFonts w:ascii="宋体" w:hAnsi="宋体" w:eastAsia="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79"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3"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vAlign w:val="center"/>
          </w:tcPr>
          <w:p>
            <w:pPr>
              <w:pStyle w:val="2"/>
              <w:keepNext/>
              <w:spacing w:line="400" w:lineRule="exact"/>
              <w:ind w:left="63" w:right="63"/>
              <w:jc w:val="center"/>
              <w:rPr>
                <w:rFonts w:ascii="宋体" w:hAnsi="宋体" w:eastAsia="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79"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3"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vAlign w:val="center"/>
          </w:tcPr>
          <w:p>
            <w:pPr>
              <w:pStyle w:val="2"/>
              <w:keepNext/>
              <w:spacing w:line="400" w:lineRule="exact"/>
              <w:ind w:left="63" w:right="63"/>
              <w:jc w:val="center"/>
              <w:rPr>
                <w:rFonts w:ascii="宋体" w:hAnsi="宋体" w:eastAsia="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79"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3"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vAlign w:val="center"/>
          </w:tcPr>
          <w:p>
            <w:pPr>
              <w:pStyle w:val="2"/>
              <w:keepNext/>
              <w:spacing w:line="400" w:lineRule="exact"/>
              <w:ind w:left="63" w:right="63"/>
              <w:jc w:val="center"/>
              <w:rPr>
                <w:rFonts w:ascii="宋体" w:hAnsi="宋体" w:eastAsia="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79"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3"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vAlign w:val="center"/>
          </w:tcPr>
          <w:p>
            <w:pPr>
              <w:pStyle w:val="2"/>
              <w:keepNext/>
              <w:spacing w:line="400" w:lineRule="exact"/>
              <w:ind w:left="63" w:right="63"/>
              <w:jc w:val="center"/>
              <w:rPr>
                <w:rFonts w:ascii="宋体" w:hAnsi="宋体" w:eastAsia="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79"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3"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vAlign w:val="center"/>
          </w:tcPr>
          <w:p>
            <w:pPr>
              <w:pStyle w:val="2"/>
              <w:keepNext/>
              <w:spacing w:line="400" w:lineRule="exact"/>
              <w:ind w:left="63" w:right="63"/>
              <w:jc w:val="center"/>
              <w:rPr>
                <w:rFonts w:ascii="宋体" w:hAnsi="宋体" w:eastAsia="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79" w:type="dxa"/>
            <w:vAlign w:val="top"/>
          </w:tcPr>
          <w:p>
            <w:pPr>
              <w:jc w:val="center"/>
              <w:rPr>
                <w:color w:val="auto"/>
                <w:szCs w:val="21"/>
                <w:highlight w:val="none"/>
              </w:rPr>
            </w:pPr>
          </w:p>
        </w:tc>
        <w:tc>
          <w:tcPr>
            <w:tcW w:w="1023"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854" w:type="dxa"/>
            <w:vAlign w:val="top"/>
          </w:tcPr>
          <w:p>
            <w:pPr>
              <w:jc w:val="center"/>
              <w:rPr>
                <w:color w:val="auto"/>
                <w:szCs w:val="21"/>
                <w:highlight w:val="none"/>
              </w:rPr>
            </w:pPr>
          </w:p>
        </w:tc>
        <w:tc>
          <w:tcPr>
            <w:tcW w:w="85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854" w:type="dxa"/>
            <w:vAlign w:val="top"/>
          </w:tcPr>
          <w:p>
            <w:pPr>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79"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3"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1024" w:type="dxa"/>
            <w:vAlign w:val="center"/>
          </w:tcPr>
          <w:p>
            <w:pPr>
              <w:pStyle w:val="2"/>
              <w:keepNext/>
              <w:spacing w:line="400" w:lineRule="exact"/>
              <w:ind w:left="63" w:right="63"/>
              <w:jc w:val="center"/>
              <w:rPr>
                <w:rFonts w:ascii="宋体" w:hAnsi="宋体" w:eastAsia="Times New Roman"/>
                <w:color w:val="auto"/>
                <w:szCs w:val="21"/>
                <w:highlight w:val="none"/>
              </w:rPr>
            </w:pPr>
          </w:p>
        </w:tc>
        <w:tc>
          <w:tcPr>
            <w:tcW w:w="854" w:type="dxa"/>
            <w:vAlign w:val="center"/>
          </w:tcPr>
          <w:p>
            <w:pPr>
              <w:pStyle w:val="2"/>
              <w:keepNext/>
              <w:spacing w:line="400" w:lineRule="exact"/>
              <w:ind w:left="63" w:right="63"/>
              <w:jc w:val="center"/>
              <w:rPr>
                <w:rFonts w:ascii="宋体" w:hAnsi="宋体" w:eastAsia="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79" w:type="dxa"/>
            <w:vAlign w:val="top"/>
          </w:tcPr>
          <w:p>
            <w:pPr>
              <w:jc w:val="center"/>
              <w:rPr>
                <w:color w:val="auto"/>
                <w:szCs w:val="21"/>
                <w:highlight w:val="none"/>
              </w:rPr>
            </w:pPr>
          </w:p>
        </w:tc>
        <w:tc>
          <w:tcPr>
            <w:tcW w:w="1023"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854" w:type="dxa"/>
            <w:vAlign w:val="top"/>
          </w:tcPr>
          <w:p>
            <w:pPr>
              <w:jc w:val="center"/>
              <w:rPr>
                <w:color w:val="auto"/>
                <w:szCs w:val="21"/>
                <w:highlight w:val="none"/>
              </w:rPr>
            </w:pPr>
          </w:p>
        </w:tc>
        <w:tc>
          <w:tcPr>
            <w:tcW w:w="85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854" w:type="dxa"/>
            <w:vAlign w:val="top"/>
          </w:tcPr>
          <w:p>
            <w:pPr>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79" w:type="dxa"/>
            <w:vAlign w:val="top"/>
          </w:tcPr>
          <w:p>
            <w:pPr>
              <w:jc w:val="center"/>
              <w:rPr>
                <w:color w:val="auto"/>
                <w:szCs w:val="21"/>
                <w:highlight w:val="none"/>
              </w:rPr>
            </w:pPr>
          </w:p>
        </w:tc>
        <w:tc>
          <w:tcPr>
            <w:tcW w:w="1023"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854" w:type="dxa"/>
            <w:vAlign w:val="top"/>
          </w:tcPr>
          <w:p>
            <w:pPr>
              <w:jc w:val="center"/>
              <w:rPr>
                <w:color w:val="auto"/>
                <w:szCs w:val="21"/>
                <w:highlight w:val="none"/>
              </w:rPr>
            </w:pPr>
          </w:p>
        </w:tc>
        <w:tc>
          <w:tcPr>
            <w:tcW w:w="85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854" w:type="dxa"/>
            <w:vAlign w:val="top"/>
          </w:tcPr>
          <w:p>
            <w:pPr>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79" w:type="dxa"/>
            <w:vAlign w:val="top"/>
          </w:tcPr>
          <w:p>
            <w:pPr>
              <w:jc w:val="center"/>
              <w:rPr>
                <w:color w:val="auto"/>
                <w:szCs w:val="21"/>
                <w:highlight w:val="none"/>
              </w:rPr>
            </w:pPr>
          </w:p>
        </w:tc>
        <w:tc>
          <w:tcPr>
            <w:tcW w:w="1023"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854" w:type="dxa"/>
            <w:vAlign w:val="top"/>
          </w:tcPr>
          <w:p>
            <w:pPr>
              <w:jc w:val="center"/>
              <w:rPr>
                <w:color w:val="auto"/>
                <w:szCs w:val="21"/>
                <w:highlight w:val="none"/>
              </w:rPr>
            </w:pPr>
          </w:p>
        </w:tc>
        <w:tc>
          <w:tcPr>
            <w:tcW w:w="85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854" w:type="dxa"/>
            <w:vAlign w:val="top"/>
          </w:tcPr>
          <w:p>
            <w:pPr>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79" w:type="dxa"/>
            <w:vAlign w:val="top"/>
          </w:tcPr>
          <w:p>
            <w:pPr>
              <w:jc w:val="center"/>
              <w:rPr>
                <w:color w:val="auto"/>
                <w:szCs w:val="21"/>
                <w:highlight w:val="none"/>
              </w:rPr>
            </w:pPr>
          </w:p>
        </w:tc>
        <w:tc>
          <w:tcPr>
            <w:tcW w:w="1023"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854" w:type="dxa"/>
            <w:vAlign w:val="top"/>
          </w:tcPr>
          <w:p>
            <w:pPr>
              <w:jc w:val="center"/>
              <w:rPr>
                <w:color w:val="auto"/>
                <w:szCs w:val="21"/>
                <w:highlight w:val="none"/>
              </w:rPr>
            </w:pPr>
          </w:p>
        </w:tc>
        <w:tc>
          <w:tcPr>
            <w:tcW w:w="85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854" w:type="dxa"/>
            <w:vAlign w:val="top"/>
          </w:tcPr>
          <w:p>
            <w:pPr>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79" w:type="dxa"/>
            <w:vAlign w:val="top"/>
          </w:tcPr>
          <w:p>
            <w:pPr>
              <w:jc w:val="center"/>
              <w:rPr>
                <w:color w:val="auto"/>
                <w:szCs w:val="21"/>
                <w:highlight w:val="none"/>
              </w:rPr>
            </w:pPr>
          </w:p>
        </w:tc>
        <w:tc>
          <w:tcPr>
            <w:tcW w:w="1023"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854" w:type="dxa"/>
            <w:vAlign w:val="top"/>
          </w:tcPr>
          <w:p>
            <w:pPr>
              <w:jc w:val="center"/>
              <w:rPr>
                <w:color w:val="auto"/>
                <w:szCs w:val="21"/>
                <w:highlight w:val="none"/>
              </w:rPr>
            </w:pPr>
          </w:p>
        </w:tc>
        <w:tc>
          <w:tcPr>
            <w:tcW w:w="85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854" w:type="dxa"/>
            <w:vAlign w:val="top"/>
          </w:tcPr>
          <w:p>
            <w:pPr>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79" w:type="dxa"/>
            <w:vAlign w:val="top"/>
          </w:tcPr>
          <w:p>
            <w:pPr>
              <w:jc w:val="center"/>
              <w:rPr>
                <w:color w:val="auto"/>
                <w:szCs w:val="21"/>
                <w:highlight w:val="none"/>
              </w:rPr>
            </w:pPr>
          </w:p>
        </w:tc>
        <w:tc>
          <w:tcPr>
            <w:tcW w:w="1023"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854" w:type="dxa"/>
            <w:vAlign w:val="top"/>
          </w:tcPr>
          <w:p>
            <w:pPr>
              <w:jc w:val="center"/>
              <w:rPr>
                <w:color w:val="auto"/>
                <w:szCs w:val="21"/>
                <w:highlight w:val="none"/>
              </w:rPr>
            </w:pPr>
          </w:p>
        </w:tc>
        <w:tc>
          <w:tcPr>
            <w:tcW w:w="85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854" w:type="dxa"/>
            <w:vAlign w:val="top"/>
          </w:tcPr>
          <w:p>
            <w:pPr>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79" w:type="dxa"/>
            <w:vAlign w:val="top"/>
          </w:tcPr>
          <w:p>
            <w:pPr>
              <w:jc w:val="center"/>
              <w:rPr>
                <w:color w:val="auto"/>
                <w:szCs w:val="21"/>
                <w:highlight w:val="none"/>
              </w:rPr>
            </w:pPr>
          </w:p>
        </w:tc>
        <w:tc>
          <w:tcPr>
            <w:tcW w:w="1023"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854" w:type="dxa"/>
            <w:vAlign w:val="top"/>
          </w:tcPr>
          <w:p>
            <w:pPr>
              <w:jc w:val="center"/>
              <w:rPr>
                <w:color w:val="auto"/>
                <w:szCs w:val="21"/>
                <w:highlight w:val="none"/>
              </w:rPr>
            </w:pPr>
          </w:p>
        </w:tc>
        <w:tc>
          <w:tcPr>
            <w:tcW w:w="85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854" w:type="dxa"/>
            <w:vAlign w:val="top"/>
          </w:tcPr>
          <w:p>
            <w:pPr>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79" w:type="dxa"/>
            <w:vAlign w:val="top"/>
          </w:tcPr>
          <w:p>
            <w:pPr>
              <w:jc w:val="center"/>
              <w:rPr>
                <w:color w:val="auto"/>
                <w:szCs w:val="21"/>
                <w:highlight w:val="none"/>
              </w:rPr>
            </w:pPr>
          </w:p>
        </w:tc>
        <w:tc>
          <w:tcPr>
            <w:tcW w:w="1023"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854" w:type="dxa"/>
            <w:vAlign w:val="top"/>
          </w:tcPr>
          <w:p>
            <w:pPr>
              <w:jc w:val="center"/>
              <w:rPr>
                <w:color w:val="auto"/>
                <w:szCs w:val="21"/>
                <w:highlight w:val="none"/>
              </w:rPr>
            </w:pPr>
          </w:p>
        </w:tc>
        <w:tc>
          <w:tcPr>
            <w:tcW w:w="85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854" w:type="dxa"/>
            <w:vAlign w:val="top"/>
          </w:tcPr>
          <w:p>
            <w:pPr>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79" w:type="dxa"/>
            <w:vAlign w:val="top"/>
          </w:tcPr>
          <w:p>
            <w:pPr>
              <w:jc w:val="center"/>
              <w:rPr>
                <w:color w:val="auto"/>
                <w:szCs w:val="21"/>
                <w:highlight w:val="none"/>
              </w:rPr>
            </w:pPr>
          </w:p>
        </w:tc>
        <w:tc>
          <w:tcPr>
            <w:tcW w:w="1023"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854" w:type="dxa"/>
            <w:vAlign w:val="top"/>
          </w:tcPr>
          <w:p>
            <w:pPr>
              <w:jc w:val="center"/>
              <w:rPr>
                <w:color w:val="auto"/>
                <w:szCs w:val="21"/>
                <w:highlight w:val="none"/>
              </w:rPr>
            </w:pPr>
          </w:p>
        </w:tc>
        <w:tc>
          <w:tcPr>
            <w:tcW w:w="85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1024" w:type="dxa"/>
            <w:vAlign w:val="top"/>
          </w:tcPr>
          <w:p>
            <w:pPr>
              <w:jc w:val="center"/>
              <w:rPr>
                <w:color w:val="auto"/>
                <w:szCs w:val="21"/>
                <w:highlight w:val="none"/>
              </w:rPr>
            </w:pPr>
          </w:p>
        </w:tc>
        <w:tc>
          <w:tcPr>
            <w:tcW w:w="854" w:type="dxa"/>
            <w:vAlign w:val="top"/>
          </w:tcPr>
          <w:p>
            <w:pPr>
              <w:jc w:val="center"/>
              <w:rPr>
                <w:color w:val="auto"/>
                <w:szCs w:val="21"/>
                <w:highlight w:val="none"/>
              </w:rPr>
            </w:pPr>
          </w:p>
        </w:tc>
      </w:tr>
    </w:tbl>
    <w:p>
      <w:pPr>
        <w:spacing w:afterLines="50"/>
        <w:ind w:firstLine="600"/>
        <w:rPr>
          <w:color w:val="auto"/>
          <w:sz w:val="30"/>
          <w:szCs w:val="30"/>
          <w:highlight w:val="none"/>
        </w:rPr>
      </w:pPr>
    </w:p>
    <w:p>
      <w:pPr>
        <w:spacing w:afterLines="50"/>
        <w:rPr>
          <w:b/>
          <w:color w:val="auto"/>
          <w:szCs w:val="21"/>
          <w:highlight w:val="none"/>
        </w:rPr>
      </w:pPr>
      <w:r>
        <w:rPr>
          <w:color w:val="auto"/>
          <w:sz w:val="30"/>
          <w:szCs w:val="30"/>
          <w:highlight w:val="none"/>
        </w:rPr>
        <w:br w:type="page"/>
      </w:r>
      <w:r>
        <w:rPr>
          <w:b/>
          <w:color w:val="auto"/>
          <w:szCs w:val="21"/>
          <w:highlight w:val="none"/>
        </w:rPr>
        <w:t>附</w:t>
      </w:r>
      <w:bookmarkStart w:id="1054" w:name="_Toc267261699"/>
      <w:bookmarkStart w:id="1055" w:name="_Toc296346729"/>
      <w:bookmarkStart w:id="1056" w:name="_Toc296503228"/>
      <w:bookmarkStart w:id="1057" w:name="_Toc296944567"/>
      <w:bookmarkStart w:id="1058" w:name="_Toc296891268"/>
      <w:bookmarkStart w:id="1059" w:name="_Toc296891056"/>
      <w:bookmarkStart w:id="1060" w:name="_Toc296347227"/>
      <w:r>
        <w:rPr>
          <w:b/>
          <w:color w:val="auto"/>
          <w:szCs w:val="21"/>
          <w:highlight w:val="none"/>
        </w:rPr>
        <w:t>件</w:t>
      </w:r>
      <w:r>
        <w:rPr>
          <w:rFonts w:hint="eastAsia"/>
          <w:b/>
          <w:color w:val="auto"/>
          <w:szCs w:val="21"/>
          <w:highlight w:val="none"/>
        </w:rPr>
        <w:t>6</w:t>
      </w:r>
      <w:r>
        <w:rPr>
          <w:b/>
          <w:color w:val="auto"/>
          <w:szCs w:val="21"/>
          <w:highlight w:val="none"/>
        </w:rPr>
        <w:t>：</w:t>
      </w:r>
      <w:bookmarkEnd w:id="1054"/>
      <w:bookmarkEnd w:id="1055"/>
      <w:bookmarkEnd w:id="1056"/>
      <w:bookmarkEnd w:id="1057"/>
      <w:bookmarkEnd w:id="1058"/>
      <w:bookmarkEnd w:id="1059"/>
      <w:bookmarkEnd w:id="1060"/>
      <w:r>
        <w:rPr>
          <w:b/>
          <w:color w:val="auto"/>
          <w:szCs w:val="21"/>
          <w:highlight w:val="none"/>
        </w:rPr>
        <w:t>承包人主要施工管理人员表</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774"/>
        <w:gridCol w:w="1345"/>
        <w:gridCol w:w="1077"/>
        <w:gridCol w:w="1077"/>
        <w:gridCol w:w="32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名    称</w:t>
            </w:r>
          </w:p>
        </w:tc>
        <w:tc>
          <w:tcPr>
            <w:tcW w:w="1345"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姓名</w:t>
            </w:r>
          </w:p>
        </w:tc>
        <w:tc>
          <w:tcPr>
            <w:tcW w:w="1077"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职务</w:t>
            </w:r>
          </w:p>
        </w:tc>
        <w:tc>
          <w:tcPr>
            <w:tcW w:w="1077"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职称</w:t>
            </w:r>
          </w:p>
        </w:tc>
        <w:tc>
          <w:tcPr>
            <w:tcW w:w="3287"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60" w:type="dxa"/>
            <w:gridSpan w:val="5"/>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nil"/>
              <w:bottom w:val="nil"/>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项目主管</w:t>
            </w:r>
          </w:p>
        </w:tc>
        <w:tc>
          <w:tcPr>
            <w:tcW w:w="1345" w:type="dxa"/>
            <w:tcBorders>
              <w:top w:val="nil"/>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tcBorders>
              <w:top w:val="nil"/>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tcBorders>
              <w:top w:val="nil"/>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tcBorders>
              <w:top w:val="nil"/>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single" w:color="auto" w:sz="6" w:space="0"/>
              <w:bottom w:val="nil"/>
            </w:tcBorders>
            <w:vAlign w:val="center"/>
          </w:tcPr>
          <w:p>
            <w:pPr>
              <w:pStyle w:val="2"/>
              <w:keepNext/>
              <w:spacing w:line="400" w:lineRule="exact"/>
              <w:ind w:left="63" w:right="63"/>
              <w:rPr>
                <w:rFonts w:ascii="宋体" w:hAnsi="宋体" w:eastAsia="Times New Roman"/>
                <w:color w:val="auto"/>
                <w:sz w:val="21"/>
                <w:szCs w:val="21"/>
                <w:highlight w:val="none"/>
              </w:rPr>
            </w:pP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nil"/>
              <w:bottom w:val="nil"/>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其他人员</w:t>
            </w: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nil"/>
              <w:bottom w:val="nil"/>
            </w:tcBorders>
            <w:vAlign w:val="center"/>
          </w:tcPr>
          <w:p>
            <w:pPr>
              <w:pStyle w:val="2"/>
              <w:keepNext/>
              <w:spacing w:line="400" w:lineRule="exact"/>
              <w:ind w:left="63" w:right="63"/>
              <w:rPr>
                <w:rFonts w:ascii="宋体" w:hAnsi="宋体" w:eastAsia="Times New Roman"/>
                <w:color w:val="auto"/>
                <w:sz w:val="21"/>
                <w:szCs w:val="21"/>
                <w:highlight w:val="none"/>
              </w:rPr>
            </w:pP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60" w:type="dxa"/>
            <w:gridSpan w:val="5"/>
            <w:tcBorders>
              <w:top w:val="sing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sing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项目经理</w:t>
            </w: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sing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项目副经理</w:t>
            </w: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sing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技术负责人</w:t>
            </w: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sing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造价管理</w:t>
            </w: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sing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质量管理</w:t>
            </w: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sing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材料管理</w:t>
            </w: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sing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计划管理</w:t>
            </w: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sing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安全管理</w:t>
            </w: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vMerge w:val="restart"/>
            <w:tcBorders>
              <w:top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其他人员</w:t>
            </w: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vMerge w:val="continue"/>
            <w:vAlign w:val="center"/>
          </w:tcPr>
          <w:p>
            <w:pPr>
              <w:pStyle w:val="2"/>
              <w:keepNext/>
              <w:spacing w:line="400" w:lineRule="exact"/>
              <w:ind w:left="63" w:right="63"/>
              <w:rPr>
                <w:rFonts w:ascii="宋体" w:hAnsi="宋体" w:eastAsia="Times New Roman"/>
                <w:color w:val="auto"/>
                <w:sz w:val="21"/>
                <w:szCs w:val="21"/>
                <w:highlight w:val="none"/>
              </w:rPr>
            </w:pPr>
          </w:p>
        </w:tc>
        <w:tc>
          <w:tcPr>
            <w:tcW w:w="1345" w:type="dxa"/>
            <w:tcBorders>
              <w:bottom w:val="nil"/>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tcBorders>
              <w:bottom w:val="nil"/>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tcBorders>
              <w:bottom w:val="nil"/>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tcBorders>
              <w:bottom w:val="nil"/>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vMerge w:val="continue"/>
            <w:vAlign w:val="center"/>
          </w:tcPr>
          <w:p>
            <w:pPr>
              <w:pStyle w:val="2"/>
              <w:keepNext/>
              <w:spacing w:line="400" w:lineRule="exact"/>
              <w:ind w:left="63" w:right="63"/>
              <w:rPr>
                <w:rFonts w:ascii="宋体" w:hAnsi="宋体" w:eastAsia="Times New Roman"/>
                <w:color w:val="auto"/>
                <w:sz w:val="21"/>
                <w:szCs w:val="21"/>
                <w:highlight w:val="none"/>
              </w:rPr>
            </w:pP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vMerge w:val="continue"/>
            <w:vAlign w:val="center"/>
          </w:tcPr>
          <w:p>
            <w:pPr>
              <w:pStyle w:val="2"/>
              <w:keepNext/>
              <w:spacing w:line="400" w:lineRule="exact"/>
              <w:ind w:left="63" w:right="63"/>
              <w:rPr>
                <w:rFonts w:ascii="宋体" w:hAnsi="宋体" w:eastAsia="Times New Roman"/>
                <w:color w:val="auto"/>
                <w:sz w:val="21"/>
                <w:szCs w:val="21"/>
                <w:highlight w:val="none"/>
              </w:rPr>
            </w:pP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vMerge w:val="continue"/>
            <w:vAlign w:val="center"/>
          </w:tcPr>
          <w:p>
            <w:pPr>
              <w:pStyle w:val="2"/>
              <w:keepNext/>
              <w:spacing w:line="400" w:lineRule="exact"/>
              <w:ind w:left="63" w:right="63"/>
              <w:rPr>
                <w:rFonts w:ascii="宋体" w:hAnsi="宋体" w:eastAsia="Times New Roman"/>
                <w:color w:val="auto"/>
                <w:sz w:val="21"/>
                <w:szCs w:val="21"/>
                <w:highlight w:val="none"/>
              </w:rPr>
            </w:pP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vMerge w:val="continue"/>
            <w:tcBorders>
              <w:bottom w:val="single" w:color="auto" w:sz="12" w:space="0"/>
            </w:tcBorders>
            <w:vAlign w:val="center"/>
          </w:tcPr>
          <w:p>
            <w:pPr>
              <w:pStyle w:val="2"/>
              <w:keepNext/>
              <w:spacing w:line="400" w:lineRule="exact"/>
              <w:ind w:left="63" w:right="63"/>
              <w:rPr>
                <w:rFonts w:ascii="宋体" w:hAnsi="宋体" w:eastAsia="Times New Roman"/>
                <w:color w:val="auto"/>
                <w:sz w:val="21"/>
                <w:szCs w:val="21"/>
                <w:highlight w:val="none"/>
              </w:rPr>
            </w:pPr>
          </w:p>
        </w:tc>
        <w:tc>
          <w:tcPr>
            <w:tcW w:w="1345" w:type="dxa"/>
            <w:tcBorders>
              <w:bottom w:val="single" w:color="auto" w:sz="12" w:space="0"/>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tcBorders>
              <w:bottom w:val="single" w:color="auto" w:sz="12" w:space="0"/>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tcBorders>
              <w:bottom w:val="single" w:color="auto" w:sz="12" w:space="0"/>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tcBorders>
              <w:bottom w:val="single" w:color="auto" w:sz="12" w:space="0"/>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r>
    </w:tbl>
    <w:p>
      <w:pPr>
        <w:spacing w:afterLines="50"/>
        <w:rPr>
          <w:b/>
          <w:color w:val="auto"/>
          <w:szCs w:val="21"/>
          <w:highlight w:val="none"/>
        </w:rPr>
      </w:pPr>
      <w:r>
        <w:rPr>
          <w:color w:val="auto"/>
          <w:sz w:val="30"/>
          <w:szCs w:val="30"/>
          <w:highlight w:val="none"/>
        </w:rPr>
        <w:br w:type="page"/>
      </w:r>
      <w:r>
        <w:rPr>
          <w:b/>
          <w:color w:val="auto"/>
          <w:szCs w:val="21"/>
          <w:highlight w:val="none"/>
        </w:rPr>
        <w:t>附</w:t>
      </w:r>
      <w:bookmarkStart w:id="1061" w:name="_Toc296944568"/>
      <w:bookmarkStart w:id="1062" w:name="_Toc296347228"/>
      <w:bookmarkStart w:id="1063" w:name="_Toc296891269"/>
      <w:bookmarkStart w:id="1064" w:name="_Toc296891057"/>
      <w:bookmarkStart w:id="1065" w:name="_Toc296503229"/>
      <w:bookmarkStart w:id="1066" w:name="_Toc296346730"/>
      <w:r>
        <w:rPr>
          <w:b/>
          <w:color w:val="auto"/>
          <w:szCs w:val="21"/>
          <w:highlight w:val="none"/>
        </w:rPr>
        <w:t>件</w:t>
      </w:r>
      <w:r>
        <w:rPr>
          <w:rFonts w:hint="eastAsia"/>
          <w:b/>
          <w:color w:val="auto"/>
          <w:szCs w:val="21"/>
          <w:highlight w:val="none"/>
        </w:rPr>
        <w:t>7</w:t>
      </w:r>
      <w:r>
        <w:rPr>
          <w:b/>
          <w:color w:val="auto"/>
          <w:szCs w:val="21"/>
          <w:highlight w:val="none"/>
        </w:rPr>
        <w:t>：</w:t>
      </w:r>
      <w:bookmarkEnd w:id="1061"/>
      <w:bookmarkEnd w:id="1062"/>
      <w:bookmarkEnd w:id="1063"/>
      <w:bookmarkEnd w:id="1064"/>
      <w:bookmarkEnd w:id="1065"/>
      <w:bookmarkEnd w:id="1066"/>
      <w:r>
        <w:rPr>
          <w:b/>
          <w:color w:val="auto"/>
          <w:szCs w:val="21"/>
          <w:highlight w:val="none"/>
        </w:rPr>
        <w:t>分包人主要施工管理人员表</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774"/>
        <w:gridCol w:w="1345"/>
        <w:gridCol w:w="1077"/>
        <w:gridCol w:w="1077"/>
        <w:gridCol w:w="32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名    称</w:t>
            </w:r>
          </w:p>
        </w:tc>
        <w:tc>
          <w:tcPr>
            <w:tcW w:w="1345"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姓名</w:t>
            </w:r>
          </w:p>
        </w:tc>
        <w:tc>
          <w:tcPr>
            <w:tcW w:w="1077"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职务</w:t>
            </w:r>
          </w:p>
        </w:tc>
        <w:tc>
          <w:tcPr>
            <w:tcW w:w="1077"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职称</w:t>
            </w:r>
          </w:p>
        </w:tc>
        <w:tc>
          <w:tcPr>
            <w:tcW w:w="3287" w:type="dxa"/>
            <w:tcBorders>
              <w:top w:val="single" w:color="auto" w:sz="12" w:space="0"/>
              <w:bottom w:val="doub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60" w:type="dxa"/>
            <w:gridSpan w:val="5"/>
            <w:tcBorders>
              <w:top w:val="doub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nil"/>
              <w:bottom w:val="nil"/>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项目主管</w:t>
            </w:r>
          </w:p>
        </w:tc>
        <w:tc>
          <w:tcPr>
            <w:tcW w:w="1345" w:type="dxa"/>
            <w:tcBorders>
              <w:top w:val="nil"/>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tcBorders>
              <w:top w:val="nil"/>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tcBorders>
              <w:top w:val="nil"/>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tcBorders>
              <w:top w:val="nil"/>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single" w:color="auto" w:sz="6" w:space="0"/>
              <w:bottom w:val="nil"/>
            </w:tcBorders>
            <w:vAlign w:val="center"/>
          </w:tcPr>
          <w:p>
            <w:pPr>
              <w:pStyle w:val="2"/>
              <w:keepNext/>
              <w:spacing w:line="400" w:lineRule="exact"/>
              <w:ind w:left="63" w:right="63"/>
              <w:rPr>
                <w:rFonts w:ascii="宋体" w:hAnsi="宋体" w:eastAsia="Times New Roman"/>
                <w:color w:val="auto"/>
                <w:sz w:val="21"/>
                <w:szCs w:val="21"/>
                <w:highlight w:val="none"/>
              </w:rPr>
            </w:pP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nil"/>
              <w:bottom w:val="nil"/>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其他人员</w:t>
            </w: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nil"/>
              <w:bottom w:val="nil"/>
            </w:tcBorders>
            <w:vAlign w:val="center"/>
          </w:tcPr>
          <w:p>
            <w:pPr>
              <w:pStyle w:val="2"/>
              <w:keepNext/>
              <w:spacing w:line="400" w:lineRule="exact"/>
              <w:ind w:left="63" w:right="63"/>
              <w:rPr>
                <w:rFonts w:ascii="宋体" w:hAnsi="宋体" w:eastAsia="Times New Roman"/>
                <w:color w:val="auto"/>
                <w:sz w:val="21"/>
                <w:szCs w:val="21"/>
                <w:highlight w:val="none"/>
              </w:rPr>
            </w:pP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560" w:type="dxa"/>
            <w:gridSpan w:val="5"/>
            <w:tcBorders>
              <w:top w:val="sing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sing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项目经理</w:t>
            </w: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sing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项目副经理</w:t>
            </w: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sing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技术负责人</w:t>
            </w: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sing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造价管理</w:t>
            </w: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sing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质量管理</w:t>
            </w: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sing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材料管理</w:t>
            </w: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sing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计划管理</w:t>
            </w: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tcBorders>
              <w:top w:val="single" w:color="auto" w:sz="6" w:space="0"/>
              <w:bottom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安全管理</w:t>
            </w: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vMerge w:val="restart"/>
            <w:tcBorders>
              <w:top w:val="single" w:color="auto" w:sz="6" w:space="0"/>
            </w:tcBorders>
            <w:vAlign w:val="center"/>
          </w:tcPr>
          <w:p>
            <w:pPr>
              <w:pStyle w:val="2"/>
              <w:keepNext/>
              <w:spacing w:line="400" w:lineRule="exact"/>
              <w:ind w:left="63" w:right="63"/>
              <w:rPr>
                <w:rFonts w:ascii="宋体" w:hAnsi="宋体" w:eastAsia="Times New Roman"/>
                <w:color w:val="auto"/>
                <w:sz w:val="21"/>
                <w:szCs w:val="21"/>
                <w:highlight w:val="none"/>
              </w:rPr>
            </w:pPr>
            <w:r>
              <w:rPr>
                <w:rFonts w:ascii="宋体" w:hAnsi="宋体" w:eastAsia="Times New Roman"/>
                <w:color w:val="auto"/>
                <w:sz w:val="21"/>
                <w:szCs w:val="21"/>
                <w:highlight w:val="none"/>
              </w:rPr>
              <w:t>其他人员</w:t>
            </w: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vMerge w:val="continue"/>
            <w:vAlign w:val="center"/>
          </w:tcPr>
          <w:p>
            <w:pPr>
              <w:pStyle w:val="2"/>
              <w:keepNext/>
              <w:spacing w:line="400" w:lineRule="exact"/>
              <w:ind w:left="63" w:right="63"/>
              <w:rPr>
                <w:rFonts w:ascii="宋体" w:hAnsi="宋体" w:eastAsia="Times New Roman"/>
                <w:color w:val="auto"/>
                <w:sz w:val="21"/>
                <w:szCs w:val="21"/>
                <w:highlight w:val="none"/>
              </w:rPr>
            </w:pPr>
          </w:p>
        </w:tc>
        <w:tc>
          <w:tcPr>
            <w:tcW w:w="1345" w:type="dxa"/>
            <w:tcBorders>
              <w:bottom w:val="nil"/>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tcBorders>
              <w:bottom w:val="nil"/>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tcBorders>
              <w:bottom w:val="nil"/>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tcBorders>
              <w:bottom w:val="nil"/>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vMerge w:val="continue"/>
            <w:vAlign w:val="center"/>
          </w:tcPr>
          <w:p>
            <w:pPr>
              <w:pStyle w:val="2"/>
              <w:keepNext/>
              <w:spacing w:line="400" w:lineRule="exact"/>
              <w:ind w:left="63" w:right="63"/>
              <w:rPr>
                <w:rFonts w:ascii="宋体" w:hAnsi="宋体" w:eastAsia="Times New Roman"/>
                <w:color w:val="auto"/>
                <w:sz w:val="21"/>
                <w:szCs w:val="21"/>
                <w:highlight w:val="none"/>
              </w:rPr>
            </w:pP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vMerge w:val="continue"/>
            <w:vAlign w:val="center"/>
          </w:tcPr>
          <w:p>
            <w:pPr>
              <w:pStyle w:val="2"/>
              <w:keepNext/>
              <w:spacing w:line="400" w:lineRule="exact"/>
              <w:ind w:left="63" w:right="63"/>
              <w:rPr>
                <w:rFonts w:ascii="宋体" w:hAnsi="宋体" w:eastAsia="Times New Roman"/>
                <w:color w:val="auto"/>
                <w:sz w:val="21"/>
                <w:szCs w:val="21"/>
                <w:highlight w:val="none"/>
              </w:rPr>
            </w:pP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vMerge w:val="continue"/>
            <w:vAlign w:val="center"/>
          </w:tcPr>
          <w:p>
            <w:pPr>
              <w:pStyle w:val="2"/>
              <w:keepNext/>
              <w:spacing w:line="400" w:lineRule="exact"/>
              <w:ind w:left="63" w:right="63"/>
              <w:rPr>
                <w:rFonts w:ascii="宋体" w:hAnsi="宋体" w:eastAsia="Times New Roman"/>
                <w:color w:val="auto"/>
                <w:sz w:val="21"/>
                <w:szCs w:val="21"/>
                <w:highlight w:val="none"/>
              </w:rPr>
            </w:pPr>
          </w:p>
        </w:tc>
        <w:tc>
          <w:tcPr>
            <w:tcW w:w="1345"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vAlign w:val="center"/>
          </w:tcPr>
          <w:p>
            <w:pPr>
              <w:pStyle w:val="2"/>
              <w:keepNext/>
              <w:spacing w:line="400" w:lineRule="exact"/>
              <w:ind w:left="63" w:right="63"/>
              <w:jc w:val="center"/>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774" w:type="dxa"/>
            <w:vMerge w:val="continue"/>
            <w:tcBorders>
              <w:bottom w:val="single" w:color="auto" w:sz="12" w:space="0"/>
            </w:tcBorders>
            <w:vAlign w:val="center"/>
          </w:tcPr>
          <w:p>
            <w:pPr>
              <w:pStyle w:val="2"/>
              <w:keepNext/>
              <w:spacing w:line="400" w:lineRule="exact"/>
              <w:ind w:left="63" w:right="63"/>
              <w:rPr>
                <w:rFonts w:ascii="宋体" w:hAnsi="宋体" w:eastAsia="Times New Roman"/>
                <w:color w:val="auto"/>
                <w:sz w:val="21"/>
                <w:szCs w:val="21"/>
                <w:highlight w:val="none"/>
              </w:rPr>
            </w:pPr>
          </w:p>
        </w:tc>
        <w:tc>
          <w:tcPr>
            <w:tcW w:w="1345" w:type="dxa"/>
            <w:tcBorders>
              <w:bottom w:val="single" w:color="auto" w:sz="12" w:space="0"/>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tcBorders>
              <w:bottom w:val="single" w:color="auto" w:sz="12" w:space="0"/>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1077" w:type="dxa"/>
            <w:tcBorders>
              <w:bottom w:val="single" w:color="auto" w:sz="12" w:space="0"/>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c>
          <w:tcPr>
            <w:tcW w:w="3287" w:type="dxa"/>
            <w:tcBorders>
              <w:bottom w:val="single" w:color="auto" w:sz="12" w:space="0"/>
            </w:tcBorders>
            <w:vAlign w:val="center"/>
          </w:tcPr>
          <w:p>
            <w:pPr>
              <w:pStyle w:val="2"/>
              <w:keepNext/>
              <w:spacing w:line="400" w:lineRule="exact"/>
              <w:ind w:left="63" w:right="63"/>
              <w:jc w:val="center"/>
              <w:rPr>
                <w:rFonts w:ascii="宋体" w:hAnsi="宋体" w:eastAsia="Times New Roman"/>
                <w:color w:val="auto"/>
                <w:sz w:val="21"/>
                <w:szCs w:val="21"/>
                <w:highlight w:val="none"/>
              </w:rPr>
            </w:pPr>
          </w:p>
        </w:tc>
      </w:tr>
    </w:tbl>
    <w:p>
      <w:pPr>
        <w:spacing w:afterLines="50"/>
        <w:rPr>
          <w:b/>
          <w:color w:val="auto"/>
          <w:szCs w:val="21"/>
          <w:highlight w:val="none"/>
        </w:rPr>
      </w:pPr>
      <w:r>
        <w:rPr>
          <w:color w:val="auto"/>
          <w:sz w:val="30"/>
          <w:szCs w:val="30"/>
          <w:highlight w:val="none"/>
        </w:rPr>
        <w:br w:type="page"/>
      </w:r>
      <w:bookmarkStart w:id="1067" w:name="_Toc296891059"/>
      <w:bookmarkStart w:id="1068" w:name="_Toc296347230"/>
      <w:bookmarkStart w:id="1069" w:name="_Toc267261701"/>
      <w:bookmarkStart w:id="1070" w:name="_Toc296944570"/>
      <w:bookmarkStart w:id="1071" w:name="_Toc296503231"/>
      <w:bookmarkStart w:id="1072" w:name="_Toc296346732"/>
      <w:bookmarkStart w:id="1073" w:name="_Toc296891271"/>
      <w:r>
        <w:rPr>
          <w:rFonts w:hint="eastAsia"/>
          <w:b/>
          <w:color w:val="auto"/>
          <w:szCs w:val="21"/>
          <w:highlight w:val="none"/>
        </w:rPr>
        <w:t>附件8：履约担保格式</w:t>
      </w:r>
    </w:p>
    <w:bookmarkEnd w:id="1067"/>
    <w:bookmarkEnd w:id="1068"/>
    <w:bookmarkEnd w:id="1069"/>
    <w:bookmarkEnd w:id="1070"/>
    <w:bookmarkEnd w:id="1071"/>
    <w:bookmarkEnd w:id="1072"/>
    <w:bookmarkEnd w:id="1073"/>
    <w:p>
      <w:pPr>
        <w:spacing w:afterLines="50" w:line="360" w:lineRule="auto"/>
        <w:jc w:val="center"/>
        <w:rPr>
          <w:b/>
          <w:color w:val="auto"/>
          <w:sz w:val="28"/>
          <w:szCs w:val="28"/>
          <w:highlight w:val="none"/>
        </w:rPr>
      </w:pPr>
      <w:r>
        <w:rPr>
          <w:b/>
          <w:color w:val="auto"/>
          <w:sz w:val="28"/>
          <w:szCs w:val="28"/>
          <w:highlight w:val="none"/>
        </w:rPr>
        <w:t>履约担保</w:t>
      </w:r>
    </w:p>
    <w:p>
      <w:pPr>
        <w:spacing w:line="360" w:lineRule="auto"/>
        <w:ind w:firstLine="420"/>
        <w:rPr>
          <w:color w:val="auto"/>
          <w:szCs w:val="21"/>
          <w:highlight w:val="none"/>
        </w:rPr>
      </w:pPr>
      <w:r>
        <w:rPr>
          <w:color w:val="auto"/>
          <w:szCs w:val="21"/>
          <w:highlight w:val="none"/>
          <w:u w:val="single"/>
        </w:rPr>
        <w:t xml:space="preserve">             </w:t>
      </w:r>
      <w:r>
        <w:rPr>
          <w:color w:val="auto"/>
          <w:szCs w:val="21"/>
          <w:highlight w:val="none"/>
          <w:u w:val="single"/>
        </w:rPr>
        <w:tab/>
      </w:r>
      <w:r>
        <w:rPr>
          <w:color w:val="auto"/>
          <w:szCs w:val="21"/>
          <w:highlight w:val="none"/>
        </w:rPr>
        <w:t>（发包人名称）：</w:t>
      </w:r>
    </w:p>
    <w:p>
      <w:pPr>
        <w:spacing w:line="360" w:lineRule="auto"/>
        <w:ind w:firstLine="420"/>
        <w:rPr>
          <w:color w:val="auto"/>
          <w:szCs w:val="21"/>
          <w:highlight w:val="none"/>
        </w:rPr>
      </w:pPr>
    </w:p>
    <w:p>
      <w:pPr>
        <w:spacing w:line="360" w:lineRule="auto"/>
        <w:ind w:firstLine="420"/>
        <w:rPr>
          <w:color w:val="auto"/>
          <w:szCs w:val="21"/>
          <w:highlight w:val="none"/>
        </w:rPr>
      </w:pPr>
      <w:r>
        <w:rPr>
          <w:color w:val="auto"/>
          <w:szCs w:val="21"/>
          <w:highlight w:val="none"/>
        </w:rPr>
        <w:t>鉴于</w:t>
      </w:r>
      <w:r>
        <w:rPr>
          <w:color w:val="auto"/>
          <w:szCs w:val="21"/>
          <w:highlight w:val="none"/>
          <w:u w:val="single"/>
        </w:rPr>
        <w:t xml:space="preserve">                </w:t>
      </w:r>
      <w:r>
        <w:rPr>
          <w:color w:val="auto"/>
          <w:szCs w:val="21"/>
          <w:highlight w:val="none"/>
        </w:rPr>
        <w:t>（发包人名称，以下简称“发包人”）与</w:t>
      </w:r>
      <w:r>
        <w:rPr>
          <w:color w:val="auto"/>
          <w:szCs w:val="21"/>
          <w:highlight w:val="none"/>
          <w:u w:val="single"/>
        </w:rPr>
        <w:t xml:space="preserve">                  </w:t>
      </w:r>
      <w:r>
        <w:rPr>
          <w:color w:val="auto"/>
          <w:szCs w:val="21"/>
          <w:highlight w:val="none"/>
        </w:rPr>
        <w:t>（承包人名称）（以下称“承包人”）于</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日就</w:t>
      </w:r>
      <w:r>
        <w:rPr>
          <w:color w:val="auto"/>
          <w:szCs w:val="21"/>
          <w:highlight w:val="none"/>
          <w:u w:val="single"/>
        </w:rPr>
        <w:t xml:space="preserve">                         </w:t>
      </w:r>
      <w:r>
        <w:rPr>
          <w:color w:val="auto"/>
          <w:szCs w:val="21"/>
          <w:highlight w:val="none"/>
        </w:rPr>
        <w:t xml:space="preserve">（工程名称）施工及有关事项协商一致共同签订《建设工程施工合同》。我方愿意无条件地、不可撤销地就承包人履行与你方签订的合同，向你方提供连带责任担保。 </w:t>
      </w:r>
    </w:p>
    <w:p>
      <w:pPr>
        <w:spacing w:line="360" w:lineRule="auto"/>
        <w:ind w:firstLine="420"/>
        <w:rPr>
          <w:color w:val="auto"/>
          <w:szCs w:val="21"/>
          <w:highlight w:val="none"/>
        </w:rPr>
      </w:pPr>
      <w:r>
        <w:rPr>
          <w:color w:val="auto"/>
          <w:szCs w:val="21"/>
          <w:highlight w:val="none"/>
        </w:rPr>
        <w:t>1. 担保金额人民币（大写）</w:t>
      </w:r>
      <w:r>
        <w:rPr>
          <w:color w:val="auto"/>
          <w:szCs w:val="21"/>
          <w:highlight w:val="none"/>
          <w:u w:val="single"/>
        </w:rPr>
        <w:t xml:space="preserve">                 </w:t>
      </w:r>
      <w:r>
        <w:rPr>
          <w:color w:val="auto"/>
          <w:szCs w:val="21"/>
          <w:highlight w:val="none"/>
        </w:rPr>
        <w:t>元（¥</w:t>
      </w:r>
      <w:r>
        <w:rPr>
          <w:color w:val="auto"/>
          <w:szCs w:val="21"/>
          <w:highlight w:val="none"/>
          <w:u w:val="single"/>
        </w:rPr>
        <w:t xml:space="preserve">             </w:t>
      </w:r>
      <w:r>
        <w:rPr>
          <w:color w:val="auto"/>
          <w:szCs w:val="21"/>
          <w:highlight w:val="none"/>
        </w:rPr>
        <w:t>）。</w:t>
      </w:r>
    </w:p>
    <w:p>
      <w:pPr>
        <w:spacing w:line="360" w:lineRule="auto"/>
        <w:ind w:firstLine="420"/>
        <w:rPr>
          <w:color w:val="auto"/>
          <w:szCs w:val="21"/>
          <w:highlight w:val="none"/>
        </w:rPr>
      </w:pPr>
      <w:r>
        <w:rPr>
          <w:color w:val="auto"/>
          <w:szCs w:val="21"/>
          <w:highlight w:val="none"/>
        </w:rPr>
        <w:t>2. 担保有效期自你方与承包人签订的合同生效之日起至你方签发或应签发工程接收证书之日止。</w:t>
      </w:r>
    </w:p>
    <w:p>
      <w:pPr>
        <w:spacing w:line="360" w:lineRule="auto"/>
        <w:ind w:firstLine="420"/>
        <w:rPr>
          <w:color w:val="auto"/>
          <w:szCs w:val="21"/>
          <w:highlight w:val="none"/>
        </w:rPr>
      </w:pPr>
      <w:r>
        <w:rPr>
          <w:color w:val="auto"/>
          <w:szCs w:val="21"/>
          <w:highlight w:val="none"/>
        </w:rPr>
        <w:t>3. 在本担保有效期内，因承包人违反合同约定的义务给你方造成经济损失时，我方在收到你方以书面形式提出的在担保金额内的赔偿要求后，在7天内无条件支付。</w:t>
      </w:r>
    </w:p>
    <w:p>
      <w:pPr>
        <w:spacing w:line="360" w:lineRule="auto"/>
        <w:ind w:firstLine="420"/>
        <w:rPr>
          <w:color w:val="auto"/>
          <w:szCs w:val="21"/>
          <w:highlight w:val="none"/>
        </w:rPr>
      </w:pPr>
      <w:r>
        <w:rPr>
          <w:color w:val="auto"/>
          <w:szCs w:val="21"/>
          <w:highlight w:val="none"/>
        </w:rPr>
        <w:t>4. 你方和承包人按合同约定变更合同时，我方承担本担保规定的义务不变。</w:t>
      </w:r>
    </w:p>
    <w:p>
      <w:pPr>
        <w:spacing w:line="360" w:lineRule="auto"/>
        <w:ind w:firstLine="420"/>
        <w:rPr>
          <w:color w:val="auto"/>
          <w:szCs w:val="21"/>
          <w:highlight w:val="none"/>
        </w:rPr>
      </w:pPr>
      <w:r>
        <w:rPr>
          <w:color w:val="auto"/>
          <w:szCs w:val="21"/>
          <w:highlight w:val="none"/>
        </w:rPr>
        <w:t>5. 因本保函发生的纠纷，可由双方协商解决，协商不成的，任何一方均可提请</w:t>
      </w:r>
      <w:r>
        <w:rPr>
          <w:color w:val="auto"/>
          <w:szCs w:val="21"/>
          <w:highlight w:val="none"/>
          <w:u w:val="single"/>
        </w:rPr>
        <w:t xml:space="preserve">        </w:t>
      </w:r>
      <w:r>
        <w:rPr>
          <w:color w:val="auto"/>
          <w:szCs w:val="21"/>
          <w:highlight w:val="none"/>
        </w:rPr>
        <w:t>仲裁委员会仲裁。</w:t>
      </w:r>
    </w:p>
    <w:p>
      <w:pPr>
        <w:spacing w:line="360" w:lineRule="auto"/>
        <w:ind w:firstLine="420"/>
        <w:rPr>
          <w:rFonts w:hint="eastAsia"/>
          <w:color w:val="auto"/>
          <w:szCs w:val="21"/>
          <w:highlight w:val="none"/>
        </w:rPr>
      </w:pPr>
      <w:r>
        <w:rPr>
          <w:color w:val="auto"/>
          <w:szCs w:val="21"/>
          <w:highlight w:val="none"/>
        </w:rPr>
        <w:t>6. 本保函自我方法定代表人（或其授权代理人）签字并加盖公章之日起生效。</w:t>
      </w:r>
    </w:p>
    <w:p>
      <w:pPr>
        <w:spacing w:line="360" w:lineRule="auto"/>
        <w:ind w:firstLine="420"/>
        <w:rPr>
          <w:rFonts w:hint="eastAsia"/>
          <w:color w:val="auto"/>
          <w:szCs w:val="21"/>
          <w:highlight w:val="none"/>
        </w:rPr>
      </w:pPr>
    </w:p>
    <w:p>
      <w:pPr>
        <w:spacing w:line="360" w:lineRule="auto"/>
        <w:ind w:firstLine="420"/>
        <w:rPr>
          <w:color w:val="auto"/>
          <w:szCs w:val="21"/>
          <w:highlight w:val="none"/>
        </w:rPr>
      </w:pPr>
      <w:r>
        <w:rPr>
          <w:color w:val="auto"/>
          <w:szCs w:val="21"/>
          <w:highlight w:val="none"/>
        </w:rPr>
        <w:t>担 保 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（盖单位章）</w:t>
      </w:r>
    </w:p>
    <w:p>
      <w:pPr>
        <w:spacing w:line="360" w:lineRule="auto"/>
        <w:ind w:firstLine="420"/>
        <w:rPr>
          <w:color w:val="auto"/>
          <w:szCs w:val="21"/>
          <w:highlight w:val="none"/>
        </w:rPr>
      </w:pPr>
      <w:r>
        <w:rPr>
          <w:color w:val="auto"/>
          <w:szCs w:val="21"/>
          <w:highlight w:val="none"/>
        </w:rPr>
        <w:t>法定代表人或其委托代理人：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（签字）</w:t>
      </w:r>
    </w:p>
    <w:p>
      <w:pPr>
        <w:spacing w:line="360" w:lineRule="auto"/>
        <w:ind w:firstLine="420"/>
        <w:rPr>
          <w:color w:val="auto"/>
          <w:szCs w:val="21"/>
          <w:highlight w:val="none"/>
        </w:rPr>
      </w:pPr>
      <w:r>
        <w:rPr>
          <w:color w:val="auto"/>
          <w:szCs w:val="21"/>
          <w:highlight w:val="none"/>
        </w:rPr>
        <w:t>地    址：</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pPr>
        <w:spacing w:line="360" w:lineRule="auto"/>
        <w:ind w:firstLine="420"/>
        <w:rPr>
          <w:color w:val="auto"/>
          <w:szCs w:val="21"/>
          <w:highlight w:val="none"/>
        </w:rPr>
      </w:pPr>
      <w:r>
        <w:rPr>
          <w:color w:val="auto"/>
          <w:szCs w:val="21"/>
          <w:highlight w:val="none"/>
        </w:rPr>
        <w:t>邮政编码：</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pPr>
        <w:spacing w:line="360" w:lineRule="auto"/>
        <w:ind w:firstLine="420"/>
        <w:rPr>
          <w:color w:val="auto"/>
          <w:szCs w:val="21"/>
          <w:highlight w:val="none"/>
          <w:u w:val="single"/>
        </w:rPr>
      </w:pPr>
      <w:r>
        <w:rPr>
          <w:color w:val="auto"/>
          <w:szCs w:val="21"/>
          <w:highlight w:val="none"/>
        </w:rPr>
        <w:t>电    话：</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pPr>
        <w:spacing w:line="360" w:lineRule="auto"/>
        <w:ind w:firstLine="420"/>
        <w:rPr>
          <w:color w:val="auto"/>
          <w:szCs w:val="21"/>
          <w:highlight w:val="none"/>
        </w:rPr>
      </w:pPr>
      <w:r>
        <w:rPr>
          <w:color w:val="auto"/>
          <w:szCs w:val="21"/>
          <w:highlight w:val="none"/>
        </w:rPr>
        <w:t>传    真：</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pPr>
        <w:spacing w:line="360" w:lineRule="auto"/>
        <w:ind w:firstLine="420"/>
        <w:rPr>
          <w:color w:val="auto"/>
          <w:szCs w:val="21"/>
          <w:highlight w:val="none"/>
          <w:u w:val="single"/>
        </w:rPr>
      </w:pPr>
    </w:p>
    <w:p>
      <w:pPr>
        <w:spacing w:line="360" w:lineRule="auto"/>
        <w:ind w:left="1329" w:hanging="1329" w:hangingChars="633"/>
        <w:jc w:val="right"/>
        <w:rPr>
          <w:rFonts w:hint="eastAsia"/>
          <w:color w:val="auto"/>
          <w:szCs w:val="21"/>
          <w:highlight w:val="none"/>
        </w:rPr>
      </w:pPr>
      <w:r>
        <w:rPr>
          <w:color w:val="auto"/>
          <w:szCs w:val="21"/>
          <w:highlight w:val="none"/>
        </w:rPr>
        <w:t xml:space="preserve">             </w:t>
      </w:r>
      <w:r>
        <w:rPr>
          <w:rFonts w:hint="eastAsia"/>
          <w:color w:val="auto"/>
          <w:szCs w:val="21"/>
          <w:highlight w:val="none"/>
        </w:rPr>
        <w:t xml:space="preserve">  </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p>
    <w:p>
      <w:pPr>
        <w:spacing w:beforeLines="50" w:afterLines="50" w:line="440" w:lineRule="exact"/>
        <w:rPr>
          <w:rFonts w:hint="eastAsia"/>
          <w:b/>
          <w:color w:val="auto"/>
          <w:szCs w:val="21"/>
          <w:highlight w:val="none"/>
        </w:rPr>
      </w:pPr>
      <w:r>
        <w:rPr>
          <w:color w:val="auto"/>
          <w:szCs w:val="21"/>
          <w:highlight w:val="none"/>
        </w:rPr>
        <w:br w:type="page"/>
      </w:r>
      <w:r>
        <w:rPr>
          <w:rFonts w:hint="eastAsia"/>
          <w:b/>
          <w:color w:val="auto"/>
          <w:szCs w:val="21"/>
          <w:highlight w:val="none"/>
        </w:rPr>
        <w:t>附件9：预付款担保格式</w:t>
      </w:r>
    </w:p>
    <w:p>
      <w:pPr>
        <w:spacing w:beforeLines="50" w:afterLines="50" w:line="360" w:lineRule="auto"/>
        <w:jc w:val="center"/>
        <w:rPr>
          <w:b/>
          <w:color w:val="auto"/>
          <w:sz w:val="28"/>
          <w:szCs w:val="28"/>
          <w:highlight w:val="none"/>
        </w:rPr>
      </w:pPr>
      <w:r>
        <w:rPr>
          <w:b/>
          <w:color w:val="auto"/>
          <w:sz w:val="28"/>
          <w:szCs w:val="28"/>
          <w:highlight w:val="none"/>
        </w:rPr>
        <w:t>预付款担保</w:t>
      </w:r>
    </w:p>
    <w:p>
      <w:pPr>
        <w:spacing w:line="360" w:lineRule="auto"/>
        <w:ind w:firstLine="420"/>
        <w:rPr>
          <w:color w:val="auto"/>
          <w:szCs w:val="21"/>
          <w:highlight w:val="none"/>
        </w:rPr>
      </w:pPr>
      <w:r>
        <w:rPr>
          <w:color w:val="auto"/>
          <w:szCs w:val="21"/>
          <w:highlight w:val="none"/>
          <w:u w:val="single"/>
        </w:rPr>
        <w:t xml:space="preserve">            </w:t>
      </w:r>
      <w:r>
        <w:rPr>
          <w:color w:val="auto"/>
          <w:szCs w:val="21"/>
          <w:highlight w:val="none"/>
          <w:u w:val="single"/>
        </w:rPr>
        <w:tab/>
      </w:r>
      <w:r>
        <w:rPr>
          <w:color w:val="auto"/>
          <w:szCs w:val="21"/>
          <w:highlight w:val="none"/>
          <w:u w:val="single"/>
        </w:rPr>
        <w:tab/>
      </w:r>
      <w:r>
        <w:rPr>
          <w:color w:val="auto"/>
          <w:szCs w:val="21"/>
          <w:highlight w:val="none"/>
          <w:u w:val="single"/>
        </w:rPr>
        <w:t xml:space="preserve"> </w:t>
      </w:r>
      <w:r>
        <w:rPr>
          <w:color w:val="auto"/>
          <w:szCs w:val="21"/>
          <w:highlight w:val="none"/>
        </w:rPr>
        <w:t xml:space="preserve"> （发包人名称）：</w:t>
      </w:r>
    </w:p>
    <w:p>
      <w:pPr>
        <w:spacing w:line="360" w:lineRule="auto"/>
        <w:ind w:firstLine="420"/>
        <w:rPr>
          <w:color w:val="auto"/>
          <w:szCs w:val="21"/>
          <w:highlight w:val="none"/>
        </w:rPr>
      </w:pPr>
    </w:p>
    <w:p>
      <w:pPr>
        <w:spacing w:line="360" w:lineRule="auto"/>
        <w:ind w:firstLine="420"/>
        <w:rPr>
          <w:color w:val="auto"/>
          <w:szCs w:val="21"/>
          <w:highlight w:val="none"/>
        </w:rPr>
      </w:pPr>
      <w:r>
        <w:rPr>
          <w:color w:val="auto"/>
          <w:szCs w:val="21"/>
          <w:highlight w:val="none"/>
        </w:rPr>
        <w:t>根据</w:t>
      </w:r>
      <w:r>
        <w:rPr>
          <w:color w:val="auto"/>
          <w:szCs w:val="21"/>
          <w:highlight w:val="none"/>
          <w:u w:val="single"/>
        </w:rPr>
        <w:t xml:space="preserve">                 </w:t>
      </w:r>
      <w:r>
        <w:rPr>
          <w:color w:val="auto"/>
          <w:szCs w:val="21"/>
          <w:highlight w:val="none"/>
        </w:rPr>
        <w:t>（承包人名称）（以下称</w:t>
      </w:r>
      <w:r>
        <w:rPr>
          <w:rFonts w:hint="eastAsia"/>
          <w:color w:val="auto"/>
          <w:szCs w:val="21"/>
          <w:highlight w:val="none"/>
        </w:rPr>
        <w:t>“</w:t>
      </w:r>
      <w:r>
        <w:rPr>
          <w:color w:val="auto"/>
          <w:szCs w:val="21"/>
          <w:highlight w:val="none"/>
        </w:rPr>
        <w:t>承包人</w:t>
      </w:r>
      <w:r>
        <w:rPr>
          <w:rFonts w:hint="eastAsia"/>
          <w:color w:val="auto"/>
          <w:szCs w:val="21"/>
          <w:highlight w:val="none"/>
        </w:rPr>
        <w:t>”</w:t>
      </w:r>
      <w:r>
        <w:rPr>
          <w:color w:val="auto"/>
          <w:szCs w:val="21"/>
          <w:highlight w:val="none"/>
        </w:rPr>
        <w:t>）与</w:t>
      </w:r>
      <w:r>
        <w:rPr>
          <w:color w:val="auto"/>
          <w:szCs w:val="21"/>
          <w:highlight w:val="none"/>
          <w:u w:val="single"/>
        </w:rPr>
        <w:t xml:space="preserve">               </w:t>
      </w:r>
      <w:r>
        <w:rPr>
          <w:color w:val="auto"/>
          <w:szCs w:val="21"/>
          <w:highlight w:val="none"/>
        </w:rPr>
        <w:t>（发包人名称）（以下简称</w:t>
      </w:r>
      <w:r>
        <w:rPr>
          <w:rFonts w:hint="eastAsia"/>
          <w:color w:val="auto"/>
          <w:szCs w:val="21"/>
          <w:highlight w:val="none"/>
        </w:rPr>
        <w:t>“</w:t>
      </w:r>
      <w:r>
        <w:rPr>
          <w:color w:val="auto"/>
          <w:szCs w:val="21"/>
          <w:highlight w:val="none"/>
        </w:rPr>
        <w:t>发包人</w:t>
      </w:r>
      <w:r>
        <w:rPr>
          <w:rFonts w:hint="eastAsia"/>
          <w:color w:val="auto"/>
          <w:szCs w:val="21"/>
          <w:highlight w:val="none"/>
        </w:rPr>
        <w:t>”</w:t>
      </w:r>
      <w:r>
        <w:rPr>
          <w:color w:val="auto"/>
          <w:szCs w:val="21"/>
          <w:highlight w:val="none"/>
        </w:rPr>
        <w:t>）于</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日签订的</w:t>
      </w:r>
      <w:r>
        <w:rPr>
          <w:color w:val="auto"/>
          <w:szCs w:val="21"/>
          <w:highlight w:val="none"/>
          <w:u w:val="single"/>
        </w:rPr>
        <w:t xml:space="preserve">                   </w:t>
      </w:r>
      <w:r>
        <w:rPr>
          <w:color w:val="auto"/>
          <w:szCs w:val="21"/>
          <w:highlight w:val="none"/>
        </w:rPr>
        <w:t>（工程名称）《建设工程施工合同》，承包人按约定的金额向</w:t>
      </w:r>
      <w:r>
        <w:rPr>
          <w:rFonts w:hint="eastAsia"/>
          <w:color w:val="auto"/>
          <w:szCs w:val="21"/>
          <w:highlight w:val="none"/>
        </w:rPr>
        <w:t>你方</w:t>
      </w:r>
      <w:r>
        <w:rPr>
          <w:color w:val="auto"/>
          <w:szCs w:val="21"/>
          <w:highlight w:val="none"/>
        </w:rPr>
        <w:t>提交一份预付款担保，即有权得到</w:t>
      </w:r>
      <w:r>
        <w:rPr>
          <w:rFonts w:hint="eastAsia"/>
          <w:color w:val="auto"/>
          <w:szCs w:val="21"/>
          <w:highlight w:val="none"/>
        </w:rPr>
        <w:t>你方</w:t>
      </w:r>
      <w:r>
        <w:rPr>
          <w:color w:val="auto"/>
          <w:szCs w:val="21"/>
          <w:highlight w:val="none"/>
        </w:rPr>
        <w:t>支付相等金额的预付款。我方愿意就你方提供给承包人的预付款</w:t>
      </w:r>
      <w:r>
        <w:rPr>
          <w:rFonts w:hint="eastAsia"/>
          <w:color w:val="auto"/>
          <w:szCs w:val="21"/>
          <w:highlight w:val="none"/>
        </w:rPr>
        <w:t>为承包人</w:t>
      </w:r>
      <w:r>
        <w:rPr>
          <w:color w:val="auto"/>
          <w:szCs w:val="21"/>
          <w:highlight w:val="none"/>
        </w:rPr>
        <w:t>提供连带责任担保。</w:t>
      </w:r>
    </w:p>
    <w:p>
      <w:pPr>
        <w:spacing w:line="360" w:lineRule="auto"/>
        <w:ind w:firstLine="420"/>
        <w:rPr>
          <w:color w:val="auto"/>
          <w:szCs w:val="21"/>
          <w:highlight w:val="none"/>
        </w:rPr>
      </w:pPr>
      <w:r>
        <w:rPr>
          <w:rFonts w:hint="eastAsia"/>
          <w:color w:val="auto"/>
          <w:szCs w:val="21"/>
          <w:highlight w:val="none"/>
        </w:rPr>
        <w:t xml:space="preserve">1. </w:t>
      </w:r>
      <w:r>
        <w:rPr>
          <w:color w:val="auto"/>
          <w:szCs w:val="21"/>
          <w:highlight w:val="none"/>
        </w:rPr>
        <w:t>担保金额人民币（大写）</w:t>
      </w:r>
      <w:r>
        <w:rPr>
          <w:color w:val="auto"/>
          <w:szCs w:val="21"/>
          <w:highlight w:val="none"/>
          <w:u w:val="single"/>
        </w:rPr>
        <w:t xml:space="preserve">                </w:t>
      </w:r>
      <w:r>
        <w:rPr>
          <w:rFonts w:hint="eastAsia"/>
          <w:color w:val="auto"/>
          <w:szCs w:val="21"/>
          <w:highlight w:val="none"/>
        </w:rPr>
        <w:t>元</w:t>
      </w:r>
      <w:r>
        <w:rPr>
          <w:color w:val="auto"/>
          <w:szCs w:val="21"/>
          <w:highlight w:val="none"/>
        </w:rPr>
        <w:t>（¥</w:t>
      </w:r>
      <w:r>
        <w:rPr>
          <w:color w:val="auto"/>
          <w:szCs w:val="21"/>
          <w:highlight w:val="none"/>
          <w:u w:val="single"/>
        </w:rPr>
        <w:t xml:space="preserve">             </w:t>
      </w:r>
      <w:r>
        <w:rPr>
          <w:color w:val="auto"/>
          <w:szCs w:val="21"/>
          <w:highlight w:val="none"/>
        </w:rPr>
        <w:t>）。</w:t>
      </w:r>
    </w:p>
    <w:p>
      <w:pPr>
        <w:spacing w:line="360" w:lineRule="auto"/>
        <w:ind w:firstLine="420"/>
        <w:rPr>
          <w:color w:val="auto"/>
          <w:szCs w:val="21"/>
          <w:highlight w:val="none"/>
        </w:rPr>
      </w:pPr>
      <w:r>
        <w:rPr>
          <w:rFonts w:hint="eastAsia"/>
          <w:color w:val="auto"/>
          <w:szCs w:val="21"/>
          <w:highlight w:val="none"/>
        </w:rPr>
        <w:t xml:space="preserve">2. </w:t>
      </w:r>
      <w:r>
        <w:rPr>
          <w:color w:val="auto"/>
          <w:szCs w:val="21"/>
          <w:highlight w:val="none"/>
        </w:rPr>
        <w:t>担保有效期自预付款支付给承包人起生效，至</w:t>
      </w:r>
      <w:r>
        <w:rPr>
          <w:rFonts w:hint="eastAsia"/>
          <w:color w:val="auto"/>
          <w:szCs w:val="21"/>
          <w:highlight w:val="none"/>
        </w:rPr>
        <w:t>你方</w:t>
      </w:r>
      <w:r>
        <w:rPr>
          <w:color w:val="auto"/>
          <w:szCs w:val="21"/>
          <w:highlight w:val="none"/>
        </w:rPr>
        <w:t>签发的</w:t>
      </w:r>
      <w:r>
        <w:rPr>
          <w:rFonts w:hint="eastAsia"/>
          <w:color w:val="auto"/>
          <w:szCs w:val="21"/>
          <w:highlight w:val="none"/>
        </w:rPr>
        <w:t>进</w:t>
      </w:r>
      <w:r>
        <w:rPr>
          <w:color w:val="auto"/>
          <w:szCs w:val="21"/>
          <w:highlight w:val="none"/>
        </w:rPr>
        <w:t>度款支付证书说明已完全扣清止。</w:t>
      </w:r>
    </w:p>
    <w:p>
      <w:pPr>
        <w:spacing w:line="360" w:lineRule="auto"/>
        <w:ind w:firstLine="420"/>
        <w:rPr>
          <w:color w:val="auto"/>
          <w:szCs w:val="21"/>
          <w:highlight w:val="none"/>
        </w:rPr>
      </w:pPr>
      <w:r>
        <w:rPr>
          <w:rFonts w:hint="eastAsia"/>
          <w:color w:val="auto"/>
          <w:szCs w:val="21"/>
          <w:highlight w:val="none"/>
        </w:rPr>
        <w:t xml:space="preserve">3. </w:t>
      </w:r>
      <w:r>
        <w:rPr>
          <w:color w:val="auto"/>
          <w:szCs w:val="21"/>
          <w:highlight w:val="none"/>
        </w:rPr>
        <w:t>在本保函有效期内，因承包人违反合同约定的义务而要求</w:t>
      </w:r>
      <w:r>
        <w:rPr>
          <w:rFonts w:hint="eastAsia"/>
          <w:color w:val="auto"/>
          <w:szCs w:val="21"/>
          <w:highlight w:val="none"/>
        </w:rPr>
        <w:t>收</w:t>
      </w:r>
      <w:r>
        <w:rPr>
          <w:color w:val="auto"/>
          <w:szCs w:val="21"/>
          <w:highlight w:val="none"/>
        </w:rPr>
        <w:t>回预付款时，我方在收到你方的书面通知后，在７天内无条件支付。但本保函的担保金额，在任何时候不应超过预付款金额减去</w:t>
      </w:r>
      <w:r>
        <w:rPr>
          <w:rFonts w:hint="eastAsia"/>
          <w:color w:val="auto"/>
          <w:szCs w:val="21"/>
          <w:highlight w:val="none"/>
        </w:rPr>
        <w:t>你方</w:t>
      </w:r>
      <w:r>
        <w:rPr>
          <w:color w:val="auto"/>
          <w:szCs w:val="21"/>
          <w:highlight w:val="none"/>
        </w:rPr>
        <w:t>按合同约定在向承包人签发的进度款支付证书中扣除的金额。</w:t>
      </w:r>
    </w:p>
    <w:p>
      <w:pPr>
        <w:spacing w:line="360" w:lineRule="auto"/>
        <w:ind w:firstLine="420"/>
        <w:rPr>
          <w:rFonts w:hint="eastAsia"/>
          <w:color w:val="auto"/>
          <w:szCs w:val="21"/>
          <w:highlight w:val="none"/>
        </w:rPr>
      </w:pPr>
      <w:r>
        <w:rPr>
          <w:rFonts w:hint="eastAsia"/>
          <w:color w:val="auto"/>
          <w:szCs w:val="21"/>
          <w:highlight w:val="none"/>
        </w:rPr>
        <w:t>4. 你方</w:t>
      </w:r>
      <w:r>
        <w:rPr>
          <w:color w:val="auto"/>
          <w:szCs w:val="21"/>
          <w:highlight w:val="none"/>
        </w:rPr>
        <w:t>和承包人按合同约定变更合同时，我方承担本保函规定的义务不变。</w:t>
      </w:r>
    </w:p>
    <w:p>
      <w:pPr>
        <w:spacing w:line="360" w:lineRule="auto"/>
        <w:ind w:firstLine="420"/>
        <w:rPr>
          <w:color w:val="auto"/>
          <w:szCs w:val="21"/>
          <w:highlight w:val="none"/>
        </w:rPr>
      </w:pPr>
      <w:r>
        <w:rPr>
          <w:rFonts w:hint="eastAsia"/>
          <w:color w:val="auto"/>
          <w:szCs w:val="21"/>
          <w:highlight w:val="none"/>
        </w:rPr>
        <w:t xml:space="preserve">5. </w:t>
      </w:r>
      <w:r>
        <w:rPr>
          <w:color w:val="auto"/>
          <w:szCs w:val="21"/>
          <w:highlight w:val="none"/>
        </w:rPr>
        <w:t>因本保函发生的纠纷，可由双方协商解决，协商不成的，任何一方均可提请</w:t>
      </w:r>
      <w:r>
        <w:rPr>
          <w:color w:val="auto"/>
          <w:szCs w:val="21"/>
          <w:highlight w:val="none"/>
          <w:u w:val="single"/>
        </w:rPr>
        <w:t xml:space="preserve">        </w:t>
      </w:r>
      <w:r>
        <w:rPr>
          <w:color w:val="auto"/>
          <w:szCs w:val="21"/>
          <w:highlight w:val="none"/>
        </w:rPr>
        <w:t>仲裁委员会仲裁。</w:t>
      </w:r>
    </w:p>
    <w:p>
      <w:pPr>
        <w:spacing w:line="360" w:lineRule="auto"/>
        <w:ind w:firstLine="420"/>
        <w:rPr>
          <w:color w:val="auto"/>
          <w:szCs w:val="21"/>
          <w:highlight w:val="none"/>
        </w:rPr>
      </w:pPr>
      <w:r>
        <w:rPr>
          <w:rFonts w:hint="eastAsia"/>
          <w:color w:val="auto"/>
          <w:szCs w:val="21"/>
          <w:highlight w:val="none"/>
        </w:rPr>
        <w:t xml:space="preserve">6. </w:t>
      </w:r>
      <w:r>
        <w:rPr>
          <w:color w:val="auto"/>
          <w:szCs w:val="21"/>
          <w:highlight w:val="none"/>
        </w:rPr>
        <w:t>本保函自我方法定代表人（或其授权代理人）签字并加盖公章之日起生效。</w:t>
      </w:r>
    </w:p>
    <w:p>
      <w:pPr>
        <w:spacing w:line="360" w:lineRule="auto"/>
        <w:ind w:firstLine="420"/>
        <w:rPr>
          <w:rFonts w:hint="eastAsia"/>
          <w:color w:val="auto"/>
          <w:szCs w:val="21"/>
          <w:highlight w:val="none"/>
        </w:rPr>
      </w:pPr>
    </w:p>
    <w:p>
      <w:pPr>
        <w:spacing w:line="360" w:lineRule="auto"/>
        <w:ind w:firstLine="420"/>
        <w:rPr>
          <w:rFonts w:hint="eastAsia"/>
          <w:color w:val="auto"/>
          <w:szCs w:val="21"/>
          <w:highlight w:val="none"/>
        </w:rPr>
      </w:pPr>
    </w:p>
    <w:p>
      <w:pPr>
        <w:spacing w:line="360" w:lineRule="auto"/>
        <w:ind w:firstLine="420"/>
        <w:rPr>
          <w:color w:val="auto"/>
          <w:szCs w:val="21"/>
          <w:highlight w:val="none"/>
        </w:rPr>
      </w:pPr>
      <w:r>
        <w:rPr>
          <w:color w:val="auto"/>
          <w:szCs w:val="21"/>
          <w:highlight w:val="none"/>
        </w:rPr>
        <w:t>担保人：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（盖单位章）</w:t>
      </w:r>
    </w:p>
    <w:p>
      <w:pPr>
        <w:spacing w:line="360" w:lineRule="auto"/>
        <w:ind w:firstLine="420"/>
        <w:rPr>
          <w:color w:val="auto"/>
          <w:szCs w:val="21"/>
          <w:highlight w:val="none"/>
        </w:rPr>
      </w:pPr>
      <w:r>
        <w:rPr>
          <w:color w:val="auto"/>
          <w:szCs w:val="21"/>
          <w:highlight w:val="none"/>
        </w:rPr>
        <w:t>法定代表人或其委托代理人：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（签字）</w:t>
      </w:r>
    </w:p>
    <w:p>
      <w:pPr>
        <w:spacing w:line="360" w:lineRule="auto"/>
        <w:ind w:firstLine="420"/>
        <w:rPr>
          <w:color w:val="auto"/>
          <w:szCs w:val="21"/>
          <w:highlight w:val="none"/>
        </w:rPr>
      </w:pPr>
      <w:r>
        <w:rPr>
          <w:color w:val="auto"/>
          <w:szCs w:val="21"/>
          <w:highlight w:val="none"/>
        </w:rPr>
        <w:t>地    址：</w:t>
      </w:r>
      <w:r>
        <w:rPr>
          <w:color w:val="auto"/>
          <w:szCs w:val="21"/>
          <w:highlight w:val="none"/>
          <w:u w:val="single"/>
        </w:rPr>
        <w:tab/>
      </w:r>
      <w:r>
        <w:rPr>
          <w:color w:val="auto"/>
          <w:szCs w:val="21"/>
          <w:highlight w:val="none"/>
          <w:u w:val="single"/>
        </w:rPr>
        <w:tab/>
      </w:r>
      <w:r>
        <w:rPr>
          <w:rFonts w:hint="eastAsia"/>
          <w:color w:val="auto"/>
          <w:szCs w:val="21"/>
          <w:highlight w:val="none"/>
          <w:u w:val="single"/>
        </w:rPr>
        <w:t xml:space="preserve">  </w:t>
      </w:r>
      <w:r>
        <w:rPr>
          <w:color w:val="auto"/>
          <w:szCs w:val="21"/>
          <w:highlight w:val="none"/>
          <w:u w:val="single"/>
        </w:rPr>
        <w:tab/>
      </w:r>
      <w:r>
        <w:rPr>
          <w:color w:val="auto"/>
          <w:szCs w:val="21"/>
          <w:highlight w:val="none"/>
          <w:u w:val="single"/>
        </w:rPr>
        <w:tab/>
      </w:r>
      <w:r>
        <w:rPr>
          <w:rFonts w:hint="eastAsia"/>
          <w:color w:val="auto"/>
          <w:szCs w:val="21"/>
          <w:highlight w:val="none"/>
          <w:u w:val="single"/>
        </w:rPr>
        <w:t xml:space="preserve">                   </w:t>
      </w:r>
      <w:r>
        <w:rPr>
          <w:color w:val="auto"/>
          <w:szCs w:val="21"/>
          <w:highlight w:val="none"/>
          <w:u w:val="single"/>
        </w:rPr>
        <w:tab/>
      </w:r>
      <w:r>
        <w:rPr>
          <w:color w:val="auto"/>
          <w:szCs w:val="21"/>
          <w:highlight w:val="none"/>
          <w:u w:val="single"/>
        </w:rPr>
        <w:tab/>
      </w:r>
      <w:r>
        <w:rPr>
          <w:color w:val="auto"/>
          <w:szCs w:val="21"/>
          <w:highlight w:val="none"/>
          <w:u w:val="single"/>
        </w:rPr>
        <w:tab/>
      </w:r>
    </w:p>
    <w:p>
      <w:pPr>
        <w:spacing w:line="360" w:lineRule="auto"/>
        <w:ind w:firstLine="420"/>
        <w:rPr>
          <w:color w:val="auto"/>
          <w:szCs w:val="21"/>
          <w:highlight w:val="none"/>
          <w:u w:val="single"/>
        </w:rPr>
      </w:pPr>
      <w:r>
        <w:rPr>
          <w:color w:val="auto"/>
          <w:szCs w:val="21"/>
          <w:highlight w:val="none"/>
        </w:rPr>
        <w:t>邮政编码：</w:t>
      </w:r>
      <w:r>
        <w:rPr>
          <w:color w:val="auto"/>
          <w:szCs w:val="21"/>
          <w:highlight w:val="none"/>
          <w:u w:val="single"/>
        </w:rPr>
        <w:tab/>
      </w:r>
      <w:r>
        <w:rPr>
          <w:color w:val="auto"/>
          <w:szCs w:val="21"/>
          <w:highlight w:val="none"/>
          <w:u w:val="single"/>
        </w:rPr>
        <w:tab/>
      </w:r>
      <w:r>
        <w:rPr>
          <w:rFonts w:hint="eastAsia"/>
          <w:color w:val="auto"/>
          <w:szCs w:val="21"/>
          <w:highlight w:val="none"/>
          <w:u w:val="single"/>
        </w:rPr>
        <w:t xml:space="preserve">  </w:t>
      </w:r>
      <w:r>
        <w:rPr>
          <w:color w:val="auto"/>
          <w:szCs w:val="21"/>
          <w:highlight w:val="none"/>
          <w:u w:val="single"/>
        </w:rPr>
        <w:tab/>
      </w:r>
      <w:r>
        <w:rPr>
          <w:color w:val="auto"/>
          <w:szCs w:val="21"/>
          <w:highlight w:val="none"/>
          <w:u w:val="single"/>
        </w:rPr>
        <w:tab/>
      </w:r>
      <w:r>
        <w:rPr>
          <w:rFonts w:hint="eastAsia"/>
          <w:color w:val="auto"/>
          <w:szCs w:val="21"/>
          <w:highlight w:val="none"/>
          <w:u w:val="single"/>
        </w:rPr>
        <w:t xml:space="preserve">                   </w:t>
      </w:r>
      <w:r>
        <w:rPr>
          <w:color w:val="auto"/>
          <w:szCs w:val="21"/>
          <w:highlight w:val="none"/>
          <w:u w:val="single"/>
        </w:rPr>
        <w:tab/>
      </w:r>
      <w:r>
        <w:rPr>
          <w:color w:val="auto"/>
          <w:szCs w:val="21"/>
          <w:highlight w:val="none"/>
          <w:u w:val="single"/>
        </w:rPr>
        <w:tab/>
      </w:r>
      <w:r>
        <w:rPr>
          <w:color w:val="auto"/>
          <w:szCs w:val="21"/>
          <w:highlight w:val="none"/>
          <w:u w:val="single"/>
        </w:rPr>
        <w:tab/>
      </w:r>
    </w:p>
    <w:p>
      <w:pPr>
        <w:spacing w:line="360" w:lineRule="auto"/>
        <w:ind w:firstLine="420"/>
        <w:rPr>
          <w:color w:val="auto"/>
          <w:szCs w:val="21"/>
          <w:highlight w:val="none"/>
          <w:u w:val="single"/>
        </w:rPr>
      </w:pPr>
      <w:r>
        <w:rPr>
          <w:color w:val="auto"/>
          <w:szCs w:val="21"/>
          <w:highlight w:val="none"/>
        </w:rPr>
        <w:t>电    话：</w:t>
      </w:r>
      <w:r>
        <w:rPr>
          <w:color w:val="auto"/>
          <w:szCs w:val="21"/>
          <w:highlight w:val="none"/>
          <w:u w:val="single"/>
        </w:rPr>
        <w:tab/>
      </w:r>
      <w:r>
        <w:rPr>
          <w:color w:val="auto"/>
          <w:szCs w:val="21"/>
          <w:highlight w:val="none"/>
          <w:u w:val="single"/>
        </w:rPr>
        <w:tab/>
      </w:r>
      <w:r>
        <w:rPr>
          <w:rFonts w:hint="eastAsia"/>
          <w:color w:val="auto"/>
          <w:szCs w:val="21"/>
          <w:highlight w:val="none"/>
          <w:u w:val="single"/>
        </w:rPr>
        <w:t xml:space="preserve">  </w:t>
      </w:r>
      <w:r>
        <w:rPr>
          <w:color w:val="auto"/>
          <w:szCs w:val="21"/>
          <w:highlight w:val="none"/>
          <w:u w:val="single"/>
        </w:rPr>
        <w:tab/>
      </w:r>
      <w:r>
        <w:rPr>
          <w:color w:val="auto"/>
          <w:szCs w:val="21"/>
          <w:highlight w:val="none"/>
          <w:u w:val="single"/>
        </w:rPr>
        <w:tab/>
      </w:r>
      <w:r>
        <w:rPr>
          <w:rFonts w:hint="eastAsia"/>
          <w:color w:val="auto"/>
          <w:szCs w:val="21"/>
          <w:highlight w:val="none"/>
          <w:u w:val="single"/>
        </w:rPr>
        <w:t xml:space="preserve">                   </w:t>
      </w:r>
      <w:r>
        <w:rPr>
          <w:color w:val="auto"/>
          <w:szCs w:val="21"/>
          <w:highlight w:val="none"/>
          <w:u w:val="single"/>
        </w:rPr>
        <w:tab/>
      </w:r>
      <w:r>
        <w:rPr>
          <w:color w:val="auto"/>
          <w:szCs w:val="21"/>
          <w:highlight w:val="none"/>
          <w:u w:val="single"/>
        </w:rPr>
        <w:tab/>
      </w:r>
      <w:r>
        <w:rPr>
          <w:color w:val="auto"/>
          <w:szCs w:val="21"/>
          <w:highlight w:val="none"/>
          <w:u w:val="single"/>
        </w:rPr>
        <w:tab/>
      </w:r>
    </w:p>
    <w:p>
      <w:pPr>
        <w:spacing w:line="360" w:lineRule="auto"/>
        <w:ind w:firstLine="420"/>
        <w:rPr>
          <w:color w:val="auto"/>
          <w:szCs w:val="21"/>
          <w:highlight w:val="none"/>
          <w:u w:val="single"/>
        </w:rPr>
      </w:pPr>
      <w:r>
        <w:rPr>
          <w:color w:val="auto"/>
          <w:szCs w:val="21"/>
          <w:highlight w:val="none"/>
        </w:rPr>
        <w:t>传    真：</w:t>
      </w:r>
      <w:r>
        <w:rPr>
          <w:color w:val="auto"/>
          <w:szCs w:val="21"/>
          <w:highlight w:val="none"/>
          <w:u w:val="single"/>
        </w:rPr>
        <w:tab/>
      </w:r>
      <w:r>
        <w:rPr>
          <w:color w:val="auto"/>
          <w:szCs w:val="21"/>
          <w:highlight w:val="none"/>
          <w:u w:val="single"/>
        </w:rPr>
        <w:tab/>
      </w:r>
      <w:r>
        <w:rPr>
          <w:rFonts w:hint="eastAsia"/>
          <w:color w:val="auto"/>
          <w:szCs w:val="21"/>
          <w:highlight w:val="none"/>
          <w:u w:val="single"/>
        </w:rPr>
        <w:t xml:space="preserve">  </w:t>
      </w:r>
      <w:r>
        <w:rPr>
          <w:color w:val="auto"/>
          <w:szCs w:val="21"/>
          <w:highlight w:val="none"/>
          <w:u w:val="single"/>
        </w:rPr>
        <w:tab/>
      </w:r>
      <w:r>
        <w:rPr>
          <w:color w:val="auto"/>
          <w:szCs w:val="21"/>
          <w:highlight w:val="none"/>
          <w:u w:val="single"/>
        </w:rPr>
        <w:tab/>
      </w:r>
      <w:r>
        <w:rPr>
          <w:rFonts w:hint="eastAsia"/>
          <w:color w:val="auto"/>
          <w:szCs w:val="21"/>
          <w:highlight w:val="none"/>
          <w:u w:val="single"/>
        </w:rPr>
        <w:t xml:space="preserve">                   </w:t>
      </w:r>
      <w:r>
        <w:rPr>
          <w:color w:val="auto"/>
          <w:szCs w:val="21"/>
          <w:highlight w:val="none"/>
          <w:u w:val="single"/>
        </w:rPr>
        <w:tab/>
      </w:r>
      <w:r>
        <w:rPr>
          <w:color w:val="auto"/>
          <w:szCs w:val="21"/>
          <w:highlight w:val="none"/>
          <w:u w:val="single"/>
        </w:rPr>
        <w:tab/>
      </w:r>
      <w:r>
        <w:rPr>
          <w:color w:val="auto"/>
          <w:szCs w:val="21"/>
          <w:highlight w:val="none"/>
          <w:u w:val="single"/>
        </w:rPr>
        <w:tab/>
      </w:r>
    </w:p>
    <w:p>
      <w:pPr>
        <w:spacing w:line="360" w:lineRule="auto"/>
        <w:ind w:firstLine="420"/>
        <w:rPr>
          <w:color w:val="auto"/>
          <w:szCs w:val="21"/>
          <w:highlight w:val="none"/>
        </w:rPr>
      </w:pPr>
      <w:r>
        <w:rPr>
          <w:color w:val="auto"/>
          <w:szCs w:val="21"/>
          <w:highlight w:val="none"/>
        </w:rPr>
        <w:t xml:space="preserve">  </w:t>
      </w:r>
    </w:p>
    <w:p>
      <w:pPr>
        <w:spacing w:line="360" w:lineRule="auto"/>
        <w:ind w:firstLine="420"/>
        <w:rPr>
          <w:color w:val="auto"/>
          <w:szCs w:val="21"/>
          <w:highlight w:val="none"/>
          <w:u w:val="single"/>
        </w:rPr>
      </w:pPr>
    </w:p>
    <w:p>
      <w:pPr>
        <w:spacing w:line="360" w:lineRule="auto"/>
        <w:ind w:firstLine="420"/>
        <w:jc w:val="right"/>
        <w:rPr>
          <w:color w:val="auto"/>
          <w:szCs w:val="21"/>
          <w:highlight w:val="none"/>
        </w:rPr>
      </w:pPr>
      <w:r>
        <w:rPr>
          <w:color w:val="auto"/>
          <w:szCs w:val="21"/>
          <w:highlight w:val="none"/>
        </w:rPr>
        <w:t xml:space="preserve">            </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p>
    <w:p>
      <w:pPr>
        <w:spacing w:afterLines="50"/>
        <w:rPr>
          <w:rFonts w:hint="eastAsia"/>
          <w:b/>
          <w:color w:val="auto"/>
          <w:szCs w:val="21"/>
          <w:highlight w:val="none"/>
        </w:rPr>
      </w:pPr>
      <w:r>
        <w:rPr>
          <w:color w:val="auto"/>
          <w:szCs w:val="21"/>
          <w:highlight w:val="none"/>
        </w:rPr>
        <w:br w:type="page"/>
      </w:r>
      <w:r>
        <w:rPr>
          <w:b/>
          <w:color w:val="auto"/>
          <w:szCs w:val="21"/>
          <w:highlight w:val="none"/>
        </w:rPr>
        <w:t>附</w:t>
      </w:r>
      <w:bookmarkStart w:id="1074" w:name="_Toc296503233"/>
      <w:bookmarkStart w:id="1075" w:name="_Toc296891061"/>
      <w:bookmarkStart w:id="1076" w:name="_Toc296891273"/>
      <w:bookmarkStart w:id="1077" w:name="_Toc296944572"/>
      <w:bookmarkStart w:id="1078" w:name="_Toc296347232"/>
      <w:bookmarkStart w:id="1079" w:name="_Toc296346734"/>
      <w:r>
        <w:rPr>
          <w:b/>
          <w:color w:val="auto"/>
          <w:szCs w:val="21"/>
          <w:highlight w:val="none"/>
        </w:rPr>
        <w:t>件1</w:t>
      </w:r>
      <w:r>
        <w:rPr>
          <w:rFonts w:hint="eastAsia"/>
          <w:b/>
          <w:color w:val="auto"/>
          <w:szCs w:val="21"/>
          <w:highlight w:val="none"/>
        </w:rPr>
        <w:t>0</w:t>
      </w:r>
      <w:r>
        <w:rPr>
          <w:b/>
          <w:color w:val="auto"/>
          <w:szCs w:val="21"/>
          <w:highlight w:val="none"/>
        </w:rPr>
        <w:t xml:space="preserve">:  </w:t>
      </w:r>
      <w:r>
        <w:rPr>
          <w:rFonts w:hint="eastAsia"/>
          <w:b/>
          <w:color w:val="auto"/>
          <w:szCs w:val="21"/>
          <w:highlight w:val="none"/>
        </w:rPr>
        <w:t>支付担保格式</w:t>
      </w:r>
    </w:p>
    <w:bookmarkEnd w:id="1074"/>
    <w:bookmarkEnd w:id="1075"/>
    <w:bookmarkEnd w:id="1076"/>
    <w:bookmarkEnd w:id="1077"/>
    <w:bookmarkEnd w:id="1078"/>
    <w:bookmarkEnd w:id="1079"/>
    <w:p>
      <w:pPr>
        <w:spacing w:afterLines="50" w:line="360" w:lineRule="auto"/>
        <w:jc w:val="center"/>
        <w:rPr>
          <w:b/>
          <w:color w:val="auto"/>
          <w:sz w:val="28"/>
          <w:szCs w:val="28"/>
          <w:highlight w:val="none"/>
        </w:rPr>
      </w:pPr>
      <w:r>
        <w:rPr>
          <w:b/>
          <w:color w:val="auto"/>
          <w:sz w:val="28"/>
          <w:szCs w:val="28"/>
          <w:highlight w:val="none"/>
        </w:rPr>
        <w:t>支付担保</w:t>
      </w:r>
    </w:p>
    <w:p>
      <w:pPr>
        <w:spacing w:line="360" w:lineRule="auto"/>
        <w:ind w:firstLine="420"/>
        <w:rPr>
          <w:color w:val="auto"/>
          <w:szCs w:val="21"/>
          <w:highlight w:val="none"/>
        </w:rPr>
      </w:pPr>
      <w:r>
        <w:rPr>
          <w:color w:val="auto"/>
          <w:szCs w:val="21"/>
          <w:highlight w:val="none"/>
          <w:u w:val="single"/>
        </w:rPr>
        <w:t xml:space="preserve">             </w:t>
      </w:r>
      <w:r>
        <w:rPr>
          <w:color w:val="auto"/>
          <w:szCs w:val="21"/>
          <w:highlight w:val="none"/>
        </w:rPr>
        <w:t>（承包人）：</w:t>
      </w:r>
    </w:p>
    <w:p>
      <w:pPr>
        <w:spacing w:line="360" w:lineRule="auto"/>
        <w:ind w:firstLine="420"/>
        <w:rPr>
          <w:color w:val="auto"/>
          <w:szCs w:val="21"/>
          <w:highlight w:val="none"/>
        </w:rPr>
      </w:pPr>
    </w:p>
    <w:p>
      <w:pPr>
        <w:spacing w:line="360" w:lineRule="auto"/>
        <w:ind w:firstLine="420"/>
        <w:rPr>
          <w:color w:val="auto"/>
          <w:szCs w:val="21"/>
          <w:highlight w:val="none"/>
        </w:rPr>
      </w:pPr>
      <w:r>
        <w:rPr>
          <w:color w:val="auto"/>
          <w:szCs w:val="21"/>
          <w:highlight w:val="none"/>
        </w:rPr>
        <w:t>鉴于你方作为承包人已经与</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（发包人名称）（以下称</w:t>
      </w:r>
      <w:r>
        <w:rPr>
          <w:rFonts w:hint="eastAsia"/>
          <w:color w:val="auto"/>
          <w:szCs w:val="21"/>
          <w:highlight w:val="none"/>
        </w:rPr>
        <w:t>“</w:t>
      </w:r>
      <w:r>
        <w:rPr>
          <w:color w:val="auto"/>
          <w:szCs w:val="21"/>
          <w:highlight w:val="none"/>
        </w:rPr>
        <w:t>发包人</w:t>
      </w:r>
      <w:r>
        <w:rPr>
          <w:rFonts w:hint="eastAsia"/>
          <w:color w:val="auto"/>
          <w:szCs w:val="21"/>
          <w:highlight w:val="none"/>
        </w:rPr>
        <w:t>”</w:t>
      </w:r>
      <w:r>
        <w:rPr>
          <w:color w:val="auto"/>
          <w:szCs w:val="21"/>
          <w:highlight w:val="none"/>
        </w:rPr>
        <w:t>）于</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日签订了</w:t>
      </w:r>
      <w:r>
        <w:rPr>
          <w:color w:val="auto"/>
          <w:szCs w:val="21"/>
          <w:highlight w:val="none"/>
          <w:u w:val="single"/>
        </w:rPr>
        <w:t xml:space="preserve">             </w:t>
      </w:r>
      <w:r>
        <w:rPr>
          <w:color w:val="auto"/>
          <w:szCs w:val="21"/>
          <w:highlight w:val="none"/>
        </w:rPr>
        <w:t>（工程名称）《建设工程施工合同》（以下称</w:t>
      </w:r>
      <w:r>
        <w:rPr>
          <w:rFonts w:hint="eastAsia"/>
          <w:color w:val="auto"/>
          <w:szCs w:val="21"/>
          <w:highlight w:val="none"/>
        </w:rPr>
        <w:t>“</w:t>
      </w:r>
      <w:r>
        <w:rPr>
          <w:color w:val="auto"/>
          <w:szCs w:val="21"/>
          <w:highlight w:val="none"/>
        </w:rPr>
        <w:t>主合同</w:t>
      </w:r>
      <w:r>
        <w:rPr>
          <w:rFonts w:hint="eastAsia"/>
          <w:color w:val="auto"/>
          <w:szCs w:val="21"/>
          <w:highlight w:val="none"/>
        </w:rPr>
        <w:t>”</w:t>
      </w:r>
      <w:r>
        <w:rPr>
          <w:color w:val="auto"/>
          <w:szCs w:val="21"/>
          <w:highlight w:val="none"/>
        </w:rPr>
        <w:t>），应发包人的申请，我方愿就发包人履行主合同约定的工程款支付义务以保证的方式向你方提供如下担保：</w:t>
      </w:r>
    </w:p>
    <w:p>
      <w:pPr>
        <w:spacing w:line="360" w:lineRule="auto"/>
        <w:ind w:firstLine="420"/>
        <w:rPr>
          <w:color w:val="auto"/>
          <w:szCs w:val="21"/>
          <w:highlight w:val="none"/>
        </w:rPr>
      </w:pPr>
      <w:r>
        <w:rPr>
          <w:color w:val="auto"/>
          <w:szCs w:val="21"/>
          <w:highlight w:val="none"/>
        </w:rPr>
        <w:t>一、保证的范围及保证金额</w:t>
      </w:r>
    </w:p>
    <w:p>
      <w:pPr>
        <w:spacing w:line="360" w:lineRule="auto"/>
        <w:ind w:firstLine="420"/>
        <w:rPr>
          <w:color w:val="auto"/>
          <w:szCs w:val="21"/>
          <w:highlight w:val="none"/>
        </w:rPr>
      </w:pPr>
      <w:r>
        <w:rPr>
          <w:rFonts w:hint="eastAsia"/>
          <w:color w:val="auto"/>
          <w:szCs w:val="21"/>
          <w:highlight w:val="none"/>
        </w:rPr>
        <w:t xml:space="preserve">1. </w:t>
      </w:r>
      <w:r>
        <w:rPr>
          <w:color w:val="auto"/>
          <w:szCs w:val="21"/>
          <w:highlight w:val="none"/>
        </w:rPr>
        <w:t>我方的保证范围是主合同约定的工程款。</w:t>
      </w:r>
    </w:p>
    <w:p>
      <w:pPr>
        <w:spacing w:line="360" w:lineRule="auto"/>
        <w:ind w:firstLine="420"/>
        <w:rPr>
          <w:rFonts w:hint="eastAsia"/>
          <w:color w:val="auto"/>
          <w:szCs w:val="21"/>
          <w:highlight w:val="none"/>
        </w:rPr>
      </w:pPr>
      <w:r>
        <w:rPr>
          <w:rFonts w:hint="eastAsia"/>
          <w:color w:val="auto"/>
          <w:szCs w:val="21"/>
          <w:highlight w:val="none"/>
        </w:rPr>
        <w:t xml:space="preserve">2. </w:t>
      </w:r>
      <w:r>
        <w:rPr>
          <w:color w:val="auto"/>
          <w:szCs w:val="21"/>
          <w:highlight w:val="none"/>
        </w:rPr>
        <w:t>本保函所称主合同约定的工程款是指主合同约定的除工程质量保证金以外的合同价款。</w:t>
      </w:r>
    </w:p>
    <w:p>
      <w:pPr>
        <w:spacing w:line="360" w:lineRule="auto"/>
        <w:ind w:firstLine="420"/>
        <w:rPr>
          <w:color w:val="auto"/>
          <w:szCs w:val="21"/>
          <w:highlight w:val="none"/>
        </w:rPr>
      </w:pPr>
      <w:r>
        <w:rPr>
          <w:rFonts w:hint="eastAsia"/>
          <w:color w:val="auto"/>
          <w:szCs w:val="21"/>
          <w:highlight w:val="none"/>
        </w:rPr>
        <w:t xml:space="preserve">3. </w:t>
      </w:r>
      <w:r>
        <w:rPr>
          <w:color w:val="auto"/>
          <w:szCs w:val="21"/>
          <w:highlight w:val="none"/>
        </w:rPr>
        <w:t>我方保证的金额是主合同约定的工程款的</w:t>
      </w:r>
      <w:r>
        <w:rPr>
          <w:color w:val="auto"/>
          <w:szCs w:val="21"/>
          <w:highlight w:val="none"/>
          <w:u w:val="single"/>
        </w:rPr>
        <w:t xml:space="preserve">   </w:t>
      </w:r>
      <w:r>
        <w:rPr>
          <w:color w:val="auto"/>
          <w:szCs w:val="21"/>
          <w:highlight w:val="none"/>
        </w:rPr>
        <w:t>%，数额最高不超过人民币元（</w:t>
      </w:r>
      <w:r>
        <w:rPr>
          <w:rFonts w:hint="eastAsia"/>
          <w:color w:val="auto"/>
          <w:szCs w:val="21"/>
          <w:highlight w:val="none"/>
        </w:rPr>
        <w:t>大</w:t>
      </w:r>
      <w:r>
        <w:rPr>
          <w:color w:val="auto"/>
          <w:szCs w:val="21"/>
          <w:highlight w:val="none"/>
        </w:rPr>
        <w:t>写：</w:t>
      </w:r>
      <w:r>
        <w:rPr>
          <w:color w:val="auto"/>
          <w:szCs w:val="21"/>
          <w:highlight w:val="none"/>
          <w:u w:val="single"/>
        </w:rPr>
        <w:t xml:space="preserve">      </w:t>
      </w:r>
      <w:r>
        <w:rPr>
          <w:color w:val="auto"/>
          <w:szCs w:val="21"/>
          <w:highlight w:val="none"/>
        </w:rPr>
        <w:t>）。</w:t>
      </w:r>
    </w:p>
    <w:p>
      <w:pPr>
        <w:spacing w:line="360" w:lineRule="auto"/>
        <w:ind w:firstLine="420"/>
        <w:rPr>
          <w:color w:val="auto"/>
          <w:szCs w:val="21"/>
          <w:highlight w:val="none"/>
        </w:rPr>
      </w:pPr>
      <w:r>
        <w:rPr>
          <w:color w:val="auto"/>
          <w:szCs w:val="21"/>
          <w:highlight w:val="none"/>
        </w:rPr>
        <w:t>二、保证的方式及保证期间</w:t>
      </w:r>
    </w:p>
    <w:p>
      <w:pPr>
        <w:spacing w:line="360" w:lineRule="auto"/>
        <w:ind w:firstLine="420"/>
        <w:rPr>
          <w:rFonts w:hint="eastAsia"/>
          <w:color w:val="auto"/>
          <w:szCs w:val="21"/>
          <w:highlight w:val="none"/>
        </w:rPr>
      </w:pPr>
      <w:r>
        <w:rPr>
          <w:rFonts w:hint="eastAsia"/>
          <w:color w:val="auto"/>
          <w:szCs w:val="21"/>
          <w:highlight w:val="none"/>
        </w:rPr>
        <w:t xml:space="preserve">1. </w:t>
      </w:r>
      <w:r>
        <w:rPr>
          <w:color w:val="auto"/>
          <w:szCs w:val="21"/>
          <w:highlight w:val="none"/>
        </w:rPr>
        <w:t>我方保证的方式为：连带责任保证。</w:t>
      </w:r>
    </w:p>
    <w:p>
      <w:pPr>
        <w:spacing w:line="360" w:lineRule="auto"/>
        <w:ind w:firstLine="420"/>
        <w:rPr>
          <w:color w:val="auto"/>
          <w:szCs w:val="21"/>
          <w:highlight w:val="none"/>
        </w:rPr>
      </w:pPr>
      <w:r>
        <w:rPr>
          <w:rFonts w:hint="eastAsia"/>
          <w:color w:val="auto"/>
          <w:szCs w:val="21"/>
          <w:highlight w:val="none"/>
        </w:rPr>
        <w:t xml:space="preserve">2. </w:t>
      </w:r>
      <w:r>
        <w:rPr>
          <w:color w:val="auto"/>
          <w:szCs w:val="21"/>
          <w:highlight w:val="none"/>
        </w:rPr>
        <w:t>我方保证的期间为：自本合同生效之日起至主合同约定的工程款支付完毕之日后</w:t>
      </w:r>
      <w:r>
        <w:rPr>
          <w:color w:val="auto"/>
          <w:szCs w:val="21"/>
          <w:highlight w:val="none"/>
          <w:u w:val="single"/>
        </w:rPr>
        <w:t xml:space="preserve">    </w:t>
      </w:r>
      <w:r>
        <w:rPr>
          <w:color w:val="auto"/>
          <w:szCs w:val="21"/>
          <w:highlight w:val="none"/>
        </w:rPr>
        <w:t>日内。</w:t>
      </w:r>
    </w:p>
    <w:p>
      <w:pPr>
        <w:spacing w:line="360" w:lineRule="auto"/>
        <w:ind w:firstLine="420"/>
        <w:rPr>
          <w:rFonts w:hint="eastAsia"/>
          <w:color w:val="auto"/>
          <w:szCs w:val="21"/>
          <w:highlight w:val="none"/>
        </w:rPr>
      </w:pPr>
      <w:r>
        <w:rPr>
          <w:rFonts w:hint="eastAsia"/>
          <w:color w:val="auto"/>
          <w:szCs w:val="21"/>
          <w:highlight w:val="none"/>
        </w:rPr>
        <w:t xml:space="preserve">3. </w:t>
      </w:r>
      <w:r>
        <w:rPr>
          <w:color w:val="auto"/>
          <w:szCs w:val="21"/>
          <w:highlight w:val="none"/>
        </w:rPr>
        <w:t>你方与发包人协议变更工程款支付日期的，经我方书面同意后，保证期间按照变更后的支付日期做相应调整。</w:t>
      </w:r>
    </w:p>
    <w:p>
      <w:pPr>
        <w:spacing w:line="360" w:lineRule="auto"/>
        <w:ind w:firstLine="420"/>
        <w:rPr>
          <w:color w:val="auto"/>
          <w:szCs w:val="21"/>
          <w:highlight w:val="none"/>
        </w:rPr>
      </w:pPr>
      <w:r>
        <w:rPr>
          <w:color w:val="auto"/>
          <w:szCs w:val="21"/>
          <w:highlight w:val="none"/>
        </w:rPr>
        <w:t>三、承担保证责任的形式</w:t>
      </w:r>
    </w:p>
    <w:p>
      <w:pPr>
        <w:spacing w:line="360" w:lineRule="auto"/>
        <w:ind w:firstLine="420"/>
        <w:rPr>
          <w:color w:val="auto"/>
          <w:szCs w:val="21"/>
          <w:highlight w:val="none"/>
        </w:rPr>
      </w:pPr>
      <w:r>
        <w:rPr>
          <w:color w:val="auto"/>
          <w:szCs w:val="21"/>
          <w:highlight w:val="none"/>
        </w:rPr>
        <w:t>我方承担保证责任的形式是代为支付。发包人未按主合同约定向你方支付工程款的，由我方在保证金额内代为支付。</w:t>
      </w:r>
    </w:p>
    <w:p>
      <w:pPr>
        <w:spacing w:line="360" w:lineRule="auto"/>
        <w:ind w:firstLine="420"/>
        <w:rPr>
          <w:color w:val="auto"/>
          <w:szCs w:val="21"/>
          <w:highlight w:val="none"/>
        </w:rPr>
      </w:pPr>
      <w:r>
        <w:rPr>
          <w:color w:val="auto"/>
          <w:szCs w:val="21"/>
          <w:highlight w:val="none"/>
        </w:rPr>
        <w:t>四、代偿的安排</w:t>
      </w:r>
    </w:p>
    <w:p>
      <w:pPr>
        <w:spacing w:line="360" w:lineRule="auto"/>
        <w:ind w:firstLine="420"/>
        <w:rPr>
          <w:color w:val="auto"/>
          <w:szCs w:val="21"/>
          <w:highlight w:val="none"/>
        </w:rPr>
      </w:pPr>
      <w:r>
        <w:rPr>
          <w:rFonts w:hint="eastAsia"/>
          <w:color w:val="auto"/>
          <w:szCs w:val="21"/>
          <w:highlight w:val="none"/>
        </w:rPr>
        <w:t xml:space="preserve">1. </w:t>
      </w:r>
      <w:r>
        <w:rPr>
          <w:color w:val="auto"/>
          <w:szCs w:val="21"/>
          <w:highlight w:val="none"/>
        </w:rPr>
        <w:t>你方要求我方承担保证责任的，应向我方发出书面索赔通知及发包人未支付主合同约定工程款的证明材料。索赔通知应写明要求索赔的金额，支付款项应到达的账号。</w:t>
      </w:r>
    </w:p>
    <w:p>
      <w:pPr>
        <w:spacing w:line="360" w:lineRule="auto"/>
        <w:ind w:firstLine="420"/>
        <w:rPr>
          <w:color w:val="auto"/>
          <w:szCs w:val="21"/>
          <w:highlight w:val="none"/>
        </w:rPr>
      </w:pPr>
      <w:r>
        <w:rPr>
          <w:rFonts w:hint="eastAsia"/>
          <w:color w:val="auto"/>
          <w:szCs w:val="21"/>
          <w:highlight w:val="none"/>
        </w:rPr>
        <w:t xml:space="preserve">2. </w:t>
      </w:r>
      <w:r>
        <w:rPr>
          <w:color w:val="auto"/>
          <w:szCs w:val="21"/>
          <w:highlight w:val="none"/>
        </w:rPr>
        <w:t>在出现你方与发包人因工程质量发生争议，发包人拒绝向你方支付工程款的情形时，你方要求我方履行保证责任代为支付的，需提供符合相应条件要求的工程质量检测机构出具的质量说明材料。</w:t>
      </w:r>
    </w:p>
    <w:p>
      <w:pPr>
        <w:spacing w:line="360" w:lineRule="auto"/>
        <w:ind w:firstLine="420"/>
        <w:rPr>
          <w:color w:val="auto"/>
          <w:szCs w:val="21"/>
          <w:highlight w:val="none"/>
        </w:rPr>
      </w:pPr>
      <w:r>
        <w:rPr>
          <w:rFonts w:hint="eastAsia"/>
          <w:color w:val="auto"/>
          <w:szCs w:val="21"/>
          <w:highlight w:val="none"/>
        </w:rPr>
        <w:t xml:space="preserve">3. </w:t>
      </w:r>
      <w:r>
        <w:rPr>
          <w:color w:val="auto"/>
          <w:szCs w:val="21"/>
          <w:highlight w:val="none"/>
        </w:rPr>
        <w:t>我方收到你方的书面索赔通知及相应的证明材料后７天内无条件支付。</w:t>
      </w:r>
    </w:p>
    <w:p>
      <w:pPr>
        <w:spacing w:line="360" w:lineRule="auto"/>
        <w:ind w:firstLine="420"/>
        <w:rPr>
          <w:color w:val="auto"/>
          <w:szCs w:val="21"/>
          <w:highlight w:val="none"/>
        </w:rPr>
      </w:pPr>
      <w:r>
        <w:rPr>
          <w:color w:val="auto"/>
          <w:szCs w:val="21"/>
          <w:highlight w:val="none"/>
        </w:rPr>
        <w:t>五、保证责任的解除</w:t>
      </w:r>
    </w:p>
    <w:p>
      <w:pPr>
        <w:spacing w:line="360" w:lineRule="auto"/>
        <w:ind w:firstLine="420"/>
        <w:rPr>
          <w:color w:val="auto"/>
          <w:szCs w:val="21"/>
          <w:highlight w:val="none"/>
        </w:rPr>
      </w:pPr>
      <w:r>
        <w:rPr>
          <w:rFonts w:hint="eastAsia"/>
          <w:color w:val="auto"/>
          <w:szCs w:val="21"/>
          <w:highlight w:val="none"/>
        </w:rPr>
        <w:t xml:space="preserve">1. </w:t>
      </w:r>
      <w:r>
        <w:rPr>
          <w:color w:val="auto"/>
          <w:szCs w:val="21"/>
          <w:highlight w:val="none"/>
        </w:rPr>
        <w:t>在本保函承诺的保证期间内，你方未书面向我方主张保证责任的，自保证期间届满次日起，我方保证责任解除。</w:t>
      </w:r>
    </w:p>
    <w:p>
      <w:pPr>
        <w:spacing w:line="360" w:lineRule="auto"/>
        <w:ind w:firstLine="420"/>
        <w:rPr>
          <w:color w:val="auto"/>
          <w:szCs w:val="21"/>
          <w:highlight w:val="none"/>
        </w:rPr>
      </w:pPr>
      <w:r>
        <w:rPr>
          <w:rFonts w:hint="eastAsia"/>
          <w:color w:val="auto"/>
          <w:szCs w:val="21"/>
          <w:highlight w:val="none"/>
        </w:rPr>
        <w:t xml:space="preserve">2. </w:t>
      </w:r>
      <w:r>
        <w:rPr>
          <w:color w:val="auto"/>
          <w:szCs w:val="21"/>
          <w:highlight w:val="none"/>
        </w:rPr>
        <w:t>发包人按主合同约定履行了工程款的全部支付义务的，自本保函承诺的保证期间届满次日起，我方保证责任解除。</w:t>
      </w:r>
    </w:p>
    <w:p>
      <w:pPr>
        <w:spacing w:line="360" w:lineRule="auto"/>
        <w:ind w:firstLine="420"/>
        <w:rPr>
          <w:rFonts w:hint="eastAsia"/>
          <w:color w:val="auto"/>
          <w:szCs w:val="21"/>
          <w:highlight w:val="none"/>
        </w:rPr>
      </w:pPr>
      <w:r>
        <w:rPr>
          <w:rFonts w:hint="eastAsia"/>
          <w:color w:val="auto"/>
          <w:szCs w:val="21"/>
          <w:highlight w:val="none"/>
        </w:rPr>
        <w:t xml:space="preserve">3. </w:t>
      </w:r>
      <w:r>
        <w:rPr>
          <w:color w:val="auto"/>
          <w:szCs w:val="21"/>
          <w:highlight w:val="none"/>
        </w:rPr>
        <w:t>我方按照本保函向你方履行保证责任所支付金额达到本保函保证金额时，自我方向你方支付（支付款项从我方账户划出）之日起，保证责任即解除。</w:t>
      </w:r>
    </w:p>
    <w:p>
      <w:pPr>
        <w:spacing w:line="360" w:lineRule="auto"/>
        <w:ind w:firstLine="420"/>
        <w:rPr>
          <w:rFonts w:hint="eastAsia"/>
          <w:color w:val="auto"/>
          <w:szCs w:val="21"/>
          <w:highlight w:val="none"/>
        </w:rPr>
      </w:pPr>
      <w:r>
        <w:rPr>
          <w:rFonts w:hint="eastAsia"/>
          <w:color w:val="auto"/>
          <w:szCs w:val="21"/>
          <w:highlight w:val="none"/>
        </w:rPr>
        <w:t xml:space="preserve">4. </w:t>
      </w:r>
      <w:r>
        <w:rPr>
          <w:color w:val="auto"/>
          <w:szCs w:val="21"/>
          <w:highlight w:val="none"/>
        </w:rPr>
        <w:t>按照法律法规的规定或出现应解除我方保证责任的其他情形的，我方在本保函项下的保证责任亦解除。</w:t>
      </w:r>
    </w:p>
    <w:p>
      <w:pPr>
        <w:spacing w:line="360" w:lineRule="auto"/>
        <w:ind w:firstLine="420"/>
        <w:rPr>
          <w:color w:val="auto"/>
          <w:szCs w:val="21"/>
          <w:highlight w:val="none"/>
        </w:rPr>
      </w:pPr>
      <w:r>
        <w:rPr>
          <w:rFonts w:hint="eastAsia"/>
          <w:color w:val="auto"/>
          <w:szCs w:val="21"/>
          <w:highlight w:val="none"/>
        </w:rPr>
        <w:t xml:space="preserve">5. </w:t>
      </w:r>
      <w:r>
        <w:rPr>
          <w:color w:val="auto"/>
          <w:szCs w:val="21"/>
          <w:highlight w:val="none"/>
        </w:rPr>
        <w:t>我方解除保证责任后，你方应自我方保证责任解除之日起</w:t>
      </w:r>
      <w:r>
        <w:rPr>
          <w:rFonts w:hint="eastAsia"/>
          <w:color w:val="auto"/>
          <w:szCs w:val="21"/>
          <w:highlight w:val="none"/>
          <w:u w:val="single"/>
        </w:rPr>
        <w:t xml:space="preserve">  </w:t>
      </w:r>
      <w:r>
        <w:rPr>
          <w:color w:val="auto"/>
          <w:szCs w:val="21"/>
          <w:highlight w:val="none"/>
        </w:rPr>
        <w:t>个工作日内，将本保函原件返还我方。</w:t>
      </w:r>
    </w:p>
    <w:p>
      <w:pPr>
        <w:spacing w:line="360" w:lineRule="auto"/>
        <w:ind w:firstLine="420"/>
        <w:rPr>
          <w:color w:val="auto"/>
          <w:szCs w:val="21"/>
          <w:highlight w:val="none"/>
        </w:rPr>
      </w:pPr>
      <w:r>
        <w:rPr>
          <w:color w:val="auto"/>
          <w:szCs w:val="21"/>
          <w:highlight w:val="none"/>
        </w:rPr>
        <w:t>六、免责条款</w:t>
      </w:r>
    </w:p>
    <w:p>
      <w:pPr>
        <w:spacing w:line="360" w:lineRule="auto"/>
        <w:ind w:firstLine="420"/>
        <w:rPr>
          <w:color w:val="auto"/>
          <w:szCs w:val="21"/>
          <w:highlight w:val="none"/>
        </w:rPr>
      </w:pPr>
      <w:r>
        <w:rPr>
          <w:rFonts w:hint="eastAsia"/>
          <w:color w:val="auto"/>
          <w:szCs w:val="21"/>
          <w:highlight w:val="none"/>
        </w:rPr>
        <w:t xml:space="preserve">1. </w:t>
      </w:r>
      <w:r>
        <w:rPr>
          <w:color w:val="auto"/>
          <w:szCs w:val="21"/>
          <w:highlight w:val="none"/>
        </w:rPr>
        <w:t>因你方违约致使发包人不能履行义务的，我方不承担保证责任。</w:t>
      </w:r>
    </w:p>
    <w:p>
      <w:pPr>
        <w:spacing w:line="360" w:lineRule="auto"/>
        <w:ind w:firstLine="420"/>
        <w:rPr>
          <w:color w:val="auto"/>
          <w:szCs w:val="21"/>
          <w:highlight w:val="none"/>
        </w:rPr>
      </w:pPr>
      <w:r>
        <w:rPr>
          <w:rFonts w:hint="eastAsia"/>
          <w:color w:val="auto"/>
          <w:szCs w:val="21"/>
          <w:highlight w:val="none"/>
        </w:rPr>
        <w:t xml:space="preserve">2. </w:t>
      </w:r>
      <w:r>
        <w:rPr>
          <w:color w:val="auto"/>
          <w:szCs w:val="21"/>
          <w:highlight w:val="none"/>
        </w:rPr>
        <w:t>依照法律法规的规定或你方与发包人的另行约定，免除发包人部分或全部义务的，我方亦免除其相应的保证责任。</w:t>
      </w:r>
    </w:p>
    <w:p>
      <w:pPr>
        <w:spacing w:line="360" w:lineRule="auto"/>
        <w:ind w:firstLine="420"/>
        <w:rPr>
          <w:color w:val="auto"/>
          <w:szCs w:val="21"/>
          <w:highlight w:val="none"/>
        </w:rPr>
      </w:pPr>
      <w:r>
        <w:rPr>
          <w:rFonts w:hint="eastAsia"/>
          <w:color w:val="auto"/>
          <w:szCs w:val="21"/>
          <w:highlight w:val="none"/>
        </w:rPr>
        <w:t xml:space="preserve">3. </w:t>
      </w:r>
      <w:r>
        <w:rPr>
          <w:color w:val="auto"/>
          <w:szCs w:val="21"/>
          <w:highlight w:val="none"/>
        </w:rPr>
        <w:t>你方与发包人协议变更主合同的，如加重发包人责任致使我方保证责任加重的，需征得我方书面同意，否则我方不再承担因此而加重部分的保证责任，但主合同第10条</w:t>
      </w:r>
      <w:r>
        <w:rPr>
          <w:rFonts w:hint="eastAsia"/>
          <w:color w:val="auto"/>
          <w:szCs w:val="21"/>
          <w:highlight w:val="none"/>
        </w:rPr>
        <w:t>〔</w:t>
      </w:r>
      <w:r>
        <w:rPr>
          <w:color w:val="auto"/>
          <w:szCs w:val="21"/>
          <w:highlight w:val="none"/>
        </w:rPr>
        <w:t>变更</w:t>
      </w:r>
      <w:r>
        <w:rPr>
          <w:rFonts w:hint="eastAsia"/>
          <w:color w:val="auto"/>
          <w:szCs w:val="21"/>
          <w:highlight w:val="none"/>
        </w:rPr>
        <w:t>〕</w:t>
      </w:r>
      <w:r>
        <w:rPr>
          <w:color w:val="auto"/>
          <w:szCs w:val="21"/>
          <w:highlight w:val="none"/>
        </w:rPr>
        <w:t>约定的变更不受本款限制。</w:t>
      </w:r>
    </w:p>
    <w:p>
      <w:pPr>
        <w:spacing w:line="360" w:lineRule="auto"/>
        <w:ind w:firstLine="420"/>
        <w:rPr>
          <w:color w:val="auto"/>
          <w:szCs w:val="21"/>
          <w:highlight w:val="none"/>
        </w:rPr>
      </w:pPr>
      <w:r>
        <w:rPr>
          <w:rFonts w:hint="eastAsia"/>
          <w:color w:val="auto"/>
          <w:szCs w:val="21"/>
          <w:highlight w:val="none"/>
        </w:rPr>
        <w:t xml:space="preserve">4. </w:t>
      </w:r>
      <w:r>
        <w:rPr>
          <w:color w:val="auto"/>
          <w:szCs w:val="21"/>
          <w:highlight w:val="none"/>
        </w:rPr>
        <w:t>因不可抗力造成发包人不能履行义务的，我方不承担保证责任。</w:t>
      </w:r>
    </w:p>
    <w:p>
      <w:pPr>
        <w:spacing w:line="360" w:lineRule="auto"/>
        <w:ind w:firstLine="420"/>
        <w:rPr>
          <w:color w:val="auto"/>
          <w:szCs w:val="21"/>
          <w:highlight w:val="none"/>
        </w:rPr>
      </w:pPr>
      <w:r>
        <w:rPr>
          <w:color w:val="auto"/>
          <w:szCs w:val="21"/>
          <w:highlight w:val="none"/>
        </w:rPr>
        <w:t>七、争议解决</w:t>
      </w:r>
    </w:p>
    <w:p>
      <w:pPr>
        <w:spacing w:after="120" w:line="360" w:lineRule="auto"/>
        <w:ind w:firstLine="420"/>
        <w:rPr>
          <w:color w:val="auto"/>
          <w:szCs w:val="21"/>
          <w:highlight w:val="none"/>
        </w:rPr>
      </w:pPr>
      <w:r>
        <w:rPr>
          <w:color w:val="auto"/>
          <w:szCs w:val="21"/>
          <w:highlight w:val="none"/>
        </w:rPr>
        <w:t>因本保函</w:t>
      </w:r>
      <w:r>
        <w:rPr>
          <w:rFonts w:hint="eastAsia"/>
          <w:color w:val="auto"/>
          <w:szCs w:val="21"/>
          <w:highlight w:val="none"/>
        </w:rPr>
        <w:t>或本保函相关事项</w:t>
      </w:r>
      <w:r>
        <w:rPr>
          <w:color w:val="auto"/>
          <w:szCs w:val="21"/>
          <w:highlight w:val="none"/>
        </w:rPr>
        <w:t>发生的纠纷，可由双方协商解决，协商不成的，按下列第</w:t>
      </w:r>
      <w:r>
        <w:rPr>
          <w:color w:val="auto"/>
          <w:szCs w:val="21"/>
          <w:highlight w:val="none"/>
          <w:u w:val="single"/>
        </w:rPr>
        <w:t xml:space="preserve">     </w:t>
      </w:r>
      <w:r>
        <w:rPr>
          <w:color w:val="auto"/>
          <w:szCs w:val="21"/>
          <w:highlight w:val="none"/>
        </w:rPr>
        <w:t>种方式</w:t>
      </w:r>
      <w:r>
        <w:rPr>
          <w:rFonts w:hint="eastAsia"/>
          <w:color w:val="auto"/>
          <w:szCs w:val="21"/>
          <w:highlight w:val="none"/>
        </w:rPr>
        <w:t>解</w:t>
      </w:r>
      <w:r>
        <w:rPr>
          <w:color w:val="auto"/>
          <w:szCs w:val="21"/>
          <w:highlight w:val="none"/>
        </w:rPr>
        <w:t>决：</w:t>
      </w:r>
    </w:p>
    <w:p>
      <w:pPr>
        <w:spacing w:line="360" w:lineRule="auto"/>
        <w:ind w:firstLine="420"/>
        <w:rPr>
          <w:color w:val="auto"/>
          <w:szCs w:val="21"/>
          <w:highlight w:val="none"/>
        </w:rPr>
      </w:pPr>
      <w:r>
        <w:rPr>
          <w:color w:val="auto"/>
          <w:szCs w:val="21"/>
          <w:highlight w:val="none"/>
        </w:rPr>
        <w:t>（1）向</w:t>
      </w:r>
      <w:r>
        <w:rPr>
          <w:color w:val="auto"/>
          <w:szCs w:val="21"/>
          <w:highlight w:val="none"/>
          <w:u w:val="single"/>
        </w:rPr>
        <w:t xml:space="preserve">                     </w:t>
      </w:r>
      <w:r>
        <w:rPr>
          <w:color w:val="auto"/>
          <w:szCs w:val="21"/>
          <w:highlight w:val="none"/>
        </w:rPr>
        <w:t>仲裁委员会申请仲裁；</w:t>
      </w:r>
    </w:p>
    <w:p>
      <w:pPr>
        <w:spacing w:line="360" w:lineRule="auto"/>
        <w:ind w:firstLine="420"/>
        <w:rPr>
          <w:color w:val="auto"/>
          <w:szCs w:val="21"/>
          <w:highlight w:val="none"/>
        </w:rPr>
      </w:pPr>
      <w:r>
        <w:rPr>
          <w:color w:val="auto"/>
          <w:szCs w:val="21"/>
          <w:highlight w:val="none"/>
        </w:rPr>
        <w:t>（2）向</w:t>
      </w:r>
      <w:r>
        <w:rPr>
          <w:color w:val="auto"/>
          <w:szCs w:val="21"/>
          <w:highlight w:val="none"/>
          <w:u w:val="single"/>
        </w:rPr>
        <w:t xml:space="preserve">                     </w:t>
      </w:r>
      <w:r>
        <w:rPr>
          <w:color w:val="auto"/>
          <w:szCs w:val="21"/>
          <w:highlight w:val="none"/>
        </w:rPr>
        <w:t>人民法院起诉。</w:t>
      </w:r>
    </w:p>
    <w:p>
      <w:pPr>
        <w:spacing w:line="360" w:lineRule="auto"/>
        <w:ind w:firstLine="420"/>
        <w:rPr>
          <w:color w:val="auto"/>
          <w:szCs w:val="21"/>
          <w:highlight w:val="none"/>
        </w:rPr>
      </w:pPr>
      <w:r>
        <w:rPr>
          <w:color w:val="auto"/>
          <w:szCs w:val="21"/>
          <w:highlight w:val="none"/>
        </w:rPr>
        <w:t>八、保函的生效</w:t>
      </w:r>
    </w:p>
    <w:p>
      <w:pPr>
        <w:spacing w:line="360" w:lineRule="auto"/>
        <w:ind w:firstLine="420"/>
        <w:rPr>
          <w:rFonts w:hint="eastAsia"/>
          <w:color w:val="auto"/>
          <w:szCs w:val="21"/>
          <w:highlight w:val="none"/>
        </w:rPr>
      </w:pPr>
      <w:r>
        <w:rPr>
          <w:color w:val="auto"/>
          <w:szCs w:val="21"/>
          <w:highlight w:val="none"/>
        </w:rPr>
        <w:t>本保函自我方法定代表人（或其授权代理人）签字并加盖公章之日起生效。</w:t>
      </w:r>
    </w:p>
    <w:p>
      <w:pPr>
        <w:spacing w:line="360" w:lineRule="auto"/>
        <w:ind w:right="600" w:firstLine="420"/>
        <w:rPr>
          <w:color w:val="auto"/>
          <w:szCs w:val="21"/>
          <w:highlight w:val="none"/>
        </w:rPr>
      </w:pPr>
      <w:r>
        <w:rPr>
          <w:color w:val="auto"/>
          <w:szCs w:val="21"/>
          <w:highlight w:val="none"/>
        </w:rPr>
        <w:t>担保人：</w:t>
      </w:r>
      <w:r>
        <w:rPr>
          <w:color w:val="auto"/>
          <w:szCs w:val="21"/>
          <w:highlight w:val="none"/>
          <w:u w:val="single"/>
        </w:rPr>
        <w:t xml:space="preserve">                                   </w:t>
      </w:r>
      <w:r>
        <w:rPr>
          <w:color w:val="auto"/>
          <w:szCs w:val="21"/>
          <w:highlight w:val="none"/>
        </w:rPr>
        <w:t>（盖章）</w:t>
      </w:r>
    </w:p>
    <w:p>
      <w:pPr>
        <w:spacing w:line="360" w:lineRule="auto"/>
        <w:ind w:right="1200" w:firstLine="420"/>
        <w:rPr>
          <w:color w:val="auto"/>
          <w:szCs w:val="21"/>
          <w:highlight w:val="none"/>
        </w:rPr>
      </w:pPr>
      <w:r>
        <w:rPr>
          <w:color w:val="auto"/>
          <w:szCs w:val="21"/>
          <w:highlight w:val="none"/>
        </w:rPr>
        <w:t>法定代表人或委托代理人：</w:t>
      </w:r>
      <w:r>
        <w:rPr>
          <w:color w:val="auto"/>
          <w:szCs w:val="21"/>
          <w:highlight w:val="none"/>
          <w:u w:val="single"/>
        </w:rPr>
        <w:t xml:space="preserve">                   </w:t>
      </w:r>
      <w:r>
        <w:rPr>
          <w:color w:val="auto"/>
          <w:szCs w:val="21"/>
          <w:highlight w:val="none"/>
        </w:rPr>
        <w:t>（签字）</w:t>
      </w:r>
    </w:p>
    <w:p>
      <w:pPr>
        <w:spacing w:line="360" w:lineRule="auto"/>
        <w:ind w:firstLine="420"/>
        <w:rPr>
          <w:color w:val="auto"/>
          <w:szCs w:val="21"/>
          <w:highlight w:val="none"/>
        </w:rPr>
      </w:pPr>
      <w:r>
        <w:rPr>
          <w:color w:val="auto"/>
          <w:szCs w:val="21"/>
          <w:highlight w:val="none"/>
        </w:rPr>
        <w:t>地    址：</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pPr>
        <w:spacing w:line="360" w:lineRule="auto"/>
        <w:ind w:firstLine="420"/>
        <w:rPr>
          <w:color w:val="auto"/>
          <w:szCs w:val="21"/>
          <w:highlight w:val="none"/>
        </w:rPr>
      </w:pPr>
      <w:r>
        <w:rPr>
          <w:color w:val="auto"/>
          <w:szCs w:val="21"/>
          <w:highlight w:val="none"/>
        </w:rPr>
        <w:t>邮政编码：</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pPr>
        <w:spacing w:line="360" w:lineRule="auto"/>
        <w:ind w:firstLine="420"/>
        <w:rPr>
          <w:rFonts w:hint="eastAsia"/>
          <w:color w:val="auto"/>
          <w:szCs w:val="21"/>
          <w:highlight w:val="none"/>
        </w:rPr>
      </w:pPr>
      <w:r>
        <w:rPr>
          <w:color w:val="auto"/>
          <w:szCs w:val="21"/>
          <w:highlight w:val="none"/>
        </w:rPr>
        <w:t>传    真：</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pPr>
        <w:spacing w:line="360" w:lineRule="auto"/>
        <w:ind w:right="150" w:firstLine="420"/>
        <w:jc w:val="right"/>
        <w:rPr>
          <w:color w:val="auto"/>
          <w:szCs w:val="21"/>
          <w:highlight w:val="none"/>
        </w:rPr>
      </w:pPr>
      <w:r>
        <w:rPr>
          <w:color w:val="auto"/>
          <w:szCs w:val="21"/>
          <w:highlight w:val="none"/>
        </w:rPr>
        <w:t xml:space="preserve">             </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p>
    <w:p>
      <w:pPr>
        <w:spacing w:afterLines="50"/>
        <w:rPr>
          <w:b/>
          <w:color w:val="auto"/>
          <w:szCs w:val="21"/>
          <w:highlight w:val="none"/>
        </w:rPr>
      </w:pPr>
      <w:r>
        <w:rPr>
          <w:color w:val="auto"/>
          <w:szCs w:val="21"/>
          <w:highlight w:val="none"/>
        </w:rPr>
        <w:br w:type="page"/>
      </w:r>
      <w:r>
        <w:rPr>
          <w:rFonts w:hint="eastAsia"/>
          <w:b/>
          <w:color w:val="auto"/>
          <w:szCs w:val="21"/>
          <w:highlight w:val="none"/>
        </w:rPr>
        <w:t>附件11：</w:t>
      </w:r>
    </w:p>
    <w:p>
      <w:pPr>
        <w:spacing w:beforeLines="50" w:afterLines="50" w:line="440" w:lineRule="exact"/>
        <w:jc w:val="center"/>
        <w:rPr>
          <w:rFonts w:hint="eastAsia"/>
          <w:b/>
          <w:color w:val="auto"/>
          <w:sz w:val="28"/>
          <w:szCs w:val="28"/>
          <w:highlight w:val="none"/>
        </w:rPr>
      </w:pPr>
      <w:r>
        <w:rPr>
          <w:b/>
          <w:color w:val="auto"/>
          <w:sz w:val="28"/>
          <w:szCs w:val="28"/>
          <w:highlight w:val="none"/>
        </w:rPr>
        <w:t>1</w:t>
      </w:r>
      <w:r>
        <w:rPr>
          <w:rFonts w:hint="eastAsia"/>
          <w:b/>
          <w:color w:val="auto"/>
          <w:sz w:val="28"/>
          <w:szCs w:val="28"/>
          <w:highlight w:val="none"/>
        </w:rPr>
        <w:t>1</w:t>
      </w:r>
      <w:r>
        <w:rPr>
          <w:b/>
          <w:color w:val="auto"/>
          <w:sz w:val="28"/>
          <w:szCs w:val="28"/>
          <w:highlight w:val="none"/>
        </w:rPr>
        <w:t>-1：材料暂估价表</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41"/>
        <w:gridCol w:w="1474"/>
        <w:gridCol w:w="855"/>
        <w:gridCol w:w="855"/>
        <w:gridCol w:w="1195"/>
        <w:gridCol w:w="1365"/>
        <w:gridCol w:w="18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tcBorders>
              <w:top w:val="single" w:color="auto" w:sz="12" w:space="0"/>
              <w:bottom w:val="double" w:color="auto" w:sz="6" w:space="0"/>
            </w:tcBorders>
            <w:vAlign w:val="top"/>
          </w:tcPr>
          <w:p>
            <w:pPr>
              <w:spacing w:beforeLines="50" w:afterLines="50"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序号</w:t>
            </w:r>
          </w:p>
        </w:tc>
        <w:tc>
          <w:tcPr>
            <w:tcW w:w="1474" w:type="dxa"/>
            <w:tcBorders>
              <w:top w:val="single" w:color="auto" w:sz="12" w:space="0"/>
              <w:bottom w:val="double" w:color="auto" w:sz="6" w:space="0"/>
            </w:tcBorders>
            <w:vAlign w:val="top"/>
          </w:tcPr>
          <w:p>
            <w:pPr>
              <w:spacing w:beforeLines="50" w:afterLines="50"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名称</w:t>
            </w:r>
          </w:p>
        </w:tc>
        <w:tc>
          <w:tcPr>
            <w:tcW w:w="855" w:type="dxa"/>
            <w:tcBorders>
              <w:top w:val="single" w:color="auto" w:sz="12" w:space="0"/>
              <w:bottom w:val="double" w:color="auto" w:sz="6" w:space="0"/>
            </w:tcBorders>
            <w:vAlign w:val="top"/>
          </w:tcPr>
          <w:p>
            <w:pPr>
              <w:spacing w:beforeLines="50" w:afterLines="50"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单位</w:t>
            </w:r>
          </w:p>
        </w:tc>
        <w:tc>
          <w:tcPr>
            <w:tcW w:w="855" w:type="dxa"/>
            <w:tcBorders>
              <w:top w:val="single" w:color="auto" w:sz="12" w:space="0"/>
              <w:bottom w:val="double" w:color="auto" w:sz="6" w:space="0"/>
            </w:tcBorders>
            <w:vAlign w:val="top"/>
          </w:tcPr>
          <w:p>
            <w:pPr>
              <w:spacing w:beforeLines="50" w:afterLines="50"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数量</w:t>
            </w:r>
          </w:p>
        </w:tc>
        <w:tc>
          <w:tcPr>
            <w:tcW w:w="1195" w:type="dxa"/>
            <w:tcBorders>
              <w:top w:val="single" w:color="auto" w:sz="12" w:space="0"/>
              <w:bottom w:val="double" w:color="auto" w:sz="6" w:space="0"/>
            </w:tcBorders>
            <w:vAlign w:val="top"/>
          </w:tcPr>
          <w:p>
            <w:pPr>
              <w:spacing w:beforeLines="50" w:afterLines="50"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单价（元）</w:t>
            </w:r>
          </w:p>
        </w:tc>
        <w:tc>
          <w:tcPr>
            <w:tcW w:w="1365" w:type="dxa"/>
            <w:tcBorders>
              <w:top w:val="single" w:color="auto" w:sz="12" w:space="0"/>
              <w:bottom w:val="double" w:color="auto" w:sz="6" w:space="0"/>
            </w:tcBorders>
            <w:vAlign w:val="top"/>
          </w:tcPr>
          <w:p>
            <w:pPr>
              <w:spacing w:beforeLines="50" w:afterLines="50"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合价（元）</w:t>
            </w:r>
          </w:p>
        </w:tc>
        <w:tc>
          <w:tcPr>
            <w:tcW w:w="1875" w:type="dxa"/>
            <w:tcBorders>
              <w:top w:val="single" w:color="auto" w:sz="12" w:space="0"/>
              <w:bottom w:val="double" w:color="auto" w:sz="6" w:space="0"/>
            </w:tcBorders>
            <w:vAlign w:val="top"/>
          </w:tcPr>
          <w:p>
            <w:pPr>
              <w:spacing w:beforeLines="50" w:afterLines="50"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tcBorders>
              <w:top w:val="double" w:color="auto" w:sz="6" w:space="0"/>
              <w:bottom w:val="single" w:color="auto" w:sz="6" w:space="0"/>
            </w:tcBorders>
            <w:vAlign w:val="top"/>
          </w:tcPr>
          <w:p>
            <w:pPr>
              <w:spacing w:beforeLines="50" w:afterLines="50" w:line="440" w:lineRule="exact"/>
              <w:jc w:val="center"/>
              <w:rPr>
                <w:rFonts w:hint="eastAsia" w:ascii="宋体" w:hAnsi="宋体" w:cs="宋体"/>
                <w:b/>
                <w:color w:val="auto"/>
                <w:szCs w:val="21"/>
                <w:highlight w:val="none"/>
              </w:rPr>
            </w:pPr>
          </w:p>
        </w:tc>
        <w:tc>
          <w:tcPr>
            <w:tcW w:w="1474" w:type="dxa"/>
            <w:tcBorders>
              <w:top w:val="double" w:color="auto" w:sz="6" w:space="0"/>
              <w:bottom w:val="single" w:color="auto" w:sz="6" w:space="0"/>
            </w:tcBorders>
            <w:vAlign w:val="top"/>
          </w:tcPr>
          <w:p>
            <w:pPr>
              <w:spacing w:beforeLines="50" w:afterLines="50" w:line="440" w:lineRule="exact"/>
              <w:jc w:val="center"/>
              <w:rPr>
                <w:rFonts w:hint="eastAsia" w:ascii="宋体" w:hAnsi="宋体" w:cs="宋体"/>
                <w:b/>
                <w:color w:val="auto"/>
                <w:szCs w:val="21"/>
                <w:highlight w:val="none"/>
              </w:rPr>
            </w:pPr>
          </w:p>
        </w:tc>
        <w:tc>
          <w:tcPr>
            <w:tcW w:w="855" w:type="dxa"/>
            <w:tcBorders>
              <w:top w:val="double" w:color="auto" w:sz="6" w:space="0"/>
              <w:bottom w:val="single" w:color="auto" w:sz="6" w:space="0"/>
            </w:tcBorders>
            <w:vAlign w:val="top"/>
          </w:tcPr>
          <w:p>
            <w:pPr>
              <w:spacing w:beforeLines="50" w:afterLines="50" w:line="440" w:lineRule="exact"/>
              <w:jc w:val="center"/>
              <w:rPr>
                <w:rFonts w:hint="eastAsia" w:ascii="宋体" w:hAnsi="宋体" w:cs="宋体"/>
                <w:b/>
                <w:color w:val="auto"/>
                <w:szCs w:val="21"/>
                <w:highlight w:val="none"/>
              </w:rPr>
            </w:pPr>
          </w:p>
        </w:tc>
        <w:tc>
          <w:tcPr>
            <w:tcW w:w="855" w:type="dxa"/>
            <w:tcBorders>
              <w:top w:val="double" w:color="auto" w:sz="6" w:space="0"/>
              <w:bottom w:val="single" w:color="auto" w:sz="6" w:space="0"/>
            </w:tcBorders>
            <w:vAlign w:val="top"/>
          </w:tcPr>
          <w:p>
            <w:pPr>
              <w:spacing w:beforeLines="50" w:afterLines="50" w:line="440" w:lineRule="exact"/>
              <w:jc w:val="center"/>
              <w:rPr>
                <w:rFonts w:hint="eastAsia" w:ascii="宋体" w:hAnsi="宋体" w:cs="宋体"/>
                <w:b/>
                <w:color w:val="auto"/>
                <w:szCs w:val="21"/>
                <w:highlight w:val="none"/>
              </w:rPr>
            </w:pPr>
          </w:p>
        </w:tc>
        <w:tc>
          <w:tcPr>
            <w:tcW w:w="1195" w:type="dxa"/>
            <w:tcBorders>
              <w:top w:val="double" w:color="auto" w:sz="6" w:space="0"/>
              <w:bottom w:val="single" w:color="auto" w:sz="6" w:space="0"/>
            </w:tcBorders>
            <w:vAlign w:val="top"/>
          </w:tcPr>
          <w:p>
            <w:pPr>
              <w:spacing w:beforeLines="50" w:afterLines="50" w:line="440" w:lineRule="exact"/>
              <w:jc w:val="center"/>
              <w:rPr>
                <w:rFonts w:hint="eastAsia" w:ascii="宋体" w:hAnsi="宋体" w:cs="宋体"/>
                <w:b/>
                <w:color w:val="auto"/>
                <w:szCs w:val="21"/>
                <w:highlight w:val="none"/>
              </w:rPr>
            </w:pPr>
          </w:p>
        </w:tc>
        <w:tc>
          <w:tcPr>
            <w:tcW w:w="1365" w:type="dxa"/>
            <w:tcBorders>
              <w:top w:val="double" w:color="auto" w:sz="6" w:space="0"/>
              <w:bottom w:val="single" w:color="auto" w:sz="6" w:space="0"/>
            </w:tcBorders>
            <w:vAlign w:val="top"/>
          </w:tcPr>
          <w:p>
            <w:pPr>
              <w:spacing w:beforeLines="50" w:afterLines="50" w:line="440" w:lineRule="exact"/>
              <w:jc w:val="center"/>
              <w:rPr>
                <w:rFonts w:hint="eastAsia" w:ascii="宋体" w:hAnsi="宋体" w:cs="宋体"/>
                <w:b/>
                <w:color w:val="auto"/>
                <w:szCs w:val="21"/>
                <w:highlight w:val="none"/>
              </w:rPr>
            </w:pPr>
          </w:p>
        </w:tc>
        <w:tc>
          <w:tcPr>
            <w:tcW w:w="1875" w:type="dxa"/>
            <w:tcBorders>
              <w:top w:val="double" w:color="auto" w:sz="6" w:space="0"/>
              <w:bottom w:val="single" w:color="auto" w:sz="6" w:space="0"/>
            </w:tcBorders>
            <w:vAlign w:val="top"/>
          </w:tcPr>
          <w:p>
            <w:pPr>
              <w:spacing w:beforeLines="50" w:afterLines="50" w:line="440" w:lineRule="exact"/>
              <w:jc w:val="center"/>
              <w:rPr>
                <w:rFonts w:hint="eastAsia" w:ascii="宋体" w:hAnsi="宋体" w:cs="宋体"/>
                <w:b/>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tcBorders>
              <w:top w:val="nil"/>
            </w:tcBorders>
            <w:vAlign w:val="top"/>
          </w:tcPr>
          <w:p>
            <w:pPr>
              <w:spacing w:beforeLines="50" w:afterLines="50" w:line="440" w:lineRule="exact"/>
              <w:jc w:val="center"/>
              <w:rPr>
                <w:rFonts w:hint="eastAsia" w:ascii="宋体" w:hAnsi="宋体" w:cs="宋体"/>
                <w:b/>
                <w:color w:val="auto"/>
                <w:szCs w:val="21"/>
                <w:highlight w:val="none"/>
              </w:rPr>
            </w:pPr>
          </w:p>
        </w:tc>
        <w:tc>
          <w:tcPr>
            <w:tcW w:w="1474" w:type="dxa"/>
            <w:tcBorders>
              <w:top w:val="nil"/>
            </w:tcBorders>
            <w:vAlign w:val="top"/>
          </w:tcPr>
          <w:p>
            <w:pPr>
              <w:spacing w:beforeLines="50" w:afterLines="50" w:line="440" w:lineRule="exact"/>
              <w:jc w:val="center"/>
              <w:rPr>
                <w:rFonts w:hint="eastAsia" w:ascii="宋体" w:hAnsi="宋体" w:cs="宋体"/>
                <w:b/>
                <w:color w:val="auto"/>
                <w:szCs w:val="21"/>
                <w:highlight w:val="none"/>
              </w:rPr>
            </w:pPr>
          </w:p>
        </w:tc>
        <w:tc>
          <w:tcPr>
            <w:tcW w:w="855" w:type="dxa"/>
            <w:tcBorders>
              <w:top w:val="nil"/>
            </w:tcBorders>
            <w:vAlign w:val="top"/>
          </w:tcPr>
          <w:p>
            <w:pPr>
              <w:spacing w:beforeLines="50" w:afterLines="50" w:line="440" w:lineRule="exact"/>
              <w:jc w:val="center"/>
              <w:rPr>
                <w:rFonts w:hint="eastAsia" w:ascii="宋体" w:hAnsi="宋体" w:cs="宋体"/>
                <w:b/>
                <w:color w:val="auto"/>
                <w:szCs w:val="21"/>
                <w:highlight w:val="none"/>
              </w:rPr>
            </w:pPr>
          </w:p>
        </w:tc>
        <w:tc>
          <w:tcPr>
            <w:tcW w:w="855" w:type="dxa"/>
            <w:tcBorders>
              <w:top w:val="nil"/>
            </w:tcBorders>
            <w:vAlign w:val="top"/>
          </w:tcPr>
          <w:p>
            <w:pPr>
              <w:spacing w:beforeLines="50" w:afterLines="50" w:line="440" w:lineRule="exact"/>
              <w:jc w:val="center"/>
              <w:rPr>
                <w:rFonts w:hint="eastAsia" w:ascii="宋体" w:hAnsi="宋体" w:cs="宋体"/>
                <w:b/>
                <w:color w:val="auto"/>
                <w:szCs w:val="21"/>
                <w:highlight w:val="none"/>
              </w:rPr>
            </w:pPr>
          </w:p>
        </w:tc>
        <w:tc>
          <w:tcPr>
            <w:tcW w:w="1195" w:type="dxa"/>
            <w:tcBorders>
              <w:top w:val="nil"/>
            </w:tcBorders>
            <w:vAlign w:val="top"/>
          </w:tcPr>
          <w:p>
            <w:pPr>
              <w:spacing w:beforeLines="50" w:afterLines="50" w:line="440" w:lineRule="exact"/>
              <w:jc w:val="center"/>
              <w:rPr>
                <w:rFonts w:hint="eastAsia" w:ascii="宋体" w:hAnsi="宋体" w:cs="宋体"/>
                <w:b/>
                <w:color w:val="auto"/>
                <w:szCs w:val="21"/>
                <w:highlight w:val="none"/>
              </w:rPr>
            </w:pPr>
          </w:p>
        </w:tc>
        <w:tc>
          <w:tcPr>
            <w:tcW w:w="1365" w:type="dxa"/>
            <w:tcBorders>
              <w:top w:val="nil"/>
            </w:tcBorders>
            <w:vAlign w:val="top"/>
          </w:tcPr>
          <w:p>
            <w:pPr>
              <w:spacing w:beforeLines="50" w:afterLines="50" w:line="440" w:lineRule="exact"/>
              <w:jc w:val="center"/>
              <w:rPr>
                <w:rFonts w:hint="eastAsia" w:ascii="宋体" w:hAnsi="宋体" w:cs="宋体"/>
                <w:b/>
                <w:color w:val="auto"/>
                <w:szCs w:val="21"/>
                <w:highlight w:val="none"/>
              </w:rPr>
            </w:pPr>
          </w:p>
        </w:tc>
        <w:tc>
          <w:tcPr>
            <w:tcW w:w="1875" w:type="dxa"/>
            <w:tcBorders>
              <w:top w:val="nil"/>
            </w:tcBorders>
            <w:vAlign w:val="top"/>
          </w:tcPr>
          <w:p>
            <w:pPr>
              <w:spacing w:beforeLines="50" w:afterLines="50" w:line="440" w:lineRule="exact"/>
              <w:jc w:val="center"/>
              <w:rPr>
                <w:rFonts w:hint="eastAsia" w:ascii="宋体" w:hAnsi="宋体" w:cs="宋体"/>
                <w:b/>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rFonts w:hint="eastAsia" w:ascii="宋体" w:hAnsi="宋体" w:cs="宋体"/>
                <w:b/>
                <w:color w:val="auto"/>
                <w:szCs w:val="21"/>
                <w:highlight w:val="none"/>
              </w:rPr>
            </w:pPr>
          </w:p>
        </w:tc>
        <w:tc>
          <w:tcPr>
            <w:tcW w:w="1474"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1195" w:type="dxa"/>
            <w:vAlign w:val="top"/>
          </w:tcPr>
          <w:p>
            <w:pPr>
              <w:spacing w:beforeLines="50" w:afterLines="50" w:line="440" w:lineRule="exact"/>
              <w:jc w:val="center"/>
              <w:rPr>
                <w:rFonts w:hint="eastAsia" w:ascii="宋体" w:hAnsi="宋体" w:cs="宋体"/>
                <w:b/>
                <w:color w:val="auto"/>
                <w:szCs w:val="21"/>
                <w:highlight w:val="none"/>
              </w:rPr>
            </w:pPr>
          </w:p>
        </w:tc>
        <w:tc>
          <w:tcPr>
            <w:tcW w:w="1365" w:type="dxa"/>
            <w:vAlign w:val="top"/>
          </w:tcPr>
          <w:p>
            <w:pPr>
              <w:spacing w:beforeLines="50" w:afterLines="50" w:line="440" w:lineRule="exact"/>
              <w:jc w:val="center"/>
              <w:rPr>
                <w:rFonts w:hint="eastAsia" w:ascii="宋体" w:hAnsi="宋体" w:cs="宋体"/>
                <w:b/>
                <w:color w:val="auto"/>
                <w:szCs w:val="21"/>
                <w:highlight w:val="none"/>
              </w:rPr>
            </w:pPr>
          </w:p>
        </w:tc>
        <w:tc>
          <w:tcPr>
            <w:tcW w:w="1875" w:type="dxa"/>
            <w:vAlign w:val="top"/>
          </w:tcPr>
          <w:p>
            <w:pPr>
              <w:spacing w:beforeLines="50" w:afterLines="50" w:line="440" w:lineRule="exact"/>
              <w:jc w:val="center"/>
              <w:rPr>
                <w:rFonts w:hint="eastAsia" w:ascii="宋体" w:hAnsi="宋体" w:cs="宋体"/>
                <w:b/>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rFonts w:hint="eastAsia" w:ascii="宋体" w:hAnsi="宋体" w:cs="宋体"/>
                <w:b/>
                <w:color w:val="auto"/>
                <w:szCs w:val="21"/>
                <w:highlight w:val="none"/>
              </w:rPr>
            </w:pPr>
          </w:p>
        </w:tc>
        <w:tc>
          <w:tcPr>
            <w:tcW w:w="1474"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1195" w:type="dxa"/>
            <w:vAlign w:val="top"/>
          </w:tcPr>
          <w:p>
            <w:pPr>
              <w:spacing w:beforeLines="50" w:afterLines="50" w:line="440" w:lineRule="exact"/>
              <w:jc w:val="center"/>
              <w:rPr>
                <w:rFonts w:hint="eastAsia" w:ascii="宋体" w:hAnsi="宋体" w:cs="宋体"/>
                <w:b/>
                <w:color w:val="auto"/>
                <w:szCs w:val="21"/>
                <w:highlight w:val="none"/>
              </w:rPr>
            </w:pPr>
          </w:p>
        </w:tc>
        <w:tc>
          <w:tcPr>
            <w:tcW w:w="1365" w:type="dxa"/>
            <w:vAlign w:val="top"/>
          </w:tcPr>
          <w:p>
            <w:pPr>
              <w:spacing w:beforeLines="50" w:afterLines="50" w:line="440" w:lineRule="exact"/>
              <w:jc w:val="center"/>
              <w:rPr>
                <w:rFonts w:hint="eastAsia" w:ascii="宋体" w:hAnsi="宋体" w:cs="宋体"/>
                <w:b/>
                <w:color w:val="auto"/>
                <w:szCs w:val="21"/>
                <w:highlight w:val="none"/>
              </w:rPr>
            </w:pPr>
          </w:p>
        </w:tc>
        <w:tc>
          <w:tcPr>
            <w:tcW w:w="1875" w:type="dxa"/>
            <w:vAlign w:val="top"/>
          </w:tcPr>
          <w:p>
            <w:pPr>
              <w:spacing w:beforeLines="50" w:afterLines="50" w:line="440" w:lineRule="exact"/>
              <w:jc w:val="center"/>
              <w:rPr>
                <w:rFonts w:hint="eastAsia" w:ascii="宋体" w:hAnsi="宋体" w:cs="宋体"/>
                <w:b/>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rFonts w:hint="eastAsia" w:ascii="宋体" w:hAnsi="宋体" w:cs="宋体"/>
                <w:b/>
                <w:color w:val="auto"/>
                <w:szCs w:val="21"/>
                <w:highlight w:val="none"/>
              </w:rPr>
            </w:pPr>
          </w:p>
        </w:tc>
        <w:tc>
          <w:tcPr>
            <w:tcW w:w="1474"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1195" w:type="dxa"/>
            <w:vAlign w:val="top"/>
          </w:tcPr>
          <w:p>
            <w:pPr>
              <w:spacing w:beforeLines="50" w:afterLines="50" w:line="440" w:lineRule="exact"/>
              <w:jc w:val="center"/>
              <w:rPr>
                <w:rFonts w:hint="eastAsia" w:ascii="宋体" w:hAnsi="宋体" w:cs="宋体"/>
                <w:b/>
                <w:color w:val="auto"/>
                <w:szCs w:val="21"/>
                <w:highlight w:val="none"/>
              </w:rPr>
            </w:pPr>
          </w:p>
        </w:tc>
        <w:tc>
          <w:tcPr>
            <w:tcW w:w="1365" w:type="dxa"/>
            <w:vAlign w:val="top"/>
          </w:tcPr>
          <w:p>
            <w:pPr>
              <w:spacing w:beforeLines="50" w:afterLines="50" w:line="440" w:lineRule="exact"/>
              <w:jc w:val="center"/>
              <w:rPr>
                <w:rFonts w:hint="eastAsia" w:ascii="宋体" w:hAnsi="宋体" w:cs="宋体"/>
                <w:b/>
                <w:color w:val="auto"/>
                <w:szCs w:val="21"/>
                <w:highlight w:val="none"/>
              </w:rPr>
            </w:pPr>
          </w:p>
        </w:tc>
        <w:tc>
          <w:tcPr>
            <w:tcW w:w="1875" w:type="dxa"/>
            <w:vAlign w:val="top"/>
          </w:tcPr>
          <w:p>
            <w:pPr>
              <w:spacing w:beforeLines="50" w:afterLines="50" w:line="440" w:lineRule="exact"/>
              <w:jc w:val="center"/>
              <w:rPr>
                <w:rFonts w:hint="eastAsia" w:ascii="宋体" w:hAnsi="宋体" w:cs="宋体"/>
                <w:b/>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rFonts w:hint="eastAsia" w:ascii="宋体" w:hAnsi="宋体" w:cs="宋体"/>
                <w:b/>
                <w:color w:val="auto"/>
                <w:szCs w:val="21"/>
                <w:highlight w:val="none"/>
              </w:rPr>
            </w:pPr>
          </w:p>
        </w:tc>
        <w:tc>
          <w:tcPr>
            <w:tcW w:w="1474"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1195" w:type="dxa"/>
            <w:vAlign w:val="top"/>
          </w:tcPr>
          <w:p>
            <w:pPr>
              <w:spacing w:beforeLines="50" w:afterLines="50" w:line="440" w:lineRule="exact"/>
              <w:jc w:val="center"/>
              <w:rPr>
                <w:rFonts w:hint="eastAsia" w:ascii="宋体" w:hAnsi="宋体" w:cs="宋体"/>
                <w:b/>
                <w:color w:val="auto"/>
                <w:szCs w:val="21"/>
                <w:highlight w:val="none"/>
              </w:rPr>
            </w:pPr>
          </w:p>
        </w:tc>
        <w:tc>
          <w:tcPr>
            <w:tcW w:w="1365" w:type="dxa"/>
            <w:vAlign w:val="top"/>
          </w:tcPr>
          <w:p>
            <w:pPr>
              <w:spacing w:beforeLines="50" w:afterLines="50" w:line="440" w:lineRule="exact"/>
              <w:jc w:val="center"/>
              <w:rPr>
                <w:rFonts w:hint="eastAsia" w:ascii="宋体" w:hAnsi="宋体" w:cs="宋体"/>
                <w:b/>
                <w:color w:val="auto"/>
                <w:szCs w:val="21"/>
                <w:highlight w:val="none"/>
              </w:rPr>
            </w:pPr>
          </w:p>
        </w:tc>
        <w:tc>
          <w:tcPr>
            <w:tcW w:w="1875" w:type="dxa"/>
            <w:vAlign w:val="top"/>
          </w:tcPr>
          <w:p>
            <w:pPr>
              <w:spacing w:beforeLines="50" w:afterLines="50" w:line="440" w:lineRule="exact"/>
              <w:jc w:val="center"/>
              <w:rPr>
                <w:rFonts w:hint="eastAsia" w:ascii="宋体" w:hAnsi="宋体" w:cs="宋体"/>
                <w:b/>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rFonts w:hint="eastAsia" w:ascii="宋体" w:hAnsi="宋体" w:cs="宋体"/>
                <w:b/>
                <w:color w:val="auto"/>
                <w:szCs w:val="21"/>
                <w:highlight w:val="none"/>
              </w:rPr>
            </w:pPr>
          </w:p>
        </w:tc>
        <w:tc>
          <w:tcPr>
            <w:tcW w:w="1474"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1195" w:type="dxa"/>
            <w:vAlign w:val="top"/>
          </w:tcPr>
          <w:p>
            <w:pPr>
              <w:spacing w:beforeLines="50" w:afterLines="50" w:line="440" w:lineRule="exact"/>
              <w:jc w:val="center"/>
              <w:rPr>
                <w:rFonts w:hint="eastAsia" w:ascii="宋体" w:hAnsi="宋体" w:cs="宋体"/>
                <w:b/>
                <w:color w:val="auto"/>
                <w:szCs w:val="21"/>
                <w:highlight w:val="none"/>
              </w:rPr>
            </w:pPr>
          </w:p>
        </w:tc>
        <w:tc>
          <w:tcPr>
            <w:tcW w:w="1365" w:type="dxa"/>
            <w:vAlign w:val="top"/>
          </w:tcPr>
          <w:p>
            <w:pPr>
              <w:spacing w:beforeLines="50" w:afterLines="50" w:line="440" w:lineRule="exact"/>
              <w:jc w:val="center"/>
              <w:rPr>
                <w:rFonts w:hint="eastAsia" w:ascii="宋体" w:hAnsi="宋体" w:cs="宋体"/>
                <w:b/>
                <w:color w:val="auto"/>
                <w:szCs w:val="21"/>
                <w:highlight w:val="none"/>
              </w:rPr>
            </w:pPr>
          </w:p>
        </w:tc>
        <w:tc>
          <w:tcPr>
            <w:tcW w:w="1875" w:type="dxa"/>
            <w:vAlign w:val="top"/>
          </w:tcPr>
          <w:p>
            <w:pPr>
              <w:spacing w:beforeLines="50" w:afterLines="50" w:line="440" w:lineRule="exact"/>
              <w:jc w:val="center"/>
              <w:rPr>
                <w:rFonts w:hint="eastAsia" w:ascii="宋体" w:hAnsi="宋体" w:cs="宋体"/>
                <w:b/>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rFonts w:hint="eastAsia" w:ascii="宋体" w:hAnsi="宋体" w:cs="宋体"/>
                <w:b/>
                <w:color w:val="auto"/>
                <w:szCs w:val="21"/>
                <w:highlight w:val="none"/>
              </w:rPr>
            </w:pPr>
          </w:p>
        </w:tc>
        <w:tc>
          <w:tcPr>
            <w:tcW w:w="1474"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1195" w:type="dxa"/>
            <w:vAlign w:val="top"/>
          </w:tcPr>
          <w:p>
            <w:pPr>
              <w:spacing w:beforeLines="50" w:afterLines="50" w:line="440" w:lineRule="exact"/>
              <w:jc w:val="center"/>
              <w:rPr>
                <w:rFonts w:hint="eastAsia" w:ascii="宋体" w:hAnsi="宋体" w:cs="宋体"/>
                <w:b/>
                <w:color w:val="auto"/>
                <w:szCs w:val="21"/>
                <w:highlight w:val="none"/>
              </w:rPr>
            </w:pPr>
          </w:p>
        </w:tc>
        <w:tc>
          <w:tcPr>
            <w:tcW w:w="1365" w:type="dxa"/>
            <w:vAlign w:val="top"/>
          </w:tcPr>
          <w:p>
            <w:pPr>
              <w:spacing w:beforeLines="50" w:afterLines="50" w:line="440" w:lineRule="exact"/>
              <w:jc w:val="center"/>
              <w:rPr>
                <w:rFonts w:hint="eastAsia" w:ascii="宋体" w:hAnsi="宋体" w:cs="宋体"/>
                <w:b/>
                <w:color w:val="auto"/>
                <w:szCs w:val="21"/>
                <w:highlight w:val="none"/>
              </w:rPr>
            </w:pPr>
          </w:p>
        </w:tc>
        <w:tc>
          <w:tcPr>
            <w:tcW w:w="1875" w:type="dxa"/>
            <w:vAlign w:val="top"/>
          </w:tcPr>
          <w:p>
            <w:pPr>
              <w:spacing w:beforeLines="50" w:afterLines="50" w:line="440" w:lineRule="exact"/>
              <w:jc w:val="center"/>
              <w:rPr>
                <w:rFonts w:hint="eastAsia" w:ascii="宋体" w:hAnsi="宋体" w:cs="宋体"/>
                <w:b/>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rFonts w:hint="eastAsia" w:ascii="宋体" w:hAnsi="宋体" w:cs="宋体"/>
                <w:b/>
                <w:color w:val="auto"/>
                <w:szCs w:val="21"/>
                <w:highlight w:val="none"/>
              </w:rPr>
            </w:pPr>
          </w:p>
        </w:tc>
        <w:tc>
          <w:tcPr>
            <w:tcW w:w="1474"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1195" w:type="dxa"/>
            <w:vAlign w:val="top"/>
          </w:tcPr>
          <w:p>
            <w:pPr>
              <w:spacing w:beforeLines="50" w:afterLines="50" w:line="440" w:lineRule="exact"/>
              <w:jc w:val="center"/>
              <w:rPr>
                <w:rFonts w:hint="eastAsia" w:ascii="宋体" w:hAnsi="宋体" w:cs="宋体"/>
                <w:b/>
                <w:color w:val="auto"/>
                <w:szCs w:val="21"/>
                <w:highlight w:val="none"/>
              </w:rPr>
            </w:pPr>
          </w:p>
        </w:tc>
        <w:tc>
          <w:tcPr>
            <w:tcW w:w="1365" w:type="dxa"/>
            <w:vAlign w:val="top"/>
          </w:tcPr>
          <w:p>
            <w:pPr>
              <w:spacing w:beforeLines="50" w:afterLines="50" w:line="440" w:lineRule="exact"/>
              <w:jc w:val="center"/>
              <w:rPr>
                <w:rFonts w:hint="eastAsia" w:ascii="宋体" w:hAnsi="宋体" w:cs="宋体"/>
                <w:b/>
                <w:color w:val="auto"/>
                <w:szCs w:val="21"/>
                <w:highlight w:val="none"/>
              </w:rPr>
            </w:pPr>
          </w:p>
        </w:tc>
        <w:tc>
          <w:tcPr>
            <w:tcW w:w="1875" w:type="dxa"/>
            <w:vAlign w:val="top"/>
          </w:tcPr>
          <w:p>
            <w:pPr>
              <w:spacing w:beforeLines="50" w:afterLines="50" w:line="440" w:lineRule="exact"/>
              <w:jc w:val="center"/>
              <w:rPr>
                <w:rFonts w:hint="eastAsia" w:ascii="宋体" w:hAnsi="宋体" w:cs="宋体"/>
                <w:b/>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rFonts w:hint="eastAsia" w:ascii="宋体" w:hAnsi="宋体" w:cs="宋体"/>
                <w:b/>
                <w:color w:val="auto"/>
                <w:szCs w:val="21"/>
                <w:highlight w:val="none"/>
              </w:rPr>
            </w:pPr>
          </w:p>
        </w:tc>
        <w:tc>
          <w:tcPr>
            <w:tcW w:w="1474"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1195" w:type="dxa"/>
            <w:vAlign w:val="top"/>
          </w:tcPr>
          <w:p>
            <w:pPr>
              <w:spacing w:beforeLines="50" w:afterLines="50" w:line="440" w:lineRule="exact"/>
              <w:jc w:val="center"/>
              <w:rPr>
                <w:rFonts w:hint="eastAsia" w:ascii="宋体" w:hAnsi="宋体" w:cs="宋体"/>
                <w:b/>
                <w:color w:val="auto"/>
                <w:szCs w:val="21"/>
                <w:highlight w:val="none"/>
              </w:rPr>
            </w:pPr>
          </w:p>
        </w:tc>
        <w:tc>
          <w:tcPr>
            <w:tcW w:w="1365" w:type="dxa"/>
            <w:vAlign w:val="top"/>
          </w:tcPr>
          <w:p>
            <w:pPr>
              <w:spacing w:beforeLines="50" w:afterLines="50" w:line="440" w:lineRule="exact"/>
              <w:jc w:val="center"/>
              <w:rPr>
                <w:rFonts w:hint="eastAsia" w:ascii="宋体" w:hAnsi="宋体" w:cs="宋体"/>
                <w:b/>
                <w:color w:val="auto"/>
                <w:szCs w:val="21"/>
                <w:highlight w:val="none"/>
              </w:rPr>
            </w:pPr>
          </w:p>
        </w:tc>
        <w:tc>
          <w:tcPr>
            <w:tcW w:w="1875" w:type="dxa"/>
            <w:vAlign w:val="top"/>
          </w:tcPr>
          <w:p>
            <w:pPr>
              <w:spacing w:beforeLines="50" w:afterLines="50" w:line="440" w:lineRule="exact"/>
              <w:jc w:val="center"/>
              <w:rPr>
                <w:rFonts w:hint="eastAsia" w:ascii="宋体" w:hAnsi="宋体" w:cs="宋体"/>
                <w:b/>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rFonts w:hint="eastAsia" w:ascii="宋体" w:hAnsi="宋体" w:cs="宋体"/>
                <w:b/>
                <w:color w:val="auto"/>
                <w:szCs w:val="21"/>
                <w:highlight w:val="none"/>
              </w:rPr>
            </w:pPr>
          </w:p>
        </w:tc>
        <w:tc>
          <w:tcPr>
            <w:tcW w:w="1474"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1195" w:type="dxa"/>
            <w:vAlign w:val="top"/>
          </w:tcPr>
          <w:p>
            <w:pPr>
              <w:spacing w:beforeLines="50" w:afterLines="50" w:line="440" w:lineRule="exact"/>
              <w:jc w:val="center"/>
              <w:rPr>
                <w:rFonts w:hint="eastAsia" w:ascii="宋体" w:hAnsi="宋体" w:cs="宋体"/>
                <w:b/>
                <w:color w:val="auto"/>
                <w:szCs w:val="21"/>
                <w:highlight w:val="none"/>
              </w:rPr>
            </w:pPr>
          </w:p>
        </w:tc>
        <w:tc>
          <w:tcPr>
            <w:tcW w:w="1365" w:type="dxa"/>
            <w:vAlign w:val="top"/>
          </w:tcPr>
          <w:p>
            <w:pPr>
              <w:spacing w:beforeLines="50" w:afterLines="50" w:line="440" w:lineRule="exact"/>
              <w:jc w:val="center"/>
              <w:rPr>
                <w:rFonts w:hint="eastAsia" w:ascii="宋体" w:hAnsi="宋体" w:cs="宋体"/>
                <w:b/>
                <w:color w:val="auto"/>
                <w:szCs w:val="21"/>
                <w:highlight w:val="none"/>
              </w:rPr>
            </w:pPr>
          </w:p>
        </w:tc>
        <w:tc>
          <w:tcPr>
            <w:tcW w:w="1875" w:type="dxa"/>
            <w:vAlign w:val="top"/>
          </w:tcPr>
          <w:p>
            <w:pPr>
              <w:spacing w:beforeLines="50" w:afterLines="50" w:line="440" w:lineRule="exact"/>
              <w:jc w:val="center"/>
              <w:rPr>
                <w:rFonts w:hint="eastAsia" w:ascii="宋体" w:hAnsi="宋体" w:cs="宋体"/>
                <w:b/>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rFonts w:hint="eastAsia" w:ascii="宋体" w:hAnsi="宋体" w:cs="宋体"/>
                <w:b/>
                <w:color w:val="auto"/>
                <w:szCs w:val="21"/>
                <w:highlight w:val="none"/>
              </w:rPr>
            </w:pPr>
          </w:p>
        </w:tc>
        <w:tc>
          <w:tcPr>
            <w:tcW w:w="1474"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1195" w:type="dxa"/>
            <w:vAlign w:val="top"/>
          </w:tcPr>
          <w:p>
            <w:pPr>
              <w:spacing w:beforeLines="50" w:afterLines="50" w:line="440" w:lineRule="exact"/>
              <w:jc w:val="center"/>
              <w:rPr>
                <w:rFonts w:hint="eastAsia" w:ascii="宋体" w:hAnsi="宋体" w:cs="宋体"/>
                <w:b/>
                <w:color w:val="auto"/>
                <w:szCs w:val="21"/>
                <w:highlight w:val="none"/>
              </w:rPr>
            </w:pPr>
          </w:p>
        </w:tc>
        <w:tc>
          <w:tcPr>
            <w:tcW w:w="1365" w:type="dxa"/>
            <w:vAlign w:val="top"/>
          </w:tcPr>
          <w:p>
            <w:pPr>
              <w:spacing w:beforeLines="50" w:afterLines="50" w:line="440" w:lineRule="exact"/>
              <w:jc w:val="center"/>
              <w:rPr>
                <w:rFonts w:hint="eastAsia" w:ascii="宋体" w:hAnsi="宋体" w:cs="宋体"/>
                <w:b/>
                <w:color w:val="auto"/>
                <w:szCs w:val="21"/>
                <w:highlight w:val="none"/>
              </w:rPr>
            </w:pPr>
          </w:p>
        </w:tc>
        <w:tc>
          <w:tcPr>
            <w:tcW w:w="1875" w:type="dxa"/>
            <w:vAlign w:val="top"/>
          </w:tcPr>
          <w:p>
            <w:pPr>
              <w:spacing w:beforeLines="50" w:afterLines="50" w:line="440" w:lineRule="exact"/>
              <w:jc w:val="center"/>
              <w:rPr>
                <w:rFonts w:hint="eastAsia" w:ascii="宋体" w:hAnsi="宋体" w:cs="宋体"/>
                <w:b/>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rFonts w:hint="eastAsia" w:ascii="宋体" w:hAnsi="宋体" w:cs="宋体"/>
                <w:b/>
                <w:color w:val="auto"/>
                <w:szCs w:val="21"/>
                <w:highlight w:val="none"/>
              </w:rPr>
            </w:pPr>
          </w:p>
        </w:tc>
        <w:tc>
          <w:tcPr>
            <w:tcW w:w="1474"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1195" w:type="dxa"/>
            <w:vAlign w:val="top"/>
          </w:tcPr>
          <w:p>
            <w:pPr>
              <w:spacing w:beforeLines="50" w:afterLines="50" w:line="440" w:lineRule="exact"/>
              <w:jc w:val="center"/>
              <w:rPr>
                <w:rFonts w:hint="eastAsia" w:ascii="宋体" w:hAnsi="宋体" w:cs="宋体"/>
                <w:b/>
                <w:color w:val="auto"/>
                <w:szCs w:val="21"/>
                <w:highlight w:val="none"/>
              </w:rPr>
            </w:pPr>
          </w:p>
        </w:tc>
        <w:tc>
          <w:tcPr>
            <w:tcW w:w="1365" w:type="dxa"/>
            <w:vAlign w:val="top"/>
          </w:tcPr>
          <w:p>
            <w:pPr>
              <w:spacing w:beforeLines="50" w:afterLines="50" w:line="440" w:lineRule="exact"/>
              <w:jc w:val="center"/>
              <w:rPr>
                <w:rFonts w:hint="eastAsia" w:ascii="宋体" w:hAnsi="宋体" w:cs="宋体"/>
                <w:b/>
                <w:color w:val="auto"/>
                <w:szCs w:val="21"/>
                <w:highlight w:val="none"/>
              </w:rPr>
            </w:pPr>
          </w:p>
        </w:tc>
        <w:tc>
          <w:tcPr>
            <w:tcW w:w="1875" w:type="dxa"/>
            <w:vAlign w:val="top"/>
          </w:tcPr>
          <w:p>
            <w:pPr>
              <w:spacing w:beforeLines="50" w:afterLines="50" w:line="440" w:lineRule="exact"/>
              <w:jc w:val="center"/>
              <w:rPr>
                <w:rFonts w:hint="eastAsia" w:ascii="宋体" w:hAnsi="宋体" w:cs="宋体"/>
                <w:b/>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rFonts w:hint="eastAsia" w:ascii="宋体" w:hAnsi="宋体" w:cs="宋体"/>
                <w:b/>
                <w:color w:val="auto"/>
                <w:szCs w:val="21"/>
                <w:highlight w:val="none"/>
              </w:rPr>
            </w:pPr>
          </w:p>
        </w:tc>
        <w:tc>
          <w:tcPr>
            <w:tcW w:w="1474"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1195" w:type="dxa"/>
            <w:vAlign w:val="top"/>
          </w:tcPr>
          <w:p>
            <w:pPr>
              <w:spacing w:beforeLines="50" w:afterLines="50" w:line="440" w:lineRule="exact"/>
              <w:jc w:val="center"/>
              <w:rPr>
                <w:rFonts w:hint="eastAsia" w:ascii="宋体" w:hAnsi="宋体" w:cs="宋体"/>
                <w:b/>
                <w:color w:val="auto"/>
                <w:szCs w:val="21"/>
                <w:highlight w:val="none"/>
              </w:rPr>
            </w:pPr>
          </w:p>
        </w:tc>
        <w:tc>
          <w:tcPr>
            <w:tcW w:w="1365" w:type="dxa"/>
            <w:vAlign w:val="top"/>
          </w:tcPr>
          <w:p>
            <w:pPr>
              <w:spacing w:beforeLines="50" w:afterLines="50" w:line="440" w:lineRule="exact"/>
              <w:jc w:val="center"/>
              <w:rPr>
                <w:rFonts w:hint="eastAsia" w:ascii="宋体" w:hAnsi="宋体" w:cs="宋体"/>
                <w:b/>
                <w:color w:val="auto"/>
                <w:szCs w:val="21"/>
                <w:highlight w:val="none"/>
              </w:rPr>
            </w:pPr>
          </w:p>
        </w:tc>
        <w:tc>
          <w:tcPr>
            <w:tcW w:w="1875" w:type="dxa"/>
            <w:vAlign w:val="top"/>
          </w:tcPr>
          <w:p>
            <w:pPr>
              <w:spacing w:beforeLines="50" w:afterLines="50" w:line="440" w:lineRule="exact"/>
              <w:jc w:val="center"/>
              <w:rPr>
                <w:rFonts w:hint="eastAsia" w:ascii="宋体" w:hAnsi="宋体" w:cs="宋体"/>
                <w:b/>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rFonts w:hint="eastAsia" w:ascii="宋体" w:hAnsi="宋体" w:cs="宋体"/>
                <w:b/>
                <w:color w:val="auto"/>
                <w:szCs w:val="21"/>
                <w:highlight w:val="none"/>
              </w:rPr>
            </w:pPr>
          </w:p>
        </w:tc>
        <w:tc>
          <w:tcPr>
            <w:tcW w:w="1474"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855" w:type="dxa"/>
            <w:vAlign w:val="top"/>
          </w:tcPr>
          <w:p>
            <w:pPr>
              <w:spacing w:beforeLines="50" w:afterLines="50" w:line="440" w:lineRule="exact"/>
              <w:jc w:val="center"/>
              <w:rPr>
                <w:rFonts w:hint="eastAsia" w:ascii="宋体" w:hAnsi="宋体" w:cs="宋体"/>
                <w:b/>
                <w:color w:val="auto"/>
                <w:szCs w:val="21"/>
                <w:highlight w:val="none"/>
              </w:rPr>
            </w:pPr>
          </w:p>
        </w:tc>
        <w:tc>
          <w:tcPr>
            <w:tcW w:w="1195" w:type="dxa"/>
            <w:vAlign w:val="top"/>
          </w:tcPr>
          <w:p>
            <w:pPr>
              <w:spacing w:beforeLines="50" w:afterLines="50" w:line="440" w:lineRule="exact"/>
              <w:jc w:val="center"/>
              <w:rPr>
                <w:rFonts w:hint="eastAsia" w:ascii="宋体" w:hAnsi="宋体" w:cs="宋体"/>
                <w:b/>
                <w:color w:val="auto"/>
                <w:szCs w:val="21"/>
                <w:highlight w:val="none"/>
              </w:rPr>
            </w:pPr>
          </w:p>
        </w:tc>
        <w:tc>
          <w:tcPr>
            <w:tcW w:w="1365" w:type="dxa"/>
            <w:vAlign w:val="top"/>
          </w:tcPr>
          <w:p>
            <w:pPr>
              <w:spacing w:beforeLines="50" w:afterLines="50" w:line="440" w:lineRule="exact"/>
              <w:jc w:val="center"/>
              <w:rPr>
                <w:rFonts w:hint="eastAsia" w:ascii="宋体" w:hAnsi="宋体" w:cs="宋体"/>
                <w:b/>
                <w:color w:val="auto"/>
                <w:szCs w:val="21"/>
                <w:highlight w:val="none"/>
              </w:rPr>
            </w:pPr>
          </w:p>
        </w:tc>
        <w:tc>
          <w:tcPr>
            <w:tcW w:w="1875" w:type="dxa"/>
            <w:vAlign w:val="top"/>
          </w:tcPr>
          <w:p>
            <w:pPr>
              <w:spacing w:beforeLines="50" w:afterLines="50" w:line="440" w:lineRule="exact"/>
              <w:jc w:val="center"/>
              <w:rPr>
                <w:rFonts w:hint="eastAsia" w:ascii="宋体" w:hAnsi="宋体" w:cs="宋体"/>
                <w:b/>
                <w:color w:val="auto"/>
                <w:szCs w:val="21"/>
                <w:highlight w:val="none"/>
              </w:rPr>
            </w:pPr>
          </w:p>
        </w:tc>
      </w:tr>
    </w:tbl>
    <w:p>
      <w:pPr>
        <w:spacing w:beforeLines="50" w:afterLines="50" w:line="440" w:lineRule="exact"/>
        <w:jc w:val="center"/>
        <w:rPr>
          <w:rFonts w:hint="eastAsia" w:ascii="宋体" w:hAnsi="宋体" w:cs="宋体"/>
          <w:b/>
          <w:color w:val="auto"/>
          <w:szCs w:val="21"/>
          <w:highlight w:val="none"/>
        </w:rPr>
      </w:pPr>
      <w:r>
        <w:rPr>
          <w:color w:val="auto"/>
          <w:sz w:val="30"/>
          <w:szCs w:val="30"/>
          <w:highlight w:val="none"/>
        </w:rPr>
        <w:br w:type="page"/>
      </w:r>
      <w:r>
        <w:rPr>
          <w:rFonts w:hint="eastAsia"/>
          <w:b/>
          <w:color w:val="auto"/>
          <w:sz w:val="28"/>
          <w:szCs w:val="28"/>
          <w:highlight w:val="none"/>
        </w:rPr>
        <w:t>11-2：工程设备暂估价表</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41"/>
        <w:gridCol w:w="1644"/>
        <w:gridCol w:w="1044"/>
        <w:gridCol w:w="736"/>
        <w:gridCol w:w="1282"/>
        <w:gridCol w:w="1344"/>
        <w:gridCol w:w="15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tcBorders>
              <w:top w:val="single" w:color="auto" w:sz="12" w:space="0"/>
              <w:bottom w:val="double" w:color="auto" w:sz="6" w:space="0"/>
            </w:tcBorders>
            <w:vAlign w:val="top"/>
          </w:tcPr>
          <w:p>
            <w:pPr>
              <w:spacing w:beforeLines="50" w:afterLines="50"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序号</w:t>
            </w:r>
          </w:p>
        </w:tc>
        <w:tc>
          <w:tcPr>
            <w:tcW w:w="1644" w:type="dxa"/>
            <w:tcBorders>
              <w:top w:val="single" w:color="auto" w:sz="12" w:space="0"/>
              <w:bottom w:val="double" w:color="auto" w:sz="6" w:space="0"/>
            </w:tcBorders>
            <w:vAlign w:val="top"/>
          </w:tcPr>
          <w:p>
            <w:pPr>
              <w:spacing w:beforeLines="50" w:afterLines="50"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名称</w:t>
            </w:r>
          </w:p>
        </w:tc>
        <w:tc>
          <w:tcPr>
            <w:tcW w:w="1044" w:type="dxa"/>
            <w:tcBorders>
              <w:top w:val="single" w:color="auto" w:sz="12" w:space="0"/>
              <w:bottom w:val="double" w:color="auto" w:sz="6" w:space="0"/>
            </w:tcBorders>
            <w:vAlign w:val="top"/>
          </w:tcPr>
          <w:p>
            <w:pPr>
              <w:spacing w:beforeLines="50" w:afterLines="50"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单位</w:t>
            </w:r>
          </w:p>
        </w:tc>
        <w:tc>
          <w:tcPr>
            <w:tcW w:w="736" w:type="dxa"/>
            <w:tcBorders>
              <w:top w:val="single" w:color="auto" w:sz="12" w:space="0"/>
              <w:bottom w:val="double" w:color="auto" w:sz="6" w:space="0"/>
            </w:tcBorders>
            <w:vAlign w:val="top"/>
          </w:tcPr>
          <w:p>
            <w:pPr>
              <w:spacing w:beforeLines="50" w:afterLines="50"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数量</w:t>
            </w:r>
          </w:p>
        </w:tc>
        <w:tc>
          <w:tcPr>
            <w:tcW w:w="1282" w:type="dxa"/>
            <w:tcBorders>
              <w:top w:val="single" w:color="auto" w:sz="12" w:space="0"/>
              <w:bottom w:val="double" w:color="auto" w:sz="6" w:space="0"/>
            </w:tcBorders>
            <w:vAlign w:val="top"/>
          </w:tcPr>
          <w:p>
            <w:pPr>
              <w:spacing w:beforeLines="50" w:afterLines="50"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单价（元）</w:t>
            </w:r>
          </w:p>
        </w:tc>
        <w:tc>
          <w:tcPr>
            <w:tcW w:w="1344" w:type="dxa"/>
            <w:tcBorders>
              <w:top w:val="single" w:color="auto" w:sz="12" w:space="0"/>
              <w:bottom w:val="double" w:color="auto" w:sz="6" w:space="0"/>
            </w:tcBorders>
            <w:vAlign w:val="top"/>
          </w:tcPr>
          <w:p>
            <w:pPr>
              <w:spacing w:beforeLines="50" w:afterLines="50"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合价（元）</w:t>
            </w:r>
          </w:p>
        </w:tc>
        <w:tc>
          <w:tcPr>
            <w:tcW w:w="1569" w:type="dxa"/>
            <w:tcBorders>
              <w:top w:val="single" w:color="auto" w:sz="12" w:space="0"/>
              <w:bottom w:val="double" w:color="auto" w:sz="6" w:space="0"/>
            </w:tcBorders>
            <w:vAlign w:val="top"/>
          </w:tcPr>
          <w:p>
            <w:pPr>
              <w:spacing w:beforeLines="50" w:afterLines="50" w:line="44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tcBorders>
              <w:top w:val="double" w:color="auto" w:sz="6" w:space="0"/>
              <w:bottom w:val="single" w:color="auto" w:sz="6" w:space="0"/>
            </w:tcBorders>
            <w:vAlign w:val="top"/>
          </w:tcPr>
          <w:p>
            <w:pPr>
              <w:spacing w:beforeLines="50" w:afterLines="50" w:line="440" w:lineRule="exact"/>
              <w:jc w:val="center"/>
              <w:rPr>
                <w:rFonts w:hint="eastAsia" w:ascii="宋体" w:hAnsi="宋体" w:cs="宋体"/>
                <w:b/>
                <w:color w:val="auto"/>
                <w:szCs w:val="21"/>
                <w:highlight w:val="none"/>
              </w:rPr>
            </w:pPr>
          </w:p>
        </w:tc>
        <w:tc>
          <w:tcPr>
            <w:tcW w:w="1644" w:type="dxa"/>
            <w:tcBorders>
              <w:top w:val="double" w:color="auto" w:sz="6" w:space="0"/>
              <w:bottom w:val="single" w:color="auto" w:sz="6" w:space="0"/>
            </w:tcBorders>
            <w:vAlign w:val="top"/>
          </w:tcPr>
          <w:p>
            <w:pPr>
              <w:spacing w:beforeLines="50" w:afterLines="50" w:line="440" w:lineRule="exact"/>
              <w:jc w:val="center"/>
              <w:rPr>
                <w:rFonts w:hint="eastAsia" w:ascii="宋体" w:hAnsi="宋体" w:cs="宋体"/>
                <w:b/>
                <w:color w:val="auto"/>
                <w:szCs w:val="21"/>
                <w:highlight w:val="none"/>
              </w:rPr>
            </w:pPr>
          </w:p>
        </w:tc>
        <w:tc>
          <w:tcPr>
            <w:tcW w:w="1044" w:type="dxa"/>
            <w:tcBorders>
              <w:top w:val="double" w:color="auto" w:sz="6" w:space="0"/>
              <w:bottom w:val="single" w:color="auto" w:sz="6" w:space="0"/>
            </w:tcBorders>
            <w:vAlign w:val="top"/>
          </w:tcPr>
          <w:p>
            <w:pPr>
              <w:spacing w:beforeLines="50" w:afterLines="50" w:line="440" w:lineRule="exact"/>
              <w:jc w:val="center"/>
              <w:rPr>
                <w:rFonts w:hint="eastAsia" w:ascii="宋体" w:hAnsi="宋体" w:cs="宋体"/>
                <w:b/>
                <w:color w:val="auto"/>
                <w:szCs w:val="21"/>
                <w:highlight w:val="none"/>
              </w:rPr>
            </w:pPr>
          </w:p>
        </w:tc>
        <w:tc>
          <w:tcPr>
            <w:tcW w:w="736" w:type="dxa"/>
            <w:tcBorders>
              <w:top w:val="double" w:color="auto" w:sz="6" w:space="0"/>
              <w:bottom w:val="single" w:color="auto" w:sz="6" w:space="0"/>
            </w:tcBorders>
            <w:vAlign w:val="top"/>
          </w:tcPr>
          <w:p>
            <w:pPr>
              <w:spacing w:beforeLines="50" w:afterLines="50" w:line="440" w:lineRule="exact"/>
              <w:jc w:val="center"/>
              <w:rPr>
                <w:rFonts w:hint="eastAsia" w:ascii="宋体" w:hAnsi="宋体" w:cs="宋体"/>
                <w:b/>
                <w:color w:val="auto"/>
                <w:szCs w:val="21"/>
                <w:highlight w:val="none"/>
              </w:rPr>
            </w:pPr>
          </w:p>
        </w:tc>
        <w:tc>
          <w:tcPr>
            <w:tcW w:w="1282" w:type="dxa"/>
            <w:tcBorders>
              <w:top w:val="double" w:color="auto" w:sz="6" w:space="0"/>
              <w:bottom w:val="single" w:color="auto" w:sz="6" w:space="0"/>
            </w:tcBorders>
            <w:vAlign w:val="top"/>
          </w:tcPr>
          <w:p>
            <w:pPr>
              <w:spacing w:beforeLines="50" w:afterLines="50" w:line="440" w:lineRule="exact"/>
              <w:jc w:val="center"/>
              <w:rPr>
                <w:rFonts w:hint="eastAsia" w:ascii="宋体" w:hAnsi="宋体" w:cs="宋体"/>
                <w:b/>
                <w:color w:val="auto"/>
                <w:szCs w:val="21"/>
                <w:highlight w:val="none"/>
              </w:rPr>
            </w:pPr>
          </w:p>
        </w:tc>
        <w:tc>
          <w:tcPr>
            <w:tcW w:w="1344" w:type="dxa"/>
            <w:tcBorders>
              <w:top w:val="double" w:color="auto" w:sz="6" w:space="0"/>
              <w:bottom w:val="single" w:color="auto" w:sz="6" w:space="0"/>
            </w:tcBorders>
            <w:vAlign w:val="top"/>
          </w:tcPr>
          <w:p>
            <w:pPr>
              <w:spacing w:beforeLines="50" w:afterLines="50" w:line="440" w:lineRule="exact"/>
              <w:jc w:val="center"/>
              <w:rPr>
                <w:rFonts w:hint="eastAsia" w:ascii="宋体" w:hAnsi="宋体" w:cs="宋体"/>
                <w:b/>
                <w:color w:val="auto"/>
                <w:szCs w:val="21"/>
                <w:highlight w:val="none"/>
              </w:rPr>
            </w:pPr>
          </w:p>
        </w:tc>
        <w:tc>
          <w:tcPr>
            <w:tcW w:w="1569" w:type="dxa"/>
            <w:tcBorders>
              <w:top w:val="double" w:color="auto" w:sz="6" w:space="0"/>
              <w:bottom w:val="single" w:color="auto" w:sz="6" w:space="0"/>
            </w:tcBorders>
            <w:vAlign w:val="top"/>
          </w:tcPr>
          <w:p>
            <w:pPr>
              <w:spacing w:beforeLines="50" w:afterLines="50" w:line="440" w:lineRule="exact"/>
              <w:jc w:val="center"/>
              <w:rPr>
                <w:rFonts w:hint="eastAsia" w:ascii="宋体" w:hAnsi="宋体" w:cs="宋体"/>
                <w:b/>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tcBorders>
              <w:top w:val="nil"/>
            </w:tcBorders>
            <w:vAlign w:val="top"/>
          </w:tcPr>
          <w:p>
            <w:pPr>
              <w:spacing w:beforeLines="50" w:afterLines="50" w:line="440" w:lineRule="exact"/>
              <w:jc w:val="center"/>
              <w:rPr>
                <w:b/>
                <w:color w:val="auto"/>
                <w:sz w:val="28"/>
                <w:szCs w:val="28"/>
                <w:highlight w:val="none"/>
              </w:rPr>
            </w:pPr>
          </w:p>
        </w:tc>
        <w:tc>
          <w:tcPr>
            <w:tcW w:w="1644" w:type="dxa"/>
            <w:tcBorders>
              <w:top w:val="nil"/>
            </w:tcBorders>
            <w:vAlign w:val="top"/>
          </w:tcPr>
          <w:p>
            <w:pPr>
              <w:spacing w:beforeLines="50" w:afterLines="50" w:line="440" w:lineRule="exact"/>
              <w:jc w:val="center"/>
              <w:rPr>
                <w:b/>
                <w:color w:val="auto"/>
                <w:sz w:val="28"/>
                <w:szCs w:val="28"/>
                <w:highlight w:val="none"/>
              </w:rPr>
            </w:pPr>
          </w:p>
        </w:tc>
        <w:tc>
          <w:tcPr>
            <w:tcW w:w="1044" w:type="dxa"/>
            <w:tcBorders>
              <w:top w:val="nil"/>
            </w:tcBorders>
            <w:vAlign w:val="top"/>
          </w:tcPr>
          <w:p>
            <w:pPr>
              <w:spacing w:beforeLines="50" w:afterLines="50" w:line="440" w:lineRule="exact"/>
              <w:jc w:val="center"/>
              <w:rPr>
                <w:b/>
                <w:color w:val="auto"/>
                <w:sz w:val="28"/>
                <w:szCs w:val="28"/>
                <w:highlight w:val="none"/>
              </w:rPr>
            </w:pPr>
          </w:p>
        </w:tc>
        <w:tc>
          <w:tcPr>
            <w:tcW w:w="736" w:type="dxa"/>
            <w:tcBorders>
              <w:top w:val="nil"/>
            </w:tcBorders>
            <w:vAlign w:val="top"/>
          </w:tcPr>
          <w:p>
            <w:pPr>
              <w:spacing w:beforeLines="50" w:afterLines="50" w:line="440" w:lineRule="exact"/>
              <w:jc w:val="center"/>
              <w:rPr>
                <w:b/>
                <w:color w:val="auto"/>
                <w:sz w:val="28"/>
                <w:szCs w:val="28"/>
                <w:highlight w:val="none"/>
              </w:rPr>
            </w:pPr>
          </w:p>
        </w:tc>
        <w:tc>
          <w:tcPr>
            <w:tcW w:w="1282" w:type="dxa"/>
            <w:tcBorders>
              <w:top w:val="nil"/>
            </w:tcBorders>
            <w:vAlign w:val="top"/>
          </w:tcPr>
          <w:p>
            <w:pPr>
              <w:spacing w:beforeLines="50" w:afterLines="50" w:line="440" w:lineRule="exact"/>
              <w:jc w:val="center"/>
              <w:rPr>
                <w:b/>
                <w:color w:val="auto"/>
                <w:sz w:val="28"/>
                <w:szCs w:val="28"/>
                <w:highlight w:val="none"/>
              </w:rPr>
            </w:pPr>
          </w:p>
        </w:tc>
        <w:tc>
          <w:tcPr>
            <w:tcW w:w="1344" w:type="dxa"/>
            <w:tcBorders>
              <w:top w:val="nil"/>
            </w:tcBorders>
            <w:vAlign w:val="top"/>
          </w:tcPr>
          <w:p>
            <w:pPr>
              <w:spacing w:beforeLines="50" w:afterLines="50" w:line="440" w:lineRule="exact"/>
              <w:jc w:val="center"/>
              <w:rPr>
                <w:b/>
                <w:color w:val="auto"/>
                <w:sz w:val="28"/>
                <w:szCs w:val="28"/>
                <w:highlight w:val="none"/>
              </w:rPr>
            </w:pPr>
          </w:p>
        </w:tc>
        <w:tc>
          <w:tcPr>
            <w:tcW w:w="1569" w:type="dxa"/>
            <w:tcBorders>
              <w:top w:val="nil"/>
            </w:tcBorders>
            <w:vAlign w:val="top"/>
          </w:tcPr>
          <w:p>
            <w:pPr>
              <w:spacing w:beforeLines="50" w:afterLines="50" w:line="440" w:lineRule="exact"/>
              <w:jc w:val="center"/>
              <w:rPr>
                <w:b/>
                <w:color w:val="auto"/>
                <w:sz w:val="28"/>
                <w:szCs w:val="2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b/>
                <w:color w:val="auto"/>
                <w:sz w:val="28"/>
                <w:szCs w:val="28"/>
                <w:highlight w:val="none"/>
              </w:rPr>
            </w:pPr>
          </w:p>
        </w:tc>
        <w:tc>
          <w:tcPr>
            <w:tcW w:w="1644" w:type="dxa"/>
            <w:vAlign w:val="top"/>
          </w:tcPr>
          <w:p>
            <w:pPr>
              <w:spacing w:beforeLines="50" w:afterLines="50" w:line="440" w:lineRule="exact"/>
              <w:jc w:val="center"/>
              <w:rPr>
                <w:b/>
                <w:color w:val="auto"/>
                <w:sz w:val="28"/>
                <w:szCs w:val="28"/>
                <w:highlight w:val="none"/>
              </w:rPr>
            </w:pPr>
          </w:p>
        </w:tc>
        <w:tc>
          <w:tcPr>
            <w:tcW w:w="1044" w:type="dxa"/>
            <w:vAlign w:val="top"/>
          </w:tcPr>
          <w:p>
            <w:pPr>
              <w:spacing w:beforeLines="50" w:afterLines="50" w:line="440" w:lineRule="exact"/>
              <w:jc w:val="center"/>
              <w:rPr>
                <w:b/>
                <w:color w:val="auto"/>
                <w:sz w:val="28"/>
                <w:szCs w:val="28"/>
                <w:highlight w:val="none"/>
              </w:rPr>
            </w:pPr>
          </w:p>
        </w:tc>
        <w:tc>
          <w:tcPr>
            <w:tcW w:w="736" w:type="dxa"/>
            <w:vAlign w:val="top"/>
          </w:tcPr>
          <w:p>
            <w:pPr>
              <w:spacing w:beforeLines="50" w:afterLines="50" w:line="440" w:lineRule="exact"/>
              <w:jc w:val="center"/>
              <w:rPr>
                <w:b/>
                <w:color w:val="auto"/>
                <w:sz w:val="28"/>
                <w:szCs w:val="28"/>
                <w:highlight w:val="none"/>
              </w:rPr>
            </w:pPr>
          </w:p>
        </w:tc>
        <w:tc>
          <w:tcPr>
            <w:tcW w:w="1282" w:type="dxa"/>
            <w:vAlign w:val="top"/>
          </w:tcPr>
          <w:p>
            <w:pPr>
              <w:spacing w:beforeLines="50" w:afterLines="50" w:line="440" w:lineRule="exact"/>
              <w:jc w:val="center"/>
              <w:rPr>
                <w:b/>
                <w:color w:val="auto"/>
                <w:sz w:val="28"/>
                <w:szCs w:val="28"/>
                <w:highlight w:val="none"/>
              </w:rPr>
            </w:pPr>
          </w:p>
        </w:tc>
        <w:tc>
          <w:tcPr>
            <w:tcW w:w="1344" w:type="dxa"/>
            <w:vAlign w:val="top"/>
          </w:tcPr>
          <w:p>
            <w:pPr>
              <w:spacing w:beforeLines="50" w:afterLines="50" w:line="440" w:lineRule="exact"/>
              <w:jc w:val="center"/>
              <w:rPr>
                <w:b/>
                <w:color w:val="auto"/>
                <w:sz w:val="28"/>
                <w:szCs w:val="28"/>
                <w:highlight w:val="none"/>
              </w:rPr>
            </w:pPr>
          </w:p>
        </w:tc>
        <w:tc>
          <w:tcPr>
            <w:tcW w:w="1569" w:type="dxa"/>
            <w:vAlign w:val="top"/>
          </w:tcPr>
          <w:p>
            <w:pPr>
              <w:spacing w:beforeLines="50" w:afterLines="50" w:line="440" w:lineRule="exact"/>
              <w:jc w:val="center"/>
              <w:rPr>
                <w:b/>
                <w:color w:val="auto"/>
                <w:sz w:val="28"/>
                <w:szCs w:val="2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b/>
                <w:color w:val="auto"/>
                <w:sz w:val="28"/>
                <w:szCs w:val="28"/>
                <w:highlight w:val="none"/>
              </w:rPr>
            </w:pPr>
          </w:p>
        </w:tc>
        <w:tc>
          <w:tcPr>
            <w:tcW w:w="1644" w:type="dxa"/>
            <w:vAlign w:val="top"/>
          </w:tcPr>
          <w:p>
            <w:pPr>
              <w:spacing w:beforeLines="50" w:afterLines="50" w:line="440" w:lineRule="exact"/>
              <w:jc w:val="center"/>
              <w:rPr>
                <w:b/>
                <w:color w:val="auto"/>
                <w:sz w:val="28"/>
                <w:szCs w:val="28"/>
                <w:highlight w:val="none"/>
              </w:rPr>
            </w:pPr>
          </w:p>
        </w:tc>
        <w:tc>
          <w:tcPr>
            <w:tcW w:w="1044" w:type="dxa"/>
            <w:vAlign w:val="top"/>
          </w:tcPr>
          <w:p>
            <w:pPr>
              <w:spacing w:beforeLines="50" w:afterLines="50" w:line="440" w:lineRule="exact"/>
              <w:jc w:val="center"/>
              <w:rPr>
                <w:b/>
                <w:color w:val="auto"/>
                <w:sz w:val="28"/>
                <w:szCs w:val="28"/>
                <w:highlight w:val="none"/>
              </w:rPr>
            </w:pPr>
          </w:p>
        </w:tc>
        <w:tc>
          <w:tcPr>
            <w:tcW w:w="736" w:type="dxa"/>
            <w:vAlign w:val="top"/>
          </w:tcPr>
          <w:p>
            <w:pPr>
              <w:spacing w:beforeLines="50" w:afterLines="50" w:line="440" w:lineRule="exact"/>
              <w:jc w:val="center"/>
              <w:rPr>
                <w:b/>
                <w:color w:val="auto"/>
                <w:sz w:val="28"/>
                <w:szCs w:val="28"/>
                <w:highlight w:val="none"/>
              </w:rPr>
            </w:pPr>
          </w:p>
        </w:tc>
        <w:tc>
          <w:tcPr>
            <w:tcW w:w="1282" w:type="dxa"/>
            <w:vAlign w:val="top"/>
          </w:tcPr>
          <w:p>
            <w:pPr>
              <w:spacing w:beforeLines="50" w:afterLines="50" w:line="440" w:lineRule="exact"/>
              <w:jc w:val="center"/>
              <w:rPr>
                <w:b/>
                <w:color w:val="auto"/>
                <w:sz w:val="28"/>
                <w:szCs w:val="28"/>
                <w:highlight w:val="none"/>
              </w:rPr>
            </w:pPr>
          </w:p>
        </w:tc>
        <w:tc>
          <w:tcPr>
            <w:tcW w:w="1344" w:type="dxa"/>
            <w:vAlign w:val="top"/>
          </w:tcPr>
          <w:p>
            <w:pPr>
              <w:spacing w:beforeLines="50" w:afterLines="50" w:line="440" w:lineRule="exact"/>
              <w:jc w:val="center"/>
              <w:rPr>
                <w:b/>
                <w:color w:val="auto"/>
                <w:sz w:val="28"/>
                <w:szCs w:val="28"/>
                <w:highlight w:val="none"/>
              </w:rPr>
            </w:pPr>
          </w:p>
        </w:tc>
        <w:tc>
          <w:tcPr>
            <w:tcW w:w="1569" w:type="dxa"/>
            <w:vAlign w:val="top"/>
          </w:tcPr>
          <w:p>
            <w:pPr>
              <w:spacing w:beforeLines="50" w:afterLines="50" w:line="440" w:lineRule="exact"/>
              <w:jc w:val="center"/>
              <w:rPr>
                <w:b/>
                <w:color w:val="auto"/>
                <w:sz w:val="28"/>
                <w:szCs w:val="2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b/>
                <w:color w:val="auto"/>
                <w:sz w:val="28"/>
                <w:szCs w:val="28"/>
                <w:highlight w:val="none"/>
              </w:rPr>
            </w:pPr>
          </w:p>
        </w:tc>
        <w:tc>
          <w:tcPr>
            <w:tcW w:w="1644" w:type="dxa"/>
            <w:vAlign w:val="top"/>
          </w:tcPr>
          <w:p>
            <w:pPr>
              <w:spacing w:beforeLines="50" w:afterLines="50" w:line="440" w:lineRule="exact"/>
              <w:jc w:val="center"/>
              <w:rPr>
                <w:b/>
                <w:color w:val="auto"/>
                <w:sz w:val="28"/>
                <w:szCs w:val="28"/>
                <w:highlight w:val="none"/>
              </w:rPr>
            </w:pPr>
          </w:p>
        </w:tc>
        <w:tc>
          <w:tcPr>
            <w:tcW w:w="1044" w:type="dxa"/>
            <w:vAlign w:val="top"/>
          </w:tcPr>
          <w:p>
            <w:pPr>
              <w:spacing w:beforeLines="50" w:afterLines="50" w:line="440" w:lineRule="exact"/>
              <w:jc w:val="center"/>
              <w:rPr>
                <w:b/>
                <w:color w:val="auto"/>
                <w:sz w:val="28"/>
                <w:szCs w:val="28"/>
                <w:highlight w:val="none"/>
              </w:rPr>
            </w:pPr>
          </w:p>
        </w:tc>
        <w:tc>
          <w:tcPr>
            <w:tcW w:w="736" w:type="dxa"/>
            <w:vAlign w:val="top"/>
          </w:tcPr>
          <w:p>
            <w:pPr>
              <w:spacing w:beforeLines="50" w:afterLines="50" w:line="440" w:lineRule="exact"/>
              <w:jc w:val="center"/>
              <w:rPr>
                <w:b/>
                <w:color w:val="auto"/>
                <w:sz w:val="28"/>
                <w:szCs w:val="28"/>
                <w:highlight w:val="none"/>
              </w:rPr>
            </w:pPr>
          </w:p>
        </w:tc>
        <w:tc>
          <w:tcPr>
            <w:tcW w:w="1282" w:type="dxa"/>
            <w:vAlign w:val="top"/>
          </w:tcPr>
          <w:p>
            <w:pPr>
              <w:spacing w:beforeLines="50" w:afterLines="50" w:line="440" w:lineRule="exact"/>
              <w:jc w:val="center"/>
              <w:rPr>
                <w:b/>
                <w:color w:val="auto"/>
                <w:sz w:val="28"/>
                <w:szCs w:val="28"/>
                <w:highlight w:val="none"/>
              </w:rPr>
            </w:pPr>
          </w:p>
        </w:tc>
        <w:tc>
          <w:tcPr>
            <w:tcW w:w="1344" w:type="dxa"/>
            <w:vAlign w:val="top"/>
          </w:tcPr>
          <w:p>
            <w:pPr>
              <w:spacing w:beforeLines="50" w:afterLines="50" w:line="440" w:lineRule="exact"/>
              <w:jc w:val="center"/>
              <w:rPr>
                <w:b/>
                <w:color w:val="auto"/>
                <w:sz w:val="28"/>
                <w:szCs w:val="28"/>
                <w:highlight w:val="none"/>
              </w:rPr>
            </w:pPr>
          </w:p>
        </w:tc>
        <w:tc>
          <w:tcPr>
            <w:tcW w:w="1569" w:type="dxa"/>
            <w:vAlign w:val="top"/>
          </w:tcPr>
          <w:p>
            <w:pPr>
              <w:spacing w:beforeLines="50" w:afterLines="50" w:line="440" w:lineRule="exact"/>
              <w:jc w:val="center"/>
              <w:rPr>
                <w:b/>
                <w:color w:val="auto"/>
                <w:sz w:val="28"/>
                <w:szCs w:val="2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b/>
                <w:color w:val="auto"/>
                <w:sz w:val="28"/>
                <w:szCs w:val="28"/>
                <w:highlight w:val="none"/>
              </w:rPr>
            </w:pPr>
          </w:p>
        </w:tc>
        <w:tc>
          <w:tcPr>
            <w:tcW w:w="1644" w:type="dxa"/>
            <w:vAlign w:val="top"/>
          </w:tcPr>
          <w:p>
            <w:pPr>
              <w:spacing w:beforeLines="50" w:afterLines="50" w:line="440" w:lineRule="exact"/>
              <w:jc w:val="center"/>
              <w:rPr>
                <w:b/>
                <w:color w:val="auto"/>
                <w:sz w:val="28"/>
                <w:szCs w:val="28"/>
                <w:highlight w:val="none"/>
              </w:rPr>
            </w:pPr>
          </w:p>
        </w:tc>
        <w:tc>
          <w:tcPr>
            <w:tcW w:w="1044" w:type="dxa"/>
            <w:vAlign w:val="top"/>
          </w:tcPr>
          <w:p>
            <w:pPr>
              <w:spacing w:beforeLines="50" w:afterLines="50" w:line="440" w:lineRule="exact"/>
              <w:jc w:val="center"/>
              <w:rPr>
                <w:b/>
                <w:color w:val="auto"/>
                <w:sz w:val="28"/>
                <w:szCs w:val="28"/>
                <w:highlight w:val="none"/>
              </w:rPr>
            </w:pPr>
          </w:p>
        </w:tc>
        <w:tc>
          <w:tcPr>
            <w:tcW w:w="736" w:type="dxa"/>
            <w:vAlign w:val="top"/>
          </w:tcPr>
          <w:p>
            <w:pPr>
              <w:spacing w:beforeLines="50" w:afterLines="50" w:line="440" w:lineRule="exact"/>
              <w:jc w:val="center"/>
              <w:rPr>
                <w:b/>
                <w:color w:val="auto"/>
                <w:sz w:val="28"/>
                <w:szCs w:val="28"/>
                <w:highlight w:val="none"/>
              </w:rPr>
            </w:pPr>
          </w:p>
        </w:tc>
        <w:tc>
          <w:tcPr>
            <w:tcW w:w="1282" w:type="dxa"/>
            <w:vAlign w:val="top"/>
          </w:tcPr>
          <w:p>
            <w:pPr>
              <w:spacing w:beforeLines="50" w:afterLines="50" w:line="440" w:lineRule="exact"/>
              <w:jc w:val="center"/>
              <w:rPr>
                <w:b/>
                <w:color w:val="auto"/>
                <w:sz w:val="28"/>
                <w:szCs w:val="28"/>
                <w:highlight w:val="none"/>
              </w:rPr>
            </w:pPr>
          </w:p>
        </w:tc>
        <w:tc>
          <w:tcPr>
            <w:tcW w:w="1344" w:type="dxa"/>
            <w:vAlign w:val="top"/>
          </w:tcPr>
          <w:p>
            <w:pPr>
              <w:spacing w:beforeLines="50" w:afterLines="50" w:line="440" w:lineRule="exact"/>
              <w:jc w:val="center"/>
              <w:rPr>
                <w:b/>
                <w:color w:val="auto"/>
                <w:sz w:val="28"/>
                <w:szCs w:val="28"/>
                <w:highlight w:val="none"/>
              </w:rPr>
            </w:pPr>
          </w:p>
        </w:tc>
        <w:tc>
          <w:tcPr>
            <w:tcW w:w="1569" w:type="dxa"/>
            <w:vAlign w:val="top"/>
          </w:tcPr>
          <w:p>
            <w:pPr>
              <w:spacing w:beforeLines="50" w:afterLines="50" w:line="440" w:lineRule="exact"/>
              <w:jc w:val="center"/>
              <w:rPr>
                <w:b/>
                <w:color w:val="auto"/>
                <w:sz w:val="28"/>
                <w:szCs w:val="2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b/>
                <w:color w:val="auto"/>
                <w:sz w:val="28"/>
                <w:szCs w:val="28"/>
                <w:highlight w:val="none"/>
              </w:rPr>
            </w:pPr>
          </w:p>
        </w:tc>
        <w:tc>
          <w:tcPr>
            <w:tcW w:w="1644" w:type="dxa"/>
            <w:vAlign w:val="top"/>
          </w:tcPr>
          <w:p>
            <w:pPr>
              <w:spacing w:beforeLines="50" w:afterLines="50" w:line="440" w:lineRule="exact"/>
              <w:jc w:val="center"/>
              <w:rPr>
                <w:b/>
                <w:color w:val="auto"/>
                <w:sz w:val="28"/>
                <w:szCs w:val="28"/>
                <w:highlight w:val="none"/>
              </w:rPr>
            </w:pPr>
          </w:p>
        </w:tc>
        <w:tc>
          <w:tcPr>
            <w:tcW w:w="1044" w:type="dxa"/>
            <w:vAlign w:val="top"/>
          </w:tcPr>
          <w:p>
            <w:pPr>
              <w:spacing w:beforeLines="50" w:afterLines="50" w:line="440" w:lineRule="exact"/>
              <w:jc w:val="center"/>
              <w:rPr>
                <w:b/>
                <w:color w:val="auto"/>
                <w:sz w:val="28"/>
                <w:szCs w:val="28"/>
                <w:highlight w:val="none"/>
              </w:rPr>
            </w:pPr>
          </w:p>
        </w:tc>
        <w:tc>
          <w:tcPr>
            <w:tcW w:w="736" w:type="dxa"/>
            <w:vAlign w:val="top"/>
          </w:tcPr>
          <w:p>
            <w:pPr>
              <w:spacing w:beforeLines="50" w:afterLines="50" w:line="440" w:lineRule="exact"/>
              <w:jc w:val="center"/>
              <w:rPr>
                <w:b/>
                <w:color w:val="auto"/>
                <w:sz w:val="28"/>
                <w:szCs w:val="28"/>
                <w:highlight w:val="none"/>
              </w:rPr>
            </w:pPr>
          </w:p>
        </w:tc>
        <w:tc>
          <w:tcPr>
            <w:tcW w:w="1282" w:type="dxa"/>
            <w:vAlign w:val="top"/>
          </w:tcPr>
          <w:p>
            <w:pPr>
              <w:spacing w:beforeLines="50" w:afterLines="50" w:line="440" w:lineRule="exact"/>
              <w:jc w:val="center"/>
              <w:rPr>
                <w:b/>
                <w:color w:val="auto"/>
                <w:sz w:val="28"/>
                <w:szCs w:val="28"/>
                <w:highlight w:val="none"/>
              </w:rPr>
            </w:pPr>
          </w:p>
        </w:tc>
        <w:tc>
          <w:tcPr>
            <w:tcW w:w="1344" w:type="dxa"/>
            <w:vAlign w:val="top"/>
          </w:tcPr>
          <w:p>
            <w:pPr>
              <w:spacing w:beforeLines="50" w:afterLines="50" w:line="440" w:lineRule="exact"/>
              <w:jc w:val="center"/>
              <w:rPr>
                <w:b/>
                <w:color w:val="auto"/>
                <w:sz w:val="28"/>
                <w:szCs w:val="28"/>
                <w:highlight w:val="none"/>
              </w:rPr>
            </w:pPr>
          </w:p>
        </w:tc>
        <w:tc>
          <w:tcPr>
            <w:tcW w:w="1569" w:type="dxa"/>
            <w:vAlign w:val="top"/>
          </w:tcPr>
          <w:p>
            <w:pPr>
              <w:spacing w:beforeLines="50" w:afterLines="50" w:line="440" w:lineRule="exact"/>
              <w:jc w:val="center"/>
              <w:rPr>
                <w:b/>
                <w:color w:val="auto"/>
                <w:sz w:val="28"/>
                <w:szCs w:val="2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b/>
                <w:color w:val="auto"/>
                <w:sz w:val="28"/>
                <w:szCs w:val="28"/>
                <w:highlight w:val="none"/>
              </w:rPr>
            </w:pPr>
          </w:p>
        </w:tc>
        <w:tc>
          <w:tcPr>
            <w:tcW w:w="1644" w:type="dxa"/>
            <w:vAlign w:val="top"/>
          </w:tcPr>
          <w:p>
            <w:pPr>
              <w:spacing w:beforeLines="50" w:afterLines="50" w:line="440" w:lineRule="exact"/>
              <w:jc w:val="center"/>
              <w:rPr>
                <w:b/>
                <w:color w:val="auto"/>
                <w:sz w:val="28"/>
                <w:szCs w:val="28"/>
                <w:highlight w:val="none"/>
              </w:rPr>
            </w:pPr>
          </w:p>
        </w:tc>
        <w:tc>
          <w:tcPr>
            <w:tcW w:w="1044" w:type="dxa"/>
            <w:vAlign w:val="top"/>
          </w:tcPr>
          <w:p>
            <w:pPr>
              <w:spacing w:beforeLines="50" w:afterLines="50" w:line="440" w:lineRule="exact"/>
              <w:jc w:val="center"/>
              <w:rPr>
                <w:b/>
                <w:color w:val="auto"/>
                <w:sz w:val="28"/>
                <w:szCs w:val="28"/>
                <w:highlight w:val="none"/>
              </w:rPr>
            </w:pPr>
          </w:p>
        </w:tc>
        <w:tc>
          <w:tcPr>
            <w:tcW w:w="736" w:type="dxa"/>
            <w:vAlign w:val="top"/>
          </w:tcPr>
          <w:p>
            <w:pPr>
              <w:spacing w:beforeLines="50" w:afterLines="50" w:line="440" w:lineRule="exact"/>
              <w:jc w:val="center"/>
              <w:rPr>
                <w:b/>
                <w:color w:val="auto"/>
                <w:sz w:val="28"/>
                <w:szCs w:val="28"/>
                <w:highlight w:val="none"/>
              </w:rPr>
            </w:pPr>
          </w:p>
        </w:tc>
        <w:tc>
          <w:tcPr>
            <w:tcW w:w="1282" w:type="dxa"/>
            <w:vAlign w:val="top"/>
          </w:tcPr>
          <w:p>
            <w:pPr>
              <w:spacing w:beforeLines="50" w:afterLines="50" w:line="440" w:lineRule="exact"/>
              <w:jc w:val="center"/>
              <w:rPr>
                <w:b/>
                <w:color w:val="auto"/>
                <w:sz w:val="28"/>
                <w:szCs w:val="28"/>
                <w:highlight w:val="none"/>
              </w:rPr>
            </w:pPr>
          </w:p>
        </w:tc>
        <w:tc>
          <w:tcPr>
            <w:tcW w:w="1344" w:type="dxa"/>
            <w:vAlign w:val="top"/>
          </w:tcPr>
          <w:p>
            <w:pPr>
              <w:spacing w:beforeLines="50" w:afterLines="50" w:line="440" w:lineRule="exact"/>
              <w:jc w:val="center"/>
              <w:rPr>
                <w:b/>
                <w:color w:val="auto"/>
                <w:sz w:val="28"/>
                <w:szCs w:val="28"/>
                <w:highlight w:val="none"/>
              </w:rPr>
            </w:pPr>
          </w:p>
        </w:tc>
        <w:tc>
          <w:tcPr>
            <w:tcW w:w="1569" w:type="dxa"/>
            <w:vAlign w:val="top"/>
          </w:tcPr>
          <w:p>
            <w:pPr>
              <w:spacing w:beforeLines="50" w:afterLines="50" w:line="440" w:lineRule="exact"/>
              <w:jc w:val="center"/>
              <w:rPr>
                <w:b/>
                <w:color w:val="auto"/>
                <w:sz w:val="28"/>
                <w:szCs w:val="2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b/>
                <w:color w:val="auto"/>
                <w:sz w:val="28"/>
                <w:szCs w:val="28"/>
                <w:highlight w:val="none"/>
              </w:rPr>
            </w:pPr>
          </w:p>
        </w:tc>
        <w:tc>
          <w:tcPr>
            <w:tcW w:w="1644" w:type="dxa"/>
            <w:vAlign w:val="top"/>
          </w:tcPr>
          <w:p>
            <w:pPr>
              <w:spacing w:beforeLines="50" w:afterLines="50" w:line="440" w:lineRule="exact"/>
              <w:jc w:val="center"/>
              <w:rPr>
                <w:b/>
                <w:color w:val="auto"/>
                <w:sz w:val="28"/>
                <w:szCs w:val="28"/>
                <w:highlight w:val="none"/>
              </w:rPr>
            </w:pPr>
          </w:p>
        </w:tc>
        <w:tc>
          <w:tcPr>
            <w:tcW w:w="1044" w:type="dxa"/>
            <w:vAlign w:val="top"/>
          </w:tcPr>
          <w:p>
            <w:pPr>
              <w:spacing w:beforeLines="50" w:afterLines="50" w:line="440" w:lineRule="exact"/>
              <w:jc w:val="center"/>
              <w:rPr>
                <w:b/>
                <w:color w:val="auto"/>
                <w:sz w:val="28"/>
                <w:szCs w:val="28"/>
                <w:highlight w:val="none"/>
              </w:rPr>
            </w:pPr>
          </w:p>
        </w:tc>
        <w:tc>
          <w:tcPr>
            <w:tcW w:w="736" w:type="dxa"/>
            <w:vAlign w:val="top"/>
          </w:tcPr>
          <w:p>
            <w:pPr>
              <w:spacing w:beforeLines="50" w:afterLines="50" w:line="440" w:lineRule="exact"/>
              <w:jc w:val="center"/>
              <w:rPr>
                <w:b/>
                <w:color w:val="auto"/>
                <w:sz w:val="28"/>
                <w:szCs w:val="28"/>
                <w:highlight w:val="none"/>
              </w:rPr>
            </w:pPr>
          </w:p>
        </w:tc>
        <w:tc>
          <w:tcPr>
            <w:tcW w:w="1282" w:type="dxa"/>
            <w:vAlign w:val="top"/>
          </w:tcPr>
          <w:p>
            <w:pPr>
              <w:spacing w:beforeLines="50" w:afterLines="50" w:line="440" w:lineRule="exact"/>
              <w:jc w:val="center"/>
              <w:rPr>
                <w:b/>
                <w:color w:val="auto"/>
                <w:sz w:val="28"/>
                <w:szCs w:val="28"/>
                <w:highlight w:val="none"/>
              </w:rPr>
            </w:pPr>
          </w:p>
        </w:tc>
        <w:tc>
          <w:tcPr>
            <w:tcW w:w="1344" w:type="dxa"/>
            <w:vAlign w:val="top"/>
          </w:tcPr>
          <w:p>
            <w:pPr>
              <w:spacing w:beforeLines="50" w:afterLines="50" w:line="440" w:lineRule="exact"/>
              <w:jc w:val="center"/>
              <w:rPr>
                <w:b/>
                <w:color w:val="auto"/>
                <w:sz w:val="28"/>
                <w:szCs w:val="28"/>
                <w:highlight w:val="none"/>
              </w:rPr>
            </w:pPr>
          </w:p>
        </w:tc>
        <w:tc>
          <w:tcPr>
            <w:tcW w:w="1569" w:type="dxa"/>
            <w:vAlign w:val="top"/>
          </w:tcPr>
          <w:p>
            <w:pPr>
              <w:spacing w:beforeLines="50" w:afterLines="50" w:line="440" w:lineRule="exact"/>
              <w:jc w:val="center"/>
              <w:rPr>
                <w:b/>
                <w:color w:val="auto"/>
                <w:sz w:val="28"/>
                <w:szCs w:val="2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b/>
                <w:color w:val="auto"/>
                <w:sz w:val="28"/>
                <w:szCs w:val="28"/>
                <w:highlight w:val="none"/>
              </w:rPr>
            </w:pPr>
          </w:p>
        </w:tc>
        <w:tc>
          <w:tcPr>
            <w:tcW w:w="1644" w:type="dxa"/>
            <w:vAlign w:val="top"/>
          </w:tcPr>
          <w:p>
            <w:pPr>
              <w:spacing w:beforeLines="50" w:afterLines="50" w:line="440" w:lineRule="exact"/>
              <w:jc w:val="center"/>
              <w:rPr>
                <w:b/>
                <w:color w:val="auto"/>
                <w:sz w:val="28"/>
                <w:szCs w:val="28"/>
                <w:highlight w:val="none"/>
              </w:rPr>
            </w:pPr>
          </w:p>
        </w:tc>
        <w:tc>
          <w:tcPr>
            <w:tcW w:w="1044" w:type="dxa"/>
            <w:vAlign w:val="top"/>
          </w:tcPr>
          <w:p>
            <w:pPr>
              <w:spacing w:beforeLines="50" w:afterLines="50" w:line="440" w:lineRule="exact"/>
              <w:jc w:val="center"/>
              <w:rPr>
                <w:b/>
                <w:color w:val="auto"/>
                <w:sz w:val="28"/>
                <w:szCs w:val="28"/>
                <w:highlight w:val="none"/>
              </w:rPr>
            </w:pPr>
          </w:p>
        </w:tc>
        <w:tc>
          <w:tcPr>
            <w:tcW w:w="736" w:type="dxa"/>
            <w:vAlign w:val="top"/>
          </w:tcPr>
          <w:p>
            <w:pPr>
              <w:spacing w:beforeLines="50" w:afterLines="50" w:line="440" w:lineRule="exact"/>
              <w:jc w:val="center"/>
              <w:rPr>
                <w:b/>
                <w:color w:val="auto"/>
                <w:sz w:val="28"/>
                <w:szCs w:val="28"/>
                <w:highlight w:val="none"/>
              </w:rPr>
            </w:pPr>
          </w:p>
        </w:tc>
        <w:tc>
          <w:tcPr>
            <w:tcW w:w="1282" w:type="dxa"/>
            <w:vAlign w:val="top"/>
          </w:tcPr>
          <w:p>
            <w:pPr>
              <w:spacing w:beforeLines="50" w:afterLines="50" w:line="440" w:lineRule="exact"/>
              <w:jc w:val="center"/>
              <w:rPr>
                <w:b/>
                <w:color w:val="auto"/>
                <w:sz w:val="28"/>
                <w:szCs w:val="28"/>
                <w:highlight w:val="none"/>
              </w:rPr>
            </w:pPr>
          </w:p>
        </w:tc>
        <w:tc>
          <w:tcPr>
            <w:tcW w:w="1344" w:type="dxa"/>
            <w:vAlign w:val="top"/>
          </w:tcPr>
          <w:p>
            <w:pPr>
              <w:spacing w:beforeLines="50" w:afterLines="50" w:line="440" w:lineRule="exact"/>
              <w:jc w:val="center"/>
              <w:rPr>
                <w:b/>
                <w:color w:val="auto"/>
                <w:sz w:val="28"/>
                <w:szCs w:val="28"/>
                <w:highlight w:val="none"/>
              </w:rPr>
            </w:pPr>
          </w:p>
        </w:tc>
        <w:tc>
          <w:tcPr>
            <w:tcW w:w="1569" w:type="dxa"/>
            <w:vAlign w:val="top"/>
          </w:tcPr>
          <w:p>
            <w:pPr>
              <w:spacing w:beforeLines="50" w:afterLines="50" w:line="440" w:lineRule="exact"/>
              <w:jc w:val="center"/>
              <w:rPr>
                <w:b/>
                <w:color w:val="auto"/>
                <w:sz w:val="28"/>
                <w:szCs w:val="2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b/>
                <w:color w:val="auto"/>
                <w:sz w:val="28"/>
                <w:szCs w:val="28"/>
                <w:highlight w:val="none"/>
              </w:rPr>
            </w:pPr>
          </w:p>
        </w:tc>
        <w:tc>
          <w:tcPr>
            <w:tcW w:w="1644" w:type="dxa"/>
            <w:vAlign w:val="top"/>
          </w:tcPr>
          <w:p>
            <w:pPr>
              <w:spacing w:beforeLines="50" w:afterLines="50" w:line="440" w:lineRule="exact"/>
              <w:jc w:val="center"/>
              <w:rPr>
                <w:b/>
                <w:color w:val="auto"/>
                <w:sz w:val="28"/>
                <w:szCs w:val="28"/>
                <w:highlight w:val="none"/>
              </w:rPr>
            </w:pPr>
          </w:p>
        </w:tc>
        <w:tc>
          <w:tcPr>
            <w:tcW w:w="1044" w:type="dxa"/>
            <w:vAlign w:val="top"/>
          </w:tcPr>
          <w:p>
            <w:pPr>
              <w:spacing w:beforeLines="50" w:afterLines="50" w:line="440" w:lineRule="exact"/>
              <w:jc w:val="center"/>
              <w:rPr>
                <w:b/>
                <w:color w:val="auto"/>
                <w:sz w:val="28"/>
                <w:szCs w:val="28"/>
                <w:highlight w:val="none"/>
              </w:rPr>
            </w:pPr>
          </w:p>
        </w:tc>
        <w:tc>
          <w:tcPr>
            <w:tcW w:w="736" w:type="dxa"/>
            <w:vAlign w:val="top"/>
          </w:tcPr>
          <w:p>
            <w:pPr>
              <w:spacing w:beforeLines="50" w:afterLines="50" w:line="440" w:lineRule="exact"/>
              <w:jc w:val="center"/>
              <w:rPr>
                <w:b/>
                <w:color w:val="auto"/>
                <w:sz w:val="28"/>
                <w:szCs w:val="28"/>
                <w:highlight w:val="none"/>
              </w:rPr>
            </w:pPr>
          </w:p>
        </w:tc>
        <w:tc>
          <w:tcPr>
            <w:tcW w:w="1282" w:type="dxa"/>
            <w:vAlign w:val="top"/>
          </w:tcPr>
          <w:p>
            <w:pPr>
              <w:spacing w:beforeLines="50" w:afterLines="50" w:line="440" w:lineRule="exact"/>
              <w:jc w:val="center"/>
              <w:rPr>
                <w:b/>
                <w:color w:val="auto"/>
                <w:sz w:val="28"/>
                <w:szCs w:val="28"/>
                <w:highlight w:val="none"/>
              </w:rPr>
            </w:pPr>
          </w:p>
        </w:tc>
        <w:tc>
          <w:tcPr>
            <w:tcW w:w="1344" w:type="dxa"/>
            <w:vAlign w:val="top"/>
          </w:tcPr>
          <w:p>
            <w:pPr>
              <w:spacing w:beforeLines="50" w:afterLines="50" w:line="440" w:lineRule="exact"/>
              <w:jc w:val="center"/>
              <w:rPr>
                <w:b/>
                <w:color w:val="auto"/>
                <w:sz w:val="28"/>
                <w:szCs w:val="28"/>
                <w:highlight w:val="none"/>
              </w:rPr>
            </w:pPr>
          </w:p>
        </w:tc>
        <w:tc>
          <w:tcPr>
            <w:tcW w:w="1569" w:type="dxa"/>
            <w:vAlign w:val="top"/>
          </w:tcPr>
          <w:p>
            <w:pPr>
              <w:spacing w:beforeLines="50" w:afterLines="50" w:line="440" w:lineRule="exact"/>
              <w:jc w:val="center"/>
              <w:rPr>
                <w:b/>
                <w:color w:val="auto"/>
                <w:sz w:val="28"/>
                <w:szCs w:val="2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b/>
                <w:color w:val="auto"/>
                <w:sz w:val="28"/>
                <w:szCs w:val="28"/>
                <w:highlight w:val="none"/>
              </w:rPr>
            </w:pPr>
          </w:p>
        </w:tc>
        <w:tc>
          <w:tcPr>
            <w:tcW w:w="1644" w:type="dxa"/>
            <w:vAlign w:val="top"/>
          </w:tcPr>
          <w:p>
            <w:pPr>
              <w:spacing w:beforeLines="50" w:afterLines="50" w:line="440" w:lineRule="exact"/>
              <w:jc w:val="center"/>
              <w:rPr>
                <w:b/>
                <w:color w:val="auto"/>
                <w:sz w:val="28"/>
                <w:szCs w:val="28"/>
                <w:highlight w:val="none"/>
              </w:rPr>
            </w:pPr>
          </w:p>
        </w:tc>
        <w:tc>
          <w:tcPr>
            <w:tcW w:w="1044" w:type="dxa"/>
            <w:vAlign w:val="top"/>
          </w:tcPr>
          <w:p>
            <w:pPr>
              <w:spacing w:beforeLines="50" w:afterLines="50" w:line="440" w:lineRule="exact"/>
              <w:jc w:val="center"/>
              <w:rPr>
                <w:b/>
                <w:color w:val="auto"/>
                <w:sz w:val="28"/>
                <w:szCs w:val="28"/>
                <w:highlight w:val="none"/>
              </w:rPr>
            </w:pPr>
          </w:p>
        </w:tc>
        <w:tc>
          <w:tcPr>
            <w:tcW w:w="736" w:type="dxa"/>
            <w:vAlign w:val="top"/>
          </w:tcPr>
          <w:p>
            <w:pPr>
              <w:spacing w:beforeLines="50" w:afterLines="50" w:line="440" w:lineRule="exact"/>
              <w:jc w:val="center"/>
              <w:rPr>
                <w:b/>
                <w:color w:val="auto"/>
                <w:sz w:val="28"/>
                <w:szCs w:val="28"/>
                <w:highlight w:val="none"/>
              </w:rPr>
            </w:pPr>
          </w:p>
        </w:tc>
        <w:tc>
          <w:tcPr>
            <w:tcW w:w="1282" w:type="dxa"/>
            <w:vAlign w:val="top"/>
          </w:tcPr>
          <w:p>
            <w:pPr>
              <w:spacing w:beforeLines="50" w:afterLines="50" w:line="440" w:lineRule="exact"/>
              <w:jc w:val="center"/>
              <w:rPr>
                <w:b/>
                <w:color w:val="auto"/>
                <w:sz w:val="28"/>
                <w:szCs w:val="28"/>
                <w:highlight w:val="none"/>
              </w:rPr>
            </w:pPr>
          </w:p>
        </w:tc>
        <w:tc>
          <w:tcPr>
            <w:tcW w:w="1344" w:type="dxa"/>
            <w:vAlign w:val="top"/>
          </w:tcPr>
          <w:p>
            <w:pPr>
              <w:spacing w:beforeLines="50" w:afterLines="50" w:line="440" w:lineRule="exact"/>
              <w:jc w:val="center"/>
              <w:rPr>
                <w:b/>
                <w:color w:val="auto"/>
                <w:sz w:val="28"/>
                <w:szCs w:val="28"/>
                <w:highlight w:val="none"/>
              </w:rPr>
            </w:pPr>
          </w:p>
        </w:tc>
        <w:tc>
          <w:tcPr>
            <w:tcW w:w="1569" w:type="dxa"/>
            <w:vAlign w:val="top"/>
          </w:tcPr>
          <w:p>
            <w:pPr>
              <w:spacing w:beforeLines="50" w:afterLines="50" w:line="440" w:lineRule="exact"/>
              <w:jc w:val="center"/>
              <w:rPr>
                <w:b/>
                <w:color w:val="auto"/>
                <w:sz w:val="28"/>
                <w:szCs w:val="2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b/>
                <w:color w:val="auto"/>
                <w:sz w:val="28"/>
                <w:szCs w:val="28"/>
                <w:highlight w:val="none"/>
              </w:rPr>
            </w:pPr>
          </w:p>
        </w:tc>
        <w:tc>
          <w:tcPr>
            <w:tcW w:w="1644" w:type="dxa"/>
            <w:vAlign w:val="top"/>
          </w:tcPr>
          <w:p>
            <w:pPr>
              <w:spacing w:beforeLines="50" w:afterLines="50" w:line="440" w:lineRule="exact"/>
              <w:jc w:val="center"/>
              <w:rPr>
                <w:b/>
                <w:color w:val="auto"/>
                <w:sz w:val="28"/>
                <w:szCs w:val="28"/>
                <w:highlight w:val="none"/>
              </w:rPr>
            </w:pPr>
          </w:p>
        </w:tc>
        <w:tc>
          <w:tcPr>
            <w:tcW w:w="1044" w:type="dxa"/>
            <w:vAlign w:val="top"/>
          </w:tcPr>
          <w:p>
            <w:pPr>
              <w:spacing w:beforeLines="50" w:afterLines="50" w:line="440" w:lineRule="exact"/>
              <w:jc w:val="center"/>
              <w:rPr>
                <w:b/>
                <w:color w:val="auto"/>
                <w:sz w:val="28"/>
                <w:szCs w:val="28"/>
                <w:highlight w:val="none"/>
              </w:rPr>
            </w:pPr>
          </w:p>
        </w:tc>
        <w:tc>
          <w:tcPr>
            <w:tcW w:w="736" w:type="dxa"/>
            <w:vAlign w:val="top"/>
          </w:tcPr>
          <w:p>
            <w:pPr>
              <w:spacing w:beforeLines="50" w:afterLines="50" w:line="440" w:lineRule="exact"/>
              <w:jc w:val="center"/>
              <w:rPr>
                <w:b/>
                <w:color w:val="auto"/>
                <w:sz w:val="28"/>
                <w:szCs w:val="28"/>
                <w:highlight w:val="none"/>
              </w:rPr>
            </w:pPr>
          </w:p>
        </w:tc>
        <w:tc>
          <w:tcPr>
            <w:tcW w:w="1282" w:type="dxa"/>
            <w:vAlign w:val="top"/>
          </w:tcPr>
          <w:p>
            <w:pPr>
              <w:spacing w:beforeLines="50" w:afterLines="50" w:line="440" w:lineRule="exact"/>
              <w:jc w:val="center"/>
              <w:rPr>
                <w:b/>
                <w:color w:val="auto"/>
                <w:sz w:val="28"/>
                <w:szCs w:val="28"/>
                <w:highlight w:val="none"/>
              </w:rPr>
            </w:pPr>
          </w:p>
        </w:tc>
        <w:tc>
          <w:tcPr>
            <w:tcW w:w="1344" w:type="dxa"/>
            <w:vAlign w:val="top"/>
          </w:tcPr>
          <w:p>
            <w:pPr>
              <w:spacing w:beforeLines="50" w:afterLines="50" w:line="440" w:lineRule="exact"/>
              <w:jc w:val="center"/>
              <w:rPr>
                <w:b/>
                <w:color w:val="auto"/>
                <w:sz w:val="28"/>
                <w:szCs w:val="28"/>
                <w:highlight w:val="none"/>
              </w:rPr>
            </w:pPr>
          </w:p>
        </w:tc>
        <w:tc>
          <w:tcPr>
            <w:tcW w:w="1569" w:type="dxa"/>
            <w:vAlign w:val="top"/>
          </w:tcPr>
          <w:p>
            <w:pPr>
              <w:spacing w:beforeLines="50" w:afterLines="50" w:line="440" w:lineRule="exact"/>
              <w:jc w:val="center"/>
              <w:rPr>
                <w:b/>
                <w:color w:val="auto"/>
                <w:sz w:val="28"/>
                <w:szCs w:val="2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b/>
                <w:color w:val="auto"/>
                <w:sz w:val="28"/>
                <w:szCs w:val="28"/>
                <w:highlight w:val="none"/>
              </w:rPr>
            </w:pPr>
          </w:p>
        </w:tc>
        <w:tc>
          <w:tcPr>
            <w:tcW w:w="1644" w:type="dxa"/>
            <w:vAlign w:val="top"/>
          </w:tcPr>
          <w:p>
            <w:pPr>
              <w:spacing w:beforeLines="50" w:afterLines="50" w:line="440" w:lineRule="exact"/>
              <w:jc w:val="center"/>
              <w:rPr>
                <w:b/>
                <w:color w:val="auto"/>
                <w:sz w:val="28"/>
                <w:szCs w:val="28"/>
                <w:highlight w:val="none"/>
              </w:rPr>
            </w:pPr>
          </w:p>
        </w:tc>
        <w:tc>
          <w:tcPr>
            <w:tcW w:w="1044" w:type="dxa"/>
            <w:vAlign w:val="top"/>
          </w:tcPr>
          <w:p>
            <w:pPr>
              <w:spacing w:beforeLines="50" w:afterLines="50" w:line="440" w:lineRule="exact"/>
              <w:jc w:val="center"/>
              <w:rPr>
                <w:b/>
                <w:color w:val="auto"/>
                <w:sz w:val="28"/>
                <w:szCs w:val="28"/>
                <w:highlight w:val="none"/>
              </w:rPr>
            </w:pPr>
          </w:p>
        </w:tc>
        <w:tc>
          <w:tcPr>
            <w:tcW w:w="736" w:type="dxa"/>
            <w:vAlign w:val="top"/>
          </w:tcPr>
          <w:p>
            <w:pPr>
              <w:spacing w:beforeLines="50" w:afterLines="50" w:line="440" w:lineRule="exact"/>
              <w:jc w:val="center"/>
              <w:rPr>
                <w:b/>
                <w:color w:val="auto"/>
                <w:sz w:val="28"/>
                <w:szCs w:val="28"/>
                <w:highlight w:val="none"/>
              </w:rPr>
            </w:pPr>
          </w:p>
        </w:tc>
        <w:tc>
          <w:tcPr>
            <w:tcW w:w="1282" w:type="dxa"/>
            <w:vAlign w:val="top"/>
          </w:tcPr>
          <w:p>
            <w:pPr>
              <w:spacing w:beforeLines="50" w:afterLines="50" w:line="440" w:lineRule="exact"/>
              <w:jc w:val="center"/>
              <w:rPr>
                <w:b/>
                <w:color w:val="auto"/>
                <w:sz w:val="28"/>
                <w:szCs w:val="28"/>
                <w:highlight w:val="none"/>
              </w:rPr>
            </w:pPr>
          </w:p>
        </w:tc>
        <w:tc>
          <w:tcPr>
            <w:tcW w:w="1344" w:type="dxa"/>
            <w:vAlign w:val="top"/>
          </w:tcPr>
          <w:p>
            <w:pPr>
              <w:spacing w:beforeLines="50" w:afterLines="50" w:line="440" w:lineRule="exact"/>
              <w:jc w:val="center"/>
              <w:rPr>
                <w:b/>
                <w:color w:val="auto"/>
                <w:sz w:val="28"/>
                <w:szCs w:val="28"/>
                <w:highlight w:val="none"/>
              </w:rPr>
            </w:pPr>
          </w:p>
        </w:tc>
        <w:tc>
          <w:tcPr>
            <w:tcW w:w="1569" w:type="dxa"/>
            <w:vAlign w:val="top"/>
          </w:tcPr>
          <w:p>
            <w:pPr>
              <w:spacing w:beforeLines="50" w:afterLines="50" w:line="440" w:lineRule="exact"/>
              <w:jc w:val="center"/>
              <w:rPr>
                <w:b/>
                <w:color w:val="auto"/>
                <w:sz w:val="28"/>
                <w:szCs w:val="2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41" w:type="dxa"/>
            <w:vAlign w:val="top"/>
          </w:tcPr>
          <w:p>
            <w:pPr>
              <w:spacing w:beforeLines="50" w:afterLines="50" w:line="440" w:lineRule="exact"/>
              <w:jc w:val="center"/>
              <w:rPr>
                <w:b/>
                <w:color w:val="auto"/>
                <w:sz w:val="28"/>
                <w:szCs w:val="28"/>
                <w:highlight w:val="none"/>
              </w:rPr>
            </w:pPr>
          </w:p>
        </w:tc>
        <w:tc>
          <w:tcPr>
            <w:tcW w:w="1644" w:type="dxa"/>
            <w:vAlign w:val="top"/>
          </w:tcPr>
          <w:p>
            <w:pPr>
              <w:spacing w:beforeLines="50" w:afterLines="50" w:line="440" w:lineRule="exact"/>
              <w:jc w:val="center"/>
              <w:rPr>
                <w:b/>
                <w:color w:val="auto"/>
                <w:sz w:val="28"/>
                <w:szCs w:val="28"/>
                <w:highlight w:val="none"/>
              </w:rPr>
            </w:pPr>
          </w:p>
        </w:tc>
        <w:tc>
          <w:tcPr>
            <w:tcW w:w="1044" w:type="dxa"/>
            <w:vAlign w:val="top"/>
          </w:tcPr>
          <w:p>
            <w:pPr>
              <w:spacing w:beforeLines="50" w:afterLines="50" w:line="440" w:lineRule="exact"/>
              <w:jc w:val="center"/>
              <w:rPr>
                <w:b/>
                <w:color w:val="auto"/>
                <w:sz w:val="28"/>
                <w:szCs w:val="28"/>
                <w:highlight w:val="none"/>
              </w:rPr>
            </w:pPr>
          </w:p>
        </w:tc>
        <w:tc>
          <w:tcPr>
            <w:tcW w:w="736" w:type="dxa"/>
            <w:vAlign w:val="top"/>
          </w:tcPr>
          <w:p>
            <w:pPr>
              <w:spacing w:beforeLines="50" w:afterLines="50" w:line="440" w:lineRule="exact"/>
              <w:jc w:val="center"/>
              <w:rPr>
                <w:b/>
                <w:color w:val="auto"/>
                <w:sz w:val="28"/>
                <w:szCs w:val="28"/>
                <w:highlight w:val="none"/>
              </w:rPr>
            </w:pPr>
          </w:p>
        </w:tc>
        <w:tc>
          <w:tcPr>
            <w:tcW w:w="1282" w:type="dxa"/>
            <w:vAlign w:val="top"/>
          </w:tcPr>
          <w:p>
            <w:pPr>
              <w:spacing w:beforeLines="50" w:afterLines="50" w:line="440" w:lineRule="exact"/>
              <w:jc w:val="center"/>
              <w:rPr>
                <w:b/>
                <w:color w:val="auto"/>
                <w:sz w:val="28"/>
                <w:szCs w:val="28"/>
                <w:highlight w:val="none"/>
              </w:rPr>
            </w:pPr>
          </w:p>
        </w:tc>
        <w:tc>
          <w:tcPr>
            <w:tcW w:w="1344" w:type="dxa"/>
            <w:vAlign w:val="top"/>
          </w:tcPr>
          <w:p>
            <w:pPr>
              <w:spacing w:beforeLines="50" w:afterLines="50" w:line="440" w:lineRule="exact"/>
              <w:jc w:val="center"/>
              <w:rPr>
                <w:b/>
                <w:color w:val="auto"/>
                <w:sz w:val="28"/>
                <w:szCs w:val="28"/>
                <w:highlight w:val="none"/>
              </w:rPr>
            </w:pPr>
          </w:p>
        </w:tc>
        <w:tc>
          <w:tcPr>
            <w:tcW w:w="1569" w:type="dxa"/>
            <w:vAlign w:val="top"/>
          </w:tcPr>
          <w:p>
            <w:pPr>
              <w:spacing w:beforeLines="50" w:afterLines="50" w:line="440" w:lineRule="exact"/>
              <w:jc w:val="center"/>
              <w:rPr>
                <w:b/>
                <w:color w:val="auto"/>
                <w:sz w:val="28"/>
                <w:szCs w:val="28"/>
                <w:highlight w:val="none"/>
              </w:rPr>
            </w:pPr>
          </w:p>
        </w:tc>
      </w:tr>
    </w:tbl>
    <w:p>
      <w:pPr>
        <w:spacing w:beforeLines="50" w:afterLines="50" w:line="440" w:lineRule="exact"/>
        <w:jc w:val="center"/>
        <w:rPr>
          <w:rFonts w:hint="eastAsia" w:ascii="宋体" w:hAnsi="宋体" w:cs="宋体"/>
          <w:b/>
          <w:color w:val="auto"/>
          <w:szCs w:val="21"/>
          <w:highlight w:val="none"/>
        </w:rPr>
      </w:pPr>
      <w:r>
        <w:rPr>
          <w:color w:val="auto"/>
          <w:sz w:val="24"/>
          <w:highlight w:val="none"/>
        </w:rPr>
        <w:br w:type="page"/>
      </w:r>
      <w:r>
        <w:rPr>
          <w:rFonts w:hint="eastAsia"/>
          <w:b/>
          <w:color w:val="auto"/>
          <w:sz w:val="28"/>
          <w:szCs w:val="28"/>
          <w:highlight w:val="none"/>
        </w:rPr>
        <w:t>11-3：专业工程暂估价表</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002"/>
        <w:gridCol w:w="2001"/>
        <w:gridCol w:w="858"/>
        <w:gridCol w:w="781"/>
        <w:gridCol w:w="1363"/>
        <w:gridCol w:w="1430"/>
        <w:gridCol w:w="11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02" w:type="dxa"/>
            <w:tcBorders>
              <w:top w:val="single" w:color="auto" w:sz="12" w:space="0"/>
              <w:bottom w:val="double" w:color="auto" w:sz="6" w:space="0"/>
            </w:tcBorders>
            <w:vAlign w:val="top"/>
          </w:tcPr>
          <w:p>
            <w:pPr>
              <w:pStyle w:val="2"/>
              <w:keepNext/>
              <w:spacing w:line="400" w:lineRule="exact"/>
              <w:ind w:left="63" w:right="6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001" w:type="dxa"/>
            <w:tcBorders>
              <w:top w:val="single" w:color="auto" w:sz="12" w:space="0"/>
              <w:bottom w:val="double" w:color="auto" w:sz="6" w:space="0"/>
            </w:tcBorders>
            <w:vAlign w:val="top"/>
          </w:tcPr>
          <w:p>
            <w:pPr>
              <w:pStyle w:val="2"/>
              <w:keepNext/>
              <w:spacing w:line="400" w:lineRule="exact"/>
              <w:ind w:left="63" w:right="6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p>
        </w:tc>
        <w:tc>
          <w:tcPr>
            <w:tcW w:w="858" w:type="dxa"/>
            <w:tcBorders>
              <w:top w:val="single" w:color="auto" w:sz="12" w:space="0"/>
              <w:bottom w:val="double" w:color="auto" w:sz="6" w:space="0"/>
            </w:tcBorders>
            <w:vAlign w:val="top"/>
          </w:tcPr>
          <w:p>
            <w:pPr>
              <w:pStyle w:val="2"/>
              <w:keepNext/>
              <w:spacing w:line="400" w:lineRule="exact"/>
              <w:ind w:left="63" w:right="6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781" w:type="dxa"/>
            <w:tcBorders>
              <w:top w:val="single" w:color="auto" w:sz="12" w:space="0"/>
              <w:bottom w:val="double" w:color="auto" w:sz="6" w:space="0"/>
            </w:tcBorders>
            <w:vAlign w:val="top"/>
          </w:tcPr>
          <w:p>
            <w:pPr>
              <w:pStyle w:val="2"/>
              <w:keepNext/>
              <w:spacing w:line="400" w:lineRule="exact"/>
              <w:ind w:left="63" w:right="6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363" w:type="dxa"/>
            <w:tcBorders>
              <w:top w:val="single" w:color="auto" w:sz="12" w:space="0"/>
              <w:bottom w:val="double" w:color="auto" w:sz="6" w:space="0"/>
            </w:tcBorders>
            <w:vAlign w:val="top"/>
          </w:tcPr>
          <w:p>
            <w:pPr>
              <w:pStyle w:val="2"/>
              <w:keepNext/>
              <w:spacing w:line="400" w:lineRule="exact"/>
              <w:ind w:left="63" w:right="6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单价（元）</w:t>
            </w:r>
          </w:p>
        </w:tc>
        <w:tc>
          <w:tcPr>
            <w:tcW w:w="1430" w:type="dxa"/>
            <w:tcBorders>
              <w:top w:val="single" w:color="auto" w:sz="12" w:space="0"/>
              <w:bottom w:val="double" w:color="auto" w:sz="6" w:space="0"/>
            </w:tcBorders>
            <w:vAlign w:val="top"/>
          </w:tcPr>
          <w:p>
            <w:pPr>
              <w:pStyle w:val="2"/>
              <w:keepNext/>
              <w:spacing w:line="400" w:lineRule="exact"/>
              <w:ind w:left="63" w:right="6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合价（元）</w:t>
            </w:r>
          </w:p>
        </w:tc>
        <w:tc>
          <w:tcPr>
            <w:tcW w:w="1125" w:type="dxa"/>
            <w:tcBorders>
              <w:top w:val="single" w:color="auto" w:sz="12" w:space="0"/>
              <w:bottom w:val="double" w:color="auto" w:sz="6" w:space="0"/>
            </w:tcBorders>
            <w:vAlign w:val="top"/>
          </w:tcPr>
          <w:p>
            <w:pPr>
              <w:pStyle w:val="2"/>
              <w:keepNext/>
              <w:spacing w:line="400" w:lineRule="exact"/>
              <w:ind w:left="63" w:right="6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02" w:type="dxa"/>
            <w:tcBorders>
              <w:top w:val="double" w:color="auto" w:sz="6" w:space="0"/>
              <w:bottom w:val="single" w:color="auto" w:sz="6" w:space="0"/>
            </w:tcBorders>
            <w:vAlign w:val="top"/>
          </w:tcPr>
          <w:p>
            <w:pPr>
              <w:pStyle w:val="2"/>
              <w:keepNext/>
              <w:spacing w:line="400" w:lineRule="exact"/>
              <w:ind w:left="63" w:right="63"/>
              <w:rPr>
                <w:rFonts w:hint="eastAsia" w:ascii="宋体" w:hAnsi="宋体" w:eastAsia="宋体" w:cs="宋体"/>
                <w:color w:val="auto"/>
                <w:sz w:val="21"/>
                <w:szCs w:val="21"/>
                <w:highlight w:val="none"/>
              </w:rPr>
            </w:pPr>
          </w:p>
        </w:tc>
        <w:tc>
          <w:tcPr>
            <w:tcW w:w="2001" w:type="dxa"/>
            <w:tcBorders>
              <w:top w:val="double" w:color="auto" w:sz="6" w:space="0"/>
              <w:bottom w:val="single" w:color="auto" w:sz="6" w:space="0"/>
            </w:tcBorders>
            <w:vAlign w:val="top"/>
          </w:tcPr>
          <w:p>
            <w:pPr>
              <w:pStyle w:val="2"/>
              <w:keepNext/>
              <w:spacing w:line="400" w:lineRule="exact"/>
              <w:ind w:left="63" w:right="63"/>
              <w:rPr>
                <w:rFonts w:hint="eastAsia" w:ascii="宋体" w:hAnsi="宋体" w:eastAsia="宋体" w:cs="宋体"/>
                <w:color w:val="auto"/>
                <w:sz w:val="21"/>
                <w:szCs w:val="21"/>
                <w:highlight w:val="none"/>
              </w:rPr>
            </w:pPr>
          </w:p>
        </w:tc>
        <w:tc>
          <w:tcPr>
            <w:tcW w:w="858" w:type="dxa"/>
            <w:tcBorders>
              <w:top w:val="double" w:color="auto" w:sz="6" w:space="0"/>
              <w:bottom w:val="single" w:color="auto" w:sz="6" w:space="0"/>
            </w:tcBorders>
            <w:vAlign w:val="top"/>
          </w:tcPr>
          <w:p>
            <w:pPr>
              <w:pStyle w:val="2"/>
              <w:keepNext/>
              <w:spacing w:line="400" w:lineRule="exact"/>
              <w:ind w:left="63" w:right="63"/>
              <w:rPr>
                <w:rFonts w:hint="eastAsia" w:ascii="宋体" w:hAnsi="宋体" w:eastAsia="宋体" w:cs="宋体"/>
                <w:color w:val="auto"/>
                <w:sz w:val="21"/>
                <w:szCs w:val="21"/>
                <w:highlight w:val="none"/>
              </w:rPr>
            </w:pPr>
          </w:p>
        </w:tc>
        <w:tc>
          <w:tcPr>
            <w:tcW w:w="781" w:type="dxa"/>
            <w:tcBorders>
              <w:top w:val="double" w:color="auto" w:sz="6" w:space="0"/>
              <w:bottom w:val="single" w:color="auto" w:sz="6" w:space="0"/>
            </w:tcBorders>
            <w:vAlign w:val="top"/>
          </w:tcPr>
          <w:p>
            <w:pPr>
              <w:pStyle w:val="2"/>
              <w:keepNext/>
              <w:spacing w:line="400" w:lineRule="exact"/>
              <w:ind w:left="63" w:right="63"/>
              <w:rPr>
                <w:rFonts w:hint="eastAsia" w:ascii="宋体" w:hAnsi="宋体" w:eastAsia="宋体" w:cs="宋体"/>
                <w:color w:val="auto"/>
                <w:sz w:val="21"/>
                <w:szCs w:val="21"/>
                <w:highlight w:val="none"/>
              </w:rPr>
            </w:pPr>
          </w:p>
        </w:tc>
        <w:tc>
          <w:tcPr>
            <w:tcW w:w="1363" w:type="dxa"/>
            <w:tcBorders>
              <w:top w:val="double" w:color="auto" w:sz="6" w:space="0"/>
              <w:bottom w:val="single" w:color="auto" w:sz="6" w:space="0"/>
            </w:tcBorders>
            <w:vAlign w:val="top"/>
          </w:tcPr>
          <w:p>
            <w:pPr>
              <w:pStyle w:val="2"/>
              <w:keepNext/>
              <w:spacing w:line="400" w:lineRule="exact"/>
              <w:ind w:left="63" w:right="63"/>
              <w:rPr>
                <w:rFonts w:hint="eastAsia" w:ascii="宋体" w:hAnsi="宋体" w:eastAsia="宋体" w:cs="宋体"/>
                <w:color w:val="auto"/>
                <w:sz w:val="21"/>
                <w:szCs w:val="21"/>
                <w:highlight w:val="none"/>
              </w:rPr>
            </w:pPr>
          </w:p>
        </w:tc>
        <w:tc>
          <w:tcPr>
            <w:tcW w:w="1430" w:type="dxa"/>
            <w:tcBorders>
              <w:top w:val="double" w:color="auto" w:sz="6" w:space="0"/>
              <w:bottom w:val="single" w:color="auto" w:sz="6" w:space="0"/>
            </w:tcBorders>
            <w:vAlign w:val="top"/>
          </w:tcPr>
          <w:p>
            <w:pPr>
              <w:pStyle w:val="2"/>
              <w:keepNext/>
              <w:spacing w:line="400" w:lineRule="exact"/>
              <w:ind w:left="63" w:right="63"/>
              <w:rPr>
                <w:rFonts w:hint="eastAsia" w:ascii="宋体" w:hAnsi="宋体" w:eastAsia="宋体" w:cs="宋体"/>
                <w:color w:val="auto"/>
                <w:sz w:val="21"/>
                <w:szCs w:val="21"/>
                <w:highlight w:val="none"/>
              </w:rPr>
            </w:pPr>
          </w:p>
        </w:tc>
        <w:tc>
          <w:tcPr>
            <w:tcW w:w="1125" w:type="dxa"/>
            <w:tcBorders>
              <w:top w:val="double" w:color="auto" w:sz="6" w:space="0"/>
              <w:bottom w:val="single" w:color="auto" w:sz="6" w:space="0"/>
            </w:tcBorders>
            <w:vAlign w:val="top"/>
          </w:tcPr>
          <w:p>
            <w:pPr>
              <w:pStyle w:val="2"/>
              <w:keepNext/>
              <w:spacing w:line="400" w:lineRule="exact"/>
              <w:ind w:left="63" w:right="63"/>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02" w:type="dxa"/>
            <w:tcBorders>
              <w:top w:val="nil"/>
            </w:tcBorders>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tcBorders>
              <w:top w:val="nil"/>
            </w:tcBorders>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tcBorders>
              <w:top w:val="nil"/>
            </w:tcBorders>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tcBorders>
              <w:top w:val="nil"/>
            </w:tcBorders>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tcBorders>
              <w:top w:val="nil"/>
            </w:tcBorders>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tcBorders>
              <w:top w:val="nil"/>
            </w:tcBorders>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tcBorders>
              <w:top w:val="nil"/>
            </w:tcBorders>
            <w:vAlign w:val="top"/>
          </w:tcPr>
          <w:p>
            <w:pPr>
              <w:pStyle w:val="2"/>
              <w:keepNext/>
              <w:spacing w:line="400" w:lineRule="exact"/>
              <w:ind w:left="63" w:right="63"/>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02" w:type="dxa"/>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vAlign w:val="top"/>
          </w:tcPr>
          <w:p>
            <w:pPr>
              <w:pStyle w:val="2"/>
              <w:keepNext/>
              <w:spacing w:line="400" w:lineRule="exact"/>
              <w:ind w:left="63" w:right="63"/>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02" w:type="dxa"/>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vAlign w:val="top"/>
          </w:tcPr>
          <w:p>
            <w:pPr>
              <w:pStyle w:val="2"/>
              <w:keepNext/>
              <w:spacing w:line="400" w:lineRule="exact"/>
              <w:ind w:left="63" w:right="63"/>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02" w:type="dxa"/>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vAlign w:val="top"/>
          </w:tcPr>
          <w:p>
            <w:pPr>
              <w:pStyle w:val="2"/>
              <w:keepNext/>
              <w:spacing w:line="400" w:lineRule="exact"/>
              <w:ind w:left="63" w:right="63"/>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02" w:type="dxa"/>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vAlign w:val="top"/>
          </w:tcPr>
          <w:p>
            <w:pPr>
              <w:pStyle w:val="2"/>
              <w:keepNext/>
              <w:spacing w:line="400" w:lineRule="exact"/>
              <w:ind w:left="63" w:right="63"/>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002" w:type="dxa"/>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vAlign w:val="top"/>
          </w:tcPr>
          <w:p>
            <w:pPr>
              <w:pStyle w:val="2"/>
              <w:keepNext/>
              <w:spacing w:line="400" w:lineRule="exact"/>
              <w:ind w:left="63" w:right="63"/>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002" w:type="dxa"/>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vAlign w:val="top"/>
          </w:tcPr>
          <w:p>
            <w:pPr>
              <w:pStyle w:val="2"/>
              <w:keepNext/>
              <w:spacing w:line="400" w:lineRule="exact"/>
              <w:ind w:left="63" w:right="63"/>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02" w:type="dxa"/>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vAlign w:val="top"/>
          </w:tcPr>
          <w:p>
            <w:pPr>
              <w:pStyle w:val="2"/>
              <w:keepNext/>
              <w:spacing w:line="400" w:lineRule="exact"/>
              <w:ind w:left="63" w:right="63"/>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02" w:type="dxa"/>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vAlign w:val="top"/>
          </w:tcPr>
          <w:p>
            <w:pPr>
              <w:pStyle w:val="2"/>
              <w:keepNext/>
              <w:spacing w:line="400" w:lineRule="exact"/>
              <w:ind w:left="63" w:right="63"/>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02" w:type="dxa"/>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vAlign w:val="top"/>
          </w:tcPr>
          <w:p>
            <w:pPr>
              <w:pStyle w:val="2"/>
              <w:keepNext/>
              <w:spacing w:line="400" w:lineRule="exact"/>
              <w:ind w:left="63" w:right="63"/>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02" w:type="dxa"/>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vAlign w:val="top"/>
          </w:tcPr>
          <w:p>
            <w:pPr>
              <w:pStyle w:val="2"/>
              <w:keepNext/>
              <w:spacing w:line="400" w:lineRule="exact"/>
              <w:ind w:left="63" w:right="63"/>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02" w:type="dxa"/>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vAlign w:val="top"/>
          </w:tcPr>
          <w:p>
            <w:pPr>
              <w:pStyle w:val="2"/>
              <w:keepNext/>
              <w:spacing w:line="400" w:lineRule="exact"/>
              <w:ind w:left="63" w:right="63"/>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02" w:type="dxa"/>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vAlign w:val="top"/>
          </w:tcPr>
          <w:p>
            <w:pPr>
              <w:pStyle w:val="2"/>
              <w:keepNext/>
              <w:spacing w:line="400" w:lineRule="exact"/>
              <w:ind w:left="63" w:right="63"/>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02" w:type="dxa"/>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vAlign w:val="top"/>
          </w:tcPr>
          <w:p>
            <w:pPr>
              <w:pStyle w:val="2"/>
              <w:keepNext/>
              <w:spacing w:line="400" w:lineRule="exact"/>
              <w:ind w:left="63" w:right="63"/>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02" w:type="dxa"/>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vAlign w:val="top"/>
          </w:tcPr>
          <w:p>
            <w:pPr>
              <w:pStyle w:val="2"/>
              <w:keepNext/>
              <w:spacing w:line="400" w:lineRule="exact"/>
              <w:ind w:left="63" w:right="63"/>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002" w:type="dxa"/>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vAlign w:val="top"/>
          </w:tcPr>
          <w:p>
            <w:pPr>
              <w:pStyle w:val="2"/>
              <w:keepNext/>
              <w:spacing w:line="400" w:lineRule="exact"/>
              <w:ind w:left="63" w:right="63"/>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02" w:type="dxa"/>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vAlign w:val="top"/>
          </w:tcPr>
          <w:p>
            <w:pPr>
              <w:pStyle w:val="2"/>
              <w:keepNext/>
              <w:spacing w:line="400" w:lineRule="exact"/>
              <w:ind w:left="63" w:right="63"/>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02" w:type="dxa"/>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vAlign w:val="top"/>
          </w:tcPr>
          <w:p>
            <w:pPr>
              <w:pStyle w:val="2"/>
              <w:keepNext/>
              <w:spacing w:line="400" w:lineRule="exact"/>
              <w:ind w:left="63" w:right="63"/>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02" w:type="dxa"/>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vAlign w:val="top"/>
          </w:tcPr>
          <w:p>
            <w:pPr>
              <w:pStyle w:val="2"/>
              <w:keepNext/>
              <w:spacing w:line="400" w:lineRule="exact"/>
              <w:ind w:left="63" w:right="63"/>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002" w:type="dxa"/>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vAlign w:val="top"/>
          </w:tcPr>
          <w:p>
            <w:pPr>
              <w:pStyle w:val="2"/>
              <w:keepNext/>
              <w:spacing w:line="400" w:lineRule="exact"/>
              <w:ind w:left="63" w:right="63"/>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02" w:type="dxa"/>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vAlign w:val="top"/>
          </w:tcPr>
          <w:p>
            <w:pPr>
              <w:pStyle w:val="2"/>
              <w:keepNext/>
              <w:spacing w:line="400" w:lineRule="exact"/>
              <w:ind w:left="63" w:right="63"/>
              <w:rPr>
                <w:rFonts w:ascii="宋体" w:hAnsi="宋体" w:eastAsia="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002" w:type="dxa"/>
            <w:vAlign w:val="top"/>
          </w:tcPr>
          <w:p>
            <w:pPr>
              <w:pStyle w:val="2"/>
              <w:keepNext/>
              <w:spacing w:line="400" w:lineRule="exact"/>
              <w:ind w:left="63" w:right="63"/>
              <w:rPr>
                <w:rFonts w:ascii="宋体" w:hAnsi="宋体" w:eastAsia="Times New Roman"/>
                <w:color w:val="auto"/>
                <w:sz w:val="21"/>
                <w:szCs w:val="21"/>
                <w:highlight w:val="none"/>
              </w:rPr>
            </w:pPr>
          </w:p>
        </w:tc>
        <w:tc>
          <w:tcPr>
            <w:tcW w:w="2001" w:type="dxa"/>
            <w:vAlign w:val="top"/>
          </w:tcPr>
          <w:p>
            <w:pPr>
              <w:pStyle w:val="2"/>
              <w:keepNext/>
              <w:spacing w:line="400" w:lineRule="exact"/>
              <w:ind w:left="63" w:right="63"/>
              <w:rPr>
                <w:rFonts w:ascii="宋体" w:hAnsi="宋体" w:eastAsia="Times New Roman"/>
                <w:color w:val="auto"/>
                <w:sz w:val="21"/>
                <w:szCs w:val="21"/>
                <w:highlight w:val="none"/>
              </w:rPr>
            </w:pPr>
          </w:p>
        </w:tc>
        <w:tc>
          <w:tcPr>
            <w:tcW w:w="858" w:type="dxa"/>
            <w:vAlign w:val="top"/>
          </w:tcPr>
          <w:p>
            <w:pPr>
              <w:pStyle w:val="2"/>
              <w:keepNext/>
              <w:spacing w:line="400" w:lineRule="exact"/>
              <w:ind w:left="63" w:right="63"/>
              <w:rPr>
                <w:rFonts w:ascii="宋体" w:hAnsi="宋体" w:eastAsia="Times New Roman"/>
                <w:color w:val="auto"/>
                <w:sz w:val="21"/>
                <w:szCs w:val="21"/>
                <w:highlight w:val="none"/>
              </w:rPr>
            </w:pPr>
          </w:p>
        </w:tc>
        <w:tc>
          <w:tcPr>
            <w:tcW w:w="781" w:type="dxa"/>
            <w:vAlign w:val="top"/>
          </w:tcPr>
          <w:p>
            <w:pPr>
              <w:pStyle w:val="2"/>
              <w:keepNext/>
              <w:spacing w:line="400" w:lineRule="exact"/>
              <w:ind w:left="63" w:right="63"/>
              <w:rPr>
                <w:rFonts w:ascii="宋体" w:hAnsi="宋体" w:eastAsia="Times New Roman"/>
                <w:color w:val="auto"/>
                <w:sz w:val="21"/>
                <w:szCs w:val="21"/>
                <w:highlight w:val="none"/>
              </w:rPr>
            </w:pPr>
          </w:p>
        </w:tc>
        <w:tc>
          <w:tcPr>
            <w:tcW w:w="1363" w:type="dxa"/>
            <w:vAlign w:val="top"/>
          </w:tcPr>
          <w:p>
            <w:pPr>
              <w:pStyle w:val="2"/>
              <w:keepNext/>
              <w:spacing w:line="400" w:lineRule="exact"/>
              <w:ind w:left="63" w:right="63"/>
              <w:rPr>
                <w:rFonts w:ascii="宋体" w:hAnsi="宋体" w:eastAsia="Times New Roman"/>
                <w:color w:val="auto"/>
                <w:sz w:val="21"/>
                <w:szCs w:val="21"/>
                <w:highlight w:val="none"/>
              </w:rPr>
            </w:pPr>
          </w:p>
        </w:tc>
        <w:tc>
          <w:tcPr>
            <w:tcW w:w="1430" w:type="dxa"/>
            <w:vAlign w:val="top"/>
          </w:tcPr>
          <w:p>
            <w:pPr>
              <w:pStyle w:val="2"/>
              <w:keepNext/>
              <w:spacing w:line="400" w:lineRule="exact"/>
              <w:ind w:left="63" w:right="63"/>
              <w:rPr>
                <w:rFonts w:ascii="宋体" w:hAnsi="宋体" w:eastAsia="Times New Roman"/>
                <w:color w:val="auto"/>
                <w:sz w:val="21"/>
                <w:szCs w:val="21"/>
                <w:highlight w:val="none"/>
              </w:rPr>
            </w:pPr>
          </w:p>
        </w:tc>
        <w:tc>
          <w:tcPr>
            <w:tcW w:w="1125" w:type="dxa"/>
            <w:vAlign w:val="top"/>
          </w:tcPr>
          <w:p>
            <w:pPr>
              <w:pStyle w:val="2"/>
              <w:keepNext/>
              <w:spacing w:line="400" w:lineRule="exact"/>
              <w:ind w:left="63" w:right="63"/>
              <w:rPr>
                <w:rFonts w:ascii="宋体" w:hAnsi="宋体" w:eastAsia="Times New Roman"/>
                <w:color w:val="auto"/>
                <w:sz w:val="21"/>
                <w:szCs w:val="21"/>
                <w:highlight w:val="none"/>
              </w:rPr>
            </w:pPr>
          </w:p>
        </w:tc>
      </w:tr>
    </w:tbl>
    <w:p>
      <w:pPr>
        <w:spacing w:line="360" w:lineRule="auto"/>
        <w:rPr>
          <w:rFonts w:hint="eastAsia" w:ascii="Arial"/>
          <w:b/>
          <w:color w:val="auto"/>
          <w:highlight w:val="none"/>
        </w:rPr>
      </w:pPr>
      <w:r>
        <w:rPr>
          <w:color w:val="auto"/>
          <w:sz w:val="24"/>
          <w:highlight w:val="none"/>
        </w:rPr>
        <w:br w:type="page"/>
      </w:r>
      <w:r>
        <w:rPr>
          <w:rFonts w:ascii="Arial"/>
          <w:b/>
          <w:color w:val="auto"/>
          <w:highlight w:val="none"/>
        </w:rPr>
        <w:t>附件</w:t>
      </w:r>
      <w:r>
        <w:rPr>
          <w:rFonts w:hint="eastAsia" w:ascii="Arial"/>
          <w:b/>
          <w:color w:val="auto"/>
          <w:highlight w:val="none"/>
        </w:rPr>
        <w:t>12</w:t>
      </w:r>
      <w:r>
        <w:rPr>
          <w:rFonts w:ascii="Arial"/>
          <w:b/>
          <w:color w:val="auto"/>
          <w:highlight w:val="none"/>
        </w:rPr>
        <w:t>：</w:t>
      </w:r>
    </w:p>
    <w:p>
      <w:pPr>
        <w:spacing w:line="360" w:lineRule="auto"/>
        <w:jc w:val="center"/>
        <w:rPr>
          <w:rFonts w:hint="eastAsia"/>
          <w:b/>
          <w:color w:val="auto"/>
          <w:sz w:val="28"/>
          <w:highlight w:val="none"/>
        </w:rPr>
      </w:pPr>
      <w:r>
        <w:rPr>
          <w:rFonts w:hint="eastAsia"/>
          <w:b/>
          <w:color w:val="auto"/>
          <w:sz w:val="28"/>
          <w:highlight w:val="none"/>
        </w:rPr>
        <w:t>建设工程廉政责任书</w:t>
      </w:r>
    </w:p>
    <w:p>
      <w:pPr>
        <w:spacing w:line="360" w:lineRule="auto"/>
        <w:ind w:firstLine="420"/>
        <w:rPr>
          <w:rFonts w:hint="eastAsia"/>
          <w:color w:val="auto"/>
          <w:highlight w:val="none"/>
        </w:rPr>
      </w:pPr>
      <w:r>
        <w:rPr>
          <w:rFonts w:hint="eastAsia"/>
          <w:color w:val="auto"/>
          <w:highlight w:val="none"/>
        </w:rPr>
        <w:t>发包人：</w:t>
      </w:r>
      <w:r>
        <w:rPr>
          <w:rFonts w:hint="eastAsia"/>
          <w:color w:val="auto"/>
          <w:highlight w:val="none"/>
          <w:u w:val="single"/>
        </w:rPr>
        <w:t xml:space="preserve">                                               </w:t>
      </w:r>
    </w:p>
    <w:p>
      <w:pPr>
        <w:spacing w:line="360" w:lineRule="auto"/>
        <w:ind w:firstLine="420"/>
        <w:rPr>
          <w:rFonts w:hint="eastAsia"/>
          <w:color w:val="auto"/>
          <w:highlight w:val="none"/>
        </w:rPr>
      </w:pPr>
      <w:r>
        <w:rPr>
          <w:rFonts w:hint="eastAsia"/>
          <w:color w:val="auto"/>
          <w:highlight w:val="none"/>
        </w:rPr>
        <w:t>承包人：</w:t>
      </w:r>
      <w:r>
        <w:rPr>
          <w:rFonts w:hint="eastAsia"/>
          <w:color w:val="auto"/>
          <w:highlight w:val="none"/>
          <w:u w:val="single"/>
        </w:rPr>
        <w:t xml:space="preserve">                                               </w:t>
      </w:r>
    </w:p>
    <w:p>
      <w:pPr>
        <w:spacing w:line="360" w:lineRule="auto"/>
        <w:ind w:firstLine="420"/>
        <w:rPr>
          <w:rFonts w:hint="eastAsia"/>
          <w:color w:val="auto"/>
          <w:highlight w:val="none"/>
        </w:rPr>
      </w:pPr>
      <w:r>
        <w:rPr>
          <w:rFonts w:hint="eastAsia"/>
          <w:color w:val="auto"/>
          <w:highlight w:val="none"/>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pPr>
        <w:spacing w:line="360" w:lineRule="auto"/>
        <w:ind w:firstLine="420"/>
        <w:rPr>
          <w:rFonts w:hint="eastAsia"/>
          <w:color w:val="auto"/>
          <w:highlight w:val="none"/>
        </w:rPr>
      </w:pPr>
      <w:r>
        <w:rPr>
          <w:rFonts w:hint="eastAsia"/>
          <w:color w:val="auto"/>
          <w:highlight w:val="none"/>
        </w:rPr>
        <w:t>一、双方的责任</w:t>
      </w:r>
    </w:p>
    <w:p>
      <w:pPr>
        <w:spacing w:line="360" w:lineRule="auto"/>
        <w:ind w:firstLine="420"/>
        <w:rPr>
          <w:rFonts w:hint="eastAsia"/>
          <w:color w:val="auto"/>
          <w:highlight w:val="none"/>
        </w:rPr>
      </w:pPr>
      <w:r>
        <w:rPr>
          <w:rFonts w:hint="eastAsia"/>
          <w:color w:val="auto"/>
          <w:highlight w:val="none"/>
        </w:rPr>
        <w:t>1.1应严格遵守国家关于建设工程的有关法律、法规，相关政策，以及廉政建设的各项规定。</w:t>
      </w:r>
    </w:p>
    <w:p>
      <w:pPr>
        <w:spacing w:line="360" w:lineRule="auto"/>
        <w:ind w:firstLine="420"/>
        <w:rPr>
          <w:rFonts w:hint="eastAsia"/>
          <w:color w:val="auto"/>
          <w:highlight w:val="none"/>
        </w:rPr>
      </w:pPr>
      <w:r>
        <w:rPr>
          <w:rFonts w:hint="eastAsia"/>
          <w:color w:val="auto"/>
          <w:highlight w:val="none"/>
        </w:rPr>
        <w:t>1.2严格执行建设工程合同文件，自觉按合同办事。</w:t>
      </w:r>
    </w:p>
    <w:p>
      <w:pPr>
        <w:spacing w:line="360" w:lineRule="auto"/>
        <w:ind w:firstLine="420"/>
        <w:rPr>
          <w:rFonts w:hint="eastAsia"/>
          <w:color w:val="auto"/>
          <w:highlight w:val="none"/>
        </w:rPr>
      </w:pPr>
      <w:r>
        <w:rPr>
          <w:rFonts w:hint="eastAsia"/>
          <w:color w:val="auto"/>
          <w:highlight w:val="none"/>
        </w:rPr>
        <w:t>1.3各项活动必须坚持公开、公平、公正、诚信、透明的原则(除法律法规另有规定者外)，不得为获取不正当的利益，损害国家、集体和对方利益，不得违反建设工程管理的规章制度。</w:t>
      </w:r>
    </w:p>
    <w:p>
      <w:pPr>
        <w:spacing w:line="360" w:lineRule="auto"/>
        <w:ind w:firstLine="420"/>
        <w:rPr>
          <w:rFonts w:hint="eastAsia"/>
          <w:color w:val="auto"/>
          <w:highlight w:val="none"/>
        </w:rPr>
      </w:pPr>
      <w:r>
        <w:rPr>
          <w:rFonts w:hint="eastAsia"/>
          <w:color w:val="auto"/>
          <w:highlight w:val="none"/>
        </w:rPr>
        <w:t>1.4发现对方在业务活动中有违规、违纪、违法行为的，应及时提醒对方，情节严重的，应向其上级主管部门或纪检监察、司法等有关机关举报。</w:t>
      </w:r>
    </w:p>
    <w:p>
      <w:pPr>
        <w:spacing w:line="360" w:lineRule="auto"/>
        <w:ind w:firstLine="420"/>
        <w:rPr>
          <w:rFonts w:hint="eastAsia"/>
          <w:color w:val="auto"/>
          <w:highlight w:val="none"/>
        </w:rPr>
      </w:pPr>
      <w:r>
        <w:rPr>
          <w:rFonts w:hint="eastAsia"/>
          <w:color w:val="auto"/>
          <w:highlight w:val="none"/>
        </w:rPr>
        <w:t>二、发包人责任</w:t>
      </w:r>
    </w:p>
    <w:p>
      <w:pPr>
        <w:spacing w:line="360" w:lineRule="auto"/>
        <w:ind w:firstLine="420"/>
        <w:rPr>
          <w:rFonts w:hint="eastAsia"/>
          <w:color w:val="auto"/>
          <w:highlight w:val="none"/>
        </w:rPr>
      </w:pPr>
      <w:r>
        <w:rPr>
          <w:rFonts w:hint="eastAsia"/>
          <w:color w:val="auto"/>
          <w:highlight w:val="none"/>
        </w:rPr>
        <w:t>发包人的领导和从事该建设工程项目的工作人员，在工程建设的事前、事中、事后应遵守以下规定：</w:t>
      </w:r>
    </w:p>
    <w:p>
      <w:pPr>
        <w:spacing w:line="360" w:lineRule="auto"/>
        <w:ind w:firstLine="420"/>
        <w:rPr>
          <w:rFonts w:hint="eastAsia"/>
          <w:color w:val="auto"/>
          <w:highlight w:val="none"/>
        </w:rPr>
      </w:pPr>
      <w:r>
        <w:rPr>
          <w:rFonts w:hint="eastAsia"/>
          <w:color w:val="auto"/>
          <w:highlight w:val="none"/>
        </w:rPr>
        <w:t>2.1不得向承包人和相关单位索要或接受回扣、礼金、有价证券、贵重物品和好处费、感谢费等。</w:t>
      </w:r>
    </w:p>
    <w:p>
      <w:pPr>
        <w:spacing w:line="360" w:lineRule="auto"/>
        <w:ind w:firstLine="420"/>
        <w:rPr>
          <w:rFonts w:hint="eastAsia"/>
          <w:color w:val="auto"/>
          <w:highlight w:val="none"/>
        </w:rPr>
      </w:pPr>
      <w:r>
        <w:rPr>
          <w:rFonts w:hint="eastAsia"/>
          <w:color w:val="auto"/>
          <w:highlight w:val="none"/>
        </w:rPr>
        <w:t>2.2不得在承包人和相关单位报销任何应由发包人或个人支付的费用。</w:t>
      </w:r>
    </w:p>
    <w:p>
      <w:pPr>
        <w:spacing w:line="360" w:lineRule="auto"/>
        <w:ind w:firstLine="420"/>
        <w:rPr>
          <w:rFonts w:hint="eastAsia"/>
          <w:color w:val="auto"/>
          <w:highlight w:val="none"/>
        </w:rPr>
      </w:pPr>
      <w:r>
        <w:rPr>
          <w:rFonts w:hint="eastAsia"/>
          <w:color w:val="auto"/>
          <w:highlight w:val="none"/>
        </w:rPr>
        <w:t>2.3不得要求、暗示或接受承包人和相关单位为个人装修住房、婚丧嫁娶、配偶子女的工作安排以及出国(境)、旅游等提供方便。</w:t>
      </w:r>
    </w:p>
    <w:p>
      <w:pPr>
        <w:spacing w:line="360" w:lineRule="auto"/>
        <w:ind w:firstLine="420"/>
        <w:rPr>
          <w:rFonts w:hint="eastAsia"/>
          <w:color w:val="auto"/>
          <w:highlight w:val="none"/>
        </w:rPr>
      </w:pPr>
      <w:r>
        <w:rPr>
          <w:rFonts w:hint="eastAsia"/>
          <w:color w:val="auto"/>
          <w:highlight w:val="none"/>
        </w:rPr>
        <w:t>2.4不得参加有可能影响公正执行公务的承包人和相关单位的宴请、健身、娱乐等活动。</w:t>
      </w:r>
    </w:p>
    <w:p>
      <w:pPr>
        <w:spacing w:line="360" w:lineRule="auto"/>
        <w:ind w:firstLine="420"/>
        <w:rPr>
          <w:rFonts w:hint="eastAsia"/>
          <w:color w:val="auto"/>
          <w:highlight w:val="none"/>
        </w:rPr>
      </w:pPr>
      <w:r>
        <w:rPr>
          <w:rFonts w:hint="eastAsia"/>
          <w:color w:val="auto"/>
          <w:highlight w:val="none"/>
        </w:rPr>
        <w:t>2.5不得向承包人和相关单位介绍或为配偶、子女、亲属参与同发包人工程建设管理合同有关的业务活动；不得以任何理由要求承包人和相关单位使用某种产品、材料和设备。</w:t>
      </w:r>
    </w:p>
    <w:p>
      <w:pPr>
        <w:spacing w:line="360" w:lineRule="auto"/>
        <w:ind w:firstLine="420"/>
        <w:rPr>
          <w:rFonts w:hint="eastAsia"/>
          <w:color w:val="auto"/>
          <w:highlight w:val="none"/>
        </w:rPr>
      </w:pPr>
      <w:r>
        <w:rPr>
          <w:rFonts w:hint="eastAsia"/>
          <w:color w:val="auto"/>
          <w:highlight w:val="none"/>
        </w:rPr>
        <w:t>三、承包人责任</w:t>
      </w:r>
    </w:p>
    <w:p>
      <w:pPr>
        <w:spacing w:line="360" w:lineRule="auto"/>
        <w:ind w:firstLine="420"/>
        <w:rPr>
          <w:rFonts w:hint="eastAsia"/>
          <w:color w:val="auto"/>
          <w:highlight w:val="none"/>
        </w:rPr>
      </w:pPr>
      <w:r>
        <w:rPr>
          <w:rFonts w:hint="eastAsia"/>
          <w:color w:val="auto"/>
          <w:highlight w:val="none"/>
        </w:rPr>
        <w:t>应与发包人保持正常的业务交往，按照有关法律法规和程序开展业务工作，严格执行工程建设的有关方针、政策，执行工程建设强制性标准，并遵守以下规定：</w:t>
      </w:r>
    </w:p>
    <w:p>
      <w:pPr>
        <w:spacing w:line="360" w:lineRule="auto"/>
        <w:ind w:firstLine="420"/>
        <w:rPr>
          <w:rFonts w:hint="eastAsia"/>
          <w:color w:val="auto"/>
          <w:highlight w:val="none"/>
        </w:rPr>
      </w:pPr>
      <w:r>
        <w:rPr>
          <w:rFonts w:hint="eastAsia"/>
          <w:color w:val="auto"/>
          <w:highlight w:val="none"/>
        </w:rPr>
        <w:t>3.1不得以任何理由向发包人及其工作人员索要、接受或赠送礼金、有价证券、贵重物品及回扣、好处费、感谢费等。</w:t>
      </w:r>
    </w:p>
    <w:p>
      <w:pPr>
        <w:spacing w:line="360" w:lineRule="auto"/>
        <w:ind w:firstLine="420"/>
        <w:rPr>
          <w:rFonts w:hint="eastAsia"/>
          <w:color w:val="auto"/>
          <w:highlight w:val="none"/>
        </w:rPr>
      </w:pPr>
      <w:r>
        <w:rPr>
          <w:rFonts w:hint="eastAsia"/>
          <w:color w:val="auto"/>
          <w:highlight w:val="none"/>
        </w:rPr>
        <w:t>3.2不得以任何理由为发包人和相关单位报销应由对方或个人支付的费用。</w:t>
      </w:r>
    </w:p>
    <w:p>
      <w:pPr>
        <w:spacing w:line="360" w:lineRule="auto"/>
        <w:ind w:firstLine="420"/>
        <w:rPr>
          <w:rFonts w:hint="eastAsia"/>
          <w:color w:val="auto"/>
          <w:highlight w:val="none"/>
        </w:rPr>
      </w:pPr>
      <w:r>
        <w:rPr>
          <w:rFonts w:hint="eastAsia"/>
          <w:color w:val="auto"/>
          <w:highlight w:val="none"/>
        </w:rPr>
        <w:t>3.3不得接受或暗示为发包人、相关单位或个人装修住房、婚丧嫁娶、配偶子女的工作安排以及出国(境)、旅游等提供方便。</w:t>
      </w:r>
    </w:p>
    <w:p>
      <w:pPr>
        <w:spacing w:line="360" w:lineRule="auto"/>
        <w:ind w:firstLine="420"/>
        <w:rPr>
          <w:rFonts w:hint="eastAsia"/>
          <w:color w:val="auto"/>
          <w:highlight w:val="none"/>
        </w:rPr>
      </w:pPr>
      <w:r>
        <w:rPr>
          <w:rFonts w:hint="eastAsia"/>
          <w:color w:val="auto"/>
          <w:highlight w:val="none"/>
        </w:rPr>
        <w:t>3.4不得以任何理由为发包人、相关单位或个人组织有可能影响公正执行公务的宴请、健身、娱乐等活动。</w:t>
      </w:r>
    </w:p>
    <w:p>
      <w:pPr>
        <w:spacing w:line="360" w:lineRule="auto"/>
        <w:ind w:firstLine="420"/>
        <w:rPr>
          <w:rFonts w:hint="eastAsia"/>
          <w:color w:val="auto"/>
          <w:highlight w:val="none"/>
        </w:rPr>
      </w:pPr>
      <w:r>
        <w:rPr>
          <w:rFonts w:hint="eastAsia"/>
          <w:color w:val="auto"/>
          <w:highlight w:val="none"/>
        </w:rPr>
        <w:t>四、违约责任</w:t>
      </w:r>
    </w:p>
    <w:p>
      <w:pPr>
        <w:spacing w:line="360" w:lineRule="auto"/>
        <w:ind w:firstLine="420"/>
        <w:rPr>
          <w:rFonts w:hint="eastAsia"/>
          <w:color w:val="auto"/>
          <w:highlight w:val="none"/>
        </w:rPr>
      </w:pPr>
      <w:r>
        <w:rPr>
          <w:rFonts w:hint="eastAsia"/>
          <w:color w:val="auto"/>
          <w:highlight w:val="none"/>
        </w:rPr>
        <w:t>4.1发包人工作人员有违反本责任书第一、二条责任行为的，依据有关法律、法规给予处理；涉嫌犯罪的，移交司法机关追究刑事责任；给承包人单位造成经济损失的，应予以赔偿。</w:t>
      </w:r>
    </w:p>
    <w:p>
      <w:pPr>
        <w:spacing w:line="360" w:lineRule="auto"/>
        <w:ind w:firstLine="420"/>
        <w:rPr>
          <w:rFonts w:hint="eastAsia"/>
          <w:color w:val="auto"/>
          <w:highlight w:val="none"/>
        </w:rPr>
      </w:pPr>
      <w:r>
        <w:rPr>
          <w:rFonts w:hint="eastAsia"/>
          <w:color w:val="auto"/>
          <w:highlight w:val="none"/>
        </w:rPr>
        <w:t>4.2承包人工作人员有违反本责任书第一、三条责任行为的，依据有关法律法规处理；涉嫌犯罪的，移交司法机关追究刑事责任；给发包人单位造成经济损失的，应予以赔偿。</w:t>
      </w:r>
    </w:p>
    <w:p>
      <w:pPr>
        <w:spacing w:line="360" w:lineRule="auto"/>
        <w:ind w:firstLine="420"/>
        <w:rPr>
          <w:rFonts w:hint="eastAsia"/>
          <w:color w:val="auto"/>
          <w:highlight w:val="none"/>
        </w:rPr>
      </w:pPr>
      <w:r>
        <w:rPr>
          <w:rFonts w:hint="eastAsia"/>
          <w:color w:val="auto"/>
          <w:highlight w:val="none"/>
        </w:rPr>
        <w:t>4.3本责任书作为建设工程合同的组成部分，与建设工程合同具有同等法律效力。经双方签署后立即生效。</w:t>
      </w:r>
    </w:p>
    <w:p>
      <w:pPr>
        <w:spacing w:line="360" w:lineRule="auto"/>
        <w:ind w:firstLine="420"/>
        <w:rPr>
          <w:rFonts w:hint="eastAsia"/>
          <w:color w:val="auto"/>
          <w:highlight w:val="none"/>
        </w:rPr>
      </w:pPr>
      <w:r>
        <w:rPr>
          <w:rFonts w:hint="eastAsia"/>
          <w:color w:val="auto"/>
          <w:highlight w:val="none"/>
        </w:rPr>
        <w:t>五、责任书有效期</w:t>
      </w:r>
    </w:p>
    <w:p>
      <w:pPr>
        <w:spacing w:line="360" w:lineRule="auto"/>
        <w:ind w:firstLine="420"/>
        <w:rPr>
          <w:rFonts w:hint="eastAsia"/>
          <w:color w:val="auto"/>
          <w:highlight w:val="none"/>
        </w:rPr>
      </w:pPr>
      <w:r>
        <w:rPr>
          <w:rFonts w:hint="eastAsia"/>
          <w:color w:val="auto"/>
          <w:highlight w:val="none"/>
        </w:rPr>
        <w:t>本责任书的有效期为双方签署之日起至该工程项目竣工验收合格时止。</w:t>
      </w:r>
    </w:p>
    <w:p>
      <w:pPr>
        <w:spacing w:line="360" w:lineRule="auto"/>
        <w:ind w:firstLine="420"/>
        <w:rPr>
          <w:rFonts w:hint="eastAsia"/>
          <w:color w:val="auto"/>
          <w:highlight w:val="none"/>
        </w:rPr>
      </w:pPr>
      <w:r>
        <w:rPr>
          <w:rFonts w:hint="eastAsia"/>
          <w:color w:val="auto"/>
          <w:highlight w:val="none"/>
        </w:rPr>
        <w:t>六、责任书份数</w:t>
      </w:r>
    </w:p>
    <w:p>
      <w:pPr>
        <w:spacing w:line="360" w:lineRule="auto"/>
        <w:ind w:firstLine="420"/>
        <w:rPr>
          <w:rFonts w:hint="eastAsia"/>
          <w:color w:val="auto"/>
          <w:highlight w:val="none"/>
        </w:rPr>
      </w:pPr>
      <w:r>
        <w:rPr>
          <w:rFonts w:hint="eastAsia"/>
          <w:color w:val="auto"/>
          <w:highlight w:val="none"/>
        </w:rPr>
        <w:t>本责任书一式二份，发包人承包人各执一份，具有同等效力。</w:t>
      </w:r>
    </w:p>
    <w:p>
      <w:pPr>
        <w:spacing w:line="360" w:lineRule="auto"/>
        <w:ind w:firstLine="420"/>
        <w:rPr>
          <w:rFonts w:hint="eastAsia"/>
          <w:color w:val="auto"/>
          <w:highlight w:val="none"/>
        </w:rPr>
      </w:pPr>
      <w:r>
        <w:rPr>
          <w:rFonts w:hint="eastAsia"/>
          <w:color w:val="auto"/>
          <w:highlight w:val="none"/>
        </w:rPr>
        <w:t>发包人：</w:t>
      </w:r>
      <w:r>
        <w:rPr>
          <w:rFonts w:hint="eastAsia"/>
          <w:color w:val="auto"/>
          <w:highlight w:val="none"/>
          <w:u w:val="single"/>
        </w:rPr>
        <w:t xml:space="preserve">                     </w:t>
      </w:r>
      <w:r>
        <w:rPr>
          <w:rFonts w:hint="eastAsia"/>
          <w:color w:val="auto"/>
          <w:highlight w:val="none"/>
        </w:rPr>
        <w:t>(公章)    承包人：</w:t>
      </w:r>
      <w:r>
        <w:rPr>
          <w:rFonts w:hint="eastAsia"/>
          <w:color w:val="auto"/>
          <w:highlight w:val="none"/>
          <w:u w:val="single"/>
        </w:rPr>
        <w:t xml:space="preserve">                     </w:t>
      </w:r>
      <w:r>
        <w:rPr>
          <w:rFonts w:hint="eastAsia"/>
          <w:color w:val="auto"/>
          <w:highlight w:val="none"/>
        </w:rPr>
        <w:t xml:space="preserve"> (公章)</w:t>
      </w:r>
    </w:p>
    <w:p>
      <w:pPr>
        <w:spacing w:line="360" w:lineRule="auto"/>
        <w:ind w:firstLine="420"/>
        <w:rPr>
          <w:rFonts w:hint="eastAsia"/>
          <w:color w:val="auto"/>
          <w:highlight w:val="none"/>
        </w:rPr>
      </w:pPr>
      <w:r>
        <w:rPr>
          <w:rFonts w:hint="eastAsia"/>
          <w:color w:val="auto"/>
          <w:highlight w:val="none"/>
        </w:rPr>
        <w:t>法定地址：</w:t>
      </w:r>
      <w:r>
        <w:rPr>
          <w:rFonts w:hint="eastAsia"/>
          <w:color w:val="auto"/>
          <w:highlight w:val="none"/>
          <w:u w:val="single"/>
        </w:rPr>
        <w:t xml:space="preserve">                   </w:t>
      </w:r>
      <w:r>
        <w:rPr>
          <w:rFonts w:hint="eastAsia"/>
          <w:color w:val="auto"/>
          <w:highlight w:val="none"/>
        </w:rPr>
        <w:t xml:space="preserve">          法定地址：</w:t>
      </w:r>
      <w:r>
        <w:rPr>
          <w:rFonts w:hint="eastAsia"/>
          <w:color w:val="auto"/>
          <w:highlight w:val="none"/>
          <w:u w:val="single"/>
        </w:rPr>
        <w:t xml:space="preserve">                   </w:t>
      </w:r>
    </w:p>
    <w:p>
      <w:pPr>
        <w:spacing w:line="360" w:lineRule="auto"/>
        <w:ind w:firstLine="420"/>
        <w:rPr>
          <w:rFonts w:hint="eastAsia"/>
          <w:color w:val="auto"/>
          <w:highlight w:val="none"/>
        </w:rPr>
      </w:pPr>
      <w:r>
        <w:rPr>
          <w:rFonts w:hint="eastAsia"/>
          <w:color w:val="auto"/>
          <w:highlight w:val="none"/>
        </w:rPr>
        <w:t>法定代表人或其                         法定代表人或其</w:t>
      </w:r>
    </w:p>
    <w:p>
      <w:pPr>
        <w:spacing w:line="360" w:lineRule="auto"/>
        <w:ind w:firstLine="420"/>
        <w:rPr>
          <w:rFonts w:hint="eastAsia"/>
          <w:color w:val="auto"/>
          <w:highlight w:val="none"/>
        </w:rPr>
      </w:pPr>
      <w:r>
        <w:rPr>
          <w:rFonts w:hint="eastAsia"/>
          <w:color w:val="auto"/>
          <w:highlight w:val="none"/>
        </w:rPr>
        <w:t>委托代理人：</w:t>
      </w:r>
      <w:r>
        <w:rPr>
          <w:rFonts w:hint="eastAsia"/>
          <w:color w:val="auto"/>
          <w:highlight w:val="none"/>
          <w:u w:val="single"/>
        </w:rPr>
        <w:t xml:space="preserve">                 </w:t>
      </w:r>
      <w:r>
        <w:rPr>
          <w:rFonts w:hint="eastAsia"/>
          <w:color w:val="auto"/>
          <w:highlight w:val="none"/>
        </w:rPr>
        <w:t>(签字)    委托代理人：</w:t>
      </w:r>
      <w:r>
        <w:rPr>
          <w:rFonts w:hint="eastAsia"/>
          <w:color w:val="auto"/>
          <w:highlight w:val="none"/>
          <w:u w:val="single"/>
        </w:rPr>
        <w:t xml:space="preserve">                 </w:t>
      </w:r>
      <w:r>
        <w:rPr>
          <w:rFonts w:hint="eastAsia"/>
          <w:color w:val="auto"/>
          <w:highlight w:val="none"/>
        </w:rPr>
        <w:t xml:space="preserve"> (签字)</w:t>
      </w:r>
    </w:p>
    <w:p>
      <w:pPr>
        <w:spacing w:line="360" w:lineRule="auto"/>
        <w:ind w:firstLine="420"/>
        <w:rPr>
          <w:rFonts w:hint="eastAsia"/>
          <w:color w:val="auto"/>
          <w:highlight w:val="none"/>
        </w:rPr>
      </w:pPr>
      <w:r>
        <w:rPr>
          <w:rFonts w:hint="eastAsia"/>
          <w:color w:val="auto"/>
          <w:highlight w:val="none"/>
        </w:rPr>
        <w:t>电话：</w:t>
      </w:r>
      <w:r>
        <w:rPr>
          <w:rFonts w:hint="eastAsia"/>
          <w:color w:val="auto"/>
          <w:highlight w:val="none"/>
          <w:u w:val="single"/>
        </w:rPr>
        <w:t xml:space="preserve">                       </w:t>
      </w:r>
      <w:r>
        <w:rPr>
          <w:rFonts w:hint="eastAsia"/>
          <w:color w:val="auto"/>
          <w:highlight w:val="none"/>
        </w:rPr>
        <w:t xml:space="preserve">          电话：</w:t>
      </w:r>
      <w:r>
        <w:rPr>
          <w:rFonts w:hint="eastAsia"/>
          <w:color w:val="auto"/>
          <w:highlight w:val="none"/>
          <w:u w:val="single"/>
        </w:rPr>
        <w:t xml:space="preserve">                       </w:t>
      </w:r>
    </w:p>
    <w:p>
      <w:pPr>
        <w:spacing w:line="360" w:lineRule="auto"/>
        <w:ind w:firstLine="420"/>
        <w:rPr>
          <w:rFonts w:hint="eastAsia"/>
          <w:color w:val="auto"/>
          <w:highlight w:val="none"/>
        </w:rPr>
      </w:pPr>
      <w:r>
        <w:rPr>
          <w:rFonts w:hint="eastAsia"/>
          <w:color w:val="auto"/>
          <w:highlight w:val="none"/>
        </w:rPr>
        <w:t>传真：</w:t>
      </w:r>
      <w:r>
        <w:rPr>
          <w:rFonts w:hint="eastAsia"/>
          <w:color w:val="auto"/>
          <w:highlight w:val="none"/>
          <w:u w:val="single"/>
        </w:rPr>
        <w:t xml:space="preserve">                       </w:t>
      </w:r>
      <w:r>
        <w:rPr>
          <w:rFonts w:hint="eastAsia"/>
          <w:color w:val="auto"/>
          <w:highlight w:val="none"/>
        </w:rPr>
        <w:t xml:space="preserve">          传真：</w:t>
      </w:r>
      <w:r>
        <w:rPr>
          <w:rFonts w:hint="eastAsia"/>
          <w:color w:val="auto"/>
          <w:highlight w:val="none"/>
          <w:u w:val="single"/>
        </w:rPr>
        <w:t xml:space="preserve">                       </w:t>
      </w:r>
    </w:p>
    <w:p>
      <w:pPr>
        <w:spacing w:line="360" w:lineRule="auto"/>
        <w:ind w:firstLine="420"/>
        <w:rPr>
          <w:rFonts w:hint="eastAsia"/>
          <w:color w:val="auto"/>
          <w:highlight w:val="none"/>
        </w:rPr>
      </w:pPr>
      <w:r>
        <w:rPr>
          <w:rFonts w:hint="eastAsia"/>
          <w:color w:val="auto"/>
          <w:highlight w:val="none"/>
        </w:rPr>
        <w:t>电子邮箱：</w:t>
      </w:r>
      <w:r>
        <w:rPr>
          <w:rFonts w:hint="eastAsia"/>
          <w:color w:val="auto"/>
          <w:highlight w:val="none"/>
          <w:u w:val="single"/>
        </w:rPr>
        <w:t xml:space="preserve">                   </w:t>
      </w:r>
      <w:r>
        <w:rPr>
          <w:rFonts w:hint="eastAsia"/>
          <w:color w:val="auto"/>
          <w:highlight w:val="none"/>
        </w:rPr>
        <w:t xml:space="preserve">          电子邮箱：</w:t>
      </w:r>
      <w:r>
        <w:rPr>
          <w:rFonts w:hint="eastAsia"/>
          <w:color w:val="auto"/>
          <w:highlight w:val="none"/>
          <w:u w:val="single"/>
        </w:rPr>
        <w:t xml:space="preserve">                   </w:t>
      </w:r>
    </w:p>
    <w:p>
      <w:pPr>
        <w:spacing w:line="360" w:lineRule="auto"/>
        <w:ind w:firstLine="420"/>
        <w:rPr>
          <w:rFonts w:hint="eastAsia"/>
          <w:color w:val="auto"/>
          <w:highlight w:val="none"/>
        </w:rPr>
      </w:pPr>
      <w:r>
        <w:rPr>
          <w:rFonts w:hint="eastAsia"/>
          <w:color w:val="auto"/>
          <w:highlight w:val="none"/>
        </w:rPr>
        <w:t>开户银行：</w:t>
      </w:r>
      <w:r>
        <w:rPr>
          <w:rFonts w:hint="eastAsia"/>
          <w:color w:val="auto"/>
          <w:highlight w:val="none"/>
          <w:u w:val="single"/>
        </w:rPr>
        <w:t xml:space="preserve">                   </w:t>
      </w:r>
      <w:r>
        <w:rPr>
          <w:rFonts w:hint="eastAsia"/>
          <w:color w:val="auto"/>
          <w:highlight w:val="none"/>
        </w:rPr>
        <w:t xml:space="preserve">          开户银行：</w:t>
      </w:r>
      <w:r>
        <w:rPr>
          <w:rFonts w:hint="eastAsia"/>
          <w:color w:val="auto"/>
          <w:highlight w:val="none"/>
          <w:u w:val="single"/>
        </w:rPr>
        <w:t xml:space="preserve">                   </w:t>
      </w:r>
    </w:p>
    <w:p>
      <w:pPr>
        <w:spacing w:line="360" w:lineRule="auto"/>
        <w:ind w:firstLine="420"/>
        <w:rPr>
          <w:rFonts w:hint="eastAsia"/>
          <w:color w:val="auto"/>
          <w:highlight w:val="none"/>
        </w:rPr>
      </w:pPr>
      <w:r>
        <w:rPr>
          <w:rFonts w:hint="eastAsia"/>
          <w:color w:val="auto"/>
          <w:highlight w:val="none"/>
        </w:rPr>
        <w:t>帐号：</w:t>
      </w:r>
      <w:r>
        <w:rPr>
          <w:rFonts w:hint="eastAsia"/>
          <w:color w:val="auto"/>
          <w:highlight w:val="none"/>
          <w:u w:val="single"/>
        </w:rPr>
        <w:t xml:space="preserve">                       </w:t>
      </w:r>
      <w:r>
        <w:rPr>
          <w:rFonts w:hint="eastAsia"/>
          <w:color w:val="auto"/>
          <w:highlight w:val="none"/>
        </w:rPr>
        <w:t xml:space="preserve">          帐号：</w:t>
      </w:r>
      <w:r>
        <w:rPr>
          <w:rFonts w:hint="eastAsia"/>
          <w:color w:val="auto"/>
          <w:highlight w:val="none"/>
          <w:u w:val="single"/>
        </w:rPr>
        <w:t xml:space="preserve">                       </w:t>
      </w:r>
    </w:p>
    <w:p>
      <w:pPr>
        <w:spacing w:line="460" w:lineRule="exact"/>
        <w:ind w:firstLine="420"/>
        <w:rPr>
          <w:rFonts w:hint="eastAsia"/>
          <w:color w:val="auto"/>
          <w:highlight w:val="none"/>
          <w:u w:val="single"/>
        </w:rPr>
      </w:pPr>
      <w:r>
        <w:rPr>
          <w:rFonts w:hint="eastAsia"/>
          <w:color w:val="auto"/>
          <w:highlight w:val="none"/>
        </w:rPr>
        <w:t>邮政编码：</w:t>
      </w:r>
      <w:r>
        <w:rPr>
          <w:rFonts w:hint="eastAsia"/>
          <w:color w:val="auto"/>
          <w:highlight w:val="none"/>
          <w:u w:val="single"/>
        </w:rPr>
        <w:t xml:space="preserve">                   </w:t>
      </w:r>
      <w:r>
        <w:rPr>
          <w:rFonts w:hint="eastAsia"/>
          <w:color w:val="auto"/>
          <w:highlight w:val="none"/>
        </w:rPr>
        <w:t xml:space="preserve">          邮政编码：</w:t>
      </w:r>
      <w:r>
        <w:rPr>
          <w:rFonts w:hint="eastAsia"/>
          <w:color w:val="auto"/>
          <w:highlight w:val="none"/>
          <w:u w:val="single"/>
        </w:rPr>
        <w:t xml:space="preserve">                   </w:t>
      </w:r>
    </w:p>
    <w:p>
      <w:pPr>
        <w:rPr>
          <w:rFonts w:hint="eastAsia" w:ascii="楷体_GB2312" w:hAnsi="宋体" w:eastAsia="楷体_GB2312"/>
          <w:b/>
          <w:color w:val="auto"/>
          <w:highlight w:val="none"/>
        </w:rPr>
      </w:pPr>
    </w:p>
    <w:p>
      <w:pPr>
        <w:rPr>
          <w:rFonts w:hint="eastAsia" w:ascii="楷体_GB2312" w:hAnsi="宋体" w:eastAsia="楷体_GB2312"/>
          <w:b/>
          <w:color w:val="auto"/>
          <w:highlight w:val="none"/>
        </w:rPr>
      </w:pPr>
    </w:p>
    <w:p>
      <w:pPr>
        <w:rPr>
          <w:rFonts w:hint="eastAsia" w:ascii="楷体_GB2312" w:hAnsi="宋体" w:eastAsia="楷体_GB2312"/>
          <w:b/>
          <w:color w:val="auto"/>
          <w:highlight w:val="none"/>
        </w:rPr>
      </w:pPr>
    </w:p>
    <w:p>
      <w:pPr>
        <w:rPr>
          <w:rFonts w:hint="eastAsia" w:ascii="宋体" w:hAnsi="宋体" w:cs="宋体"/>
          <w:b/>
          <w:color w:val="auto"/>
          <w:highlight w:val="none"/>
        </w:rPr>
      </w:pPr>
      <w:r>
        <w:rPr>
          <w:rFonts w:hint="eastAsia" w:ascii="宋体" w:hAnsi="宋体" w:cs="宋体"/>
          <w:b/>
          <w:color w:val="auto"/>
          <w:highlight w:val="none"/>
        </w:rPr>
        <w:t>注：本合同作为示范文本，具体以成交供应商与采购人所签定正式合同为准。</w:t>
      </w:r>
    </w:p>
    <w:p>
      <w:pPr>
        <w:rPr>
          <w:color w:val="auto"/>
          <w:highlight w:val="none"/>
        </w:rPr>
        <w:sectPr>
          <w:headerReference r:id="rId11" w:type="default"/>
          <w:footerReference r:id="rId12" w:type="default"/>
          <w:pgSz w:w="11906" w:h="16838"/>
          <w:pgMar w:top="1984" w:right="1417" w:bottom="1417" w:left="1417" w:header="850" w:footer="737" w:gutter="0"/>
          <w:pgNumType w:fmt="decimal"/>
          <w:cols w:space="720" w:num="1"/>
          <w:rtlGutter w:val="0"/>
          <w:docGrid w:type="lines" w:linePitch="291" w:charSpace="0"/>
        </w:sectPr>
      </w:pPr>
    </w:p>
    <w:p>
      <w:pPr>
        <w:spacing w:line="360" w:lineRule="exact"/>
        <w:rPr>
          <w:rFonts w:hint="eastAsia" w:ascii="Arial"/>
          <w:b/>
          <w:color w:val="auto"/>
          <w:highlight w:val="none"/>
        </w:rPr>
      </w:pPr>
      <w:r>
        <w:rPr>
          <w:rFonts w:ascii="Arial"/>
          <w:b/>
          <w:color w:val="auto"/>
          <w:highlight w:val="none"/>
        </w:rPr>
        <w:t>附件</w:t>
      </w:r>
      <w:r>
        <w:rPr>
          <w:rFonts w:hint="eastAsia" w:ascii="Arial"/>
          <w:b/>
          <w:color w:val="auto"/>
          <w:highlight w:val="none"/>
        </w:rPr>
        <w:t>13</w:t>
      </w:r>
      <w:r>
        <w:rPr>
          <w:rFonts w:ascii="Arial"/>
          <w:b/>
          <w:color w:val="auto"/>
          <w:highlight w:val="none"/>
        </w:rPr>
        <w:t>：</w:t>
      </w:r>
    </w:p>
    <w:p>
      <w:pPr>
        <w:spacing w:before="145" w:after="145"/>
        <w:jc w:val="center"/>
        <w:rPr>
          <w:b/>
          <w:color w:val="auto"/>
          <w:sz w:val="28"/>
          <w:highlight w:val="none"/>
        </w:rPr>
      </w:pPr>
      <w:r>
        <w:rPr>
          <w:rFonts w:hint="eastAsia" w:ascii="Arial"/>
          <w:b/>
          <w:color w:val="auto"/>
          <w:sz w:val="28"/>
          <w:highlight w:val="none"/>
        </w:rPr>
        <w:t>农民工工资承诺书</w:t>
      </w:r>
    </w:p>
    <w:p>
      <w:pPr>
        <w:spacing w:before="150" w:line="450" w:lineRule="atLeast"/>
        <w:rPr>
          <w:color w:val="auto"/>
          <w:highlight w:val="none"/>
        </w:rPr>
      </w:pPr>
      <w:r>
        <w:rPr>
          <w:rFonts w:hint="eastAsia"/>
          <w:color w:val="auto"/>
          <w:highlight w:val="none"/>
          <w:u w:val="single"/>
        </w:rPr>
        <w:t>（业主名称）</w:t>
      </w:r>
      <w:r>
        <w:rPr>
          <w:color w:val="auto"/>
          <w:highlight w:val="none"/>
          <w:u w:val="single"/>
        </w:rPr>
        <w:t xml:space="preserve">        </w:t>
      </w:r>
      <w:r>
        <w:rPr>
          <w:rFonts w:hint="eastAsia"/>
          <w:color w:val="auto"/>
          <w:highlight w:val="none"/>
        </w:rPr>
        <w:t>：</w:t>
      </w:r>
    </w:p>
    <w:p>
      <w:pPr>
        <w:spacing w:before="150" w:line="450" w:lineRule="atLeast"/>
        <w:ind w:firstLine="525"/>
        <w:rPr>
          <w:color w:val="auto"/>
          <w:highlight w:val="none"/>
        </w:rPr>
      </w:pPr>
      <w:r>
        <w:rPr>
          <w:rFonts w:hint="eastAsia"/>
          <w:color w:val="auto"/>
          <w:highlight w:val="none"/>
        </w:rPr>
        <w:t>为了切实维护建筑农民工的合法权益，确保社会和企业稳定，根据各级政府和相关主管部门的相关要求，结合我公司承包</w:t>
      </w:r>
      <w:r>
        <w:rPr>
          <w:color w:val="auto"/>
          <w:highlight w:val="none"/>
          <w:u w:val="single"/>
        </w:rPr>
        <w:t xml:space="preserve">                 </w:t>
      </w:r>
      <w:r>
        <w:rPr>
          <w:rFonts w:hint="eastAsia"/>
          <w:color w:val="auto"/>
          <w:highlight w:val="none"/>
        </w:rPr>
        <w:t>工程的劳务施工实际情况，特作如下慎重承诺：</w:t>
      </w:r>
    </w:p>
    <w:p>
      <w:pPr>
        <w:spacing w:before="150" w:line="450" w:lineRule="atLeast"/>
        <w:ind w:firstLine="525"/>
        <w:rPr>
          <w:color w:val="auto"/>
          <w:highlight w:val="none"/>
        </w:rPr>
      </w:pPr>
      <w:r>
        <w:rPr>
          <w:color w:val="auto"/>
          <w:highlight w:val="none"/>
        </w:rPr>
        <w:t>1</w:t>
      </w:r>
      <w:r>
        <w:rPr>
          <w:rFonts w:hint="eastAsia"/>
          <w:color w:val="auto"/>
          <w:highlight w:val="none"/>
        </w:rPr>
        <w:t>、我公司将严格按照温州市住建委关于规范温州市建筑工程工资款与其他款分账管理的通知（温住建发</w:t>
      </w:r>
      <w:r>
        <w:rPr>
          <w:color w:val="auto"/>
          <w:highlight w:val="none"/>
        </w:rPr>
        <w:t>[2018]4</w:t>
      </w:r>
      <w:r>
        <w:rPr>
          <w:rFonts w:hint="eastAsia"/>
          <w:color w:val="auto"/>
          <w:highlight w:val="none"/>
        </w:rPr>
        <w:t>号）的相关要求，切实做好农民工工资发放工作</w:t>
      </w:r>
      <w:r>
        <w:rPr>
          <w:color w:val="auto"/>
          <w:highlight w:val="none"/>
        </w:rPr>
        <w:t>;</w:t>
      </w:r>
    </w:p>
    <w:p>
      <w:pPr>
        <w:spacing w:before="150" w:line="450" w:lineRule="atLeast"/>
        <w:ind w:firstLine="525"/>
        <w:rPr>
          <w:color w:val="auto"/>
          <w:highlight w:val="none"/>
        </w:rPr>
      </w:pPr>
      <w:r>
        <w:rPr>
          <w:color w:val="auto"/>
          <w:highlight w:val="none"/>
        </w:rPr>
        <w:t>2</w:t>
      </w:r>
      <w:r>
        <w:rPr>
          <w:rFonts w:hint="eastAsia"/>
          <w:color w:val="auto"/>
          <w:highlight w:val="none"/>
        </w:rPr>
        <w:t>、我公司一定按照文件规定实行银行卡足额支付农民工工资，按月考核农民工工作量并如实编制工资支付表，经农民工签字确认后，将工资通过银行卡转账方式支付给农民工本人</w:t>
      </w:r>
      <w:r>
        <w:rPr>
          <w:color w:val="auto"/>
          <w:highlight w:val="none"/>
        </w:rPr>
        <w:t>;</w:t>
      </w:r>
      <w:r>
        <w:rPr>
          <w:rFonts w:hint="eastAsia"/>
          <w:color w:val="auto"/>
          <w:highlight w:val="none"/>
        </w:rPr>
        <w:t>保证将每月发放的农民工工资表</w:t>
      </w:r>
      <w:r>
        <w:rPr>
          <w:color w:val="auto"/>
          <w:highlight w:val="none"/>
        </w:rPr>
        <w:t>(</w:t>
      </w:r>
      <w:r>
        <w:rPr>
          <w:rFonts w:hint="eastAsia"/>
          <w:color w:val="auto"/>
          <w:highlight w:val="none"/>
        </w:rPr>
        <w:t>表格形式、现场负责人和班组长签字认可、农民工本人签字</w:t>
      </w:r>
      <w:r>
        <w:rPr>
          <w:color w:val="auto"/>
          <w:highlight w:val="none"/>
        </w:rPr>
        <w:t>)</w:t>
      </w:r>
      <w:r>
        <w:rPr>
          <w:rFonts w:hint="eastAsia"/>
          <w:color w:val="auto"/>
          <w:highlight w:val="none"/>
        </w:rPr>
        <w:t>于每月</w:t>
      </w:r>
      <w:r>
        <w:rPr>
          <w:color w:val="auto"/>
          <w:highlight w:val="none"/>
          <w:u w:val="single"/>
        </w:rPr>
        <w:t xml:space="preserve">     </w:t>
      </w:r>
      <w:r>
        <w:rPr>
          <w:rFonts w:hint="eastAsia"/>
          <w:color w:val="auto"/>
          <w:highlight w:val="none"/>
        </w:rPr>
        <w:t>日前将上月农民工工资如实、及时上报给贵司项目部，否则我司</w:t>
      </w:r>
      <w:r>
        <w:rPr>
          <w:color w:val="auto"/>
          <w:highlight w:val="none"/>
        </w:rPr>
        <w:t>(</w:t>
      </w:r>
      <w:r>
        <w:rPr>
          <w:rFonts w:hint="eastAsia"/>
          <w:color w:val="auto"/>
          <w:highlight w:val="none"/>
        </w:rPr>
        <w:t>或个人</w:t>
      </w:r>
      <w:r>
        <w:rPr>
          <w:color w:val="auto"/>
          <w:highlight w:val="none"/>
        </w:rPr>
        <w:t>)</w:t>
      </w:r>
      <w:r>
        <w:rPr>
          <w:rFonts w:hint="eastAsia"/>
          <w:color w:val="auto"/>
          <w:highlight w:val="none"/>
        </w:rPr>
        <w:t>愿意接受贵司的处理</w:t>
      </w:r>
      <w:r>
        <w:rPr>
          <w:color w:val="auto"/>
          <w:highlight w:val="none"/>
        </w:rPr>
        <w:t>;</w:t>
      </w:r>
    </w:p>
    <w:p>
      <w:pPr>
        <w:spacing w:before="150" w:line="450" w:lineRule="atLeast"/>
        <w:ind w:firstLine="525"/>
        <w:rPr>
          <w:color w:val="auto"/>
          <w:highlight w:val="none"/>
        </w:rPr>
      </w:pPr>
      <w:r>
        <w:rPr>
          <w:color w:val="auto"/>
          <w:highlight w:val="none"/>
        </w:rPr>
        <w:t>3</w:t>
      </w:r>
      <w:r>
        <w:rPr>
          <w:rFonts w:hint="eastAsia"/>
          <w:color w:val="auto"/>
          <w:highlight w:val="none"/>
        </w:rPr>
        <w:t>、如因农民工工资发放、处置不力，导致农民工有不同形式的上访、闹访、集访等事件发生，项目部将立即停止对我公司</w:t>
      </w:r>
      <w:r>
        <w:rPr>
          <w:color w:val="auto"/>
          <w:highlight w:val="none"/>
        </w:rPr>
        <w:t>(</w:t>
      </w:r>
      <w:r>
        <w:rPr>
          <w:rFonts w:hint="eastAsia"/>
          <w:color w:val="auto"/>
          <w:highlight w:val="none"/>
        </w:rPr>
        <w:t>或个人</w:t>
      </w:r>
      <w:r>
        <w:rPr>
          <w:color w:val="auto"/>
          <w:highlight w:val="none"/>
        </w:rPr>
        <w:t>)</w:t>
      </w:r>
      <w:r>
        <w:rPr>
          <w:rFonts w:hint="eastAsia"/>
          <w:color w:val="auto"/>
          <w:highlight w:val="none"/>
        </w:rPr>
        <w:t>劳务工程款的支付，我公司</w:t>
      </w:r>
      <w:r>
        <w:rPr>
          <w:color w:val="auto"/>
          <w:highlight w:val="none"/>
        </w:rPr>
        <w:t>(</w:t>
      </w:r>
      <w:r>
        <w:rPr>
          <w:rFonts w:hint="eastAsia"/>
          <w:color w:val="auto"/>
          <w:highlight w:val="none"/>
        </w:rPr>
        <w:t>或个人</w:t>
      </w:r>
      <w:r>
        <w:rPr>
          <w:color w:val="auto"/>
          <w:highlight w:val="none"/>
        </w:rPr>
        <w:t>)</w:t>
      </w:r>
      <w:r>
        <w:rPr>
          <w:rFonts w:hint="eastAsia"/>
          <w:color w:val="auto"/>
          <w:highlight w:val="none"/>
        </w:rPr>
        <w:t>愿意将剩余工程款用作民工工资保证金。</w:t>
      </w:r>
    </w:p>
    <w:p>
      <w:pPr>
        <w:spacing w:before="150" w:line="450" w:lineRule="atLeast"/>
        <w:ind w:firstLine="525"/>
        <w:rPr>
          <w:color w:val="auto"/>
          <w:highlight w:val="none"/>
        </w:rPr>
      </w:pPr>
      <w:r>
        <w:rPr>
          <w:rFonts w:hint="eastAsia"/>
          <w:color w:val="auto"/>
          <w:highlight w:val="none"/>
        </w:rPr>
        <w:t>由此造成的一切不良后果和损失由我公司</w:t>
      </w:r>
      <w:r>
        <w:rPr>
          <w:color w:val="auto"/>
          <w:highlight w:val="none"/>
        </w:rPr>
        <w:t>(</w:t>
      </w:r>
      <w:r>
        <w:rPr>
          <w:rFonts w:hint="eastAsia"/>
          <w:color w:val="auto"/>
          <w:highlight w:val="none"/>
        </w:rPr>
        <w:t>或个人</w:t>
      </w:r>
      <w:r>
        <w:rPr>
          <w:color w:val="auto"/>
          <w:highlight w:val="none"/>
        </w:rPr>
        <w:t>)</w:t>
      </w:r>
      <w:r>
        <w:rPr>
          <w:rFonts w:hint="eastAsia"/>
          <w:color w:val="auto"/>
          <w:highlight w:val="none"/>
        </w:rPr>
        <w:t>承担。特此承诺</w:t>
      </w:r>
      <w:r>
        <w:rPr>
          <w:color w:val="auto"/>
          <w:highlight w:val="none"/>
        </w:rPr>
        <w:t>!</w:t>
      </w:r>
    </w:p>
    <w:p>
      <w:pPr>
        <w:spacing w:before="150" w:line="450" w:lineRule="atLeast"/>
        <w:ind w:firstLine="420"/>
        <w:rPr>
          <w:color w:val="auto"/>
          <w:highlight w:val="none"/>
        </w:rPr>
      </w:pPr>
    </w:p>
    <w:p>
      <w:pPr>
        <w:spacing w:before="150" w:line="450" w:lineRule="atLeast"/>
        <w:ind w:firstLine="420"/>
        <w:rPr>
          <w:color w:val="auto"/>
          <w:highlight w:val="none"/>
        </w:rPr>
      </w:pPr>
    </w:p>
    <w:p>
      <w:pPr>
        <w:spacing w:before="150" w:line="450" w:lineRule="atLeast"/>
        <w:ind w:right="720" w:firstLine="420"/>
        <w:jc w:val="right"/>
        <w:rPr>
          <w:color w:val="auto"/>
          <w:highlight w:val="none"/>
        </w:rPr>
      </w:pPr>
      <w:r>
        <w:rPr>
          <w:rFonts w:hint="eastAsia"/>
          <w:color w:val="auto"/>
          <w:highlight w:val="none"/>
        </w:rPr>
        <w:t>承诺单位：</w:t>
      </w:r>
      <w:r>
        <w:rPr>
          <w:color w:val="auto"/>
          <w:highlight w:val="none"/>
        </w:rPr>
        <w:t>(</w:t>
      </w:r>
      <w:r>
        <w:rPr>
          <w:rFonts w:hint="eastAsia"/>
          <w:color w:val="auto"/>
          <w:highlight w:val="none"/>
        </w:rPr>
        <w:t>盖章</w:t>
      </w:r>
      <w:r>
        <w:rPr>
          <w:color w:val="auto"/>
          <w:highlight w:val="none"/>
        </w:rPr>
        <w:t>)</w:t>
      </w:r>
    </w:p>
    <w:p>
      <w:pPr>
        <w:spacing w:before="150" w:line="450" w:lineRule="atLeast"/>
        <w:ind w:right="720" w:firstLine="420"/>
        <w:jc w:val="right"/>
        <w:rPr>
          <w:color w:val="auto"/>
          <w:highlight w:val="none"/>
        </w:rPr>
      </w:pPr>
      <w:r>
        <w:rPr>
          <w:rFonts w:hint="eastAsia"/>
          <w:color w:val="auto"/>
          <w:highlight w:val="none"/>
        </w:rPr>
        <w:t>法人代表：</w:t>
      </w:r>
      <w:r>
        <w:rPr>
          <w:color w:val="auto"/>
          <w:highlight w:val="none"/>
        </w:rPr>
        <w:t>(</w:t>
      </w:r>
      <w:r>
        <w:rPr>
          <w:rFonts w:hint="eastAsia"/>
          <w:color w:val="auto"/>
          <w:highlight w:val="none"/>
        </w:rPr>
        <w:t>签字</w:t>
      </w:r>
      <w:r>
        <w:rPr>
          <w:color w:val="auto"/>
          <w:highlight w:val="none"/>
        </w:rPr>
        <w:t>)</w:t>
      </w:r>
    </w:p>
    <w:p>
      <w:pPr>
        <w:jc w:val="right"/>
        <w:rPr>
          <w:rFonts w:hint="eastAsia" w:ascii="宋体" w:hAnsi="宋体"/>
          <w:color w:val="auto"/>
          <w:highlight w:val="none"/>
        </w:rPr>
      </w:pPr>
      <w:r>
        <w:rPr>
          <w:rFonts w:hint="eastAsia"/>
          <w:color w:val="auto"/>
          <w:highlight w:val="none"/>
        </w:rPr>
        <w:t>日期：</w:t>
      </w:r>
      <w:r>
        <w:rPr>
          <w:color w:val="auto"/>
          <w:highlight w:val="none"/>
        </w:rPr>
        <w:t xml:space="preserve">      </w:t>
      </w:r>
      <w:r>
        <w:rPr>
          <w:rFonts w:hint="eastAsia"/>
          <w:color w:val="auto"/>
          <w:highlight w:val="none"/>
        </w:rPr>
        <w:t>年</w:t>
      </w:r>
      <w:r>
        <w:rPr>
          <w:color w:val="auto"/>
          <w:highlight w:val="none"/>
        </w:rPr>
        <w:t xml:space="preserve">    </w:t>
      </w:r>
      <w:r>
        <w:rPr>
          <w:rFonts w:hint="eastAsia"/>
          <w:color w:val="auto"/>
          <w:highlight w:val="none"/>
        </w:rPr>
        <w:t>月</w:t>
      </w:r>
      <w:r>
        <w:rPr>
          <w:color w:val="auto"/>
          <w:highlight w:val="none"/>
        </w:rPr>
        <w:t xml:space="preserve">    </w:t>
      </w:r>
      <w:r>
        <w:rPr>
          <w:rFonts w:hint="eastAsia"/>
          <w:color w:val="auto"/>
          <w:highlight w:val="none"/>
        </w:rPr>
        <w:t>日</w:t>
      </w:r>
    </w:p>
    <w:p>
      <w:pPr>
        <w:rPr>
          <w:rFonts w:hint="eastAsia" w:ascii="宋体" w:hAnsi="宋体" w:eastAsia="宋体" w:cs="宋体"/>
          <w:color w:val="auto"/>
          <w:sz w:val="24"/>
          <w:highlight w:val="none"/>
        </w:rPr>
      </w:pPr>
    </w:p>
    <w:p>
      <w:pPr>
        <w:pStyle w:val="3"/>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3"/>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color w:val="auto"/>
          <w:highlight w:val="none"/>
        </w:rPr>
      </w:pPr>
    </w:p>
    <w:p>
      <w:pPr>
        <w:spacing w:line="360" w:lineRule="auto"/>
        <w:ind w:left="-420" w:leftChars="-200" w:right="-420" w:rightChars="-200" w:firstLine="480" w:firstLineChars="200"/>
        <w:jc w:val="center"/>
        <w:outlineLvl w:val="0"/>
        <w:rPr>
          <w:rFonts w:hint="eastAsia" w:ascii="宋体" w:hAnsi="宋体" w:eastAsia="宋体" w:cs="宋体"/>
          <w:color w:val="auto"/>
          <w:sz w:val="24"/>
          <w:highlight w:val="none"/>
        </w:rPr>
      </w:pPr>
    </w:p>
    <w:p>
      <w:pPr>
        <w:spacing w:line="360" w:lineRule="auto"/>
        <w:ind w:left="-420" w:leftChars="-200" w:right="-420" w:rightChars="-200" w:firstLine="480" w:firstLineChars="200"/>
        <w:jc w:val="center"/>
        <w:outlineLvl w:val="0"/>
        <w:rPr>
          <w:rFonts w:hint="eastAsia" w:ascii="宋体" w:hAnsi="宋体" w:eastAsia="宋体" w:cs="宋体"/>
          <w:color w:val="auto"/>
          <w:sz w:val="24"/>
          <w:highlight w:val="none"/>
        </w:rPr>
      </w:pPr>
    </w:p>
    <w:p>
      <w:pPr>
        <w:spacing w:line="360" w:lineRule="auto"/>
        <w:jc w:val="center"/>
        <w:outlineLvl w:val="0"/>
        <w:rPr>
          <w:rFonts w:hint="eastAsia" w:ascii="宋体" w:hAnsi="宋体" w:eastAsia="宋体" w:cs="宋体"/>
          <w:b/>
          <w:color w:val="auto"/>
          <w:sz w:val="36"/>
          <w:szCs w:val="20"/>
          <w:highlight w:val="none"/>
        </w:rPr>
      </w:pPr>
      <w:bookmarkStart w:id="1080" w:name="_Toc32594"/>
      <w:bookmarkStart w:id="1081" w:name="_Toc17588"/>
      <w:r>
        <w:rPr>
          <w:rFonts w:hint="eastAsia" w:ascii="宋体" w:hAnsi="宋体" w:eastAsia="宋体" w:cs="宋体"/>
          <w:b/>
          <w:color w:val="auto"/>
          <w:sz w:val="36"/>
          <w:szCs w:val="20"/>
          <w:highlight w:val="none"/>
        </w:rPr>
        <w:t>第六部分</w:t>
      </w:r>
      <w:bookmarkEnd w:id="468"/>
      <w:r>
        <w:rPr>
          <w:rFonts w:hint="eastAsia" w:ascii="宋体" w:hAnsi="宋体" w:eastAsia="宋体" w:cs="宋体"/>
          <w:b/>
          <w:color w:val="auto"/>
          <w:sz w:val="36"/>
          <w:szCs w:val="20"/>
          <w:highlight w:val="none"/>
        </w:rPr>
        <w:t xml:space="preserve"> </w:t>
      </w:r>
      <w:bookmarkEnd w:id="469"/>
      <w:r>
        <w:rPr>
          <w:rFonts w:hint="eastAsia" w:ascii="宋体" w:hAnsi="宋体" w:eastAsia="宋体" w:cs="宋体"/>
          <w:b/>
          <w:color w:val="auto"/>
          <w:sz w:val="36"/>
          <w:szCs w:val="20"/>
          <w:highlight w:val="none"/>
        </w:rPr>
        <w:t>应提交的有关格式范例</w:t>
      </w:r>
      <w:bookmarkEnd w:id="1080"/>
      <w:bookmarkEnd w:id="1081"/>
    </w:p>
    <w:p>
      <w:pPr>
        <w:spacing w:line="360" w:lineRule="auto"/>
        <w:jc w:val="center"/>
        <w:outlineLvl w:val="0"/>
        <w:rPr>
          <w:rFonts w:hint="eastAsia" w:ascii="宋体" w:hAnsi="宋体" w:eastAsia="宋体" w:cs="宋体"/>
          <w:b/>
          <w:color w:val="auto"/>
          <w:kern w:val="0"/>
          <w:sz w:val="36"/>
          <w:szCs w:val="36"/>
          <w:highlight w:val="none"/>
        </w:rPr>
      </w:pPr>
    </w:p>
    <w:p>
      <w:pPr>
        <w:spacing w:line="360" w:lineRule="auto"/>
        <w:jc w:val="center"/>
        <w:outlineLvl w:val="0"/>
        <w:rPr>
          <w:rFonts w:hint="eastAsia" w:ascii="宋体" w:hAnsi="宋体" w:eastAsia="宋体" w:cs="宋体"/>
          <w:b/>
          <w:color w:val="auto"/>
          <w:kern w:val="0"/>
          <w:sz w:val="36"/>
          <w:szCs w:val="36"/>
          <w:highlight w:val="none"/>
        </w:rPr>
      </w:pPr>
      <w:bookmarkStart w:id="1082" w:name="_Toc28027"/>
      <w:bookmarkStart w:id="1083" w:name="_Toc16518"/>
      <w:bookmarkStart w:id="1084" w:name="_Toc27406"/>
      <w:r>
        <w:rPr>
          <w:rFonts w:hint="eastAsia" w:ascii="宋体" w:hAnsi="宋体" w:eastAsia="宋体" w:cs="宋体"/>
          <w:b/>
          <w:color w:val="auto"/>
          <w:kern w:val="0"/>
          <w:sz w:val="36"/>
          <w:szCs w:val="36"/>
          <w:highlight w:val="none"/>
        </w:rPr>
        <w:t>资格文件部分</w:t>
      </w:r>
      <w:bookmarkEnd w:id="1082"/>
      <w:bookmarkEnd w:id="1083"/>
      <w:bookmarkEnd w:id="1084"/>
    </w:p>
    <w:p>
      <w:pPr>
        <w:spacing w:line="360" w:lineRule="auto"/>
        <w:jc w:val="center"/>
        <w:outlineLvl w:val="0"/>
        <w:rPr>
          <w:rFonts w:hint="eastAsia" w:ascii="宋体" w:hAnsi="宋体" w:eastAsia="宋体" w:cs="宋体"/>
          <w:b/>
          <w:color w:val="auto"/>
          <w:kern w:val="0"/>
          <w:sz w:val="36"/>
          <w:szCs w:val="36"/>
          <w:highlight w:val="none"/>
        </w:rPr>
      </w:pPr>
      <w:bookmarkStart w:id="1085" w:name="_Toc3951"/>
      <w:bookmarkStart w:id="1086" w:name="_Toc30220"/>
      <w:bookmarkStart w:id="1087" w:name="_Toc4822"/>
      <w:r>
        <w:rPr>
          <w:rFonts w:hint="eastAsia" w:ascii="宋体" w:hAnsi="宋体" w:eastAsia="宋体" w:cs="宋体"/>
          <w:b/>
          <w:color w:val="auto"/>
          <w:kern w:val="0"/>
          <w:sz w:val="36"/>
          <w:szCs w:val="36"/>
          <w:highlight w:val="none"/>
        </w:rPr>
        <w:t>目录</w:t>
      </w:r>
      <w:bookmarkEnd w:id="1085"/>
      <w:bookmarkEnd w:id="1086"/>
      <w:bookmarkEnd w:id="1087"/>
    </w:p>
    <w:p>
      <w:pPr>
        <w:spacing w:line="360" w:lineRule="auto"/>
        <w:jc w:val="center"/>
        <w:outlineLvl w:val="0"/>
        <w:rPr>
          <w:rFonts w:hint="eastAsia" w:ascii="宋体" w:hAnsi="宋体" w:eastAsia="宋体" w:cs="宋体"/>
          <w:b/>
          <w:color w:val="auto"/>
          <w:kern w:val="0"/>
          <w:sz w:val="36"/>
          <w:szCs w:val="36"/>
          <w:highlight w:val="none"/>
        </w:rPr>
      </w:pPr>
    </w:p>
    <w:p>
      <w:p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（1）符合参加政府采购活动应当具备的一般条件的承诺函……………（页码）</w:t>
      </w:r>
    </w:p>
    <w:p>
      <w:p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（2）落实政府采购政策需满足的资格要求………………………………（页码）</w:t>
      </w:r>
    </w:p>
    <w:p>
      <w:p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本项目的特定资格要求………………………………………………（页码）</w:t>
      </w:r>
    </w:p>
    <w:p>
      <w:p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具有独立承担民事责任能力的证明材料</w:t>
      </w:r>
      <w:r>
        <w:rPr>
          <w:rFonts w:hint="eastAsia" w:ascii="宋体" w:hAnsi="宋体" w:eastAsia="宋体" w:cs="宋体"/>
          <w:color w:val="auto"/>
          <w:sz w:val="21"/>
          <w:szCs w:val="21"/>
          <w:highlight w:val="none"/>
        </w:rPr>
        <w:t>……………………………（页码）</w:t>
      </w:r>
    </w:p>
    <w:p>
      <w:pPr>
        <w:snapToGrid w:val="0"/>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highlight w:val="none"/>
        </w:rPr>
        <w:br w:type="page"/>
      </w:r>
      <w:r>
        <w:rPr>
          <w:rFonts w:hint="eastAsia" w:ascii="宋体" w:hAnsi="宋体" w:eastAsia="宋体" w:cs="宋体"/>
          <w:b/>
          <w:color w:val="auto"/>
          <w:kern w:val="0"/>
          <w:sz w:val="32"/>
          <w:szCs w:val="32"/>
          <w:highlight w:val="none"/>
        </w:rPr>
        <w:t xml:space="preserve">  一、 符合参加政府采购活动应当具备的一般条件的承诺函</w:t>
      </w:r>
    </w:p>
    <w:p>
      <w:p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（采购人）、（采购代理机构）：</w:t>
      </w:r>
    </w:p>
    <w:p>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我方参与（项目名称）【</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编号：（采购编号）】政府采购活动，郑重承诺：</w:t>
      </w:r>
    </w:p>
    <w:p>
      <w:pPr>
        <w:snapToGrid w:val="0"/>
        <w:spacing w:line="360" w:lineRule="auto"/>
        <w:ind w:firstLine="315" w:firstLineChars="1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（一）具备《中华人民共和国政府采购法》第二十二条第一款规定的条件：</w:t>
      </w:r>
    </w:p>
    <w:p>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1、具有独立承担民事责任的能力；</w:t>
      </w:r>
    </w:p>
    <w:p>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2、具有良好的商业信誉和健全的财务会计制度； </w:t>
      </w:r>
    </w:p>
    <w:p>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3、具有履行合同所必需的设备和专业技术能力；</w:t>
      </w:r>
    </w:p>
    <w:p>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4、有依法缴纳税收和社会保障资金的良好记录；</w:t>
      </w:r>
    </w:p>
    <w:p>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5、参加政府采购活动前三年内，在经营活动中没有重大违法记录；</w:t>
      </w:r>
    </w:p>
    <w:p>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6、具有法律、行政法规规定的其他条件。</w:t>
      </w:r>
    </w:p>
    <w:p>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（三）不存在以下情况：</w:t>
      </w:r>
    </w:p>
    <w:p>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1、单位负责人为同一人或者存在直接控股、管理关系的不同供应商参加同一合同项下的政府采购活动的；</w:t>
      </w:r>
    </w:p>
    <w:p>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2、为采购项目提供整体设计、规范编制或者项目管理、监理、检测等服务后再参加该采购项目的其他采购活动的。</w:t>
      </w:r>
    </w:p>
    <w:p>
      <w:pPr>
        <w:snapToGrid w:val="0"/>
        <w:spacing w:line="360" w:lineRule="auto"/>
        <w:ind w:firstLine="420" w:firstLineChars="200"/>
        <w:jc w:val="left"/>
        <w:rPr>
          <w:rStyle w:val="23"/>
          <w:rFonts w:hint="eastAsia" w:ascii="宋体" w:hAnsi="宋体" w:eastAsia="宋体" w:cs="宋体"/>
          <w:color w:val="auto"/>
          <w:sz w:val="21"/>
          <w:szCs w:val="21"/>
          <w:highlight w:val="none"/>
        </w:rPr>
      </w:pPr>
      <w:r>
        <w:rPr>
          <w:rStyle w:val="23"/>
          <w:rFonts w:hint="eastAsia" w:ascii="宋体" w:hAnsi="宋体" w:eastAsia="宋体" w:cs="宋体"/>
          <w:b w:val="0"/>
          <w:bCs w:val="0"/>
          <w:color w:val="auto"/>
          <w:sz w:val="21"/>
          <w:szCs w:val="21"/>
          <w:highlight w:val="none"/>
          <w:lang w:eastAsia="zh-CN"/>
        </w:rPr>
        <w:t>我方</w:t>
      </w:r>
      <w:r>
        <w:rPr>
          <w:rStyle w:val="23"/>
          <w:rFonts w:hint="eastAsia" w:ascii="宋体" w:hAnsi="宋体" w:eastAsia="宋体" w:cs="宋体"/>
          <w:b w:val="0"/>
          <w:bCs w:val="0"/>
          <w:color w:val="auto"/>
          <w:sz w:val="21"/>
          <w:szCs w:val="21"/>
          <w:highlight w:val="none"/>
        </w:rPr>
        <w:t>对上述承诺的真实性负责。上述承诺如有虚假，将按“提供虚假材料谋取中标、成交”情形，由采购人取消我公司任何资格（投标/中标/签订合同），且由采购单位/采购代理机构报告至政府采购监管部门。</w:t>
      </w:r>
      <w:r>
        <w:rPr>
          <w:rStyle w:val="23"/>
          <w:rFonts w:hint="eastAsia" w:ascii="宋体" w:hAnsi="宋体" w:eastAsia="宋体" w:cs="宋体"/>
          <w:color w:val="auto"/>
          <w:sz w:val="21"/>
          <w:szCs w:val="21"/>
          <w:highlight w:val="none"/>
        </w:rPr>
        <w:t>一经监管部门查证属实，将按照《中华人民共和国政府采购法》第七十七条“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规定予以处理。</w:t>
      </w:r>
    </w:p>
    <w:p>
      <w:pPr>
        <w:snapToGrid w:val="0"/>
        <w:spacing w:line="360" w:lineRule="auto"/>
        <w:ind w:firstLine="420" w:firstLineChars="200"/>
        <w:jc w:val="left"/>
        <w:rPr>
          <w:rFonts w:hint="eastAsia" w:ascii="宋体" w:hAnsi="宋体" w:eastAsia="宋体" w:cs="宋体"/>
          <w:color w:val="auto"/>
          <w:sz w:val="21"/>
          <w:szCs w:val="21"/>
          <w:highlight w:val="none"/>
        </w:rPr>
      </w:pPr>
      <w:r>
        <w:rPr>
          <w:rStyle w:val="23"/>
          <w:rFonts w:hint="eastAsia" w:ascii="宋体" w:hAnsi="宋体" w:eastAsia="宋体" w:cs="宋体"/>
          <w:color w:val="auto"/>
          <w:sz w:val="21"/>
          <w:szCs w:val="21"/>
          <w:highlight w:val="none"/>
        </w:rPr>
        <w:t>我</w:t>
      </w:r>
      <w:r>
        <w:rPr>
          <w:rFonts w:hint="eastAsia" w:ascii="宋体" w:hAnsi="宋体" w:eastAsia="宋体" w:cs="宋体"/>
          <w:color w:val="auto"/>
          <w:sz w:val="21"/>
          <w:szCs w:val="21"/>
          <w:highlight w:val="none"/>
          <w:lang w:eastAsia="zh-CN"/>
        </w:rPr>
        <w:t>方</w:t>
      </w:r>
      <w:r>
        <w:rPr>
          <w:rStyle w:val="23"/>
          <w:rFonts w:hint="eastAsia" w:ascii="宋体" w:hAnsi="宋体" w:eastAsia="宋体" w:cs="宋体"/>
          <w:color w:val="auto"/>
          <w:sz w:val="21"/>
          <w:szCs w:val="21"/>
          <w:highlight w:val="none"/>
        </w:rPr>
        <w:t>已知晓前述法律规定，对此无任何异议。</w:t>
      </w:r>
    </w:p>
    <w:p>
      <w:pPr>
        <w:spacing w:line="360" w:lineRule="auto"/>
        <w:rPr>
          <w:rStyle w:val="27"/>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sz w:val="21"/>
          <w:szCs w:val="21"/>
          <w:highlight w:val="none"/>
        </w:rPr>
      </w:pPr>
      <w:r>
        <w:rPr>
          <w:rStyle w:val="27"/>
          <w:rFonts w:hint="eastAsia" w:ascii="宋体" w:hAnsi="宋体" w:eastAsia="宋体" w:cs="宋体"/>
          <w:b/>
          <w:bCs/>
          <w:color w:val="auto"/>
          <w:sz w:val="21"/>
          <w:szCs w:val="21"/>
          <w:highlight w:val="none"/>
        </w:rPr>
        <w:t>注：</w:t>
      </w:r>
      <w:bookmarkStart w:id="1088" w:name="_Toc9599"/>
      <w:bookmarkStart w:id="1089" w:name="_Toc16992"/>
      <w:bookmarkStart w:id="1090" w:name="_Toc12722"/>
      <w:r>
        <w:rPr>
          <w:rFonts w:hint="eastAsia" w:ascii="宋体" w:hAnsi="宋体" w:eastAsia="宋体" w:cs="宋体"/>
          <w:b/>
          <w:bCs/>
          <w:color w:val="auto"/>
          <w:sz w:val="21"/>
          <w:szCs w:val="21"/>
          <w:highlight w:val="none"/>
        </w:rPr>
        <w:t>1.</w:t>
      </w:r>
      <w:r>
        <w:rPr>
          <w:rStyle w:val="27"/>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本承诺函必须提供。</w:t>
      </w:r>
    </w:p>
    <w:p>
      <w:pPr>
        <w:spacing w:line="360" w:lineRule="auto"/>
        <w:rPr>
          <w:rStyle w:val="27"/>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2.参加政府采购活动的时间是指供应商参加本项目的政府采购活动时间为准（具体以投标截止时间为准）。</w:t>
      </w:r>
      <w:bookmarkEnd w:id="1088"/>
      <w:bookmarkEnd w:id="1089"/>
      <w:bookmarkEnd w:id="1090"/>
    </w:p>
    <w:p>
      <w:pPr>
        <w:snapToGrid w:val="0"/>
        <w:spacing w:line="360" w:lineRule="auto"/>
        <w:ind w:firstLine="420" w:firstLineChars="200"/>
        <w:jc w:val="left"/>
        <w:rPr>
          <w:rStyle w:val="23"/>
          <w:rFonts w:hint="eastAsia" w:ascii="宋体" w:hAnsi="宋体" w:eastAsia="宋体" w:cs="宋体"/>
          <w:color w:val="auto"/>
          <w:sz w:val="21"/>
          <w:szCs w:val="21"/>
          <w:highlight w:val="none"/>
        </w:rPr>
      </w:pPr>
    </w:p>
    <w:p>
      <w:pPr>
        <w:snapToGrid w:val="0"/>
        <w:spacing w:line="360" w:lineRule="auto"/>
        <w:ind w:firstLine="4830" w:firstLineChars="23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zh-CN"/>
        </w:rPr>
        <w:t>磋商供应商名称(电子签名)：</w:t>
      </w:r>
    </w:p>
    <w:p>
      <w:pPr>
        <w:snapToGrid w:val="0"/>
        <w:spacing w:line="360" w:lineRule="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 xml:space="preserve">                        </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val="zh-CN"/>
        </w:rPr>
        <w:t>日期</w:t>
      </w:r>
      <w:r>
        <w:rPr>
          <w:rFonts w:hint="eastAsia" w:ascii="宋体" w:hAnsi="宋体" w:eastAsia="宋体" w:cs="宋体"/>
          <w:color w:val="auto"/>
          <w:kern w:val="0"/>
          <w:sz w:val="21"/>
          <w:szCs w:val="21"/>
          <w:highlight w:val="none"/>
        </w:rPr>
        <w:t xml:space="preserve">：  年  </w:t>
      </w:r>
      <w:r>
        <w:rPr>
          <w:rFonts w:hint="eastAsia" w:ascii="宋体" w:hAnsi="宋体" w:eastAsia="宋体" w:cs="宋体"/>
          <w:color w:val="auto"/>
          <w:kern w:val="0"/>
          <w:sz w:val="21"/>
          <w:szCs w:val="21"/>
          <w:highlight w:val="none"/>
          <w:lang w:val="zh-CN"/>
        </w:rPr>
        <w:t>月</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val="zh-CN"/>
        </w:rPr>
        <w:t>日</w:t>
      </w:r>
    </w:p>
    <w:p>
      <w:pPr>
        <w:pStyle w:val="3"/>
        <w:rPr>
          <w:rFonts w:hint="eastAsia"/>
          <w:color w:val="auto"/>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二、落实政府采购政策需满足的资格要求</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竞争性磋商公告</w:t>
      </w:r>
      <w:r>
        <w:rPr>
          <w:rFonts w:hint="eastAsia" w:ascii="宋体" w:hAnsi="宋体" w:eastAsia="宋体" w:cs="宋体"/>
          <w:color w:val="auto"/>
          <w:sz w:val="21"/>
          <w:szCs w:val="21"/>
          <w:highlight w:val="none"/>
        </w:rPr>
        <w:t>落实政府采购政策需满足的资格要求选择提供相应的材料；未要求的，无需提供）</w:t>
      </w:r>
    </w:p>
    <w:p>
      <w:pPr>
        <w:keepNext w:val="0"/>
        <w:keepLines w:val="0"/>
        <w:pageBreakBefore w:val="0"/>
        <w:kinsoku/>
        <w:wordWrap/>
        <w:overflowPunct/>
        <w:topLinePunct w:val="0"/>
        <w:autoSpaceDE/>
        <w:autoSpaceDN/>
        <w:bidi w:val="0"/>
        <w:adjustRightInd w:val="0"/>
        <w:snapToGrid w:val="0"/>
        <w:spacing w:before="50" w:after="50" w:line="380" w:lineRule="exact"/>
        <w:ind w:firstLine="413" w:firstLineChars="196"/>
        <w:jc w:val="lef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A</w:t>
      </w:r>
      <w:r>
        <w:rPr>
          <w:rFonts w:hint="eastAsia" w:ascii="宋体" w:hAnsi="宋体" w:eastAsia="宋体" w:cs="宋体"/>
          <w:color w:val="auto"/>
          <w:sz w:val="21"/>
          <w:szCs w:val="21"/>
          <w:highlight w:val="none"/>
        </w:rPr>
        <w:t>.专门面向中小企业，货物全部由符合政策要求的中小企业（或小微企业）制造或者服务</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工程</w:t>
      </w:r>
      <w:r>
        <w:rPr>
          <w:rFonts w:hint="eastAsia" w:ascii="宋体" w:hAnsi="宋体" w:eastAsia="宋体" w:cs="宋体"/>
          <w:color w:val="auto"/>
          <w:sz w:val="21"/>
          <w:szCs w:val="21"/>
          <w:highlight w:val="none"/>
        </w:rPr>
        <w:t xml:space="preserve">全部由符合政策要求的中小企业（或小微企业）承接的，提供相应的中小企业声明函（附件5）。 </w:t>
      </w:r>
    </w:p>
    <w:p>
      <w:pPr>
        <w:keepNext w:val="0"/>
        <w:keepLines w:val="0"/>
        <w:pageBreakBefore w:val="0"/>
        <w:widowControl/>
        <w:kinsoku/>
        <w:wordWrap/>
        <w:overflowPunct/>
        <w:topLinePunct w:val="0"/>
        <w:autoSpaceDE/>
        <w:autoSpaceDN/>
        <w:bidi w:val="0"/>
        <w:adjustRightInd w:val="0"/>
        <w:spacing w:line="380" w:lineRule="exact"/>
        <w:ind w:firstLine="480"/>
        <w:jc w:val="left"/>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pacing w:line="380" w:lineRule="exact"/>
        <w:ind w:firstLine="413" w:firstLineChars="196"/>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rPr>
        <w:t>B.</w:t>
      </w:r>
      <w:r>
        <w:rPr>
          <w:rFonts w:hint="eastAsia" w:ascii="宋体" w:hAnsi="宋体" w:eastAsia="宋体" w:cs="宋体"/>
          <w:color w:val="auto"/>
          <w:sz w:val="21"/>
          <w:szCs w:val="21"/>
          <w:highlight w:val="none"/>
        </w:rPr>
        <w:t>要求以联合体形式参加的，提供联合协议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附件6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和中小企业声明函（附件5），联合协议中中小企业合同金额应当达到</w:t>
      </w:r>
      <w:r>
        <w:rPr>
          <w:rFonts w:hint="eastAsia" w:ascii="宋体" w:hAnsi="宋体" w:eastAsia="宋体" w:cs="宋体"/>
          <w:color w:val="auto"/>
          <w:sz w:val="21"/>
          <w:szCs w:val="21"/>
          <w:highlight w:val="none"/>
          <w:lang w:eastAsia="zh-CN"/>
        </w:rPr>
        <w:t>竞争性磋商公告</w:t>
      </w:r>
      <w:r>
        <w:rPr>
          <w:rFonts w:hint="eastAsia" w:ascii="宋体" w:hAnsi="宋体" w:eastAsia="宋体" w:cs="宋体"/>
          <w:color w:val="auto"/>
          <w:sz w:val="21"/>
          <w:szCs w:val="21"/>
          <w:highlight w:val="none"/>
        </w:rPr>
        <w:t>载明的比例；如果供应商本身提供所有标的均由中小企业制造或承接的，视同符合了资格条件，无需再与其他中小企业组成联合体参加政府采购活动，无需提供联合协议</w:t>
      </w:r>
      <w:r>
        <w:rPr>
          <w:rFonts w:hint="eastAsia" w:ascii="宋体" w:hAnsi="宋体" w:eastAsia="宋体" w:cs="宋体"/>
          <w:color w:val="auto"/>
          <w:sz w:val="21"/>
          <w:szCs w:val="21"/>
          <w:highlight w:val="none"/>
          <w:lang w:eastAsia="zh-CN"/>
        </w:rPr>
        <w:t>。</w:t>
      </w:r>
    </w:p>
    <w:p>
      <w:pPr>
        <w:pStyle w:val="9"/>
        <w:keepNext w:val="0"/>
        <w:keepLines w:val="0"/>
        <w:pageBreakBefore w:val="0"/>
        <w:kinsoku/>
        <w:wordWrap/>
        <w:overflowPunct/>
        <w:topLinePunct w:val="0"/>
        <w:autoSpaceDE/>
        <w:autoSpaceDN/>
        <w:bidi w:val="0"/>
        <w:adjustRightInd w:val="0"/>
        <w:spacing w:line="380" w:lineRule="exact"/>
        <w:textAlignment w:val="auto"/>
        <w:rPr>
          <w:rFonts w:hint="eastAsia" w:ascii="宋体" w:hAnsi="宋体" w:eastAsia="宋体" w:cs="宋体"/>
          <w:color w:val="auto"/>
          <w:sz w:val="21"/>
          <w:szCs w:val="21"/>
          <w:highlight w:val="none"/>
          <w:lang w:eastAsia="zh-CN"/>
        </w:rPr>
      </w:pPr>
    </w:p>
    <w:p>
      <w:pPr>
        <w:keepNext w:val="0"/>
        <w:keepLines w:val="0"/>
        <w:pageBreakBefore w:val="0"/>
        <w:widowControl/>
        <w:kinsoku/>
        <w:wordWrap/>
        <w:overflowPunct/>
        <w:topLinePunct w:val="0"/>
        <w:autoSpaceDE/>
        <w:autoSpaceDN/>
        <w:bidi w:val="0"/>
        <w:adjustRightInd w:val="0"/>
        <w:spacing w:line="380" w:lineRule="exact"/>
        <w:ind w:firstLine="413" w:firstLineChars="196"/>
        <w:jc w:val="left"/>
        <w:textAlignment w:val="auto"/>
        <w:rPr>
          <w:rFonts w:hint="eastAsia" w:ascii="宋体" w:hAnsi="宋体" w:cs="宋体"/>
          <w:b/>
          <w:color w:val="auto"/>
          <w:kern w:val="0"/>
          <w:sz w:val="32"/>
          <w:szCs w:val="32"/>
          <w:highlight w:val="none"/>
          <w:lang w:val="en-US" w:eastAsia="zh-CN"/>
        </w:rPr>
      </w:pPr>
      <w:r>
        <w:rPr>
          <w:rFonts w:hint="eastAsia" w:ascii="宋体" w:hAnsi="宋体" w:eastAsia="宋体" w:cs="宋体"/>
          <w:b/>
          <w:bCs/>
          <w:color w:val="auto"/>
          <w:sz w:val="21"/>
          <w:szCs w:val="21"/>
          <w:highlight w:val="none"/>
          <w:lang w:val="en-US" w:eastAsia="zh-CN"/>
        </w:rPr>
        <w:t>C.</w:t>
      </w:r>
      <w:r>
        <w:rPr>
          <w:rFonts w:hint="eastAsia" w:ascii="宋体" w:hAnsi="宋体" w:eastAsia="宋体" w:cs="宋体"/>
          <w:b w:val="0"/>
          <w:bCs w:val="0"/>
          <w:color w:val="auto"/>
          <w:sz w:val="21"/>
          <w:szCs w:val="21"/>
          <w:highlight w:val="none"/>
        </w:rPr>
        <w:t>要求合同分包的，提供分包意向协议（附件</w:t>
      </w:r>
      <w:r>
        <w:rPr>
          <w:rFonts w:hint="eastAsia" w:ascii="宋体" w:hAnsi="宋体" w:eastAsia="宋体" w:cs="宋体"/>
          <w:b w:val="0"/>
          <w:bCs w:val="0"/>
          <w:color w:val="auto"/>
          <w:sz w:val="21"/>
          <w:szCs w:val="21"/>
          <w:highlight w:val="none"/>
          <w:lang w:eastAsia="zh-CN"/>
        </w:rPr>
        <w:t>7</w:t>
      </w:r>
      <w:r>
        <w:rPr>
          <w:rFonts w:hint="eastAsia" w:ascii="宋体" w:hAnsi="宋体" w:eastAsia="宋体" w:cs="宋体"/>
          <w:b w:val="0"/>
          <w:bCs w:val="0"/>
          <w:color w:val="auto"/>
          <w:sz w:val="21"/>
          <w:szCs w:val="21"/>
          <w:highlight w:val="none"/>
        </w:rPr>
        <w:t>）和中小企业声明函（附件</w:t>
      </w:r>
      <w:r>
        <w:rPr>
          <w:rFonts w:hint="eastAsia" w:ascii="宋体" w:hAnsi="宋体" w:eastAsia="宋体" w:cs="宋体"/>
          <w:b w:val="0"/>
          <w:bCs w:val="0"/>
          <w:color w:val="auto"/>
          <w:sz w:val="21"/>
          <w:szCs w:val="21"/>
          <w:highlight w:val="none"/>
          <w:lang w:eastAsia="zh-CN"/>
        </w:rPr>
        <w:t>5</w:t>
      </w:r>
      <w:r>
        <w:rPr>
          <w:rFonts w:hint="eastAsia" w:ascii="宋体" w:hAnsi="宋体" w:eastAsia="宋体" w:cs="宋体"/>
          <w:b w:val="0"/>
          <w:bCs w:val="0"/>
          <w:color w:val="auto"/>
          <w:sz w:val="21"/>
          <w:szCs w:val="21"/>
          <w:highlight w:val="none"/>
        </w:rPr>
        <w:t>），分包意向协议中中小企业合同金额应当达到</w:t>
      </w:r>
      <w:r>
        <w:rPr>
          <w:rFonts w:hint="eastAsia" w:ascii="宋体" w:hAnsi="宋体" w:eastAsia="宋体" w:cs="宋体"/>
          <w:b w:val="0"/>
          <w:bCs w:val="0"/>
          <w:color w:val="auto"/>
          <w:sz w:val="21"/>
          <w:szCs w:val="21"/>
          <w:highlight w:val="none"/>
          <w:lang w:eastAsia="zh-CN"/>
        </w:rPr>
        <w:t>竞争性磋商公告</w:t>
      </w:r>
      <w:r>
        <w:rPr>
          <w:rFonts w:hint="eastAsia" w:ascii="宋体" w:hAnsi="宋体" w:eastAsia="宋体" w:cs="宋体"/>
          <w:b w:val="0"/>
          <w:bCs w:val="0"/>
          <w:color w:val="auto"/>
          <w:sz w:val="21"/>
          <w:szCs w:val="21"/>
          <w:highlight w:val="none"/>
        </w:rPr>
        <w:t>载明的比例；如果供应商本身提供所有标的均由中小企业制造的，并相应达到了前述比例要求，视同符合了资格条件，无需再向中小企业分包，无需提供分包意向协议。</w:t>
      </w:r>
    </w:p>
    <w:p>
      <w:pPr>
        <w:widowControl/>
        <w:spacing w:line="360" w:lineRule="auto"/>
        <w:ind w:left="150"/>
        <w:jc w:val="center"/>
        <w:rPr>
          <w:rFonts w:hint="eastAsia" w:ascii="宋体" w:hAnsi="宋体" w:eastAsia="宋体" w:cs="宋体"/>
          <w:b/>
          <w:color w:val="auto"/>
          <w:kern w:val="0"/>
          <w:sz w:val="32"/>
          <w:szCs w:val="32"/>
          <w:highlight w:val="none"/>
        </w:rPr>
      </w:pPr>
      <w:r>
        <w:rPr>
          <w:rFonts w:hint="eastAsia" w:ascii="宋体" w:hAnsi="宋体" w:cs="宋体"/>
          <w:b/>
          <w:color w:val="auto"/>
          <w:kern w:val="0"/>
          <w:sz w:val="32"/>
          <w:szCs w:val="32"/>
          <w:highlight w:val="none"/>
          <w:lang w:val="en-US" w:eastAsia="zh-CN"/>
        </w:rPr>
        <w:t>三</w:t>
      </w:r>
      <w:r>
        <w:rPr>
          <w:rFonts w:hint="eastAsia" w:ascii="宋体" w:hAnsi="宋体" w:eastAsia="宋体" w:cs="宋体"/>
          <w:b/>
          <w:color w:val="auto"/>
          <w:kern w:val="0"/>
          <w:sz w:val="32"/>
          <w:szCs w:val="32"/>
          <w:highlight w:val="none"/>
        </w:rPr>
        <w:t>、本项目的特定资格要求</w:t>
      </w:r>
    </w:p>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竞争性磋商公告</w:t>
      </w:r>
      <w:r>
        <w:rPr>
          <w:rFonts w:hint="eastAsia" w:ascii="宋体" w:hAnsi="宋体" w:eastAsia="宋体" w:cs="宋体"/>
          <w:color w:val="auto"/>
          <w:sz w:val="21"/>
          <w:szCs w:val="21"/>
          <w:highlight w:val="none"/>
        </w:rPr>
        <w:t>本项目的特定资格要求提供相应的材料；未要求的，无需提供）</w:t>
      </w:r>
    </w:p>
    <w:p>
      <w:pPr>
        <w:rPr>
          <w:rFonts w:hint="eastAsia"/>
        </w:rPr>
      </w:pPr>
    </w:p>
    <w:p>
      <w:pPr>
        <w:widowControl/>
        <w:spacing w:line="360" w:lineRule="auto"/>
        <w:ind w:left="150"/>
        <w:jc w:val="center"/>
        <w:rPr>
          <w:rFonts w:hint="eastAsia" w:ascii="宋体" w:hAnsi="宋体" w:eastAsia="宋体" w:cs="宋体"/>
          <w:b/>
          <w:color w:val="auto"/>
          <w:kern w:val="0"/>
          <w:sz w:val="32"/>
          <w:szCs w:val="32"/>
          <w:highlight w:val="none"/>
          <w:lang w:val="en-US" w:eastAsia="zh-CN"/>
        </w:rPr>
      </w:pPr>
      <w:r>
        <w:rPr>
          <w:rFonts w:hint="eastAsia" w:ascii="宋体" w:hAnsi="宋体" w:cs="宋体"/>
          <w:b/>
          <w:color w:val="auto"/>
          <w:kern w:val="0"/>
          <w:sz w:val="32"/>
          <w:szCs w:val="32"/>
          <w:highlight w:val="none"/>
          <w:lang w:val="en-US" w:eastAsia="zh-CN"/>
        </w:rPr>
        <w:t>四</w:t>
      </w:r>
      <w:r>
        <w:rPr>
          <w:rFonts w:hint="eastAsia" w:ascii="宋体" w:hAnsi="宋体" w:eastAsia="宋体" w:cs="宋体"/>
          <w:b/>
          <w:color w:val="auto"/>
          <w:kern w:val="0"/>
          <w:sz w:val="32"/>
          <w:szCs w:val="32"/>
          <w:highlight w:val="none"/>
        </w:rPr>
        <w:t>、</w:t>
      </w:r>
      <w:r>
        <w:rPr>
          <w:rFonts w:hint="eastAsia" w:ascii="宋体" w:hAnsi="宋体" w:eastAsia="宋体" w:cs="宋体"/>
          <w:b/>
          <w:color w:val="auto"/>
          <w:kern w:val="0"/>
          <w:sz w:val="32"/>
          <w:szCs w:val="32"/>
          <w:highlight w:val="none"/>
          <w:lang w:val="en-US" w:eastAsia="zh-CN"/>
        </w:rPr>
        <w:t>具有独立承担民事责任能力的证明材料</w:t>
      </w:r>
    </w:p>
    <w:p>
      <w:pPr>
        <w:pStyle w:val="19"/>
        <w:tabs>
          <w:tab w:val="left" w:pos="630"/>
          <w:tab w:val="left" w:pos="840"/>
          <w:tab w:val="left" w:pos="1050"/>
        </w:tabs>
        <w:spacing w:before="0" w:beforeAutospacing="0" w:after="0" w:afterAutospacing="0"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lang w:eastAsia="zh-CN"/>
        </w:rPr>
        <w:t>磋商</w:t>
      </w:r>
      <w:r>
        <w:rPr>
          <w:rFonts w:hint="eastAsia" w:ascii="宋体" w:hAnsi="宋体" w:eastAsia="宋体" w:cs="宋体"/>
          <w:bCs/>
          <w:sz w:val="21"/>
          <w:szCs w:val="21"/>
        </w:rPr>
        <w:t>供应商须在响应文件中出具符合以下情况的证明材料复印件（五选一）：</w:t>
      </w:r>
    </w:p>
    <w:p>
      <w:pPr>
        <w:pStyle w:val="19"/>
        <w:tabs>
          <w:tab w:val="left" w:pos="312"/>
        </w:tabs>
        <w:spacing w:before="0" w:beforeAutospacing="0" w:after="0" w:afterAutospacing="0" w:line="360" w:lineRule="auto"/>
        <w:ind w:firstLine="420" w:firstLineChars="200"/>
        <w:rPr>
          <w:rFonts w:hint="eastAsia" w:ascii="宋体" w:hAnsi="宋体" w:eastAsia="宋体" w:cs="宋体"/>
          <w:bCs/>
          <w:sz w:val="21"/>
          <w:szCs w:val="21"/>
        </w:rPr>
      </w:pPr>
      <w:r>
        <w:rPr>
          <w:rFonts w:hint="eastAsia" w:ascii="Times New Roman" w:hAnsi="Times New Roman" w:eastAsia="宋体"/>
          <w:bCs/>
          <w:sz w:val="21"/>
          <w:szCs w:val="21"/>
          <w:lang w:eastAsia="zh-CN"/>
        </w:rPr>
        <w:t>（</w:t>
      </w:r>
      <w:r>
        <w:rPr>
          <w:rFonts w:hint="eastAsia" w:ascii="Times New Roman" w:hAnsi="Times New Roman" w:eastAsia="宋体"/>
          <w:bCs/>
          <w:sz w:val="21"/>
          <w:szCs w:val="21"/>
          <w:lang w:val="en-US" w:eastAsia="zh-CN"/>
        </w:rPr>
        <w:t>1</w:t>
      </w:r>
      <w:r>
        <w:rPr>
          <w:rFonts w:hint="eastAsia" w:ascii="Times New Roman" w:hAnsi="Times New Roman" w:eastAsia="宋体"/>
          <w:bCs/>
          <w:sz w:val="21"/>
          <w:szCs w:val="21"/>
          <w:lang w:eastAsia="zh-CN"/>
        </w:rPr>
        <w:t>）</w:t>
      </w:r>
      <w:r>
        <w:rPr>
          <w:rFonts w:hint="eastAsia" w:ascii="宋体" w:hAnsi="宋体" w:eastAsia="宋体" w:cs="宋体"/>
          <w:bCs/>
          <w:sz w:val="21"/>
          <w:szCs w:val="21"/>
        </w:rPr>
        <w:t>如</w:t>
      </w:r>
      <w:r>
        <w:rPr>
          <w:rFonts w:hint="eastAsia" w:ascii="宋体" w:hAnsi="宋体" w:eastAsia="宋体" w:cs="宋体"/>
          <w:bCs/>
          <w:sz w:val="21"/>
          <w:szCs w:val="21"/>
          <w:lang w:eastAsia="zh-CN"/>
        </w:rPr>
        <w:t>磋商</w:t>
      </w:r>
      <w:r>
        <w:rPr>
          <w:rFonts w:hint="eastAsia" w:ascii="宋体" w:hAnsi="宋体" w:eastAsia="宋体" w:cs="宋体"/>
          <w:bCs/>
          <w:sz w:val="21"/>
          <w:szCs w:val="21"/>
        </w:rPr>
        <w:t>供应商是企业（包括合伙企业），提供在工商部门注册的有效“企业法人营业执照”或“营业执照”；</w:t>
      </w:r>
    </w:p>
    <w:p>
      <w:pPr>
        <w:pStyle w:val="19"/>
        <w:tabs>
          <w:tab w:val="left" w:pos="312"/>
        </w:tabs>
        <w:spacing w:before="0" w:beforeAutospacing="0" w:after="0" w:afterAutospacing="0" w:line="360" w:lineRule="auto"/>
        <w:ind w:firstLine="420" w:firstLineChars="200"/>
        <w:rPr>
          <w:rFonts w:hint="eastAsia" w:ascii="宋体" w:hAnsi="宋体" w:eastAsia="宋体" w:cs="宋体"/>
          <w:bCs/>
          <w:sz w:val="21"/>
          <w:szCs w:val="21"/>
        </w:rPr>
      </w:pPr>
      <w:r>
        <w:rPr>
          <w:rFonts w:hint="eastAsia" w:ascii="Times New Roman" w:hAnsi="Times New Roman" w:eastAsia="宋体"/>
          <w:bCs/>
          <w:sz w:val="21"/>
          <w:szCs w:val="21"/>
          <w:lang w:eastAsia="zh-CN"/>
        </w:rPr>
        <w:t>（</w:t>
      </w:r>
      <w:r>
        <w:rPr>
          <w:rFonts w:hint="eastAsia" w:ascii="Times New Roman" w:hAnsi="Times New Roman" w:eastAsia="宋体"/>
          <w:bCs/>
          <w:sz w:val="21"/>
          <w:szCs w:val="21"/>
          <w:lang w:val="en-US" w:eastAsia="zh-CN"/>
        </w:rPr>
        <w:t>2</w:t>
      </w:r>
      <w:r>
        <w:rPr>
          <w:rFonts w:hint="eastAsia" w:ascii="Times New Roman" w:hAnsi="Times New Roman" w:eastAsia="宋体"/>
          <w:bCs/>
          <w:sz w:val="21"/>
          <w:szCs w:val="21"/>
          <w:lang w:eastAsia="zh-CN"/>
        </w:rPr>
        <w:t>）</w:t>
      </w:r>
      <w:r>
        <w:rPr>
          <w:rFonts w:hint="eastAsia" w:ascii="宋体" w:hAnsi="宋体" w:eastAsia="宋体" w:cs="宋体"/>
          <w:bCs/>
          <w:sz w:val="21"/>
          <w:szCs w:val="21"/>
        </w:rPr>
        <w:t>如</w:t>
      </w:r>
      <w:r>
        <w:rPr>
          <w:rFonts w:hint="eastAsia" w:ascii="宋体" w:hAnsi="宋体" w:eastAsia="宋体" w:cs="宋体"/>
          <w:bCs/>
          <w:sz w:val="21"/>
          <w:szCs w:val="21"/>
          <w:lang w:eastAsia="zh-CN"/>
        </w:rPr>
        <w:t>磋商</w:t>
      </w:r>
      <w:r>
        <w:rPr>
          <w:rFonts w:hint="eastAsia" w:ascii="宋体" w:hAnsi="宋体" w:eastAsia="宋体" w:cs="宋体"/>
          <w:bCs/>
          <w:sz w:val="21"/>
          <w:szCs w:val="21"/>
        </w:rPr>
        <w:t>供应商是事业单位，提供有效的“事业单位法人证书”；</w:t>
      </w:r>
    </w:p>
    <w:p>
      <w:pPr>
        <w:pStyle w:val="19"/>
        <w:tabs>
          <w:tab w:val="left" w:pos="312"/>
        </w:tabs>
        <w:spacing w:before="0" w:beforeAutospacing="0" w:after="0" w:afterAutospacing="0" w:line="360" w:lineRule="auto"/>
        <w:ind w:firstLine="420" w:firstLineChars="200"/>
        <w:rPr>
          <w:rFonts w:hint="eastAsia" w:ascii="宋体" w:hAnsi="宋体" w:eastAsia="宋体" w:cs="宋体"/>
          <w:bCs/>
          <w:sz w:val="21"/>
          <w:szCs w:val="21"/>
        </w:rPr>
      </w:pPr>
      <w:r>
        <w:rPr>
          <w:rFonts w:hint="eastAsia" w:ascii="Times New Roman" w:hAnsi="Times New Roman" w:eastAsia="宋体"/>
          <w:bCs/>
          <w:sz w:val="21"/>
          <w:szCs w:val="21"/>
          <w:lang w:eastAsia="zh-CN"/>
        </w:rPr>
        <w:t>（</w:t>
      </w:r>
      <w:r>
        <w:rPr>
          <w:rFonts w:hint="eastAsia" w:ascii="Times New Roman" w:hAnsi="Times New Roman" w:eastAsia="宋体"/>
          <w:bCs/>
          <w:sz w:val="21"/>
          <w:szCs w:val="21"/>
          <w:lang w:val="en-US" w:eastAsia="zh-CN"/>
        </w:rPr>
        <w:t>3</w:t>
      </w:r>
      <w:r>
        <w:rPr>
          <w:rFonts w:hint="eastAsia" w:ascii="Times New Roman" w:hAnsi="Times New Roman" w:eastAsia="宋体"/>
          <w:bCs/>
          <w:sz w:val="21"/>
          <w:szCs w:val="21"/>
          <w:lang w:eastAsia="zh-CN"/>
        </w:rPr>
        <w:t>）</w:t>
      </w:r>
      <w:r>
        <w:rPr>
          <w:rFonts w:hint="eastAsia" w:ascii="宋体" w:hAnsi="宋体" w:eastAsia="宋体" w:cs="宋体"/>
          <w:bCs/>
          <w:sz w:val="21"/>
          <w:szCs w:val="21"/>
        </w:rPr>
        <w:t>如</w:t>
      </w:r>
      <w:r>
        <w:rPr>
          <w:rFonts w:hint="eastAsia" w:ascii="宋体" w:hAnsi="宋体" w:eastAsia="宋体" w:cs="宋体"/>
          <w:bCs/>
          <w:sz w:val="21"/>
          <w:szCs w:val="21"/>
          <w:lang w:eastAsia="zh-CN"/>
        </w:rPr>
        <w:t>磋商</w:t>
      </w:r>
      <w:r>
        <w:rPr>
          <w:rFonts w:hint="eastAsia" w:ascii="宋体" w:hAnsi="宋体" w:eastAsia="宋体" w:cs="宋体"/>
          <w:bCs/>
          <w:sz w:val="21"/>
          <w:szCs w:val="21"/>
        </w:rPr>
        <w:t>供应商是非企业专业服务机构的，提供执业许可证等证明文件；</w:t>
      </w:r>
    </w:p>
    <w:p>
      <w:pPr>
        <w:pStyle w:val="19"/>
        <w:tabs>
          <w:tab w:val="left" w:pos="312"/>
        </w:tabs>
        <w:spacing w:before="0" w:beforeAutospacing="0" w:after="0" w:afterAutospacing="0" w:line="360" w:lineRule="auto"/>
        <w:ind w:firstLine="420" w:firstLineChars="200"/>
        <w:rPr>
          <w:rFonts w:hint="eastAsia" w:ascii="宋体" w:hAnsi="宋体" w:eastAsia="宋体" w:cs="宋体"/>
          <w:bCs/>
          <w:sz w:val="21"/>
          <w:szCs w:val="21"/>
        </w:rPr>
      </w:pPr>
      <w:r>
        <w:rPr>
          <w:rFonts w:hint="eastAsia" w:ascii="Times New Roman" w:hAnsi="Times New Roman" w:eastAsia="宋体"/>
          <w:bCs/>
          <w:sz w:val="21"/>
          <w:szCs w:val="21"/>
          <w:lang w:eastAsia="zh-CN"/>
        </w:rPr>
        <w:t>（</w:t>
      </w:r>
      <w:r>
        <w:rPr>
          <w:rFonts w:hint="eastAsia" w:ascii="Times New Roman" w:hAnsi="Times New Roman" w:eastAsia="宋体"/>
          <w:bCs/>
          <w:sz w:val="21"/>
          <w:szCs w:val="21"/>
          <w:lang w:val="en-US" w:eastAsia="zh-CN"/>
        </w:rPr>
        <w:t>4</w:t>
      </w:r>
      <w:r>
        <w:rPr>
          <w:rFonts w:hint="eastAsia" w:ascii="Times New Roman" w:hAnsi="Times New Roman" w:eastAsia="宋体"/>
          <w:bCs/>
          <w:sz w:val="21"/>
          <w:szCs w:val="21"/>
          <w:lang w:eastAsia="zh-CN"/>
        </w:rPr>
        <w:t>）</w:t>
      </w:r>
      <w:r>
        <w:rPr>
          <w:rFonts w:hint="eastAsia" w:ascii="宋体" w:hAnsi="宋体" w:eastAsia="宋体" w:cs="宋体"/>
          <w:bCs/>
          <w:sz w:val="21"/>
          <w:szCs w:val="21"/>
        </w:rPr>
        <w:t>如</w:t>
      </w:r>
      <w:r>
        <w:rPr>
          <w:rFonts w:hint="eastAsia" w:ascii="宋体" w:hAnsi="宋体" w:eastAsia="宋体" w:cs="宋体"/>
          <w:bCs/>
          <w:sz w:val="21"/>
          <w:szCs w:val="21"/>
          <w:lang w:eastAsia="zh-CN"/>
        </w:rPr>
        <w:t>磋商</w:t>
      </w:r>
      <w:r>
        <w:rPr>
          <w:rFonts w:hint="eastAsia" w:ascii="宋体" w:hAnsi="宋体" w:eastAsia="宋体" w:cs="宋体"/>
          <w:bCs/>
          <w:sz w:val="21"/>
          <w:szCs w:val="21"/>
        </w:rPr>
        <w:t>供应商是个体工商户，提供有效的“个体工商户营业执照”；</w:t>
      </w:r>
    </w:p>
    <w:p>
      <w:pPr>
        <w:pStyle w:val="19"/>
        <w:tabs>
          <w:tab w:val="left" w:pos="312"/>
        </w:tabs>
        <w:spacing w:before="0" w:beforeAutospacing="0" w:after="0" w:afterAutospacing="0" w:line="360" w:lineRule="auto"/>
        <w:ind w:firstLine="420" w:firstLineChars="200"/>
        <w:rPr>
          <w:rFonts w:hint="eastAsia" w:ascii="宋体" w:hAnsi="宋体" w:eastAsia="宋体" w:cs="宋体"/>
          <w:bCs/>
          <w:sz w:val="21"/>
          <w:szCs w:val="21"/>
        </w:rPr>
      </w:pPr>
      <w:r>
        <w:rPr>
          <w:rFonts w:hint="eastAsia" w:ascii="Times New Roman" w:hAnsi="Times New Roman" w:eastAsia="宋体"/>
          <w:bCs/>
          <w:sz w:val="21"/>
          <w:szCs w:val="21"/>
          <w:lang w:eastAsia="zh-CN"/>
        </w:rPr>
        <w:t>（</w:t>
      </w:r>
      <w:r>
        <w:rPr>
          <w:rFonts w:hint="eastAsia" w:ascii="Times New Roman" w:hAnsi="Times New Roman" w:eastAsia="宋体"/>
          <w:bCs/>
          <w:sz w:val="21"/>
          <w:szCs w:val="21"/>
          <w:lang w:val="en-US" w:eastAsia="zh-CN"/>
        </w:rPr>
        <w:t>5</w:t>
      </w:r>
      <w:r>
        <w:rPr>
          <w:rFonts w:hint="eastAsia" w:ascii="Times New Roman" w:hAnsi="Times New Roman" w:eastAsia="宋体"/>
          <w:bCs/>
          <w:sz w:val="21"/>
          <w:szCs w:val="21"/>
          <w:lang w:eastAsia="zh-CN"/>
        </w:rPr>
        <w:t>）</w:t>
      </w:r>
      <w:r>
        <w:rPr>
          <w:rFonts w:hint="eastAsia" w:ascii="宋体" w:hAnsi="宋体" w:eastAsia="宋体" w:cs="宋体"/>
          <w:bCs/>
          <w:sz w:val="21"/>
          <w:szCs w:val="21"/>
        </w:rPr>
        <w:t>如</w:t>
      </w:r>
      <w:r>
        <w:rPr>
          <w:rFonts w:hint="eastAsia" w:ascii="宋体" w:hAnsi="宋体" w:eastAsia="宋体" w:cs="宋体"/>
          <w:bCs/>
          <w:sz w:val="21"/>
          <w:szCs w:val="21"/>
          <w:lang w:eastAsia="zh-CN"/>
        </w:rPr>
        <w:t>磋商</w:t>
      </w:r>
      <w:r>
        <w:rPr>
          <w:rFonts w:hint="eastAsia" w:ascii="宋体" w:hAnsi="宋体" w:eastAsia="宋体" w:cs="宋体"/>
          <w:bCs/>
          <w:sz w:val="21"/>
          <w:szCs w:val="21"/>
        </w:rPr>
        <w:t>供应商是自然人，提供有效的自然人身份证明（居民身份证正反面或公安机关出具的临时居民身份证正反面或港澳台胞证或护照）。</w:t>
      </w:r>
    </w:p>
    <w:p>
      <w:pPr>
        <w:pStyle w:val="19"/>
        <w:tabs>
          <w:tab w:val="left" w:pos="630"/>
          <w:tab w:val="left" w:pos="840"/>
          <w:tab w:val="left" w:pos="1050"/>
        </w:tabs>
        <w:spacing w:before="0" w:beforeAutospacing="0" w:after="0" w:afterAutospacing="0" w:line="360" w:lineRule="auto"/>
        <w:ind w:firstLine="420" w:firstLineChars="200"/>
        <w:rPr>
          <w:rFonts w:hint="eastAsia"/>
        </w:rPr>
      </w:pPr>
      <w:r>
        <w:rPr>
          <w:rFonts w:hint="eastAsia" w:ascii="宋体" w:hAnsi="宋体" w:eastAsia="宋体" w:cs="宋体"/>
          <w:bCs/>
          <w:sz w:val="21"/>
          <w:szCs w:val="21"/>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响应文件中提供相关材料），证明其具备实际承担责任的能力和法定的缔结合同能力，可以独立参加政府采购活动，由单位负责人签署相关文件材料。</w:t>
      </w:r>
    </w:p>
    <w:p>
      <w:pPr>
        <w:spacing w:line="360" w:lineRule="auto"/>
        <w:ind w:right="420" w:firstLine="0" w:firstLineChars="0"/>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pPr>
        <w:spacing w:line="360" w:lineRule="auto"/>
        <w:jc w:val="center"/>
        <w:outlineLvl w:val="0"/>
        <w:rPr>
          <w:rFonts w:hint="eastAsia" w:ascii="宋体" w:hAnsi="宋体" w:eastAsia="宋体" w:cs="宋体"/>
          <w:b/>
          <w:color w:val="auto"/>
          <w:kern w:val="0"/>
          <w:sz w:val="24"/>
          <w:highlight w:val="none"/>
        </w:rPr>
      </w:pPr>
    </w:p>
    <w:p>
      <w:pPr>
        <w:spacing w:line="360" w:lineRule="auto"/>
        <w:jc w:val="center"/>
        <w:outlineLvl w:val="0"/>
        <w:rPr>
          <w:rFonts w:hint="eastAsia" w:ascii="宋体" w:hAnsi="宋体" w:eastAsia="宋体" w:cs="宋体"/>
          <w:b/>
          <w:color w:val="auto"/>
          <w:kern w:val="0"/>
          <w:sz w:val="28"/>
          <w:szCs w:val="28"/>
          <w:highlight w:val="none"/>
        </w:rPr>
      </w:pPr>
      <w:bookmarkStart w:id="1091" w:name="_Toc1573"/>
      <w:bookmarkStart w:id="1092" w:name="_Toc20044"/>
      <w:bookmarkStart w:id="1093" w:name="_Toc12469"/>
      <w:r>
        <w:rPr>
          <w:rFonts w:hint="eastAsia" w:ascii="宋体" w:hAnsi="宋体" w:eastAsia="宋体" w:cs="宋体"/>
          <w:b/>
          <w:color w:val="auto"/>
          <w:kern w:val="0"/>
          <w:sz w:val="28"/>
          <w:szCs w:val="28"/>
          <w:highlight w:val="none"/>
        </w:rPr>
        <w:t>目录</w:t>
      </w:r>
      <w:bookmarkEnd w:id="1091"/>
      <w:bookmarkEnd w:id="1092"/>
      <w:bookmarkEnd w:id="1093"/>
    </w:p>
    <w:p>
      <w:pPr>
        <w:snapToGrid w:val="0"/>
        <w:spacing w:line="360" w:lineRule="auto"/>
        <w:ind w:left="479" w:leftChars="228"/>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磋商函</w:t>
      </w:r>
      <w:r>
        <w:rPr>
          <w:rFonts w:hint="eastAsia" w:ascii="宋体" w:hAnsi="宋体" w:eastAsia="宋体" w:cs="宋体"/>
          <w:color w:val="auto"/>
          <w:sz w:val="21"/>
          <w:szCs w:val="21"/>
          <w:highlight w:val="none"/>
        </w:rPr>
        <w:t>…………………………………………………………………………………（页码）（2）授权委托书或法定代表人（单位负责人、自然人本人）身份证明………………（页码）</w:t>
      </w:r>
    </w:p>
    <w:p>
      <w:pPr>
        <w:snapToGrid w:val="0"/>
        <w:spacing w:line="360" w:lineRule="auto"/>
        <w:ind w:left="479" w:leftChars="228"/>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）符合性审查资料………………………………………………………………………（页码）</w:t>
      </w:r>
    </w:p>
    <w:p>
      <w:pPr>
        <w:snapToGrid w:val="0"/>
        <w:spacing w:line="360" w:lineRule="auto"/>
        <w:ind w:left="479" w:leftChars="228"/>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）评标标准相应的商务技术资料………………………………………………………（页码）</w:t>
      </w:r>
    </w:p>
    <w:p>
      <w:pPr>
        <w:snapToGrid w:val="0"/>
        <w:spacing w:line="360" w:lineRule="auto"/>
        <w:ind w:left="479" w:leftChars="228"/>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）商务技术偏离表………………………………………………………………………（页码）</w:t>
      </w:r>
    </w:p>
    <w:p>
      <w:pPr>
        <w:snapToGrid w:val="0"/>
        <w:spacing w:line="360" w:lineRule="auto"/>
        <w:ind w:left="479" w:leftChars="228"/>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zh-CN"/>
        </w:rPr>
        <w:t>）政府采购供应商廉洁自律承诺书</w:t>
      </w:r>
      <w:r>
        <w:rPr>
          <w:rFonts w:hint="eastAsia" w:ascii="宋体" w:hAnsi="宋体" w:eastAsia="宋体" w:cs="宋体"/>
          <w:color w:val="auto"/>
          <w:sz w:val="21"/>
          <w:szCs w:val="21"/>
          <w:highlight w:val="none"/>
        </w:rPr>
        <w:t>……………………………………………………（页码）</w:t>
      </w: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pStyle w:val="3"/>
        <w:rPr>
          <w:rFonts w:hint="eastAsia"/>
          <w:color w:val="auto"/>
          <w:highlight w:val="none"/>
          <w:lang w:val="zh-CN"/>
        </w:rPr>
      </w:pPr>
    </w:p>
    <w:p>
      <w:pPr>
        <w:pStyle w:val="4"/>
        <w:rPr>
          <w:rFonts w:hint="eastAsia"/>
          <w:color w:val="auto"/>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rPr>
          <w:rFonts w:hint="eastAsia" w:ascii="宋体" w:hAnsi="宋体" w:eastAsia="宋体" w:cs="宋体"/>
          <w:b/>
          <w:color w:val="auto"/>
          <w:kern w:val="0"/>
          <w:sz w:val="32"/>
          <w:szCs w:val="32"/>
          <w:highlight w:val="none"/>
          <w:lang w:val="zh-CN"/>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rPr>
          <w:rFonts w:hint="eastAsia" w:ascii="宋体" w:hAnsi="宋体" w:eastAsia="宋体" w:cs="宋体"/>
          <w:color w:val="auto"/>
          <w:highlight w:val="none"/>
        </w:rPr>
      </w:pPr>
    </w:p>
    <w:p>
      <w:pPr>
        <w:pStyle w:val="9"/>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9"/>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9"/>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pStyle w:val="2"/>
        <w:rPr>
          <w:rFonts w:hint="eastAsia"/>
        </w:rPr>
      </w:pPr>
    </w:p>
    <w:p>
      <w:pPr>
        <w:snapToGrid w:val="0"/>
        <w:spacing w:line="360" w:lineRule="auto"/>
        <w:jc w:val="center"/>
        <w:outlineLvl w:val="0"/>
        <w:rPr>
          <w:rFonts w:hint="eastAsia" w:ascii="宋体" w:hAnsi="宋体" w:eastAsia="宋体" w:cs="宋体"/>
          <w:b/>
          <w:color w:val="auto"/>
          <w:kern w:val="0"/>
          <w:sz w:val="32"/>
          <w:szCs w:val="32"/>
          <w:highlight w:val="none"/>
        </w:rPr>
      </w:pPr>
    </w:p>
    <w:p>
      <w:pPr>
        <w:pStyle w:val="3"/>
        <w:rPr>
          <w:rFonts w:hint="eastAsia"/>
          <w:color w:val="auto"/>
          <w:highlight w:val="none"/>
        </w:rPr>
      </w:pPr>
    </w:p>
    <w:p>
      <w:pPr>
        <w:snapToGrid w:val="0"/>
        <w:spacing w:line="360" w:lineRule="auto"/>
        <w:jc w:val="center"/>
        <w:outlineLvl w:val="0"/>
        <w:rPr>
          <w:rFonts w:hint="eastAsia" w:ascii="宋体" w:hAnsi="宋体" w:eastAsia="宋体" w:cs="宋体"/>
          <w:b/>
          <w:color w:val="auto"/>
          <w:sz w:val="32"/>
          <w:szCs w:val="32"/>
          <w:highlight w:val="none"/>
          <w:lang w:eastAsia="zh-CN"/>
        </w:rPr>
      </w:pPr>
      <w:bookmarkStart w:id="1094" w:name="_Toc30424"/>
      <w:bookmarkStart w:id="1095" w:name="_Toc12199"/>
      <w:bookmarkStart w:id="1096" w:name="_Toc10469"/>
      <w:r>
        <w:rPr>
          <w:rFonts w:hint="eastAsia" w:ascii="宋体" w:hAnsi="宋体" w:eastAsia="宋体" w:cs="宋体"/>
          <w:b/>
          <w:color w:val="auto"/>
          <w:kern w:val="0"/>
          <w:sz w:val="32"/>
          <w:szCs w:val="32"/>
          <w:highlight w:val="none"/>
        </w:rPr>
        <w:t>一、</w:t>
      </w:r>
      <w:bookmarkEnd w:id="1094"/>
      <w:bookmarkEnd w:id="1095"/>
      <w:bookmarkEnd w:id="1096"/>
      <w:r>
        <w:rPr>
          <w:rFonts w:hint="eastAsia" w:ascii="宋体" w:hAnsi="宋体" w:cs="宋体"/>
          <w:b/>
          <w:color w:val="auto"/>
          <w:kern w:val="0"/>
          <w:sz w:val="32"/>
          <w:szCs w:val="32"/>
          <w:highlight w:val="none"/>
          <w:lang w:eastAsia="zh-CN"/>
        </w:rPr>
        <w:t>磋商函</w:t>
      </w:r>
    </w:p>
    <w:p>
      <w:pPr>
        <w:keepNext w:val="0"/>
        <w:keepLines w:val="0"/>
        <w:pageBreakBefore w:val="0"/>
        <w:widowControl w:val="0"/>
        <w:kinsoku/>
        <w:wordWrap/>
        <w:overflowPunct/>
        <w:topLinePunct w:val="0"/>
        <w:autoSpaceDE/>
        <w:autoSpaceDN/>
        <w:bidi w:val="0"/>
        <w:adjustRightInd w:val="0"/>
        <w:snapToGrid w:val="0"/>
        <w:spacing w:line="360" w:lineRule="atLeas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（采购人）、（采购代理机构）：</w:t>
      </w:r>
    </w:p>
    <w:p>
      <w:pPr>
        <w:keepNext w:val="0"/>
        <w:keepLines w:val="0"/>
        <w:pageBreakBefore w:val="0"/>
        <w:widowControl w:val="0"/>
        <w:kinsoku/>
        <w:wordWrap/>
        <w:overflowPunct/>
        <w:topLinePunct w:val="0"/>
        <w:autoSpaceDE/>
        <w:autoSpaceDN/>
        <w:bidi w:val="0"/>
        <w:adjustRightInd w:val="0"/>
        <w:snapToGrid w:val="0"/>
        <w:spacing w:line="36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我方参加你方组织的（项目名称）【</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编号：（采购编号）】</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的有关活动，并对此项目进行投标。为此：</w:t>
      </w:r>
    </w:p>
    <w:p>
      <w:pPr>
        <w:keepNext w:val="0"/>
        <w:keepLines w:val="0"/>
        <w:pageBreakBefore w:val="0"/>
        <w:widowControl w:val="0"/>
        <w:kinsoku/>
        <w:wordWrap/>
        <w:overflowPunct/>
        <w:topLinePunct w:val="0"/>
        <w:autoSpaceDE/>
        <w:autoSpaceDN/>
        <w:bidi w:val="0"/>
        <w:adjustRightInd w:val="0"/>
        <w:snapToGrid w:val="0"/>
        <w:spacing w:line="36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1、我方承诺投标有效期从提交</w:t>
      </w:r>
      <w:r>
        <w:rPr>
          <w:rFonts w:hint="eastAsia" w:ascii="宋体" w:hAnsi="宋体" w:eastAsia="宋体" w:cs="宋体"/>
          <w:color w:val="auto"/>
          <w:sz w:val="21"/>
          <w:szCs w:val="21"/>
          <w:highlight w:val="none"/>
          <w:lang w:eastAsia="zh-CN"/>
        </w:rPr>
        <w:t>磋商响应文件</w:t>
      </w:r>
      <w:r>
        <w:rPr>
          <w:rFonts w:hint="eastAsia" w:ascii="宋体" w:hAnsi="宋体" w:eastAsia="宋体" w:cs="宋体"/>
          <w:color w:val="auto"/>
          <w:sz w:val="21"/>
          <w:szCs w:val="21"/>
          <w:highlight w:val="none"/>
        </w:rPr>
        <w:t>的截止之日起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lang w:eastAsia="zh-CN"/>
        </w:rPr>
        <w:t>日</w:t>
      </w:r>
      <w:r>
        <w:rPr>
          <w:rFonts w:hint="eastAsia" w:ascii="宋体" w:hAnsi="宋体" w:eastAsia="宋体" w:cs="宋体"/>
          <w:color w:val="auto"/>
          <w:sz w:val="21"/>
          <w:szCs w:val="21"/>
          <w:highlight w:val="none"/>
        </w:rPr>
        <w:t>，本</w:t>
      </w:r>
      <w:r>
        <w:rPr>
          <w:rFonts w:hint="eastAsia" w:ascii="宋体" w:hAnsi="宋体" w:eastAsia="宋体" w:cs="宋体"/>
          <w:color w:val="auto"/>
          <w:sz w:val="21"/>
          <w:szCs w:val="21"/>
          <w:highlight w:val="none"/>
          <w:lang w:eastAsia="zh-CN"/>
        </w:rPr>
        <w:t>磋商响应文件</w:t>
      </w:r>
      <w:r>
        <w:rPr>
          <w:rFonts w:hint="eastAsia" w:ascii="宋体" w:hAnsi="宋体" w:eastAsia="宋体" w:cs="宋体"/>
          <w:color w:val="auto"/>
          <w:sz w:val="21"/>
          <w:szCs w:val="21"/>
          <w:highlight w:val="none"/>
        </w:rPr>
        <w:t>在投标有效期满之前均具有约束力。</w:t>
      </w:r>
    </w:p>
    <w:p>
      <w:pPr>
        <w:keepNext w:val="0"/>
        <w:keepLines w:val="0"/>
        <w:pageBreakBefore w:val="0"/>
        <w:widowControl w:val="0"/>
        <w:kinsoku/>
        <w:wordWrap/>
        <w:overflowPunct/>
        <w:topLinePunct w:val="0"/>
        <w:autoSpaceDE/>
        <w:autoSpaceDN/>
        <w:bidi w:val="0"/>
        <w:adjustRightInd w:val="0"/>
        <w:snapToGrid w:val="0"/>
        <w:spacing w:line="36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2、我方的</w:t>
      </w:r>
      <w:r>
        <w:rPr>
          <w:rFonts w:hint="eastAsia" w:ascii="宋体" w:hAnsi="宋体" w:eastAsia="宋体" w:cs="宋体"/>
          <w:color w:val="auto"/>
          <w:sz w:val="21"/>
          <w:szCs w:val="21"/>
          <w:highlight w:val="none"/>
          <w:lang w:eastAsia="zh-CN"/>
        </w:rPr>
        <w:t>磋商响应文件</w:t>
      </w:r>
      <w:r>
        <w:rPr>
          <w:rFonts w:hint="eastAsia" w:ascii="宋体" w:hAnsi="宋体" w:eastAsia="宋体" w:cs="宋体"/>
          <w:color w:val="auto"/>
          <w:sz w:val="21"/>
          <w:szCs w:val="21"/>
          <w:highlight w:val="none"/>
        </w:rPr>
        <w:t>包括以下内容：</w:t>
      </w:r>
    </w:p>
    <w:p>
      <w:pPr>
        <w:keepNext w:val="0"/>
        <w:keepLines w:val="0"/>
        <w:pageBreakBefore w:val="0"/>
        <w:widowControl w:val="0"/>
        <w:numPr>
          <w:ilvl w:val="0"/>
          <w:numId w:val="43"/>
        </w:numPr>
        <w:kinsoku/>
        <w:wordWrap/>
        <w:overflowPunct/>
        <w:topLinePunct w:val="0"/>
        <w:autoSpaceDE/>
        <w:autoSpaceDN/>
        <w:bidi w:val="0"/>
        <w:adjustRightInd w:val="0"/>
        <w:snapToGrid w:val="0"/>
        <w:spacing w:line="360" w:lineRule="atLeast"/>
        <w:ind w:left="425" w:leftChars="0" w:firstLine="215"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资格文件：</w:t>
      </w:r>
    </w:p>
    <w:p>
      <w:pPr>
        <w:keepNext w:val="0"/>
        <w:keepLines w:val="0"/>
        <w:pageBreakBefore w:val="0"/>
        <w:widowControl w:val="0"/>
        <w:numPr>
          <w:ilvl w:val="0"/>
          <w:numId w:val="44"/>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承诺函；</w:t>
      </w:r>
    </w:p>
    <w:p>
      <w:pPr>
        <w:keepNext w:val="0"/>
        <w:keepLines w:val="0"/>
        <w:pageBreakBefore w:val="0"/>
        <w:widowControl w:val="0"/>
        <w:numPr>
          <w:ilvl w:val="0"/>
          <w:numId w:val="44"/>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落实政府采购政策需满足的资格要求；</w:t>
      </w:r>
    </w:p>
    <w:p>
      <w:pPr>
        <w:keepNext w:val="0"/>
        <w:keepLines w:val="0"/>
        <w:pageBreakBefore w:val="0"/>
        <w:widowControl w:val="0"/>
        <w:numPr>
          <w:ilvl w:val="0"/>
          <w:numId w:val="44"/>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本项目的特定资格要求</w:t>
      </w:r>
      <w:r>
        <w:rPr>
          <w:rFonts w:hint="eastAsia" w:ascii="宋体" w:hAnsi="宋体" w:cs="宋体"/>
          <w:color w:val="auto"/>
          <w:sz w:val="21"/>
          <w:szCs w:val="21"/>
          <w:highlight w:val="none"/>
          <w:lang w:eastAsia="zh-CN"/>
        </w:rPr>
        <w:t>；</w:t>
      </w:r>
    </w:p>
    <w:p>
      <w:pPr>
        <w:keepNext w:val="0"/>
        <w:keepLines w:val="0"/>
        <w:pageBreakBefore w:val="0"/>
        <w:widowControl w:val="0"/>
        <w:numPr>
          <w:ilvl w:val="0"/>
          <w:numId w:val="44"/>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具有独立承担民事责任能力的证明材料。</w:t>
      </w:r>
    </w:p>
    <w:p>
      <w:pPr>
        <w:keepNext w:val="0"/>
        <w:keepLines w:val="0"/>
        <w:pageBreakBefore w:val="0"/>
        <w:widowControl w:val="0"/>
        <w:numPr>
          <w:ilvl w:val="0"/>
          <w:numId w:val="43"/>
        </w:numPr>
        <w:kinsoku/>
        <w:wordWrap/>
        <w:overflowPunct/>
        <w:topLinePunct w:val="0"/>
        <w:autoSpaceDE/>
        <w:autoSpaceDN/>
        <w:bidi w:val="0"/>
        <w:adjustRightInd w:val="0"/>
        <w:snapToGrid w:val="0"/>
        <w:spacing w:line="360" w:lineRule="atLeast"/>
        <w:ind w:left="425" w:leftChars="0" w:firstLine="215" w:firstLineChars="0"/>
        <w:textAlignment w:val="auto"/>
        <w:outlineLvl w:val="9"/>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商务技术</w:t>
      </w:r>
      <w:r>
        <w:rPr>
          <w:rFonts w:hint="eastAsia" w:ascii="宋体" w:hAnsi="宋体" w:eastAsia="宋体" w:cs="宋体"/>
          <w:color w:val="auto"/>
          <w:sz w:val="21"/>
          <w:szCs w:val="21"/>
          <w:highlight w:val="none"/>
          <w:lang w:val="zh-CN"/>
        </w:rPr>
        <w:t>文件：</w:t>
      </w:r>
    </w:p>
    <w:p>
      <w:pPr>
        <w:keepNext w:val="0"/>
        <w:keepLines w:val="0"/>
        <w:pageBreakBefore w:val="0"/>
        <w:widowControl w:val="0"/>
        <w:numPr>
          <w:ilvl w:val="0"/>
          <w:numId w:val="45"/>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磋商函</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zh-CN"/>
        </w:rPr>
        <w:t xml:space="preserve"> </w:t>
      </w:r>
    </w:p>
    <w:p>
      <w:pPr>
        <w:keepNext w:val="0"/>
        <w:keepLines w:val="0"/>
        <w:pageBreakBefore w:val="0"/>
        <w:widowControl w:val="0"/>
        <w:numPr>
          <w:ilvl w:val="0"/>
          <w:numId w:val="45"/>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授权委托书或法定代表人（单位负责人）身份证明；</w:t>
      </w:r>
    </w:p>
    <w:p>
      <w:pPr>
        <w:keepNext w:val="0"/>
        <w:keepLines w:val="0"/>
        <w:pageBreakBefore w:val="0"/>
        <w:widowControl w:val="0"/>
        <w:numPr>
          <w:ilvl w:val="0"/>
          <w:numId w:val="45"/>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符合性审查资料；</w:t>
      </w:r>
    </w:p>
    <w:p>
      <w:pPr>
        <w:keepNext w:val="0"/>
        <w:keepLines w:val="0"/>
        <w:pageBreakBefore w:val="0"/>
        <w:widowControl w:val="0"/>
        <w:numPr>
          <w:ilvl w:val="0"/>
          <w:numId w:val="45"/>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评标标准相应的商务技术资料；</w:t>
      </w:r>
    </w:p>
    <w:p>
      <w:pPr>
        <w:keepNext w:val="0"/>
        <w:keepLines w:val="0"/>
        <w:pageBreakBefore w:val="0"/>
        <w:widowControl w:val="0"/>
        <w:numPr>
          <w:ilvl w:val="0"/>
          <w:numId w:val="45"/>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商务技术偏离表；</w:t>
      </w:r>
    </w:p>
    <w:p>
      <w:pPr>
        <w:keepNext w:val="0"/>
        <w:keepLines w:val="0"/>
        <w:pageBreakBefore w:val="0"/>
        <w:widowControl w:val="0"/>
        <w:numPr>
          <w:ilvl w:val="0"/>
          <w:numId w:val="45"/>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政府采购供应商廉洁自律承诺书</w:t>
      </w:r>
      <w:r>
        <w:rPr>
          <w:rFonts w:hint="eastAsia" w:ascii="宋体" w:hAnsi="宋体" w:cs="宋体"/>
          <w:color w:val="auto"/>
          <w:sz w:val="21"/>
          <w:szCs w:val="21"/>
          <w:highlight w:val="none"/>
          <w:lang w:val="zh-CN"/>
        </w:rPr>
        <w:t>。</w:t>
      </w:r>
    </w:p>
    <w:p>
      <w:pPr>
        <w:keepNext w:val="0"/>
        <w:keepLines w:val="0"/>
        <w:pageBreakBefore w:val="0"/>
        <w:widowControl w:val="0"/>
        <w:numPr>
          <w:ilvl w:val="0"/>
          <w:numId w:val="43"/>
        </w:numPr>
        <w:kinsoku/>
        <w:wordWrap/>
        <w:overflowPunct/>
        <w:topLinePunct w:val="0"/>
        <w:autoSpaceDE/>
        <w:autoSpaceDN/>
        <w:bidi w:val="0"/>
        <w:adjustRightInd w:val="0"/>
        <w:snapToGrid w:val="0"/>
        <w:spacing w:line="360" w:lineRule="atLeast"/>
        <w:ind w:left="425" w:leftChars="0" w:firstLine="215"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报价文件</w:t>
      </w:r>
    </w:p>
    <w:p>
      <w:pPr>
        <w:keepNext w:val="0"/>
        <w:keepLines w:val="0"/>
        <w:pageBreakBefore w:val="0"/>
        <w:widowControl w:val="0"/>
        <w:numPr>
          <w:ilvl w:val="0"/>
          <w:numId w:val="46"/>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首轮报价一览表</w:t>
      </w:r>
      <w:r>
        <w:rPr>
          <w:rFonts w:hint="eastAsia" w:ascii="宋体" w:hAnsi="宋体" w:eastAsia="宋体" w:cs="宋体"/>
          <w:color w:val="auto"/>
          <w:sz w:val="21"/>
          <w:szCs w:val="21"/>
          <w:highlight w:val="none"/>
        </w:rPr>
        <w:t>；</w:t>
      </w:r>
    </w:p>
    <w:p>
      <w:pPr>
        <w:keepNext w:val="0"/>
        <w:keepLines w:val="0"/>
        <w:pageBreakBefore w:val="0"/>
        <w:widowControl w:val="0"/>
        <w:numPr>
          <w:ilvl w:val="0"/>
          <w:numId w:val="46"/>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报价；</w:t>
      </w:r>
    </w:p>
    <w:p>
      <w:pPr>
        <w:keepNext w:val="0"/>
        <w:keepLines w:val="0"/>
        <w:pageBreakBefore w:val="0"/>
        <w:widowControl w:val="0"/>
        <w:numPr>
          <w:ilvl w:val="0"/>
          <w:numId w:val="46"/>
        </w:numPr>
        <w:kinsoku/>
        <w:wordWrap/>
        <w:overflowPunct/>
        <w:topLinePunct w:val="0"/>
        <w:autoSpaceDE/>
        <w:autoSpaceDN/>
        <w:bidi w:val="0"/>
        <w:adjustRightInd w:val="0"/>
        <w:snapToGrid w:val="0"/>
        <w:spacing w:line="360" w:lineRule="atLeast"/>
        <w:ind w:left="425" w:leftChars="0" w:firstLine="415" w:firstLineChars="0"/>
        <w:textAlignment w:val="auto"/>
        <w:outlineLvl w:val="9"/>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已标价工程量清单</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3、我方承诺除商务技术偏离表列出的偏离外，我方响应</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的全部要求。</w:t>
      </w:r>
    </w:p>
    <w:p>
      <w:pPr>
        <w:keepNext w:val="0"/>
        <w:keepLines w:val="0"/>
        <w:pageBreakBefore w:val="0"/>
        <w:widowControl w:val="0"/>
        <w:kinsoku/>
        <w:wordWrap/>
        <w:overflowPunct/>
        <w:topLinePunct w:val="0"/>
        <w:autoSpaceDE/>
        <w:autoSpaceDN/>
        <w:bidi w:val="0"/>
        <w:adjustRightInd w:val="0"/>
        <w:snapToGrid w:val="0"/>
        <w:spacing w:line="36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4、如我方中标，我方承诺：</w:t>
      </w:r>
    </w:p>
    <w:p>
      <w:pPr>
        <w:keepNext w:val="0"/>
        <w:keepLines w:val="0"/>
        <w:pageBreakBefore w:val="0"/>
        <w:widowControl w:val="0"/>
        <w:kinsoku/>
        <w:wordWrap/>
        <w:overflowPunct/>
        <w:topLinePunct w:val="0"/>
        <w:autoSpaceDE/>
        <w:autoSpaceDN/>
        <w:bidi w:val="0"/>
        <w:adjustRightInd w:val="0"/>
        <w:snapToGrid w:val="0"/>
        <w:spacing w:line="360" w:lineRule="atLeast"/>
        <w:ind w:left="210" w:leftChars="100"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4.1在收到</w:t>
      </w:r>
      <w:r>
        <w:rPr>
          <w:rFonts w:hint="eastAsia" w:ascii="宋体" w:hAnsi="宋体" w:eastAsia="宋体" w:cs="宋体"/>
          <w:color w:val="auto"/>
          <w:sz w:val="21"/>
          <w:szCs w:val="21"/>
          <w:highlight w:val="none"/>
          <w:lang w:eastAsia="zh-CN"/>
        </w:rPr>
        <w:t>成交通知书</w:t>
      </w:r>
      <w:r>
        <w:rPr>
          <w:rFonts w:hint="eastAsia" w:ascii="宋体" w:hAnsi="宋体" w:eastAsia="宋体" w:cs="宋体"/>
          <w:color w:val="auto"/>
          <w:sz w:val="21"/>
          <w:szCs w:val="21"/>
          <w:highlight w:val="none"/>
        </w:rPr>
        <w:t>后，在</w:t>
      </w:r>
      <w:r>
        <w:rPr>
          <w:rFonts w:hint="eastAsia" w:ascii="宋体" w:hAnsi="宋体" w:eastAsia="宋体" w:cs="宋体"/>
          <w:color w:val="auto"/>
          <w:sz w:val="21"/>
          <w:szCs w:val="21"/>
          <w:highlight w:val="none"/>
          <w:lang w:eastAsia="zh-CN"/>
        </w:rPr>
        <w:t>成交通知书</w:t>
      </w:r>
      <w:r>
        <w:rPr>
          <w:rFonts w:hint="eastAsia" w:ascii="宋体" w:hAnsi="宋体" w:eastAsia="宋体" w:cs="宋体"/>
          <w:color w:val="auto"/>
          <w:sz w:val="21"/>
          <w:szCs w:val="21"/>
          <w:highlight w:val="none"/>
        </w:rPr>
        <w:t xml:space="preserve">规定的期限内与你方签订合同； </w:t>
      </w:r>
    </w:p>
    <w:p>
      <w:pPr>
        <w:keepNext w:val="0"/>
        <w:keepLines w:val="0"/>
        <w:pageBreakBefore w:val="0"/>
        <w:widowControl w:val="0"/>
        <w:kinsoku/>
        <w:wordWrap/>
        <w:overflowPunct/>
        <w:topLinePunct w:val="0"/>
        <w:autoSpaceDE/>
        <w:autoSpaceDN/>
        <w:bidi w:val="0"/>
        <w:adjustRightInd w:val="0"/>
        <w:snapToGrid w:val="0"/>
        <w:spacing w:line="360" w:lineRule="atLeast"/>
        <w:ind w:left="210" w:leftChars="100"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4.2在签订合同时不向你方提出附加条件； </w:t>
      </w:r>
    </w:p>
    <w:p>
      <w:pPr>
        <w:keepNext w:val="0"/>
        <w:keepLines w:val="0"/>
        <w:pageBreakBefore w:val="0"/>
        <w:widowControl w:val="0"/>
        <w:kinsoku/>
        <w:wordWrap/>
        <w:overflowPunct/>
        <w:topLinePunct w:val="0"/>
        <w:autoSpaceDE/>
        <w:autoSpaceDN/>
        <w:bidi w:val="0"/>
        <w:adjustRightInd w:val="0"/>
        <w:snapToGrid w:val="0"/>
        <w:spacing w:line="360" w:lineRule="atLeast"/>
        <w:ind w:left="210" w:leftChars="100"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4.3按照</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 xml:space="preserve">要求提交履约保证金； </w:t>
      </w:r>
    </w:p>
    <w:p>
      <w:pPr>
        <w:keepNext w:val="0"/>
        <w:keepLines w:val="0"/>
        <w:pageBreakBefore w:val="0"/>
        <w:widowControl w:val="0"/>
        <w:kinsoku/>
        <w:wordWrap/>
        <w:overflowPunct/>
        <w:topLinePunct w:val="0"/>
        <w:autoSpaceDE/>
        <w:autoSpaceDN/>
        <w:bidi w:val="0"/>
        <w:adjustRightInd w:val="0"/>
        <w:snapToGrid w:val="0"/>
        <w:spacing w:line="360" w:lineRule="atLeast"/>
        <w:ind w:left="210" w:leftChars="100"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4.4在合同约定的期限内完成合同规定的全部义务。 </w:t>
      </w:r>
    </w:p>
    <w:p>
      <w:pPr>
        <w:keepNext w:val="0"/>
        <w:keepLines w:val="0"/>
        <w:pageBreakBefore w:val="0"/>
        <w:widowControl w:val="0"/>
        <w:kinsoku/>
        <w:wordWrap/>
        <w:overflowPunct/>
        <w:topLinePunct w:val="0"/>
        <w:autoSpaceDE/>
        <w:autoSpaceDN/>
        <w:bidi w:val="0"/>
        <w:adjustRightInd w:val="0"/>
        <w:snapToGrid w:val="0"/>
        <w:spacing w:line="360" w:lineRule="atLeast"/>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5、其他补充说明: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pacing w:line="360" w:lineRule="atLeast"/>
        <w:ind w:firstLine="3150" w:firstLineChars="1500"/>
        <w:textAlignment w:val="auto"/>
        <w:outlineLvl w:val="9"/>
        <w:rPr>
          <w:rFonts w:hint="eastAsia" w:ascii="宋体" w:hAnsi="宋体" w:eastAsia="宋体" w:cs="宋体"/>
          <w:color w:val="auto"/>
          <w:sz w:val="21"/>
          <w:szCs w:val="21"/>
          <w:highlight w:val="none"/>
          <w:lang w:eastAsia="zh-CN"/>
        </w:rPr>
      </w:pPr>
    </w:p>
    <w:p>
      <w:pPr>
        <w:keepNext w:val="0"/>
        <w:keepLines w:val="0"/>
        <w:pageBreakBefore w:val="0"/>
        <w:widowControl w:val="0"/>
        <w:kinsoku/>
        <w:wordWrap/>
        <w:overflowPunct/>
        <w:topLinePunct w:val="0"/>
        <w:autoSpaceDE/>
        <w:autoSpaceDN/>
        <w:bidi w:val="0"/>
        <w:adjustRightInd w:val="0"/>
        <w:spacing w:line="360" w:lineRule="atLeast"/>
        <w:ind w:firstLine="3150" w:firstLineChars="15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 xml:space="preserve">名称（电子签名）：                          </w:t>
      </w:r>
    </w:p>
    <w:p>
      <w:pPr>
        <w:keepNext w:val="0"/>
        <w:keepLines w:val="0"/>
        <w:pageBreakBefore w:val="0"/>
        <w:widowControl w:val="0"/>
        <w:kinsoku/>
        <w:wordWrap/>
        <w:overflowPunct/>
        <w:topLinePunct w:val="0"/>
        <w:autoSpaceDE/>
        <w:autoSpaceDN/>
        <w:bidi w:val="0"/>
        <w:adjustRightInd w:val="0"/>
        <w:spacing w:line="360" w:lineRule="atLeast"/>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日期：  年   月   日</w:t>
      </w:r>
    </w:p>
    <w:p>
      <w:pPr>
        <w:pStyle w:val="9"/>
        <w:keepNext w:val="0"/>
        <w:keepLines w:val="0"/>
        <w:pageBreakBefore w:val="0"/>
        <w:widowControl w:val="0"/>
        <w:kinsoku/>
        <w:wordWrap/>
        <w:overflowPunct/>
        <w:topLinePunct w:val="0"/>
        <w:autoSpaceDE/>
        <w:autoSpaceDN/>
        <w:bidi w:val="0"/>
        <w:adjustRightInd w:val="0"/>
        <w:spacing w:line="360" w:lineRule="atLeast"/>
        <w:textAlignment w:val="auto"/>
        <w:outlineLvl w:val="9"/>
        <w:rPr>
          <w:rFonts w:hint="eastAsia" w:ascii="宋体" w:hAnsi="宋体" w:eastAsia="宋体" w:cs="宋体"/>
          <w:b/>
          <w:color w:val="auto"/>
          <w:kern w:val="0"/>
          <w:sz w:val="21"/>
          <w:szCs w:val="21"/>
          <w:highlight w:val="none"/>
          <w:lang w:val="zh-CN"/>
        </w:rPr>
      </w:pPr>
      <w:r>
        <w:rPr>
          <w:rFonts w:hint="eastAsia" w:ascii="宋体" w:hAnsi="宋体" w:eastAsia="宋体" w:cs="宋体"/>
          <w:color w:val="auto"/>
          <w:sz w:val="21"/>
          <w:szCs w:val="21"/>
          <w:highlight w:val="none"/>
          <w:lang w:val="en-US" w:eastAsia="zh-CN"/>
        </w:rPr>
        <w:t>注：按本格式和要求提供</w:t>
      </w:r>
    </w:p>
    <w:p>
      <w:pPr>
        <w:spacing w:line="240" w:lineRule="auto"/>
        <w:jc w:val="center"/>
        <w:rPr>
          <w:rFonts w:hint="eastAsia" w:ascii="宋体" w:hAnsi="宋体" w:eastAsia="宋体" w:cs="宋体"/>
          <w:b/>
          <w:color w:val="auto"/>
          <w:kern w:val="0"/>
          <w:sz w:val="32"/>
          <w:szCs w:val="32"/>
          <w:highlight w:val="none"/>
          <w:lang w:val="zh-CN"/>
        </w:rPr>
      </w:pPr>
    </w:p>
    <w:p>
      <w:pPr>
        <w:spacing w:line="240" w:lineRule="auto"/>
        <w:jc w:val="center"/>
        <w:rPr>
          <w:rFonts w:hint="eastAsia" w:ascii="宋体" w:hAnsi="宋体" w:eastAsia="宋体" w:cs="宋体"/>
          <w:b/>
          <w:color w:val="auto"/>
          <w:kern w:val="0"/>
          <w:sz w:val="32"/>
          <w:szCs w:val="32"/>
          <w:highlight w:val="none"/>
          <w:lang w:val="zh-CN"/>
        </w:rPr>
      </w:pPr>
    </w:p>
    <w:p>
      <w:pPr>
        <w:spacing w:line="240" w:lineRule="auto"/>
        <w:jc w:val="center"/>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lang w:val="zh-CN"/>
        </w:rPr>
        <w:t>二、授权委托书或法定代表人（单位负责人、自然人本人）身份证明</w:t>
      </w:r>
    </w:p>
    <w:p>
      <w:pPr>
        <w:spacing w:line="240" w:lineRule="auto"/>
        <w:ind w:firstLine="0" w:firstLineChars="0"/>
        <w:jc w:val="center"/>
        <w:rPr>
          <w:rFonts w:hint="eastAsia" w:ascii="宋体" w:hAnsi="宋体" w:eastAsia="宋体" w:cs="宋体"/>
          <w:b/>
          <w:bCs/>
          <w:color w:val="auto"/>
          <w:sz w:val="32"/>
          <w:szCs w:val="40"/>
          <w:highlight w:val="none"/>
        </w:rPr>
      </w:pPr>
      <w:r>
        <w:rPr>
          <w:rFonts w:hint="eastAsia" w:ascii="宋体" w:hAnsi="宋体" w:eastAsia="宋体" w:cs="宋体"/>
          <w:b/>
          <w:bCs/>
          <w:color w:val="auto"/>
          <w:sz w:val="32"/>
          <w:szCs w:val="40"/>
          <w:highlight w:val="none"/>
        </w:rPr>
        <w:t>法定代表人授权书</w:t>
      </w:r>
    </w:p>
    <w:p>
      <w:pPr>
        <w:pStyle w:val="19"/>
        <w:spacing w:before="0" w:beforeAutospacing="0" w:after="0" w:afterAutospacing="0"/>
        <w:ind w:firstLine="420"/>
        <w:rPr>
          <w:rFonts w:hint="eastAsia" w:ascii="宋体" w:hAnsi="宋体" w:eastAsia="宋体" w:cs="宋体"/>
          <w:color w:val="auto"/>
          <w:szCs w:val="21"/>
          <w:highlight w:val="none"/>
        </w:rPr>
      </w:pPr>
    </w:p>
    <w:p>
      <w:pPr>
        <w:widowControl/>
        <w:autoSpaceDE w:val="0"/>
        <w:autoSpaceDN w:val="0"/>
        <w:spacing w:line="360" w:lineRule="auto"/>
        <w:ind w:firstLine="0" w:firstLineChars="0"/>
        <w:rPr>
          <w:rStyle w:val="27"/>
          <w:rFonts w:hint="eastAsia" w:ascii="宋体" w:hAnsi="宋体" w:eastAsia="宋体" w:cs="宋体"/>
          <w:color w:val="auto"/>
          <w:sz w:val="21"/>
          <w:szCs w:val="21"/>
          <w:highlight w:val="none"/>
        </w:rPr>
      </w:pPr>
      <w:r>
        <w:rPr>
          <w:rFonts w:hint="eastAsia" w:ascii="宋体" w:hAnsi="宋体" w:eastAsia="宋体" w:cs="宋体"/>
          <w:b w:val="0"/>
          <w:bCs/>
          <w:color w:val="auto"/>
          <w:sz w:val="21"/>
          <w:szCs w:val="21"/>
          <w:highlight w:val="none"/>
          <w:u w:val="single"/>
          <w:lang w:val="en-US" w:eastAsia="zh-CN"/>
        </w:rPr>
        <w:t xml:space="preserve"> 采购人、采购代理机构   </w:t>
      </w:r>
      <w:r>
        <w:rPr>
          <w:rFonts w:hint="eastAsia" w:ascii="宋体" w:hAnsi="宋体" w:eastAsia="宋体" w:cs="宋体"/>
          <w:b w:val="0"/>
          <w:bCs/>
          <w:color w:val="auto"/>
          <w:sz w:val="21"/>
          <w:szCs w:val="21"/>
          <w:highlight w:val="none"/>
          <w:lang w:bidi="ar"/>
        </w:rPr>
        <w:t>：</w:t>
      </w:r>
    </w:p>
    <w:p>
      <w:pPr>
        <w:spacing w:line="360" w:lineRule="auto"/>
        <w:ind w:firstLine="612"/>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本授权委托书声明：我</w:t>
      </w:r>
      <w:r>
        <w:rPr>
          <w:rFonts w:hint="eastAsia" w:ascii="宋体" w:hAnsi="宋体" w:eastAsia="宋体" w:cs="宋体"/>
          <w:i/>
          <w:iCs/>
          <w:color w:val="auto"/>
          <w:sz w:val="21"/>
          <w:szCs w:val="21"/>
          <w:highlight w:val="none"/>
          <w:u w:val="single"/>
          <w:lang w:bidi="ar"/>
        </w:rPr>
        <w:t>（法人代表姓名）</w:t>
      </w:r>
      <w:r>
        <w:rPr>
          <w:rFonts w:hint="eastAsia" w:ascii="宋体" w:hAnsi="宋体" w:eastAsia="宋体" w:cs="宋体"/>
          <w:color w:val="auto"/>
          <w:sz w:val="21"/>
          <w:szCs w:val="21"/>
          <w:highlight w:val="none"/>
          <w:lang w:bidi="ar"/>
        </w:rPr>
        <w:t>系</w:t>
      </w:r>
      <w:r>
        <w:rPr>
          <w:rFonts w:hint="eastAsia" w:ascii="宋体" w:hAnsi="宋体" w:eastAsia="宋体" w:cs="宋体"/>
          <w:i/>
          <w:iCs/>
          <w:color w:val="auto"/>
          <w:sz w:val="21"/>
          <w:szCs w:val="21"/>
          <w:highlight w:val="none"/>
          <w:u w:val="single"/>
          <w:lang w:bidi="ar"/>
        </w:rPr>
        <w:t>（</w:t>
      </w:r>
      <w:r>
        <w:rPr>
          <w:rFonts w:hint="eastAsia" w:ascii="宋体" w:hAnsi="宋体" w:eastAsia="宋体" w:cs="宋体"/>
          <w:i/>
          <w:iCs/>
          <w:color w:val="auto"/>
          <w:sz w:val="21"/>
          <w:szCs w:val="21"/>
          <w:highlight w:val="none"/>
          <w:u w:val="single"/>
          <w:lang w:eastAsia="zh-CN" w:bidi="ar"/>
        </w:rPr>
        <w:t>磋商供应商</w:t>
      </w:r>
      <w:r>
        <w:rPr>
          <w:rFonts w:hint="eastAsia" w:ascii="宋体" w:hAnsi="宋体" w:eastAsia="宋体" w:cs="宋体"/>
          <w:i/>
          <w:iCs/>
          <w:color w:val="auto"/>
          <w:sz w:val="21"/>
          <w:szCs w:val="21"/>
          <w:highlight w:val="none"/>
          <w:u w:val="single"/>
          <w:lang w:bidi="ar"/>
        </w:rPr>
        <w:t>名称）</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lang w:bidi="ar"/>
        </w:rPr>
        <w:t>的法定代表人，现授权委托</w:t>
      </w:r>
      <w:r>
        <w:rPr>
          <w:rFonts w:hint="eastAsia" w:ascii="宋体" w:hAnsi="宋体" w:eastAsia="宋体" w:cs="宋体"/>
          <w:i/>
          <w:iCs/>
          <w:color w:val="auto"/>
          <w:sz w:val="21"/>
          <w:szCs w:val="21"/>
          <w:highlight w:val="none"/>
          <w:u w:val="single"/>
          <w:lang w:bidi="ar"/>
        </w:rPr>
        <w:t>（授权代表姓名）</w:t>
      </w:r>
      <w:r>
        <w:rPr>
          <w:rFonts w:hint="eastAsia" w:ascii="宋体" w:hAnsi="宋体" w:eastAsia="宋体" w:cs="宋体"/>
          <w:color w:val="auto"/>
          <w:sz w:val="21"/>
          <w:szCs w:val="21"/>
          <w:highlight w:val="none"/>
          <w:lang w:bidi="ar"/>
        </w:rPr>
        <w:t>为我公司法定代表人授权代表，参加贵处组织的</w:t>
      </w:r>
      <w:r>
        <w:rPr>
          <w:rStyle w:val="27"/>
          <w:rFonts w:hint="eastAsia" w:ascii="宋体" w:hAnsi="宋体" w:eastAsia="宋体" w:cs="宋体"/>
          <w:color w:val="auto"/>
          <w:sz w:val="21"/>
          <w:szCs w:val="21"/>
          <w:highlight w:val="none"/>
          <w:u w:val="single"/>
        </w:rPr>
        <w:t xml:space="preserve">       项目名称         </w:t>
      </w:r>
      <w:r>
        <w:rPr>
          <w:rStyle w:val="27"/>
          <w:rFonts w:hint="eastAsia" w:ascii="宋体" w:hAnsi="宋体" w:eastAsia="宋体" w:cs="宋体"/>
          <w:color w:val="auto"/>
          <w:sz w:val="21"/>
          <w:szCs w:val="21"/>
          <w:highlight w:val="none"/>
        </w:rPr>
        <w:t>（项目编号：    ）</w:t>
      </w:r>
      <w:r>
        <w:rPr>
          <w:rFonts w:hint="eastAsia" w:ascii="宋体" w:hAnsi="宋体" w:eastAsia="宋体" w:cs="宋体"/>
          <w:color w:val="auto"/>
          <w:sz w:val="21"/>
          <w:szCs w:val="21"/>
          <w:highlight w:val="none"/>
          <w:lang w:bidi="ar"/>
        </w:rPr>
        <w:t>投标，全权处理本次招投标活动中的一切事宜，我承认授权代表全权代表我所签署的本项目的</w:t>
      </w:r>
      <w:r>
        <w:rPr>
          <w:rFonts w:hint="eastAsia" w:ascii="宋体" w:hAnsi="宋体" w:eastAsia="宋体" w:cs="宋体"/>
          <w:color w:val="auto"/>
          <w:sz w:val="21"/>
          <w:szCs w:val="21"/>
          <w:highlight w:val="none"/>
          <w:lang w:eastAsia="zh-CN" w:bidi="ar"/>
        </w:rPr>
        <w:t>磋商响应文件</w:t>
      </w:r>
      <w:r>
        <w:rPr>
          <w:rFonts w:hint="eastAsia" w:ascii="宋体" w:hAnsi="宋体" w:eastAsia="宋体" w:cs="宋体"/>
          <w:color w:val="auto"/>
          <w:sz w:val="21"/>
          <w:szCs w:val="21"/>
          <w:highlight w:val="none"/>
          <w:lang w:bidi="ar"/>
        </w:rPr>
        <w:t>的内容。</w:t>
      </w:r>
    </w:p>
    <w:p>
      <w:pPr>
        <w:spacing w:line="360" w:lineRule="auto"/>
        <w:ind w:firstLine="697"/>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授权代表无转授权，特此授权。</w:t>
      </w:r>
    </w:p>
    <w:p>
      <w:pPr>
        <w:spacing w:line="240" w:lineRule="auto"/>
        <w:jc w:val="left"/>
        <w:outlineLvl w:val="9"/>
        <w:rPr>
          <w:rFonts w:hint="eastAsia" w:ascii="宋体" w:hAnsi="宋体" w:eastAsia="宋体" w:cs="宋体"/>
          <w:color w:val="auto"/>
          <w:sz w:val="21"/>
          <w:szCs w:val="21"/>
          <w:highlight w:val="none"/>
        </w:rPr>
      </w:pPr>
    </w:p>
    <w:p>
      <w:pPr>
        <w:spacing w:line="240" w:lineRule="auto"/>
        <w:jc w:val="left"/>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bidi="ar"/>
        </w:rPr>
        <w:t>授权代表</w:t>
      </w:r>
      <w:r>
        <w:rPr>
          <w:rFonts w:hint="eastAsia" w:ascii="宋体" w:hAnsi="宋体" w:eastAsia="宋体" w:cs="宋体"/>
          <w:color w:val="auto"/>
          <w:sz w:val="21"/>
          <w:szCs w:val="21"/>
          <w:highlight w:val="none"/>
          <w:lang w:val="en-US" w:eastAsia="zh-CN" w:bidi="ar"/>
        </w:rPr>
        <w:t>签字：</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u w:val="single"/>
          <w:lang w:val="en-US" w:eastAsia="zh-CN" w:bidi="ar"/>
        </w:rPr>
        <w:t xml:space="preserve">                </w:t>
      </w:r>
      <w:r>
        <w:rPr>
          <w:rFonts w:hint="eastAsia" w:ascii="宋体" w:hAnsi="宋体" w:eastAsia="宋体" w:cs="宋体"/>
          <w:color w:val="auto"/>
          <w:sz w:val="21"/>
          <w:szCs w:val="21"/>
          <w:highlight w:val="none"/>
          <w:lang w:val="en-US" w:eastAsia="zh-CN" w:bidi="ar"/>
        </w:rPr>
        <w:t xml:space="preserve"> </w:t>
      </w:r>
      <w:r>
        <w:rPr>
          <w:rFonts w:hint="eastAsia" w:ascii="宋体" w:hAnsi="宋体" w:eastAsia="宋体" w:cs="宋体"/>
          <w:color w:val="auto"/>
          <w:sz w:val="21"/>
          <w:szCs w:val="21"/>
          <w:highlight w:val="none"/>
          <w:lang w:bidi="ar"/>
        </w:rPr>
        <w:t>职务：</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u w:val="single"/>
          <w:lang w:val="en-US" w:eastAsia="zh-CN" w:bidi="ar"/>
        </w:rPr>
        <w:t xml:space="preserve">  </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u w:val="single"/>
          <w:lang w:val="en-US" w:eastAsia="zh-CN" w:bidi="ar"/>
        </w:rPr>
        <w:t xml:space="preserve">   </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u w:val="single"/>
          <w:lang w:val="en-US" w:eastAsia="zh-CN" w:bidi="ar"/>
        </w:rPr>
        <w:t xml:space="preserve">  </w:t>
      </w:r>
      <w:r>
        <w:rPr>
          <w:rFonts w:hint="eastAsia" w:ascii="宋体" w:hAnsi="宋体" w:eastAsia="宋体" w:cs="宋体"/>
          <w:color w:val="auto"/>
          <w:sz w:val="21"/>
          <w:szCs w:val="21"/>
          <w:highlight w:val="none"/>
          <w:lang w:bidi="ar"/>
        </w:rPr>
        <w:t>电</w:t>
      </w:r>
      <w:r>
        <w:rPr>
          <w:rFonts w:hint="eastAsia" w:ascii="宋体" w:hAnsi="宋体" w:eastAsia="宋体" w:cs="宋体"/>
          <w:color w:val="auto"/>
          <w:sz w:val="21"/>
          <w:szCs w:val="21"/>
          <w:highlight w:val="none"/>
          <w:lang w:val="en-US" w:eastAsia="zh-CN" w:bidi="ar"/>
        </w:rPr>
        <w:t>联系方式</w:t>
      </w:r>
      <w:r>
        <w:rPr>
          <w:rFonts w:hint="eastAsia" w:ascii="宋体" w:hAnsi="宋体" w:eastAsia="宋体" w:cs="宋体"/>
          <w:color w:val="auto"/>
          <w:sz w:val="21"/>
          <w:szCs w:val="21"/>
          <w:highlight w:val="none"/>
          <w:lang w:bidi="ar"/>
        </w:rPr>
        <w:t>：</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u w:val="single"/>
          <w:lang w:val="en-US" w:eastAsia="zh-CN" w:bidi="ar"/>
        </w:rPr>
        <w:t xml:space="preserve">        </w:t>
      </w:r>
    </w:p>
    <w:p>
      <w:pPr>
        <w:spacing w:line="240" w:lineRule="auto"/>
        <w:ind w:firstLine="2940" w:firstLineChars="1400"/>
        <w:jc w:val="left"/>
        <w:outlineLvl w:val="9"/>
        <w:rPr>
          <w:rFonts w:hint="eastAsia" w:ascii="宋体" w:hAnsi="宋体" w:eastAsia="宋体" w:cs="宋体"/>
          <w:color w:val="auto"/>
          <w:sz w:val="21"/>
          <w:szCs w:val="21"/>
          <w:highlight w:val="none"/>
        </w:rPr>
      </w:pPr>
    </w:p>
    <w:p>
      <w:pPr>
        <w:spacing w:line="360" w:lineRule="auto"/>
        <w:jc w:val="left"/>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附：</w:t>
      </w:r>
      <w:r>
        <w:rPr>
          <w:rFonts w:hint="eastAsia" w:ascii="宋体" w:hAnsi="宋体" w:eastAsia="宋体" w:cs="宋体"/>
          <w:b/>
          <w:bCs/>
          <w:color w:val="auto"/>
          <w:sz w:val="21"/>
          <w:szCs w:val="21"/>
          <w:highlight w:val="none"/>
          <w:lang w:eastAsia="zh-CN"/>
        </w:rPr>
        <w:t>磋商供应商</w:t>
      </w:r>
      <w:r>
        <w:rPr>
          <w:rFonts w:hint="eastAsia" w:ascii="宋体" w:hAnsi="宋体" w:eastAsia="宋体" w:cs="宋体"/>
          <w:b/>
          <w:bCs/>
          <w:color w:val="auto"/>
          <w:sz w:val="21"/>
          <w:szCs w:val="21"/>
          <w:highlight w:val="none"/>
        </w:rPr>
        <w:t>授权代表身份证复印件。</w:t>
      </w:r>
      <w:r>
        <w:rPr>
          <w:rFonts w:hint="eastAsia" w:ascii="宋体" w:hAnsi="宋体" w:eastAsia="宋体" w:cs="宋体"/>
          <w:b/>
          <w:bCs/>
          <w:color w:val="auto"/>
          <w:sz w:val="21"/>
          <w:szCs w:val="21"/>
          <w:highlight w:val="none"/>
          <w:lang w:eastAsia="zh-CN"/>
        </w:rPr>
        <w:t>（正反面）</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6" w:hRule="atLeast"/>
        </w:trPr>
        <w:tc>
          <w:tcPr>
            <w:tcW w:w="4520" w:type="dxa"/>
            <w:vAlign w:val="top"/>
          </w:tcPr>
          <w:p>
            <w:pPr>
              <w:pStyle w:val="12"/>
              <w:jc w:val="left"/>
              <w:outlineLvl w:val="9"/>
              <w:rPr>
                <w:rFonts w:hint="eastAsia" w:ascii="宋体" w:hAnsi="宋体" w:eastAsia="宋体" w:cs="宋体"/>
                <w:b/>
                <w:bCs/>
                <w:color w:val="auto"/>
                <w:sz w:val="21"/>
                <w:szCs w:val="21"/>
                <w:highlight w:val="none"/>
                <w:vertAlign w:val="baseline"/>
              </w:rPr>
            </w:pPr>
          </w:p>
        </w:tc>
        <w:tc>
          <w:tcPr>
            <w:tcW w:w="4520" w:type="dxa"/>
            <w:vAlign w:val="top"/>
          </w:tcPr>
          <w:p>
            <w:pPr>
              <w:pStyle w:val="12"/>
              <w:jc w:val="left"/>
              <w:outlineLvl w:val="9"/>
              <w:rPr>
                <w:rFonts w:hint="eastAsia" w:ascii="宋体" w:hAnsi="宋体" w:eastAsia="宋体" w:cs="宋体"/>
                <w:b/>
                <w:bCs/>
                <w:color w:val="auto"/>
                <w:sz w:val="21"/>
                <w:szCs w:val="21"/>
                <w:highlight w:val="none"/>
                <w:vertAlign w:val="baseline"/>
              </w:rPr>
            </w:pPr>
          </w:p>
        </w:tc>
      </w:tr>
    </w:tbl>
    <w:p>
      <w:pPr>
        <w:spacing w:line="240" w:lineRule="auto"/>
        <w:ind w:firstLine="2730" w:firstLineChars="1300"/>
        <w:jc w:val="left"/>
        <w:outlineLvl w:val="9"/>
        <w:rPr>
          <w:rFonts w:hint="eastAsia" w:ascii="宋体" w:hAnsi="宋体" w:eastAsia="宋体" w:cs="宋体"/>
          <w:color w:val="auto"/>
          <w:sz w:val="21"/>
          <w:szCs w:val="21"/>
          <w:highlight w:val="none"/>
          <w:lang w:bidi="ar"/>
        </w:rPr>
      </w:pPr>
    </w:p>
    <w:p>
      <w:pPr>
        <w:spacing w:line="240" w:lineRule="auto"/>
        <w:ind w:firstLine="2730" w:firstLineChars="130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bidi="ar"/>
        </w:rPr>
        <w:t>磋商供应商</w:t>
      </w:r>
      <w:r>
        <w:rPr>
          <w:rFonts w:hint="eastAsia" w:ascii="宋体" w:hAnsi="宋体" w:eastAsia="宋体" w:cs="宋体"/>
          <w:color w:val="auto"/>
          <w:sz w:val="21"/>
          <w:szCs w:val="21"/>
          <w:highlight w:val="none"/>
          <w:lang w:bidi="ar"/>
        </w:rPr>
        <w:t>全称：</w:t>
      </w:r>
      <w:r>
        <w:rPr>
          <w:rFonts w:hint="eastAsia" w:ascii="宋体" w:hAnsi="宋体" w:eastAsia="宋体" w:cs="宋体"/>
          <w:color w:val="auto"/>
          <w:sz w:val="21"/>
          <w:szCs w:val="21"/>
          <w:highlight w:val="none"/>
          <w:u w:val="single"/>
          <w:lang w:bidi="ar"/>
        </w:rPr>
        <w:t xml:space="preserve">                             （盖</w:t>
      </w:r>
      <w:r>
        <w:rPr>
          <w:rFonts w:hint="eastAsia" w:ascii="宋体" w:hAnsi="宋体" w:eastAsia="宋体" w:cs="宋体"/>
          <w:color w:val="auto"/>
          <w:sz w:val="21"/>
          <w:szCs w:val="21"/>
          <w:highlight w:val="none"/>
          <w:u w:val="single"/>
          <w:lang w:eastAsia="zh-CN" w:bidi="ar"/>
        </w:rPr>
        <w:t>公</w:t>
      </w:r>
      <w:r>
        <w:rPr>
          <w:rFonts w:hint="eastAsia" w:ascii="宋体" w:hAnsi="宋体" w:eastAsia="宋体" w:cs="宋体"/>
          <w:color w:val="auto"/>
          <w:sz w:val="21"/>
          <w:szCs w:val="21"/>
          <w:highlight w:val="none"/>
          <w:u w:val="single"/>
          <w:lang w:bidi="ar"/>
        </w:rPr>
        <w:t>章）</w:t>
      </w:r>
    </w:p>
    <w:p>
      <w:pPr>
        <w:spacing w:line="240" w:lineRule="auto"/>
        <w:ind w:left="2100" w:leftChars="1000" w:firstLine="840" w:firstLineChars="400"/>
        <w:jc w:val="left"/>
        <w:outlineLvl w:val="9"/>
        <w:rPr>
          <w:rFonts w:hint="eastAsia" w:ascii="宋体" w:hAnsi="宋体" w:eastAsia="宋体" w:cs="宋体"/>
          <w:color w:val="auto"/>
          <w:sz w:val="21"/>
          <w:szCs w:val="21"/>
          <w:highlight w:val="none"/>
        </w:rPr>
      </w:pPr>
    </w:p>
    <w:p>
      <w:pPr>
        <w:spacing w:line="240" w:lineRule="auto"/>
        <w:ind w:firstLine="2730" w:firstLineChars="1300"/>
        <w:jc w:val="left"/>
        <w:outlineLvl w:val="9"/>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bidi="ar"/>
        </w:rPr>
        <w:t>法定代表人：</w:t>
      </w:r>
      <w:r>
        <w:rPr>
          <w:rFonts w:hint="eastAsia" w:ascii="宋体" w:hAnsi="宋体" w:eastAsia="宋体" w:cs="宋体"/>
          <w:color w:val="auto"/>
          <w:sz w:val="21"/>
          <w:szCs w:val="21"/>
          <w:highlight w:val="none"/>
          <w:u w:val="single"/>
          <w:lang w:bidi="ar"/>
        </w:rPr>
        <w:t xml:space="preserve">                              （签字或盖章）</w:t>
      </w:r>
    </w:p>
    <w:p>
      <w:pPr>
        <w:spacing w:line="240" w:lineRule="auto"/>
        <w:ind w:left="2100" w:leftChars="1000" w:firstLine="840" w:firstLineChars="400"/>
        <w:jc w:val="left"/>
        <w:outlineLvl w:val="9"/>
        <w:rPr>
          <w:rFonts w:hint="eastAsia" w:ascii="宋体" w:hAnsi="宋体" w:eastAsia="宋体" w:cs="宋体"/>
          <w:color w:val="auto"/>
          <w:sz w:val="21"/>
          <w:szCs w:val="21"/>
          <w:highlight w:val="none"/>
          <w:u w:val="single"/>
        </w:rPr>
      </w:pPr>
    </w:p>
    <w:p>
      <w:pPr>
        <w:spacing w:line="240" w:lineRule="auto"/>
        <w:ind w:firstLine="4200" w:firstLineChars="200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授权委托日期：</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lang w:bidi="ar"/>
        </w:rPr>
        <w:t xml:space="preserve">年 </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lang w:bidi="ar"/>
        </w:rPr>
        <w:t>月</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lang w:bidi="ar"/>
        </w:rPr>
        <w:t>日</w:t>
      </w:r>
    </w:p>
    <w:p>
      <w:pPr>
        <w:spacing w:line="360" w:lineRule="auto"/>
        <w:ind w:left="2833" w:leftChars="1349" w:firstLine="2100" w:firstLineChars="1000"/>
        <w:jc w:val="left"/>
        <w:outlineLvl w:val="9"/>
        <w:rPr>
          <w:rFonts w:hint="eastAsia" w:ascii="宋体" w:hAnsi="宋体" w:eastAsia="宋体" w:cs="宋体"/>
          <w:color w:val="auto"/>
          <w:sz w:val="21"/>
          <w:szCs w:val="21"/>
          <w:highlight w:val="none"/>
        </w:rPr>
      </w:pPr>
    </w:p>
    <w:p>
      <w:pPr>
        <w:pStyle w:val="2"/>
        <w:spacing w:line="240" w:lineRule="auto"/>
        <w:jc w:val="left"/>
        <w:outlineLvl w:val="9"/>
        <w:rPr>
          <w:rFonts w:hint="eastAsia" w:ascii="宋体" w:hAnsi="宋体" w:eastAsia="宋体" w:cs="宋体"/>
          <w:b/>
          <w:color w:val="auto"/>
          <w:sz w:val="21"/>
          <w:szCs w:val="21"/>
          <w:highlight w:val="none"/>
          <w:lang w:val="en-US" w:eastAsia="zh-CN"/>
        </w:rPr>
      </w:pPr>
    </w:p>
    <w:p>
      <w:pPr>
        <w:pStyle w:val="2"/>
        <w:spacing w:line="240" w:lineRule="auto"/>
        <w:jc w:val="left"/>
        <w:outlineLvl w:val="9"/>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注：</w:t>
      </w:r>
    </w:p>
    <w:p>
      <w:pPr>
        <w:pStyle w:val="2"/>
        <w:numPr>
          <w:ilvl w:val="0"/>
          <w:numId w:val="0"/>
        </w:numPr>
        <w:spacing w:line="240" w:lineRule="auto"/>
        <w:ind w:left="0" w:leftChars="0" w:firstLine="0" w:firstLineChars="0"/>
        <w:jc w:val="left"/>
        <w:outlineLvl w:val="9"/>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如</w:t>
      </w:r>
      <w:r>
        <w:rPr>
          <w:rFonts w:hint="eastAsia" w:ascii="宋体" w:hAnsi="宋体" w:eastAsia="宋体" w:cs="宋体"/>
          <w:b w:val="0"/>
          <w:bCs/>
          <w:color w:val="auto"/>
          <w:sz w:val="21"/>
          <w:szCs w:val="21"/>
          <w:highlight w:val="none"/>
          <w:lang w:eastAsia="zh-CN"/>
        </w:rPr>
        <w:t>授权代表参与投标的，</w:t>
      </w:r>
      <w:r>
        <w:rPr>
          <w:rFonts w:hint="eastAsia" w:ascii="宋体" w:hAnsi="宋体" w:eastAsia="宋体" w:cs="宋体"/>
          <w:b w:val="0"/>
          <w:bCs/>
          <w:color w:val="auto"/>
          <w:sz w:val="21"/>
          <w:szCs w:val="21"/>
          <w:highlight w:val="none"/>
          <w:lang w:val="en-US" w:eastAsia="zh-CN"/>
        </w:rPr>
        <w:t>则</w:t>
      </w:r>
      <w:r>
        <w:rPr>
          <w:rFonts w:hint="eastAsia" w:ascii="宋体" w:hAnsi="宋体" w:eastAsia="宋体" w:cs="宋体"/>
          <w:b w:val="0"/>
          <w:bCs/>
          <w:color w:val="auto"/>
          <w:sz w:val="21"/>
          <w:szCs w:val="21"/>
          <w:highlight w:val="none"/>
        </w:rPr>
        <w:t>须提供</w:t>
      </w:r>
      <w:r>
        <w:rPr>
          <w:rFonts w:hint="eastAsia" w:ascii="宋体" w:hAnsi="宋体" w:eastAsia="宋体" w:cs="宋体"/>
          <w:b w:val="0"/>
          <w:bCs/>
          <w:color w:val="auto"/>
          <w:sz w:val="21"/>
          <w:szCs w:val="21"/>
          <w:highlight w:val="none"/>
          <w:lang w:val="en-US" w:eastAsia="zh-CN"/>
        </w:rPr>
        <w:t>本</w:t>
      </w:r>
      <w:r>
        <w:rPr>
          <w:rFonts w:hint="eastAsia" w:ascii="宋体" w:hAnsi="宋体" w:eastAsia="宋体" w:cs="宋体"/>
          <w:b w:val="0"/>
          <w:bCs/>
          <w:color w:val="auto"/>
          <w:sz w:val="21"/>
          <w:szCs w:val="21"/>
          <w:highlight w:val="none"/>
        </w:rPr>
        <w:t>《法定代表人授权书》。</w:t>
      </w:r>
    </w:p>
    <w:p>
      <w:pPr>
        <w:pStyle w:val="3"/>
        <w:numPr>
          <w:ilvl w:val="0"/>
          <w:numId w:val="0"/>
        </w:numPr>
        <w:ind w:left="0" w:firstLine="0"/>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2.联合体投标的请各自提供（委托同一人）</w:t>
      </w:r>
    </w:p>
    <w:p>
      <w:pPr>
        <w:autoSpaceDE w:val="0"/>
        <w:autoSpaceDN w:val="0"/>
        <w:spacing w:line="360" w:lineRule="auto"/>
        <w:jc w:val="center"/>
        <w:rPr>
          <w:rFonts w:hint="eastAsia" w:ascii="宋体" w:hAnsi="宋体" w:eastAsia="宋体" w:cs="宋体"/>
          <w:b/>
          <w:color w:val="auto"/>
          <w:kern w:val="0"/>
          <w:sz w:val="21"/>
          <w:szCs w:val="21"/>
          <w:highlight w:val="none"/>
          <w:lang w:val="zh-CN"/>
        </w:rPr>
      </w:pPr>
    </w:p>
    <w:p>
      <w:pPr>
        <w:autoSpaceDE w:val="0"/>
        <w:autoSpaceDN w:val="0"/>
        <w:spacing w:line="360" w:lineRule="auto"/>
        <w:jc w:val="center"/>
        <w:rPr>
          <w:rFonts w:hint="eastAsia" w:ascii="宋体" w:hAnsi="宋体" w:eastAsia="宋体" w:cs="宋体"/>
          <w:b/>
          <w:color w:val="auto"/>
          <w:kern w:val="0"/>
          <w:sz w:val="32"/>
          <w:szCs w:val="32"/>
          <w:highlight w:val="none"/>
          <w:lang w:val="zh-CN"/>
        </w:rPr>
      </w:pPr>
    </w:p>
    <w:p>
      <w:pPr>
        <w:pStyle w:val="2"/>
        <w:rPr>
          <w:rFonts w:hint="eastAsia"/>
          <w:lang w:val="zh-CN"/>
        </w:rPr>
      </w:pPr>
    </w:p>
    <w:p>
      <w:pPr>
        <w:autoSpaceDE w:val="0"/>
        <w:autoSpaceDN w:val="0"/>
        <w:spacing w:line="360" w:lineRule="auto"/>
        <w:jc w:val="center"/>
        <w:rPr>
          <w:rFonts w:hint="eastAsia" w:ascii="宋体" w:hAnsi="宋体" w:eastAsia="宋体" w:cs="宋体"/>
          <w:b/>
          <w:color w:val="auto"/>
          <w:kern w:val="0"/>
          <w:sz w:val="32"/>
          <w:szCs w:val="32"/>
          <w:highlight w:val="none"/>
          <w:lang w:val="zh-CN"/>
        </w:rPr>
      </w:pPr>
    </w:p>
    <w:p>
      <w:pPr>
        <w:spacing w:line="24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法定代表人、单位负责人或自然人本人的身份证明（适用于法定代表人、单位负责人或者自然人本人代表</w:t>
      </w:r>
      <w:r>
        <w:rPr>
          <w:rFonts w:hint="eastAsia" w:ascii="宋体" w:hAnsi="宋体" w:eastAsia="宋体" w:cs="宋体"/>
          <w:b/>
          <w:color w:val="auto"/>
          <w:kern w:val="0"/>
          <w:sz w:val="32"/>
          <w:szCs w:val="32"/>
          <w:highlight w:val="none"/>
          <w:lang w:val="zh-CN" w:eastAsia="zh-CN"/>
        </w:rPr>
        <w:t>磋商供应商</w:t>
      </w:r>
      <w:r>
        <w:rPr>
          <w:rFonts w:hint="eastAsia" w:ascii="宋体" w:hAnsi="宋体" w:eastAsia="宋体" w:cs="宋体"/>
          <w:b/>
          <w:color w:val="auto"/>
          <w:kern w:val="0"/>
          <w:sz w:val="32"/>
          <w:szCs w:val="32"/>
          <w:highlight w:val="none"/>
          <w:lang w:val="zh-CN"/>
        </w:rPr>
        <w:t>参加投标）</w:t>
      </w:r>
    </w:p>
    <w:p>
      <w:pPr>
        <w:autoSpaceDE w:val="0"/>
        <w:autoSpaceDN w:val="0"/>
        <w:spacing w:line="360" w:lineRule="auto"/>
        <w:rPr>
          <w:rFonts w:hint="eastAsia" w:ascii="宋体" w:hAnsi="宋体" w:eastAsia="宋体" w:cs="宋体"/>
          <w:b/>
          <w:bCs/>
          <w:color w:val="auto"/>
          <w:sz w:val="28"/>
          <w:szCs w:val="28"/>
          <w:highlight w:val="none"/>
          <w:lang w:eastAsia="zh-CN"/>
        </w:rPr>
      </w:pPr>
    </w:p>
    <w:p>
      <w:pPr>
        <w:spacing w:line="240" w:lineRule="auto"/>
        <w:ind w:firstLine="0" w:firstLineChars="0"/>
        <w:jc w:val="center"/>
        <w:rPr>
          <w:rFonts w:hint="eastAsia" w:ascii="宋体" w:hAnsi="宋体" w:eastAsia="宋体" w:cs="宋体"/>
          <w:b/>
          <w:bCs/>
          <w:color w:val="auto"/>
          <w:sz w:val="32"/>
          <w:szCs w:val="40"/>
          <w:highlight w:val="none"/>
          <w:lang w:eastAsia="zh-CN"/>
        </w:rPr>
      </w:pPr>
      <w:r>
        <w:rPr>
          <w:rFonts w:hint="eastAsia" w:ascii="宋体" w:hAnsi="宋体" w:eastAsia="宋体" w:cs="宋体"/>
          <w:b/>
          <w:bCs/>
          <w:color w:val="auto"/>
          <w:sz w:val="32"/>
          <w:szCs w:val="40"/>
          <w:highlight w:val="none"/>
          <w:lang w:eastAsia="zh-CN"/>
        </w:rPr>
        <w:t>法定代表人身份证明</w:t>
      </w:r>
    </w:p>
    <w:p>
      <w:pPr>
        <w:pStyle w:val="3"/>
        <w:rPr>
          <w:rFonts w:hint="eastAsia"/>
          <w:color w:val="auto"/>
          <w:highlight w:val="none"/>
          <w:lang w:eastAsia="zh-CN"/>
        </w:rPr>
      </w:pPr>
    </w:p>
    <w:p>
      <w:pPr>
        <w:widowControl/>
        <w:autoSpaceDE w:val="0"/>
        <w:autoSpaceDN w:val="0"/>
        <w:spacing w:line="360" w:lineRule="auto"/>
        <w:ind w:firstLine="0" w:firstLineChars="0"/>
        <w:rPr>
          <w:rStyle w:val="27"/>
          <w:rFonts w:hint="eastAsia" w:ascii="宋体" w:hAnsi="宋体" w:eastAsia="宋体" w:cs="宋体"/>
          <w:color w:val="auto"/>
          <w:sz w:val="21"/>
          <w:szCs w:val="21"/>
          <w:highlight w:val="none"/>
        </w:rPr>
      </w:pPr>
      <w:r>
        <w:rPr>
          <w:rFonts w:hint="eastAsia" w:ascii="宋体" w:hAnsi="宋体" w:eastAsia="宋体" w:cs="宋体"/>
          <w:b w:val="0"/>
          <w:bCs/>
          <w:color w:val="auto"/>
          <w:szCs w:val="21"/>
          <w:highlight w:val="none"/>
          <w:u w:val="single"/>
          <w:lang w:val="en-US" w:eastAsia="zh-CN"/>
        </w:rPr>
        <w:t xml:space="preserve"> </w:t>
      </w:r>
      <w:r>
        <w:rPr>
          <w:rFonts w:hint="eastAsia" w:ascii="宋体" w:hAnsi="宋体" w:eastAsia="宋体" w:cs="宋体"/>
          <w:b w:val="0"/>
          <w:bCs/>
          <w:color w:val="auto"/>
          <w:sz w:val="21"/>
          <w:szCs w:val="21"/>
          <w:highlight w:val="none"/>
          <w:u w:val="single"/>
          <w:lang w:val="en-US" w:eastAsia="zh-CN"/>
        </w:rPr>
        <w:t xml:space="preserve">采购人、采购代理机构   </w:t>
      </w:r>
      <w:r>
        <w:rPr>
          <w:rFonts w:hint="eastAsia" w:ascii="宋体" w:hAnsi="宋体" w:eastAsia="宋体" w:cs="宋体"/>
          <w:b w:val="0"/>
          <w:bCs/>
          <w:color w:val="auto"/>
          <w:sz w:val="21"/>
          <w:szCs w:val="21"/>
          <w:highlight w:val="none"/>
          <w:lang w:bidi="ar"/>
        </w:rPr>
        <w:t>：</w:t>
      </w:r>
    </w:p>
    <w:p>
      <w:pPr>
        <w:rPr>
          <w:rFonts w:hint="eastAsia" w:ascii="宋体" w:hAnsi="宋体" w:eastAsia="宋体" w:cs="宋体"/>
          <w:color w:val="auto"/>
          <w:sz w:val="21"/>
          <w:szCs w:val="21"/>
          <w:highlight w:val="none"/>
          <w:lang w:val="en-US" w:eastAsia="zh-CN"/>
        </w:rPr>
      </w:pPr>
    </w:p>
    <w:p>
      <w:pPr>
        <w:pStyle w:val="13"/>
        <w:ind w:left="0" w:leftChars="0" w:firstLine="420" w:firstLineChars="200"/>
        <w:rPr>
          <w:rFonts w:hint="eastAsia" w:ascii="宋体" w:hAnsi="宋体" w:eastAsia="宋体" w:cs="宋体"/>
          <w:b w:val="0"/>
          <w:bCs/>
          <w:color w:val="auto"/>
          <w:sz w:val="21"/>
          <w:szCs w:val="21"/>
          <w:highlight w:val="none"/>
          <w:u w:val="single"/>
          <w:lang w:val="en-US" w:eastAsia="zh-CN" w:bidi="ar"/>
        </w:rPr>
      </w:pPr>
      <w:r>
        <w:rPr>
          <w:rStyle w:val="27"/>
          <w:rFonts w:hint="eastAsia" w:ascii="宋体" w:hAnsi="宋体" w:eastAsia="宋体" w:cs="宋体"/>
          <w:color w:val="auto"/>
          <w:sz w:val="21"/>
          <w:szCs w:val="21"/>
          <w:highlight w:val="none"/>
          <w:lang w:val="en-US" w:eastAsia="zh-CN" w:bidi="ar-SA"/>
        </w:rPr>
        <w:t>姓名：</w:t>
      </w:r>
      <w:r>
        <w:rPr>
          <w:rFonts w:hint="eastAsia" w:ascii="宋体" w:hAnsi="宋体" w:eastAsia="宋体" w:cs="宋体"/>
          <w:b w:val="0"/>
          <w:bCs/>
          <w:color w:val="auto"/>
          <w:sz w:val="21"/>
          <w:szCs w:val="21"/>
          <w:highlight w:val="none"/>
          <w:u w:val="single"/>
          <w:lang w:val="en-US" w:eastAsia="zh-CN" w:bidi="ar"/>
        </w:rPr>
        <w:t xml:space="preserve">          </w:t>
      </w:r>
      <w:r>
        <w:rPr>
          <w:rStyle w:val="27"/>
          <w:rFonts w:hint="eastAsia" w:ascii="宋体" w:hAnsi="宋体" w:eastAsia="宋体" w:cs="宋体"/>
          <w:color w:val="auto"/>
          <w:sz w:val="21"/>
          <w:szCs w:val="21"/>
          <w:highlight w:val="none"/>
          <w:lang w:val="en-US" w:eastAsia="zh-CN" w:bidi="ar-SA"/>
        </w:rPr>
        <w:t>性别：</w:t>
      </w:r>
      <w:r>
        <w:rPr>
          <w:rFonts w:hint="eastAsia" w:ascii="宋体" w:hAnsi="宋体" w:eastAsia="宋体" w:cs="宋体"/>
          <w:b w:val="0"/>
          <w:bCs/>
          <w:color w:val="auto"/>
          <w:sz w:val="21"/>
          <w:szCs w:val="21"/>
          <w:highlight w:val="none"/>
          <w:u w:val="single"/>
          <w:lang w:val="en-US" w:eastAsia="zh-CN" w:bidi="ar"/>
        </w:rPr>
        <w:t xml:space="preserve">          </w:t>
      </w:r>
      <w:r>
        <w:rPr>
          <w:rStyle w:val="27"/>
          <w:rFonts w:hint="eastAsia" w:ascii="宋体" w:hAnsi="宋体" w:eastAsia="宋体" w:cs="宋体"/>
          <w:color w:val="auto"/>
          <w:sz w:val="21"/>
          <w:szCs w:val="21"/>
          <w:highlight w:val="none"/>
          <w:lang w:val="en-US" w:eastAsia="zh-CN" w:bidi="ar-SA"/>
        </w:rPr>
        <w:t>职务：</w:t>
      </w:r>
      <w:r>
        <w:rPr>
          <w:rFonts w:hint="eastAsia" w:ascii="宋体" w:hAnsi="宋体" w:eastAsia="宋体" w:cs="宋体"/>
          <w:b w:val="0"/>
          <w:bCs/>
          <w:color w:val="auto"/>
          <w:sz w:val="21"/>
          <w:szCs w:val="21"/>
          <w:highlight w:val="none"/>
          <w:u w:val="single"/>
          <w:lang w:val="en-US" w:eastAsia="zh-CN" w:bidi="ar"/>
        </w:rPr>
        <w:t xml:space="preserve">          </w:t>
      </w:r>
    </w:p>
    <w:p>
      <w:pPr>
        <w:pStyle w:val="13"/>
        <w:ind w:left="0" w:leftChars="0" w:firstLine="420" w:firstLineChars="200"/>
        <w:rPr>
          <w:rFonts w:hint="eastAsia" w:ascii="宋体" w:hAnsi="宋体" w:eastAsia="宋体" w:cs="宋体"/>
          <w:b w:val="0"/>
          <w:bCs/>
          <w:color w:val="auto"/>
          <w:sz w:val="21"/>
          <w:szCs w:val="21"/>
          <w:highlight w:val="none"/>
          <w:u w:val="none"/>
          <w:lang w:val="en-US" w:eastAsia="zh-CN" w:bidi="ar"/>
        </w:rPr>
      </w:pPr>
      <w:r>
        <w:rPr>
          <w:rStyle w:val="27"/>
          <w:rFonts w:hint="eastAsia" w:ascii="宋体" w:hAnsi="宋体" w:eastAsia="宋体" w:cs="宋体"/>
          <w:color w:val="auto"/>
          <w:sz w:val="21"/>
          <w:szCs w:val="21"/>
          <w:highlight w:val="none"/>
          <w:lang w:val="en-US" w:eastAsia="zh-CN" w:bidi="ar-SA"/>
        </w:rPr>
        <w:t>联系方式：</w:t>
      </w:r>
      <w:r>
        <w:rPr>
          <w:rFonts w:hint="eastAsia" w:ascii="宋体" w:hAnsi="宋体" w:eastAsia="宋体" w:cs="宋体"/>
          <w:b w:val="0"/>
          <w:bCs/>
          <w:color w:val="auto"/>
          <w:sz w:val="21"/>
          <w:szCs w:val="21"/>
          <w:highlight w:val="none"/>
          <w:u w:val="single"/>
          <w:lang w:val="en-US" w:eastAsia="zh-CN" w:bidi="ar"/>
        </w:rPr>
        <w:t xml:space="preserve">          </w:t>
      </w:r>
      <w:r>
        <w:rPr>
          <w:rFonts w:hint="eastAsia" w:ascii="宋体" w:hAnsi="宋体" w:eastAsia="宋体" w:cs="宋体"/>
          <w:b w:val="0"/>
          <w:bCs/>
          <w:color w:val="auto"/>
          <w:sz w:val="21"/>
          <w:szCs w:val="21"/>
          <w:highlight w:val="none"/>
          <w:u w:val="none"/>
          <w:lang w:val="en-US" w:eastAsia="zh-CN" w:bidi="ar"/>
        </w:rPr>
        <w:t>，</w:t>
      </w:r>
      <w:r>
        <w:rPr>
          <w:rStyle w:val="27"/>
          <w:rFonts w:hint="eastAsia" w:ascii="宋体" w:hAnsi="宋体" w:eastAsia="宋体" w:cs="宋体"/>
          <w:color w:val="auto"/>
          <w:sz w:val="21"/>
          <w:szCs w:val="21"/>
          <w:highlight w:val="none"/>
          <w:lang w:val="en-US" w:eastAsia="zh-CN" w:bidi="ar-SA"/>
        </w:rPr>
        <w:t>系</w:t>
      </w:r>
      <w:r>
        <w:rPr>
          <w:rFonts w:hint="eastAsia" w:ascii="宋体" w:hAnsi="宋体" w:eastAsia="宋体" w:cs="宋体"/>
          <w:b w:val="0"/>
          <w:bCs/>
          <w:color w:val="auto"/>
          <w:sz w:val="21"/>
          <w:szCs w:val="21"/>
          <w:highlight w:val="none"/>
          <w:u w:val="single"/>
          <w:lang w:val="en-US" w:eastAsia="zh-CN" w:bidi="ar"/>
        </w:rPr>
        <w:t xml:space="preserve">   </w:t>
      </w:r>
      <w:r>
        <w:rPr>
          <w:rStyle w:val="27"/>
          <w:rFonts w:hint="eastAsia" w:ascii="宋体" w:hAnsi="宋体" w:eastAsia="宋体" w:cs="宋体"/>
          <w:i/>
          <w:iCs/>
          <w:color w:val="auto"/>
          <w:sz w:val="21"/>
          <w:szCs w:val="21"/>
          <w:highlight w:val="none"/>
          <w:u w:val="single"/>
          <w:lang w:val="en-US" w:eastAsia="zh-CN" w:bidi="ar-SA"/>
        </w:rPr>
        <w:t>（磋商供应商名称）</w:t>
      </w:r>
      <w:r>
        <w:rPr>
          <w:rFonts w:hint="eastAsia" w:ascii="宋体" w:hAnsi="宋体" w:eastAsia="宋体" w:cs="宋体"/>
          <w:b w:val="0"/>
          <w:bCs/>
          <w:color w:val="auto"/>
          <w:sz w:val="21"/>
          <w:szCs w:val="21"/>
          <w:highlight w:val="none"/>
          <w:u w:val="single"/>
          <w:lang w:val="en-US" w:eastAsia="zh-CN" w:bidi="ar"/>
        </w:rPr>
        <w:t xml:space="preserve">       </w:t>
      </w:r>
      <w:r>
        <w:rPr>
          <w:rFonts w:hint="eastAsia" w:ascii="宋体" w:hAnsi="宋体" w:eastAsia="宋体" w:cs="宋体"/>
          <w:b w:val="0"/>
          <w:bCs/>
          <w:color w:val="auto"/>
          <w:sz w:val="21"/>
          <w:szCs w:val="21"/>
          <w:highlight w:val="none"/>
          <w:u w:val="none"/>
          <w:lang w:val="en-US" w:eastAsia="zh-CN" w:bidi="ar"/>
        </w:rPr>
        <w:t>的法定代表人，特此证明。</w:t>
      </w:r>
    </w:p>
    <w:p>
      <w:pPr>
        <w:pStyle w:val="13"/>
        <w:ind w:left="0" w:leftChars="0" w:firstLine="420" w:firstLineChars="200"/>
        <w:rPr>
          <w:rFonts w:hint="eastAsia" w:ascii="宋体" w:hAnsi="宋体" w:eastAsia="宋体" w:cs="宋体"/>
          <w:b w:val="0"/>
          <w:bCs/>
          <w:color w:val="auto"/>
          <w:sz w:val="21"/>
          <w:szCs w:val="21"/>
          <w:highlight w:val="none"/>
          <w:u w:val="none"/>
          <w:lang w:val="en-US" w:eastAsia="zh-CN" w:bidi="ar"/>
        </w:rPr>
      </w:pPr>
    </w:p>
    <w:p>
      <w:pPr>
        <w:pStyle w:val="13"/>
        <w:ind w:left="0" w:leftChars="0" w:firstLine="420" w:firstLineChars="200"/>
        <w:rPr>
          <w:rFonts w:hint="eastAsia" w:ascii="宋体" w:hAnsi="宋体" w:eastAsia="宋体" w:cs="宋体"/>
          <w:b w:val="0"/>
          <w:bCs/>
          <w:color w:val="auto"/>
          <w:sz w:val="21"/>
          <w:szCs w:val="21"/>
          <w:highlight w:val="none"/>
          <w:u w:val="none"/>
          <w:lang w:val="en-US" w:eastAsia="zh-CN" w:bidi="ar"/>
        </w:rPr>
      </w:pPr>
    </w:p>
    <w:p>
      <w:pPr>
        <w:pStyle w:val="13"/>
        <w:ind w:left="0" w:leftChars="0" w:firstLine="420" w:firstLineChars="200"/>
        <w:jc w:val="right"/>
        <w:rPr>
          <w:rFonts w:hint="eastAsia" w:ascii="宋体" w:hAnsi="宋体" w:eastAsia="宋体" w:cs="宋体"/>
          <w:b w:val="0"/>
          <w:bCs/>
          <w:color w:val="auto"/>
          <w:sz w:val="21"/>
          <w:szCs w:val="21"/>
          <w:highlight w:val="none"/>
          <w:u w:val="none"/>
          <w:lang w:val="en-US" w:eastAsia="zh-CN" w:bidi="ar"/>
        </w:rPr>
      </w:pPr>
    </w:p>
    <w:p>
      <w:pPr>
        <w:pStyle w:val="13"/>
        <w:ind w:left="0" w:leftChars="0" w:firstLine="420" w:firstLineChars="200"/>
        <w:jc w:val="left"/>
        <w:rPr>
          <w:rFonts w:hint="eastAsia" w:ascii="宋体" w:hAnsi="宋体" w:eastAsia="宋体" w:cs="宋体"/>
          <w:b w:val="0"/>
          <w:bCs/>
          <w:color w:val="auto"/>
          <w:sz w:val="21"/>
          <w:szCs w:val="21"/>
          <w:highlight w:val="none"/>
          <w:u w:val="none"/>
          <w:lang w:val="en-US" w:eastAsia="zh-CN" w:bidi="ar"/>
        </w:rPr>
      </w:pPr>
    </w:p>
    <w:p>
      <w:pPr>
        <w:spacing w:line="360" w:lineRule="auto"/>
        <w:jc w:val="left"/>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附：</w:t>
      </w:r>
      <w:r>
        <w:rPr>
          <w:rFonts w:hint="eastAsia" w:ascii="宋体" w:hAnsi="宋体" w:eastAsia="宋体" w:cs="宋体"/>
          <w:b/>
          <w:bCs/>
          <w:color w:val="auto"/>
          <w:sz w:val="21"/>
          <w:szCs w:val="21"/>
          <w:highlight w:val="none"/>
          <w:lang w:eastAsia="zh-CN"/>
        </w:rPr>
        <w:t>法定代表人</w:t>
      </w:r>
      <w:r>
        <w:rPr>
          <w:rFonts w:hint="eastAsia" w:ascii="宋体" w:hAnsi="宋体" w:eastAsia="宋体" w:cs="宋体"/>
          <w:b/>
          <w:bCs/>
          <w:color w:val="auto"/>
          <w:sz w:val="21"/>
          <w:szCs w:val="21"/>
          <w:highlight w:val="none"/>
        </w:rPr>
        <w:t>身份证复印件。</w:t>
      </w:r>
      <w:r>
        <w:rPr>
          <w:rFonts w:hint="eastAsia" w:ascii="宋体" w:hAnsi="宋体" w:eastAsia="宋体" w:cs="宋体"/>
          <w:b/>
          <w:bCs/>
          <w:color w:val="auto"/>
          <w:sz w:val="21"/>
          <w:szCs w:val="21"/>
          <w:highlight w:val="none"/>
          <w:lang w:eastAsia="zh-CN"/>
        </w:rPr>
        <w:t>（正反面）</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6" w:hRule="atLeast"/>
        </w:trPr>
        <w:tc>
          <w:tcPr>
            <w:tcW w:w="4520" w:type="dxa"/>
            <w:vAlign w:val="top"/>
          </w:tcPr>
          <w:p>
            <w:pPr>
              <w:pStyle w:val="12"/>
              <w:jc w:val="left"/>
              <w:outlineLvl w:val="9"/>
              <w:rPr>
                <w:rFonts w:hint="eastAsia" w:ascii="宋体" w:hAnsi="宋体" w:eastAsia="宋体" w:cs="宋体"/>
                <w:b/>
                <w:bCs/>
                <w:color w:val="auto"/>
                <w:sz w:val="21"/>
                <w:szCs w:val="21"/>
                <w:highlight w:val="none"/>
                <w:vertAlign w:val="baseline"/>
              </w:rPr>
            </w:pPr>
          </w:p>
        </w:tc>
        <w:tc>
          <w:tcPr>
            <w:tcW w:w="4520" w:type="dxa"/>
            <w:vAlign w:val="top"/>
          </w:tcPr>
          <w:p>
            <w:pPr>
              <w:pStyle w:val="12"/>
              <w:jc w:val="left"/>
              <w:outlineLvl w:val="9"/>
              <w:rPr>
                <w:rFonts w:hint="eastAsia" w:ascii="宋体" w:hAnsi="宋体" w:eastAsia="宋体" w:cs="宋体"/>
                <w:b/>
                <w:bCs/>
                <w:color w:val="auto"/>
                <w:sz w:val="21"/>
                <w:szCs w:val="21"/>
                <w:highlight w:val="none"/>
                <w:vertAlign w:val="baseline"/>
              </w:rPr>
            </w:pPr>
          </w:p>
        </w:tc>
      </w:tr>
    </w:tbl>
    <w:p>
      <w:pPr>
        <w:pStyle w:val="13"/>
        <w:ind w:left="0" w:leftChars="0" w:firstLine="420" w:firstLineChars="200"/>
        <w:jc w:val="right"/>
        <w:rPr>
          <w:rFonts w:hint="eastAsia" w:ascii="宋体" w:hAnsi="宋体" w:eastAsia="宋体" w:cs="宋体"/>
          <w:b w:val="0"/>
          <w:bCs/>
          <w:color w:val="auto"/>
          <w:sz w:val="21"/>
          <w:szCs w:val="21"/>
          <w:highlight w:val="none"/>
          <w:u w:val="none"/>
          <w:lang w:val="en-US" w:eastAsia="zh-CN" w:bidi="ar"/>
        </w:rPr>
      </w:pPr>
    </w:p>
    <w:p>
      <w:pPr>
        <w:pStyle w:val="13"/>
        <w:ind w:left="0" w:leftChars="0" w:firstLine="420" w:firstLineChars="200"/>
        <w:jc w:val="right"/>
        <w:rPr>
          <w:rFonts w:hint="eastAsia" w:ascii="宋体" w:hAnsi="宋体" w:eastAsia="宋体" w:cs="宋体"/>
          <w:b w:val="0"/>
          <w:bCs/>
          <w:color w:val="auto"/>
          <w:sz w:val="21"/>
          <w:szCs w:val="21"/>
          <w:highlight w:val="none"/>
          <w:u w:val="none"/>
          <w:lang w:val="en-US" w:eastAsia="zh-CN" w:bidi="ar"/>
        </w:rPr>
      </w:pPr>
    </w:p>
    <w:p>
      <w:pPr>
        <w:pStyle w:val="13"/>
        <w:ind w:left="0" w:leftChars="0" w:firstLine="420" w:firstLineChars="200"/>
        <w:jc w:val="right"/>
        <w:rPr>
          <w:rFonts w:hint="eastAsia" w:ascii="宋体" w:hAnsi="宋体" w:eastAsia="宋体" w:cs="宋体"/>
          <w:b w:val="0"/>
          <w:bCs/>
          <w:color w:val="auto"/>
          <w:sz w:val="21"/>
          <w:szCs w:val="21"/>
          <w:highlight w:val="none"/>
          <w:u w:val="none"/>
          <w:lang w:val="en-US" w:eastAsia="zh-CN" w:bidi="ar"/>
        </w:rPr>
      </w:pPr>
    </w:p>
    <w:p>
      <w:pPr>
        <w:pStyle w:val="13"/>
        <w:ind w:left="0" w:leftChars="0" w:firstLine="420" w:firstLineChars="200"/>
        <w:jc w:val="right"/>
        <w:rPr>
          <w:rFonts w:hint="eastAsia" w:ascii="宋体" w:hAnsi="宋体" w:eastAsia="宋体" w:cs="宋体"/>
          <w:b w:val="0"/>
          <w:bCs/>
          <w:color w:val="auto"/>
          <w:sz w:val="21"/>
          <w:szCs w:val="21"/>
          <w:highlight w:val="none"/>
          <w:u w:val="none"/>
          <w:lang w:val="en-US" w:eastAsia="zh-CN" w:bidi="ar"/>
        </w:rPr>
      </w:pPr>
    </w:p>
    <w:p>
      <w:pPr>
        <w:spacing w:line="480" w:lineRule="auto"/>
        <w:jc w:val="right"/>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eastAsia="zh-CN" w:bidi="ar"/>
        </w:rPr>
        <w:t>磋商供应商</w:t>
      </w:r>
      <w:r>
        <w:rPr>
          <w:rFonts w:hint="eastAsia" w:ascii="宋体" w:hAnsi="宋体" w:eastAsia="宋体" w:cs="宋体"/>
          <w:bCs/>
          <w:color w:val="auto"/>
          <w:sz w:val="21"/>
          <w:szCs w:val="21"/>
          <w:highlight w:val="none"/>
          <w:lang w:bidi="ar"/>
        </w:rPr>
        <w:t>全称：</w:t>
      </w:r>
      <w:r>
        <w:rPr>
          <w:rFonts w:hint="eastAsia" w:ascii="宋体" w:hAnsi="宋体" w:eastAsia="宋体" w:cs="宋体"/>
          <w:color w:val="auto"/>
          <w:sz w:val="21"/>
          <w:szCs w:val="21"/>
          <w:highlight w:val="none"/>
          <w:u w:val="single"/>
          <w:lang w:bidi="ar"/>
        </w:rPr>
        <w:t xml:space="preserve">                    （盖公章）</w:t>
      </w:r>
    </w:p>
    <w:p>
      <w:pPr>
        <w:spacing w:line="480" w:lineRule="auto"/>
        <w:ind w:firstLine="4830" w:firstLineChars="23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日期：</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lang w:bidi="ar"/>
        </w:rPr>
        <w:t xml:space="preserve">年 </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u w:val="single"/>
          <w:lang w:val="en-US" w:eastAsia="zh-CN" w:bidi="ar"/>
        </w:rPr>
        <w:t xml:space="preserve">   </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lang w:bidi="ar"/>
        </w:rPr>
        <w:t>月</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u w:val="single"/>
          <w:lang w:val="en-US" w:eastAsia="zh-CN" w:bidi="ar"/>
        </w:rPr>
        <w:t xml:space="preserve">  </w:t>
      </w:r>
      <w:r>
        <w:rPr>
          <w:rFonts w:hint="eastAsia" w:ascii="宋体" w:hAnsi="宋体" w:eastAsia="宋体" w:cs="宋体"/>
          <w:color w:val="auto"/>
          <w:sz w:val="21"/>
          <w:szCs w:val="21"/>
          <w:highlight w:val="none"/>
          <w:u w:val="single"/>
          <w:lang w:bidi="ar"/>
        </w:rPr>
        <w:t xml:space="preserve"> </w:t>
      </w:r>
      <w:r>
        <w:rPr>
          <w:rFonts w:hint="eastAsia" w:ascii="宋体" w:hAnsi="宋体" w:eastAsia="宋体" w:cs="宋体"/>
          <w:color w:val="auto"/>
          <w:sz w:val="21"/>
          <w:szCs w:val="21"/>
          <w:highlight w:val="none"/>
          <w:lang w:bidi="ar"/>
        </w:rPr>
        <w:t>日</w:t>
      </w:r>
    </w:p>
    <w:p>
      <w:pPr>
        <w:pStyle w:val="2"/>
        <w:spacing w:line="240" w:lineRule="auto"/>
        <w:jc w:val="left"/>
        <w:outlineLvl w:val="9"/>
        <w:rPr>
          <w:rFonts w:hint="eastAsia" w:ascii="宋体" w:hAnsi="宋体" w:eastAsia="宋体" w:cs="宋体"/>
          <w:b/>
          <w:color w:val="auto"/>
          <w:sz w:val="21"/>
          <w:szCs w:val="21"/>
          <w:highlight w:val="none"/>
          <w:lang w:val="en-US" w:eastAsia="zh-CN"/>
        </w:rPr>
      </w:pPr>
    </w:p>
    <w:p>
      <w:pPr>
        <w:pStyle w:val="2"/>
        <w:spacing w:line="240" w:lineRule="auto"/>
        <w:jc w:val="left"/>
        <w:outlineLvl w:val="9"/>
        <w:rPr>
          <w:rFonts w:hint="eastAsia" w:ascii="宋体" w:hAnsi="宋体" w:eastAsia="宋体" w:cs="宋体"/>
          <w:b/>
          <w:color w:val="auto"/>
          <w:sz w:val="21"/>
          <w:szCs w:val="21"/>
          <w:highlight w:val="none"/>
          <w:lang w:val="en-US" w:eastAsia="zh-CN"/>
        </w:rPr>
      </w:pPr>
    </w:p>
    <w:p>
      <w:pPr>
        <w:pStyle w:val="13"/>
        <w:ind w:left="0" w:leftChars="0" w:right="-252" w:firstLine="0" w:firstLineChars="0"/>
        <w:rPr>
          <w:rFonts w:hint="eastAsia" w:ascii="宋体" w:hAnsi="宋体" w:eastAsia="宋体" w:cs="宋体"/>
          <w:b w:val="0"/>
          <w:bCs w:val="0"/>
          <w:color w:val="auto"/>
          <w:sz w:val="21"/>
          <w:szCs w:val="21"/>
          <w:highlight w:val="none"/>
          <w:lang w:eastAsia="zh-CN" w:bidi="ar"/>
        </w:rPr>
      </w:pPr>
      <w:r>
        <w:rPr>
          <w:rFonts w:hint="eastAsia" w:ascii="宋体" w:hAnsi="宋体" w:eastAsia="宋体" w:cs="宋体"/>
          <w:b w:val="0"/>
          <w:bCs w:val="0"/>
          <w:color w:val="auto"/>
          <w:sz w:val="21"/>
          <w:szCs w:val="21"/>
          <w:highlight w:val="none"/>
          <w:lang w:eastAsia="zh-CN" w:bidi="ar"/>
        </w:rPr>
        <w:t>注：</w:t>
      </w:r>
    </w:p>
    <w:p>
      <w:pPr>
        <w:pStyle w:val="2"/>
        <w:spacing w:line="240" w:lineRule="auto"/>
        <w:jc w:val="left"/>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1.本附件必须提供。</w:t>
      </w:r>
    </w:p>
    <w:p>
      <w:pPr>
        <w:pStyle w:val="3"/>
        <w:ind w:firstLine="0"/>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2.联合体投标的请各自提供</w:t>
      </w:r>
    </w:p>
    <w:p>
      <w:pPr>
        <w:pStyle w:val="13"/>
        <w:ind w:left="0" w:leftChars="0" w:firstLine="0" w:firstLineChars="0"/>
        <w:rPr>
          <w:rFonts w:hint="eastAsia" w:ascii="宋体" w:hAnsi="宋体" w:eastAsia="宋体" w:cs="宋体"/>
          <w:color w:val="auto"/>
          <w:sz w:val="21"/>
          <w:szCs w:val="21"/>
          <w:highlight w:val="none"/>
        </w:rPr>
      </w:pPr>
    </w:p>
    <w:p>
      <w:pPr>
        <w:jc w:val="center"/>
        <w:rPr>
          <w:rFonts w:hint="eastAsia" w:ascii="宋体" w:hAnsi="宋体" w:eastAsia="宋体" w:cs="宋体"/>
          <w:b/>
          <w:color w:val="auto"/>
          <w:kern w:val="0"/>
          <w:sz w:val="21"/>
          <w:szCs w:val="21"/>
          <w:highlight w:val="none"/>
        </w:rPr>
      </w:pPr>
    </w:p>
    <w:p>
      <w:pPr>
        <w:jc w:val="both"/>
        <w:rPr>
          <w:rFonts w:hint="eastAsia" w:ascii="宋体" w:hAnsi="宋体" w:eastAsia="宋体" w:cs="宋体"/>
          <w:b/>
          <w:color w:val="auto"/>
          <w:kern w:val="0"/>
          <w:sz w:val="32"/>
          <w:szCs w:val="32"/>
          <w:highlight w:val="none"/>
        </w:rPr>
      </w:pPr>
    </w:p>
    <w:p>
      <w:pPr>
        <w:pStyle w:val="2"/>
        <w:rPr>
          <w:rFonts w:hint="eastAsia"/>
        </w:rPr>
      </w:pPr>
    </w:p>
    <w:p>
      <w:pPr>
        <w:jc w:val="center"/>
        <w:rPr>
          <w:rFonts w:hint="eastAsia" w:ascii="宋体" w:hAnsi="宋体" w:eastAsia="宋体" w:cs="宋体"/>
          <w:b/>
          <w:color w:val="auto"/>
          <w:kern w:val="0"/>
          <w:sz w:val="32"/>
          <w:szCs w:val="32"/>
          <w:highlight w:val="none"/>
        </w:rPr>
      </w:pPr>
      <w:r>
        <w:rPr>
          <w:rFonts w:hint="eastAsia" w:ascii="宋体" w:hAnsi="宋体" w:cs="宋体"/>
          <w:b/>
          <w:color w:val="auto"/>
          <w:kern w:val="0"/>
          <w:sz w:val="32"/>
          <w:szCs w:val="32"/>
          <w:highlight w:val="none"/>
          <w:lang w:val="en-US" w:eastAsia="zh-CN"/>
        </w:rPr>
        <w:t>三</w:t>
      </w:r>
      <w:r>
        <w:rPr>
          <w:rFonts w:hint="eastAsia" w:ascii="宋体" w:hAnsi="宋体" w:eastAsia="宋体" w:cs="宋体"/>
          <w:b/>
          <w:color w:val="auto"/>
          <w:kern w:val="0"/>
          <w:sz w:val="32"/>
          <w:szCs w:val="32"/>
          <w:highlight w:val="none"/>
        </w:rPr>
        <w:t>、符合性审查资料</w:t>
      </w:r>
    </w:p>
    <w:p>
      <w:pPr>
        <w:jc w:val="center"/>
        <w:rPr>
          <w:rFonts w:hint="eastAsia" w:ascii="宋体" w:hAnsi="宋体" w:eastAsia="宋体" w:cs="宋体"/>
          <w:b/>
          <w:color w:val="auto"/>
          <w:kern w:val="0"/>
          <w:sz w:val="32"/>
          <w:szCs w:val="32"/>
          <w:highlight w:val="none"/>
        </w:rPr>
      </w:pPr>
    </w:p>
    <w:tbl>
      <w:tblPr>
        <w:tblStyle w:val="21"/>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4991" w:type="dxa"/>
            <w:vAlign w:val="center"/>
          </w:tcPr>
          <w:p>
            <w:pPr>
              <w:snapToGrid w:val="0"/>
              <w:spacing w:line="240" w:lineRule="atLeas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实质性要求</w:t>
            </w:r>
          </w:p>
        </w:tc>
        <w:tc>
          <w:tcPr>
            <w:tcW w:w="2551" w:type="dxa"/>
            <w:vAlign w:val="center"/>
          </w:tcPr>
          <w:p>
            <w:pPr>
              <w:snapToGrid w:val="0"/>
              <w:spacing w:line="240" w:lineRule="atLeas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需要提供的符合性审查资料</w:t>
            </w:r>
          </w:p>
        </w:tc>
        <w:tc>
          <w:tcPr>
            <w:tcW w:w="1418" w:type="dxa"/>
            <w:vAlign w:val="center"/>
          </w:tcPr>
          <w:p>
            <w:pPr>
              <w:snapToGrid w:val="0"/>
              <w:spacing w:line="240" w:lineRule="atLeas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磋商响应文件</w:t>
            </w:r>
            <w:r>
              <w:rPr>
                <w:rFonts w:hint="eastAsia" w:ascii="宋体" w:hAnsi="宋体" w:eastAsia="宋体" w:cs="宋体"/>
                <w:b/>
                <w:color w:val="auto"/>
                <w:sz w:val="21"/>
                <w:szCs w:val="21"/>
                <w:highlight w:val="none"/>
              </w:rPr>
              <w:t>中的</w:t>
            </w:r>
          </w:p>
          <w:p>
            <w:pPr>
              <w:snapToGrid w:val="0"/>
              <w:spacing w:line="240" w:lineRule="atLeas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991" w:type="dxa"/>
            <w:vAlign w:val="center"/>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磋商响应文件</w:t>
            </w:r>
            <w:r>
              <w:rPr>
                <w:rFonts w:hint="eastAsia" w:ascii="宋体" w:hAnsi="宋体" w:eastAsia="宋体" w:cs="宋体"/>
                <w:color w:val="auto"/>
                <w:sz w:val="21"/>
                <w:szCs w:val="21"/>
                <w:highlight w:val="none"/>
              </w:rPr>
              <w:t>按照</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要求签署、盖章。</w:t>
            </w:r>
          </w:p>
        </w:tc>
        <w:tc>
          <w:tcPr>
            <w:tcW w:w="2551" w:type="dxa"/>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需要使用电子签名或者签字盖章的</w:t>
            </w:r>
            <w:r>
              <w:rPr>
                <w:rFonts w:hint="eastAsia" w:ascii="宋体" w:hAnsi="宋体" w:eastAsia="宋体" w:cs="宋体"/>
                <w:color w:val="auto"/>
                <w:sz w:val="21"/>
                <w:szCs w:val="21"/>
                <w:highlight w:val="none"/>
                <w:lang w:eastAsia="zh-CN"/>
              </w:rPr>
              <w:t>磋商响应文件</w:t>
            </w:r>
            <w:r>
              <w:rPr>
                <w:rFonts w:hint="eastAsia" w:ascii="宋体" w:hAnsi="宋体" w:eastAsia="宋体" w:cs="宋体"/>
                <w:color w:val="auto"/>
                <w:sz w:val="21"/>
                <w:szCs w:val="21"/>
                <w:highlight w:val="none"/>
              </w:rPr>
              <w:t>的组成部分</w:t>
            </w:r>
          </w:p>
        </w:tc>
        <w:tc>
          <w:tcPr>
            <w:tcW w:w="1418" w:type="dxa"/>
            <w:vAlign w:val="center"/>
          </w:tcPr>
          <w:p>
            <w:pPr>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见</w:t>
            </w:r>
            <w:r>
              <w:rPr>
                <w:rFonts w:hint="eastAsia" w:ascii="宋体" w:hAnsi="宋体" w:eastAsia="宋体" w:cs="宋体"/>
                <w:color w:val="auto"/>
                <w:sz w:val="21"/>
                <w:szCs w:val="21"/>
                <w:highlight w:val="none"/>
                <w:lang w:eastAsia="zh-CN"/>
              </w:rPr>
              <w:t>磋商响应文件</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4991" w:type="dxa"/>
            <w:vAlign w:val="center"/>
          </w:tcPr>
          <w:p>
            <w:pPr>
              <w:spacing w:line="360" w:lineRule="auto"/>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采购人拟采购的产品属于政府强制采购的节能产品品目清单范围的，</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按</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要求提供国家确定的认证机构出具的、处于有效期之内的节能产品认证证书。</w:t>
            </w:r>
          </w:p>
        </w:tc>
        <w:tc>
          <w:tcPr>
            <w:tcW w:w="2551" w:type="dxa"/>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节能产品认证证书（本项目拟采购的产品不属于政府强</w:t>
            </w:r>
            <w:bookmarkStart w:id="1134" w:name="_GoBack"/>
            <w:bookmarkEnd w:id="1134"/>
            <w:r>
              <w:rPr>
                <w:rFonts w:hint="eastAsia" w:ascii="宋体" w:hAnsi="宋体" w:eastAsia="宋体" w:cs="宋体"/>
                <w:color w:val="auto"/>
                <w:sz w:val="21"/>
                <w:szCs w:val="21"/>
                <w:highlight w:val="none"/>
              </w:rPr>
              <w:t>制采购的节能产品品目清单范围的，无需提供）</w:t>
            </w:r>
          </w:p>
        </w:tc>
        <w:tc>
          <w:tcPr>
            <w:tcW w:w="1418" w:type="dxa"/>
            <w:vAlign w:val="center"/>
          </w:tcPr>
          <w:p>
            <w:pPr>
              <w:jc w:val="left"/>
              <w:rPr>
                <w:rFonts w:hint="eastAsia" w:ascii="宋体" w:hAnsi="宋体" w:eastAsia="宋体" w:cs="宋体"/>
                <w:color w:val="auto"/>
                <w:sz w:val="21"/>
                <w:szCs w:val="21"/>
                <w:highlight w:val="none"/>
              </w:rPr>
            </w:pPr>
          </w:p>
          <w:p>
            <w:pPr>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见</w:t>
            </w:r>
            <w:r>
              <w:rPr>
                <w:rFonts w:hint="eastAsia" w:ascii="宋体" w:hAnsi="宋体" w:eastAsia="宋体" w:cs="宋体"/>
                <w:color w:val="auto"/>
                <w:sz w:val="21"/>
                <w:szCs w:val="21"/>
                <w:highlight w:val="none"/>
                <w:lang w:eastAsia="zh-CN"/>
              </w:rPr>
              <w:t>磋商响应文件</w:t>
            </w:r>
          </w:p>
          <w:p>
            <w:pPr>
              <w:pStyle w:val="6"/>
              <w:ind w:left="432" w:leftChars="0" w:hanging="432" w:firstLineChars="0"/>
              <w:jc w:val="left"/>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lang w:val="en-US"/>
              </w:rPr>
              <w:t>第</w:t>
            </w:r>
            <w:r>
              <w:rPr>
                <w:rFonts w:hint="eastAsia" w:ascii="宋体" w:hAnsi="宋体" w:eastAsia="宋体" w:cs="宋体"/>
                <w:b w:val="0"/>
                <w:bCs w:val="0"/>
                <w:color w:val="auto"/>
                <w:sz w:val="21"/>
                <w:szCs w:val="21"/>
                <w:highlight w:val="none"/>
                <w:u w:val="single"/>
                <w:lang w:val="en-US"/>
              </w:rPr>
              <w:t xml:space="preserve">  </w:t>
            </w:r>
            <w:r>
              <w:rPr>
                <w:rFonts w:hint="eastAsia" w:ascii="宋体" w:hAnsi="宋体" w:eastAsia="宋体" w:cs="宋体"/>
                <w:b w:val="0"/>
                <w:bCs w:val="0"/>
                <w:color w:val="auto"/>
                <w:sz w:val="21"/>
                <w:szCs w:val="21"/>
                <w:highlight w:val="none"/>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4991" w:type="dxa"/>
            <w:vAlign w:val="center"/>
          </w:tcPr>
          <w:p>
            <w:pPr>
              <w:spacing w:line="360" w:lineRule="auto"/>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磋商响应文件</w:t>
            </w:r>
            <w:r>
              <w:rPr>
                <w:rFonts w:hint="eastAsia" w:ascii="宋体" w:hAnsi="宋体" w:eastAsia="宋体" w:cs="宋体"/>
                <w:color w:val="auto"/>
                <w:sz w:val="21"/>
                <w:szCs w:val="21"/>
                <w:highlight w:val="none"/>
              </w:rPr>
              <w:t>中承诺的投标有效期不少于</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中载明的投标有效期。</w:t>
            </w:r>
          </w:p>
        </w:tc>
        <w:tc>
          <w:tcPr>
            <w:tcW w:w="2551" w:type="dxa"/>
            <w:vAlign w:val="center"/>
          </w:tcPr>
          <w:p>
            <w:pPr>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磋商函</w:t>
            </w:r>
          </w:p>
        </w:tc>
        <w:tc>
          <w:tcPr>
            <w:tcW w:w="1418"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w:t>
            </w:r>
            <w:r>
              <w:rPr>
                <w:rFonts w:hint="eastAsia" w:ascii="宋体" w:hAnsi="宋体" w:eastAsia="宋体" w:cs="宋体"/>
                <w:color w:val="auto"/>
                <w:sz w:val="21"/>
                <w:szCs w:val="21"/>
                <w:highlight w:val="none"/>
                <w:lang w:eastAsia="zh-CN"/>
              </w:rPr>
              <w:t>磋商响应文件</w:t>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4991" w:type="dxa"/>
            <w:vAlign w:val="center"/>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投标报价是固定价且投标报价不超过本项目预算价或最高限价</w:t>
            </w:r>
          </w:p>
        </w:tc>
        <w:tc>
          <w:tcPr>
            <w:tcW w:w="2551" w:type="dxa"/>
            <w:vAlign w:val="center"/>
          </w:tcPr>
          <w:p>
            <w:pP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报价</w:t>
            </w:r>
            <w:r>
              <w:rPr>
                <w:rFonts w:hint="eastAsia" w:ascii="宋体" w:hAnsi="宋体" w:eastAsia="宋体" w:cs="宋体"/>
                <w:color w:val="auto"/>
                <w:sz w:val="21"/>
                <w:szCs w:val="21"/>
                <w:highlight w:val="none"/>
              </w:rPr>
              <w:t>一览表</w:t>
            </w:r>
          </w:p>
        </w:tc>
        <w:tc>
          <w:tcPr>
            <w:tcW w:w="1418" w:type="dxa"/>
            <w:vAlign w:val="center"/>
          </w:tcPr>
          <w:p>
            <w:pPr>
              <w:jc w:val="left"/>
              <w:rPr>
                <w:rFonts w:hint="eastAsia" w:ascii="宋体" w:hAnsi="宋体" w:eastAsia="宋体" w:cs="宋体"/>
                <w:color w:val="auto"/>
                <w:sz w:val="21"/>
                <w:szCs w:val="21"/>
                <w:highlight w:val="none"/>
              </w:rPr>
            </w:pPr>
          </w:p>
          <w:p>
            <w:pPr>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见</w:t>
            </w:r>
            <w:r>
              <w:rPr>
                <w:rFonts w:hint="eastAsia" w:ascii="宋体" w:hAnsi="宋体" w:eastAsia="宋体" w:cs="宋体"/>
                <w:color w:val="auto"/>
                <w:sz w:val="21"/>
                <w:szCs w:val="21"/>
                <w:highlight w:val="none"/>
                <w:lang w:eastAsia="zh-CN"/>
              </w:rPr>
              <w:t>磋商响应文件</w:t>
            </w:r>
          </w:p>
          <w:p>
            <w:pPr>
              <w:pStyle w:val="6"/>
              <w:ind w:left="432" w:leftChars="0" w:hanging="432" w:firstLineChars="0"/>
              <w:jc w:val="left"/>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rPr>
              <w:t>第</w:t>
            </w:r>
            <w:r>
              <w:rPr>
                <w:rFonts w:hint="eastAsia" w:ascii="宋体" w:hAnsi="宋体" w:eastAsia="宋体" w:cs="宋体"/>
                <w:b w:val="0"/>
                <w:bCs w:val="0"/>
                <w:color w:val="auto"/>
                <w:sz w:val="21"/>
                <w:szCs w:val="21"/>
                <w:highlight w:val="none"/>
                <w:u w:val="single"/>
                <w:lang w:val="en-US"/>
              </w:rPr>
              <w:t xml:space="preserve">  </w:t>
            </w:r>
            <w:r>
              <w:rPr>
                <w:rFonts w:hint="eastAsia" w:ascii="宋体" w:hAnsi="宋体" w:eastAsia="宋体" w:cs="宋体"/>
                <w:b w:val="0"/>
                <w:bCs w:val="0"/>
                <w:color w:val="auto"/>
                <w:sz w:val="21"/>
                <w:szCs w:val="21"/>
                <w:highlight w:val="none"/>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4991" w:type="dxa"/>
            <w:vAlign w:val="center"/>
          </w:tcPr>
          <w:p>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磋商响应文件</w:t>
            </w:r>
            <w:r>
              <w:rPr>
                <w:rFonts w:hint="eastAsia" w:ascii="宋体" w:hAnsi="宋体" w:eastAsia="宋体" w:cs="宋体"/>
                <w:color w:val="auto"/>
                <w:sz w:val="21"/>
                <w:szCs w:val="21"/>
                <w:highlight w:val="none"/>
              </w:rPr>
              <w:t>满足</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的其它实质性要求。</w:t>
            </w:r>
          </w:p>
        </w:tc>
        <w:tc>
          <w:tcPr>
            <w:tcW w:w="2551" w:type="dxa"/>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eastAsia="zh-CN"/>
              </w:rPr>
              <w:t>磋商文件</w:t>
            </w:r>
            <w:r>
              <w:rPr>
                <w:rFonts w:hint="eastAsia" w:ascii="宋体" w:hAnsi="宋体" w:eastAsia="宋体" w:cs="宋体"/>
                <w:color w:val="auto"/>
                <w:kern w:val="0"/>
                <w:sz w:val="21"/>
                <w:szCs w:val="21"/>
                <w:highlight w:val="none"/>
              </w:rPr>
              <w:t>其它实质性要求相应的材料（“▲” 系指实质性要求条款，</w:t>
            </w:r>
            <w:r>
              <w:rPr>
                <w:rFonts w:hint="eastAsia" w:ascii="宋体" w:hAnsi="宋体" w:eastAsia="宋体" w:cs="宋体"/>
                <w:color w:val="auto"/>
                <w:kern w:val="0"/>
                <w:sz w:val="21"/>
                <w:szCs w:val="21"/>
                <w:highlight w:val="none"/>
                <w:lang w:eastAsia="zh-CN"/>
              </w:rPr>
              <w:t>磋商文件</w:t>
            </w:r>
            <w:r>
              <w:rPr>
                <w:rFonts w:hint="eastAsia" w:ascii="宋体" w:hAnsi="宋体" w:eastAsia="宋体" w:cs="宋体"/>
                <w:color w:val="auto"/>
                <w:kern w:val="0"/>
                <w:sz w:val="21"/>
                <w:szCs w:val="21"/>
                <w:highlight w:val="none"/>
              </w:rPr>
              <w:t>无其它实质性要求的，无需提供）</w:t>
            </w:r>
          </w:p>
        </w:tc>
        <w:tc>
          <w:tcPr>
            <w:tcW w:w="1418" w:type="dxa"/>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w:t>
            </w:r>
            <w:r>
              <w:rPr>
                <w:rFonts w:hint="eastAsia" w:ascii="宋体" w:hAnsi="宋体" w:eastAsia="宋体" w:cs="宋体"/>
                <w:color w:val="auto"/>
                <w:sz w:val="21"/>
                <w:szCs w:val="21"/>
                <w:highlight w:val="none"/>
                <w:lang w:eastAsia="zh-CN"/>
              </w:rPr>
              <w:t>磋商响应文件</w:t>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bl>
    <w:p>
      <w:pPr>
        <w:pStyle w:val="9"/>
        <w:ind w:left="0" w:leftChars="0"/>
        <w:rPr>
          <w:rFonts w:hint="eastAsia" w:ascii="宋体" w:hAnsi="宋体" w:eastAsia="宋体" w:cs="宋体"/>
          <w:color w:val="auto"/>
          <w:highlight w:val="none"/>
        </w:rPr>
      </w:pPr>
    </w:p>
    <w:p>
      <w:pPr>
        <w:jc w:val="both"/>
        <w:rPr>
          <w:rFonts w:hint="eastAsia" w:ascii="宋体" w:hAnsi="宋体" w:eastAsia="宋体" w:cs="宋体"/>
          <w:b/>
          <w:color w:val="auto"/>
          <w:kern w:val="0"/>
          <w:sz w:val="32"/>
          <w:szCs w:val="32"/>
          <w:highlight w:val="none"/>
        </w:rPr>
      </w:pPr>
      <w:r>
        <w:rPr>
          <w:rFonts w:hint="eastAsia" w:ascii="宋体" w:hAnsi="宋体" w:eastAsia="宋体" w:cs="宋体"/>
          <w:color w:val="auto"/>
          <w:sz w:val="24"/>
          <w:highlight w:val="none"/>
          <w:lang w:val="en-US" w:eastAsia="zh-CN"/>
        </w:rPr>
        <w:t>注：按本格式和要求提供</w:t>
      </w:r>
      <w:r>
        <w:rPr>
          <w:rFonts w:hint="eastAsia" w:ascii="宋体" w:hAnsi="宋体" w:eastAsia="宋体" w:cs="宋体"/>
          <w:b/>
          <w:color w:val="auto"/>
          <w:kern w:val="0"/>
          <w:sz w:val="32"/>
          <w:szCs w:val="32"/>
          <w:highlight w:val="none"/>
        </w:rPr>
        <w:t xml:space="preserve">            </w:t>
      </w:r>
    </w:p>
    <w:p>
      <w:pPr>
        <w:jc w:val="center"/>
        <w:rPr>
          <w:rFonts w:hint="eastAsia" w:ascii="宋体" w:hAnsi="宋体" w:eastAsia="宋体" w:cs="宋体"/>
          <w:b/>
          <w:color w:val="auto"/>
          <w:kern w:val="0"/>
          <w:sz w:val="32"/>
          <w:szCs w:val="32"/>
          <w:highlight w:val="none"/>
        </w:rPr>
      </w:pPr>
    </w:p>
    <w:p>
      <w:pPr>
        <w:numPr>
          <w:ilvl w:val="0"/>
          <w:numId w:val="0"/>
        </w:numPr>
        <w:ind w:leftChars="0"/>
        <w:jc w:val="center"/>
        <w:rPr>
          <w:rFonts w:hint="eastAsia" w:ascii="宋体" w:hAnsi="宋体" w:eastAsia="宋体" w:cs="宋体"/>
          <w:b/>
          <w:color w:val="auto"/>
          <w:kern w:val="0"/>
          <w:sz w:val="32"/>
          <w:szCs w:val="32"/>
          <w:highlight w:val="none"/>
        </w:rPr>
      </w:pPr>
      <w:r>
        <w:rPr>
          <w:rFonts w:hint="eastAsia" w:ascii="宋体" w:hAnsi="宋体" w:cs="宋体"/>
          <w:b/>
          <w:color w:val="auto"/>
          <w:kern w:val="0"/>
          <w:sz w:val="32"/>
          <w:szCs w:val="32"/>
          <w:highlight w:val="none"/>
          <w:lang w:val="en-US" w:eastAsia="zh-CN"/>
        </w:rPr>
        <w:t>四、</w:t>
      </w:r>
      <w:r>
        <w:rPr>
          <w:rFonts w:hint="eastAsia" w:ascii="宋体" w:hAnsi="宋体" w:eastAsia="宋体" w:cs="宋体"/>
          <w:b/>
          <w:color w:val="auto"/>
          <w:kern w:val="0"/>
          <w:sz w:val="32"/>
          <w:szCs w:val="32"/>
          <w:highlight w:val="none"/>
        </w:rPr>
        <w:t>评标标准相应的商务技术资料</w:t>
      </w:r>
    </w:p>
    <w:p>
      <w:pPr>
        <w:pStyle w:val="3"/>
        <w:numPr>
          <w:ilvl w:val="0"/>
          <w:numId w:val="0"/>
        </w:numPr>
        <w:ind w:leftChars="0"/>
        <w:rPr>
          <w:rFonts w:hint="eastAsia"/>
          <w:color w:val="auto"/>
          <w:highlight w:val="none"/>
        </w:rPr>
      </w:pPr>
    </w:p>
    <w:p>
      <w:pPr>
        <w:snapToGrid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（按</w:t>
      </w:r>
      <w:r>
        <w:rPr>
          <w:rFonts w:hint="eastAsia" w:ascii="宋体" w:hAnsi="宋体" w:eastAsia="宋体" w:cs="宋体"/>
          <w:b/>
          <w:color w:val="auto"/>
          <w:sz w:val="21"/>
          <w:szCs w:val="21"/>
          <w:highlight w:val="none"/>
          <w:lang w:eastAsia="zh-CN"/>
        </w:rPr>
        <w:t>磋商文件</w:t>
      </w:r>
      <w:r>
        <w:rPr>
          <w:rFonts w:hint="eastAsia" w:ascii="宋体" w:hAnsi="宋体" w:eastAsia="宋体" w:cs="宋体"/>
          <w:b/>
          <w:color w:val="auto"/>
          <w:sz w:val="21"/>
          <w:szCs w:val="21"/>
          <w:highlight w:val="none"/>
        </w:rPr>
        <w:t>第四部分评标办法前附表中“</w:t>
      </w:r>
      <w:r>
        <w:rPr>
          <w:rFonts w:hint="eastAsia" w:ascii="宋体" w:hAnsi="宋体" w:eastAsia="宋体" w:cs="宋体"/>
          <w:b/>
          <w:color w:val="auto"/>
          <w:sz w:val="21"/>
          <w:szCs w:val="21"/>
          <w:highlight w:val="none"/>
          <w:lang w:eastAsia="zh-CN"/>
        </w:rPr>
        <w:t>磋商响应文件</w:t>
      </w:r>
      <w:r>
        <w:rPr>
          <w:rFonts w:hint="eastAsia" w:ascii="宋体" w:hAnsi="宋体" w:eastAsia="宋体" w:cs="宋体"/>
          <w:b/>
          <w:color w:val="auto"/>
          <w:sz w:val="21"/>
          <w:szCs w:val="21"/>
          <w:highlight w:val="none"/>
        </w:rPr>
        <w:t>中评标标准相应的商务技术资料目录”提供资料）</w:t>
      </w:r>
    </w:p>
    <w:p>
      <w:pPr>
        <w:pStyle w:val="3"/>
        <w:rPr>
          <w:rFonts w:hint="eastAsia" w:ascii="宋体" w:hAnsi="宋体" w:eastAsia="宋体" w:cs="宋体"/>
          <w:b/>
          <w:color w:val="auto"/>
          <w:kern w:val="0"/>
          <w:sz w:val="32"/>
          <w:szCs w:val="32"/>
          <w:highlight w:val="none"/>
        </w:rPr>
      </w:pPr>
    </w:p>
    <w:p>
      <w:pPr>
        <w:rPr>
          <w:rFonts w:hint="eastAsia"/>
          <w:color w:val="auto"/>
          <w:highlight w:val="none"/>
        </w:rPr>
      </w:pPr>
    </w:p>
    <w:p>
      <w:pPr>
        <w:numPr>
          <w:ilvl w:val="0"/>
          <w:numId w:val="0"/>
        </w:numPr>
        <w:ind w:leftChars="0"/>
        <w:jc w:val="center"/>
        <w:rPr>
          <w:rFonts w:hint="eastAsia" w:ascii="宋体" w:hAnsi="宋体" w:cs="宋体"/>
          <w:b/>
          <w:color w:val="auto"/>
          <w:kern w:val="0"/>
          <w:sz w:val="32"/>
          <w:szCs w:val="32"/>
          <w:highlight w:val="none"/>
          <w:lang w:val="en-US" w:eastAsia="zh-CN"/>
        </w:rPr>
      </w:pPr>
      <w:r>
        <w:rPr>
          <w:rFonts w:hint="eastAsia" w:ascii="宋体" w:hAnsi="宋体" w:cs="宋体"/>
          <w:b/>
          <w:color w:val="auto"/>
          <w:kern w:val="0"/>
          <w:sz w:val="32"/>
          <w:szCs w:val="32"/>
          <w:highlight w:val="none"/>
          <w:lang w:val="en-US" w:eastAsia="zh-CN"/>
        </w:rPr>
        <w:t>五、商务技术偏离表</w:t>
      </w:r>
    </w:p>
    <w:p>
      <w:pPr>
        <w:pStyle w:val="3"/>
        <w:numPr>
          <w:ilvl w:val="0"/>
          <w:numId w:val="0"/>
        </w:numPr>
        <w:rPr>
          <w:rFonts w:hint="eastAsia"/>
          <w:color w:val="auto"/>
          <w:highlight w:val="none"/>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3683" w:type="dxa"/>
            <w:vAlign w:val="top"/>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磋商文件</w:t>
            </w:r>
            <w:r>
              <w:rPr>
                <w:rFonts w:hint="eastAsia" w:ascii="宋体" w:hAnsi="宋体" w:eastAsia="宋体" w:cs="宋体"/>
                <w:b/>
                <w:bCs/>
                <w:color w:val="auto"/>
                <w:sz w:val="21"/>
                <w:szCs w:val="21"/>
                <w:highlight w:val="none"/>
              </w:rPr>
              <w:t>章节及具体内容</w:t>
            </w:r>
          </w:p>
        </w:tc>
        <w:tc>
          <w:tcPr>
            <w:tcW w:w="3546" w:type="dxa"/>
            <w:vAlign w:val="top"/>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磋商响应文件</w:t>
            </w:r>
            <w:r>
              <w:rPr>
                <w:rFonts w:hint="eastAsia" w:ascii="宋体" w:hAnsi="宋体" w:eastAsia="宋体" w:cs="宋体"/>
                <w:b/>
                <w:bCs/>
                <w:color w:val="auto"/>
                <w:sz w:val="21"/>
                <w:szCs w:val="21"/>
                <w:highlight w:val="none"/>
              </w:rPr>
              <w:t>章节及具体内容</w:t>
            </w:r>
          </w:p>
        </w:tc>
        <w:tc>
          <w:tcPr>
            <w:tcW w:w="1276" w:type="dxa"/>
            <w:vAlign w:val="top"/>
          </w:tcPr>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3683" w:type="dxa"/>
            <w:vAlign w:val="top"/>
          </w:tcPr>
          <w:p>
            <w:pPr>
              <w:jc w:val="center"/>
              <w:rPr>
                <w:rFonts w:hint="eastAsia" w:ascii="宋体" w:hAnsi="宋体" w:eastAsia="宋体" w:cs="宋体"/>
                <w:b/>
                <w:color w:val="auto"/>
                <w:kern w:val="0"/>
                <w:sz w:val="21"/>
                <w:szCs w:val="21"/>
                <w:highlight w:val="none"/>
              </w:rPr>
            </w:pPr>
          </w:p>
        </w:tc>
        <w:tc>
          <w:tcPr>
            <w:tcW w:w="3546" w:type="dxa"/>
            <w:vAlign w:val="top"/>
          </w:tcPr>
          <w:p>
            <w:pPr>
              <w:jc w:val="center"/>
              <w:rPr>
                <w:rFonts w:hint="eastAsia" w:ascii="宋体" w:hAnsi="宋体" w:eastAsia="宋体" w:cs="宋体"/>
                <w:b/>
                <w:color w:val="auto"/>
                <w:kern w:val="0"/>
                <w:sz w:val="21"/>
                <w:szCs w:val="21"/>
                <w:highlight w:val="none"/>
              </w:rPr>
            </w:pPr>
          </w:p>
        </w:tc>
        <w:tc>
          <w:tcPr>
            <w:tcW w:w="1276" w:type="dxa"/>
            <w:vAlign w:val="top"/>
          </w:tcPr>
          <w:p>
            <w:pPr>
              <w:jc w:val="center"/>
              <w:rPr>
                <w:rFonts w:hint="eastAsia" w:ascii="宋体" w:hAnsi="宋体" w:eastAsia="宋体" w:cs="宋体"/>
                <w:b/>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3683" w:type="dxa"/>
            <w:vAlign w:val="top"/>
          </w:tcPr>
          <w:p>
            <w:pPr>
              <w:jc w:val="center"/>
              <w:rPr>
                <w:rFonts w:hint="eastAsia" w:ascii="宋体" w:hAnsi="宋体" w:eastAsia="宋体" w:cs="宋体"/>
                <w:b/>
                <w:color w:val="auto"/>
                <w:kern w:val="0"/>
                <w:sz w:val="21"/>
                <w:szCs w:val="21"/>
                <w:highlight w:val="none"/>
              </w:rPr>
            </w:pPr>
          </w:p>
        </w:tc>
        <w:tc>
          <w:tcPr>
            <w:tcW w:w="3546" w:type="dxa"/>
            <w:vAlign w:val="top"/>
          </w:tcPr>
          <w:p>
            <w:pPr>
              <w:jc w:val="center"/>
              <w:rPr>
                <w:rFonts w:hint="eastAsia" w:ascii="宋体" w:hAnsi="宋体" w:eastAsia="宋体" w:cs="宋体"/>
                <w:b/>
                <w:color w:val="auto"/>
                <w:kern w:val="0"/>
                <w:sz w:val="21"/>
                <w:szCs w:val="21"/>
                <w:highlight w:val="none"/>
              </w:rPr>
            </w:pPr>
          </w:p>
        </w:tc>
        <w:tc>
          <w:tcPr>
            <w:tcW w:w="1276" w:type="dxa"/>
            <w:vAlign w:val="top"/>
          </w:tcPr>
          <w:p>
            <w:pPr>
              <w:jc w:val="center"/>
              <w:rPr>
                <w:rFonts w:hint="eastAsia" w:ascii="宋体" w:hAnsi="宋体" w:eastAsia="宋体" w:cs="宋体"/>
                <w:b/>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c>
          <w:tcPr>
            <w:tcW w:w="3683" w:type="dxa"/>
            <w:vAlign w:val="top"/>
          </w:tcPr>
          <w:p>
            <w:pPr>
              <w:jc w:val="center"/>
              <w:rPr>
                <w:rFonts w:hint="eastAsia" w:ascii="宋体" w:hAnsi="宋体" w:eastAsia="宋体" w:cs="宋体"/>
                <w:b/>
                <w:color w:val="auto"/>
                <w:kern w:val="0"/>
                <w:sz w:val="21"/>
                <w:szCs w:val="21"/>
                <w:highlight w:val="none"/>
              </w:rPr>
            </w:pPr>
          </w:p>
        </w:tc>
        <w:tc>
          <w:tcPr>
            <w:tcW w:w="3546" w:type="dxa"/>
            <w:vAlign w:val="top"/>
          </w:tcPr>
          <w:p>
            <w:pPr>
              <w:jc w:val="center"/>
              <w:rPr>
                <w:rFonts w:hint="eastAsia" w:ascii="宋体" w:hAnsi="宋体" w:eastAsia="宋体" w:cs="宋体"/>
                <w:b/>
                <w:color w:val="auto"/>
                <w:kern w:val="0"/>
                <w:sz w:val="21"/>
                <w:szCs w:val="21"/>
                <w:highlight w:val="none"/>
              </w:rPr>
            </w:pPr>
          </w:p>
        </w:tc>
        <w:tc>
          <w:tcPr>
            <w:tcW w:w="1276" w:type="dxa"/>
            <w:vAlign w:val="top"/>
          </w:tcPr>
          <w:p>
            <w:pPr>
              <w:jc w:val="center"/>
              <w:rPr>
                <w:rFonts w:hint="eastAsia" w:ascii="宋体" w:hAnsi="宋体" w:eastAsia="宋体" w:cs="宋体"/>
                <w:b/>
                <w:color w:val="auto"/>
                <w:kern w:val="0"/>
                <w:sz w:val="21"/>
                <w:szCs w:val="21"/>
                <w:highlight w:val="none"/>
              </w:rPr>
            </w:pPr>
          </w:p>
        </w:tc>
      </w:tr>
    </w:tbl>
    <w:p>
      <w:pPr>
        <w:jc w:val="left"/>
        <w:rPr>
          <w:rFonts w:hint="eastAsia"/>
          <w:color w:val="auto"/>
          <w:highlight w:val="none"/>
        </w:rPr>
      </w:pP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保证：除商务技术偏离表列出的偏离外，</w:t>
      </w:r>
      <w:r>
        <w:rPr>
          <w:rFonts w:hint="eastAsia" w:ascii="宋体" w:hAnsi="宋体" w:eastAsia="宋体" w:cs="宋体"/>
          <w:color w:val="auto"/>
          <w:kern w:val="0"/>
          <w:sz w:val="21"/>
          <w:szCs w:val="21"/>
          <w:highlight w:val="none"/>
          <w:lang w:eastAsia="zh-CN"/>
        </w:rPr>
        <w:t>磋商供应商</w:t>
      </w:r>
      <w:r>
        <w:rPr>
          <w:rFonts w:hint="eastAsia" w:ascii="宋体" w:hAnsi="宋体" w:eastAsia="宋体" w:cs="宋体"/>
          <w:color w:val="auto"/>
          <w:kern w:val="0"/>
          <w:sz w:val="21"/>
          <w:szCs w:val="21"/>
          <w:highlight w:val="none"/>
        </w:rPr>
        <w:t>响应</w:t>
      </w:r>
      <w:r>
        <w:rPr>
          <w:rFonts w:hint="eastAsia" w:ascii="宋体" w:hAnsi="宋体" w:eastAsia="宋体" w:cs="宋体"/>
          <w:color w:val="auto"/>
          <w:kern w:val="0"/>
          <w:sz w:val="21"/>
          <w:szCs w:val="21"/>
          <w:highlight w:val="none"/>
          <w:lang w:eastAsia="zh-CN"/>
        </w:rPr>
        <w:t>磋商文件</w:t>
      </w:r>
      <w:r>
        <w:rPr>
          <w:rFonts w:hint="eastAsia" w:ascii="宋体" w:hAnsi="宋体" w:eastAsia="宋体" w:cs="宋体"/>
          <w:color w:val="auto"/>
          <w:kern w:val="0"/>
          <w:sz w:val="21"/>
          <w:szCs w:val="21"/>
          <w:highlight w:val="none"/>
        </w:rPr>
        <w:t>的全部要求</w:t>
      </w:r>
    </w:p>
    <w:p>
      <w:pPr>
        <w:ind w:firstLine="1911" w:firstLineChars="595"/>
        <w:rPr>
          <w:rFonts w:hint="eastAsia" w:ascii="宋体" w:hAnsi="宋体" w:cs="宋体"/>
          <w:b/>
          <w:color w:val="auto"/>
          <w:kern w:val="0"/>
          <w:sz w:val="32"/>
          <w:szCs w:val="32"/>
          <w:highlight w:val="none"/>
          <w:lang w:val="en-US" w:eastAsia="zh-CN"/>
        </w:rPr>
      </w:pPr>
    </w:p>
    <w:p>
      <w:pPr>
        <w:ind w:firstLine="1911" w:firstLineChars="595"/>
        <w:rPr>
          <w:rFonts w:hint="eastAsia" w:ascii="宋体" w:hAnsi="宋体" w:eastAsia="宋体" w:cs="宋体"/>
          <w:b/>
          <w:color w:val="auto"/>
          <w:kern w:val="0"/>
          <w:sz w:val="32"/>
          <w:szCs w:val="32"/>
          <w:highlight w:val="none"/>
        </w:rPr>
      </w:pPr>
      <w:r>
        <w:rPr>
          <w:rFonts w:hint="eastAsia" w:ascii="宋体" w:hAnsi="宋体" w:cs="宋体"/>
          <w:b/>
          <w:color w:val="auto"/>
          <w:kern w:val="0"/>
          <w:sz w:val="32"/>
          <w:szCs w:val="32"/>
          <w:highlight w:val="none"/>
          <w:lang w:val="en-US" w:eastAsia="zh-CN"/>
        </w:rPr>
        <w:t>六</w:t>
      </w:r>
      <w:r>
        <w:rPr>
          <w:rFonts w:hint="eastAsia" w:ascii="宋体" w:hAnsi="宋体" w:eastAsia="宋体" w:cs="宋体"/>
          <w:b/>
          <w:color w:val="auto"/>
          <w:kern w:val="0"/>
          <w:sz w:val="32"/>
          <w:szCs w:val="32"/>
          <w:highlight w:val="none"/>
        </w:rPr>
        <w:t>、</w:t>
      </w:r>
      <w:r>
        <w:rPr>
          <w:rFonts w:hint="eastAsia" w:ascii="宋体" w:hAnsi="宋体" w:eastAsia="宋体" w:cs="宋体"/>
          <w:b/>
          <w:color w:val="auto"/>
          <w:kern w:val="0"/>
          <w:sz w:val="32"/>
          <w:szCs w:val="32"/>
          <w:highlight w:val="none"/>
          <w:lang w:val="zh-CN"/>
        </w:rPr>
        <w:t>政府采购供应商廉洁自律承诺书</w:t>
      </w:r>
    </w:p>
    <w:p>
      <w:pPr>
        <w:snapToGrid w:val="0"/>
        <w:spacing w:line="360" w:lineRule="auto"/>
        <w:rPr>
          <w:rFonts w:hint="eastAsia" w:ascii="宋体" w:hAnsi="宋体" w:eastAsia="宋体" w:cs="宋体"/>
          <w:color w:val="auto"/>
          <w:sz w:val="21"/>
          <w:szCs w:val="21"/>
          <w:highlight w:val="none"/>
        </w:rPr>
      </w:pPr>
    </w:p>
    <w:p>
      <w:pPr>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（采购人）、（采购代理机构）</w:t>
      </w:r>
      <w:r>
        <w:rPr>
          <w:rFonts w:hint="eastAsia" w:ascii="宋体" w:hAnsi="宋体" w:eastAsia="宋体" w:cs="宋体"/>
          <w:color w:val="auto"/>
          <w:kern w:val="0"/>
          <w:sz w:val="21"/>
          <w:szCs w:val="21"/>
          <w:highlight w:val="none"/>
          <w:lang w:val="zh-CN"/>
        </w:rPr>
        <w:t>：</w:t>
      </w:r>
    </w:p>
    <w:p>
      <w:pPr>
        <w:autoSpaceDE w:val="0"/>
        <w:autoSpaceDN w:val="0"/>
        <w:spacing w:line="360" w:lineRule="auto"/>
        <w:ind w:left="2" w:leftChars="1"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我单位响应你</w:t>
      </w:r>
      <w:r>
        <w:rPr>
          <w:rFonts w:hint="eastAsia" w:ascii="宋体" w:hAnsi="宋体" w:eastAsia="宋体" w:cs="宋体"/>
          <w:color w:val="auto"/>
          <w:sz w:val="21"/>
          <w:szCs w:val="21"/>
          <w:highlight w:val="none"/>
        </w:rPr>
        <w:t>单位</w:t>
      </w:r>
      <w:r>
        <w:rPr>
          <w:rFonts w:hint="eastAsia" w:ascii="宋体" w:hAnsi="宋体" w:eastAsia="宋体" w:cs="宋体"/>
          <w:color w:val="auto"/>
          <w:kern w:val="0"/>
          <w:sz w:val="21"/>
          <w:szCs w:val="21"/>
          <w:highlight w:val="none"/>
          <w:lang w:val="zh-CN"/>
        </w:rPr>
        <w:t>项目</w:t>
      </w:r>
      <w:r>
        <w:rPr>
          <w:rFonts w:hint="eastAsia" w:ascii="宋体" w:hAnsi="宋体" w:cs="宋体"/>
          <w:color w:val="auto"/>
          <w:kern w:val="0"/>
          <w:sz w:val="21"/>
          <w:szCs w:val="21"/>
          <w:highlight w:val="none"/>
          <w:lang w:val="zh-CN"/>
        </w:rPr>
        <w:t>磋商</w:t>
      </w:r>
      <w:r>
        <w:rPr>
          <w:rFonts w:hint="eastAsia" w:ascii="宋体" w:hAnsi="宋体" w:eastAsia="宋体" w:cs="宋体"/>
          <w:color w:val="auto"/>
          <w:kern w:val="0"/>
          <w:sz w:val="21"/>
          <w:szCs w:val="21"/>
          <w:highlight w:val="none"/>
          <w:lang w:val="zh-CN"/>
        </w:rPr>
        <w:t>要求参加投标。在这次投标过程中和中标后，我们将严格遵守国家法律法规要求，并郑重承诺：</w:t>
      </w:r>
    </w:p>
    <w:p>
      <w:pPr>
        <w:autoSpaceDE w:val="0"/>
        <w:autoSpaceDN w:val="0"/>
        <w:spacing w:line="360" w:lineRule="auto"/>
        <w:ind w:left="2" w:leftChars="1"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 xml:space="preserve">二、不为项目有关人员及部门报销应由你方单位或个人支付的费用； </w:t>
      </w:r>
    </w:p>
    <w:p>
      <w:pPr>
        <w:autoSpaceDE w:val="0"/>
        <w:autoSpaceDN w:val="0"/>
        <w:spacing w:line="360" w:lineRule="auto"/>
        <w:ind w:left="2" w:leftChars="1"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 xml:space="preserve">三、不向项目有关人员及部门提供有可能影响公正的宴请和健身娱乐等活动； </w:t>
      </w:r>
    </w:p>
    <w:p>
      <w:pPr>
        <w:autoSpaceDE w:val="0"/>
        <w:autoSpaceDN w:val="0"/>
        <w:spacing w:line="360" w:lineRule="auto"/>
        <w:ind w:left="2" w:leftChars="1"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四、不为项目有关人员及部门出国（境）、旅游等提供方便；</w:t>
      </w:r>
    </w:p>
    <w:p>
      <w:pPr>
        <w:autoSpaceDE w:val="0"/>
        <w:autoSpaceDN w:val="0"/>
        <w:spacing w:line="360" w:lineRule="auto"/>
        <w:ind w:left="481" w:leftChars="229"/>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五、不为项目有关人员个人装修住房、婚丧嫁娶、配偶子女工作安排等提供</w:t>
      </w:r>
    </w:p>
    <w:p>
      <w:pPr>
        <w:autoSpaceDE w:val="0"/>
        <w:autoSpaceDN w:val="0"/>
        <w:spacing w:line="360" w:lineRule="auto"/>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好处；</w:t>
      </w:r>
    </w:p>
    <w:p>
      <w:pPr>
        <w:autoSpaceDE w:val="0"/>
        <w:autoSpaceDN w:val="0"/>
        <w:spacing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六、严格遵守《</w:t>
      </w:r>
      <w:r>
        <w:rPr>
          <w:rFonts w:hint="eastAsia" w:ascii="宋体" w:hAnsi="宋体" w:eastAsia="宋体" w:cs="宋体"/>
          <w:color w:val="auto"/>
          <w:sz w:val="21"/>
          <w:szCs w:val="21"/>
          <w:highlight w:val="none"/>
          <w:lang w:val="zh-CN"/>
        </w:rPr>
        <w:t>中华人民共和国</w:t>
      </w:r>
      <w:r>
        <w:rPr>
          <w:rFonts w:hint="eastAsia" w:ascii="宋体" w:hAnsi="宋体" w:eastAsia="宋体" w:cs="宋体"/>
          <w:color w:val="auto"/>
          <w:kern w:val="0"/>
          <w:sz w:val="21"/>
          <w:szCs w:val="21"/>
          <w:highlight w:val="none"/>
          <w:lang w:val="zh-CN"/>
        </w:rPr>
        <w:t>政府采购法》、</w:t>
      </w:r>
      <w:r>
        <w:rPr>
          <w:rFonts w:hint="eastAsia" w:ascii="宋体" w:hAnsi="宋体" w:eastAsia="宋体" w:cs="宋体"/>
          <w:color w:val="auto"/>
          <w:sz w:val="21"/>
          <w:szCs w:val="21"/>
          <w:highlight w:val="none"/>
          <w:lang w:val="zh-CN"/>
        </w:rPr>
        <w:t>《中华人民共和国民法典》</w:t>
      </w:r>
      <w:r>
        <w:rPr>
          <w:rFonts w:hint="eastAsia" w:ascii="宋体" w:hAnsi="宋体" w:eastAsia="宋体" w:cs="宋体"/>
          <w:color w:val="auto"/>
          <w:kern w:val="0"/>
          <w:sz w:val="21"/>
          <w:szCs w:val="21"/>
          <w:highlight w:val="none"/>
          <w:lang w:val="zh-CN"/>
        </w:rPr>
        <w:t xml:space="preserve">等法律法规，诚实守信，合法经营，坚决抵制各种违法违纪行为。 </w:t>
      </w:r>
    </w:p>
    <w:p>
      <w:pPr>
        <w:autoSpaceDE w:val="0"/>
        <w:autoSpaceDN w:val="0"/>
        <w:spacing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如违反上述承诺，你</w:t>
      </w:r>
      <w:r>
        <w:rPr>
          <w:rFonts w:hint="eastAsia" w:ascii="宋体" w:hAnsi="宋体" w:eastAsia="宋体" w:cs="宋体"/>
          <w:color w:val="auto"/>
          <w:sz w:val="21"/>
          <w:szCs w:val="21"/>
          <w:highlight w:val="none"/>
        </w:rPr>
        <w:t>单位</w:t>
      </w:r>
      <w:r>
        <w:rPr>
          <w:rFonts w:hint="eastAsia" w:ascii="宋体" w:hAnsi="宋体" w:eastAsia="宋体" w:cs="宋体"/>
          <w:color w:val="auto"/>
          <w:kern w:val="0"/>
          <w:sz w:val="21"/>
          <w:szCs w:val="21"/>
          <w:highlight w:val="none"/>
          <w:lang w:val="zh-CN"/>
        </w:rPr>
        <w:t>有权立即取消我单位投标、中标或在建项目的建设资格，有权拒绝我单位在一定时期内进入你</w:t>
      </w:r>
      <w:r>
        <w:rPr>
          <w:rFonts w:hint="eastAsia" w:ascii="宋体" w:hAnsi="宋体" w:eastAsia="宋体" w:cs="宋体"/>
          <w:color w:val="auto"/>
          <w:sz w:val="21"/>
          <w:szCs w:val="21"/>
          <w:highlight w:val="none"/>
        </w:rPr>
        <w:t>单位</w:t>
      </w:r>
      <w:r>
        <w:rPr>
          <w:rFonts w:hint="eastAsia" w:ascii="宋体" w:hAnsi="宋体" w:eastAsia="宋体" w:cs="宋体"/>
          <w:color w:val="auto"/>
          <w:kern w:val="0"/>
          <w:sz w:val="21"/>
          <w:szCs w:val="21"/>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宋体" w:hAnsi="宋体" w:eastAsia="宋体" w:cs="宋体"/>
          <w:color w:val="auto"/>
          <w:kern w:val="0"/>
          <w:sz w:val="21"/>
          <w:szCs w:val="21"/>
          <w:highlight w:val="none"/>
          <w:lang w:val="zh-CN"/>
        </w:rPr>
      </w:pPr>
    </w:p>
    <w:p>
      <w:pPr>
        <w:autoSpaceDE w:val="0"/>
        <w:autoSpaceDN w:val="0"/>
        <w:spacing w:line="360" w:lineRule="auto"/>
        <w:ind w:left="2" w:leftChars="1" w:right="1120" w:firstLine="3990" w:firstLineChars="19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磋商供应商名称（</w:t>
      </w:r>
      <w:r>
        <w:rPr>
          <w:rFonts w:hint="eastAsia" w:ascii="宋体" w:hAnsi="宋体" w:eastAsia="宋体" w:cs="宋体"/>
          <w:color w:val="auto"/>
          <w:sz w:val="21"/>
          <w:szCs w:val="21"/>
          <w:highlight w:val="none"/>
        </w:rPr>
        <w:t>电子签名</w:t>
      </w:r>
      <w:r>
        <w:rPr>
          <w:rFonts w:hint="eastAsia" w:ascii="宋体" w:hAnsi="宋体" w:eastAsia="宋体" w:cs="宋体"/>
          <w:color w:val="auto"/>
          <w:kern w:val="0"/>
          <w:sz w:val="21"/>
          <w:szCs w:val="21"/>
          <w:highlight w:val="none"/>
          <w:lang w:val="zh-CN"/>
        </w:rPr>
        <w:t xml:space="preserve">）：                                                                                                                                                                                                               </w:t>
      </w:r>
    </w:p>
    <w:p>
      <w:pPr>
        <w:spacing w:line="360" w:lineRule="auto"/>
        <w:ind w:left="4620" w:leftChars="2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zh-CN"/>
        </w:rPr>
        <w:t>日期</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zh-CN"/>
        </w:rPr>
        <w:t xml:space="preserve">   年   月   日</w:t>
      </w:r>
    </w:p>
    <w:p>
      <w:pPr>
        <w:spacing w:line="360" w:lineRule="auto"/>
        <w:jc w:val="both"/>
        <w:rPr>
          <w:rFonts w:hint="eastAsia" w:ascii="宋体" w:hAnsi="宋体" w:eastAsia="宋体" w:cs="宋体"/>
          <w:b/>
          <w:bCs/>
          <w:color w:val="auto"/>
          <w:sz w:val="21"/>
          <w:szCs w:val="21"/>
          <w:highlight w:val="none"/>
        </w:rPr>
      </w:pPr>
    </w:p>
    <w:p>
      <w:pPr>
        <w:spacing w:line="360" w:lineRule="auto"/>
        <w:jc w:val="both"/>
        <w:rPr>
          <w:rFonts w:hint="eastAsia" w:ascii="宋体" w:hAnsi="宋体" w:eastAsia="宋体" w:cs="宋体"/>
          <w:b/>
          <w:bCs/>
          <w:color w:val="auto"/>
          <w:sz w:val="21"/>
          <w:szCs w:val="21"/>
          <w:highlight w:val="none"/>
        </w:rPr>
        <w:sectPr>
          <w:headerReference r:id="rId14" w:type="first"/>
          <w:footerReference r:id="rId16" w:type="first"/>
          <w:headerReference r:id="rId13" w:type="default"/>
          <w:footerReference r:id="rId15" w:type="default"/>
          <w:pgSz w:w="11906" w:h="16838"/>
          <w:pgMar w:top="1984" w:right="1418" w:bottom="1417" w:left="1418" w:header="680" w:footer="992" w:gutter="0"/>
          <w:pgNumType w:fmt="decimal"/>
          <w:cols w:space="720" w:num="1"/>
          <w:titlePg/>
          <w:rtlGutter w:val="0"/>
          <w:docGrid w:linePitch="312" w:charSpace="0"/>
        </w:sectPr>
      </w:pPr>
      <w:r>
        <w:rPr>
          <w:rFonts w:hint="eastAsia" w:ascii="宋体" w:hAnsi="宋体" w:eastAsia="宋体" w:cs="宋体"/>
          <w:color w:val="auto"/>
          <w:sz w:val="21"/>
          <w:szCs w:val="21"/>
          <w:highlight w:val="none"/>
          <w:lang w:val="en-US" w:eastAsia="zh-CN"/>
        </w:rPr>
        <w:t>注：按本格式和要求提供</w:t>
      </w:r>
    </w:p>
    <w:p>
      <w:pPr>
        <w:spacing w:line="360" w:lineRule="auto"/>
        <w:jc w:val="center"/>
        <w:outlineLvl w:val="0"/>
        <w:rPr>
          <w:rFonts w:hint="eastAsia" w:ascii="宋体" w:hAnsi="宋体" w:eastAsia="宋体" w:cs="宋体"/>
          <w:b/>
          <w:color w:val="auto"/>
          <w:kern w:val="0"/>
          <w:sz w:val="36"/>
          <w:szCs w:val="36"/>
          <w:highlight w:val="none"/>
        </w:rPr>
      </w:pPr>
      <w:bookmarkStart w:id="1097" w:name="_Toc22559"/>
      <w:bookmarkStart w:id="1098" w:name="_Toc22008"/>
      <w:bookmarkStart w:id="1099" w:name="_Toc22169"/>
      <w:r>
        <w:rPr>
          <w:rFonts w:hint="eastAsia" w:ascii="宋体" w:hAnsi="宋体" w:eastAsia="宋体" w:cs="宋体"/>
          <w:b/>
          <w:color w:val="auto"/>
          <w:kern w:val="0"/>
          <w:sz w:val="36"/>
          <w:szCs w:val="36"/>
          <w:highlight w:val="none"/>
        </w:rPr>
        <w:t>报价文件部分</w:t>
      </w:r>
      <w:bookmarkEnd w:id="1097"/>
      <w:bookmarkEnd w:id="1098"/>
      <w:bookmarkEnd w:id="1099"/>
    </w:p>
    <w:p>
      <w:pPr>
        <w:spacing w:line="360" w:lineRule="auto"/>
        <w:jc w:val="center"/>
        <w:outlineLvl w:val="0"/>
        <w:rPr>
          <w:rFonts w:hint="eastAsia" w:ascii="宋体" w:hAnsi="宋体" w:eastAsia="宋体" w:cs="宋体"/>
          <w:b/>
          <w:color w:val="auto"/>
          <w:kern w:val="0"/>
          <w:sz w:val="36"/>
          <w:szCs w:val="36"/>
          <w:highlight w:val="none"/>
        </w:rPr>
      </w:pPr>
      <w:bookmarkStart w:id="1100" w:name="_Toc10148"/>
      <w:bookmarkStart w:id="1101" w:name="_Toc24992"/>
      <w:bookmarkStart w:id="1102" w:name="_Toc21951"/>
      <w:r>
        <w:rPr>
          <w:rFonts w:hint="eastAsia" w:ascii="宋体" w:hAnsi="宋体" w:eastAsia="宋体" w:cs="宋体"/>
          <w:b/>
          <w:color w:val="auto"/>
          <w:kern w:val="0"/>
          <w:sz w:val="36"/>
          <w:szCs w:val="36"/>
          <w:highlight w:val="none"/>
        </w:rPr>
        <w:t>目录</w:t>
      </w:r>
      <w:bookmarkEnd w:id="1100"/>
      <w:bookmarkEnd w:id="1101"/>
      <w:bookmarkEnd w:id="1102"/>
    </w:p>
    <w:p>
      <w:pPr>
        <w:spacing w:line="360" w:lineRule="auto"/>
        <w:jc w:val="center"/>
        <w:outlineLvl w:val="0"/>
        <w:rPr>
          <w:rFonts w:hint="eastAsia" w:ascii="宋体" w:hAnsi="宋体" w:eastAsia="宋体" w:cs="宋体"/>
          <w:b/>
          <w:color w:val="auto"/>
          <w:kern w:val="0"/>
          <w:sz w:val="36"/>
          <w:szCs w:val="36"/>
          <w:highlight w:val="none"/>
        </w:rPr>
      </w:pPr>
    </w:p>
    <w:p>
      <w:p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首轮报价一览表</w:t>
      </w:r>
      <w:r>
        <w:rPr>
          <w:rFonts w:hint="eastAsia" w:ascii="宋体" w:hAnsi="宋体" w:eastAsia="宋体" w:cs="宋体"/>
          <w:color w:val="auto"/>
          <w:sz w:val="21"/>
          <w:szCs w:val="21"/>
          <w:highlight w:val="none"/>
        </w:rPr>
        <w:t>………………………………………………………（页码）</w:t>
      </w:r>
    </w:p>
    <w:p>
      <w:p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……………………………………………………………………（页码）</w:t>
      </w:r>
    </w:p>
    <w:p>
      <w:pPr>
        <w:snapToGrid w:val="0"/>
        <w:spacing w:line="360" w:lineRule="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（3）已标价工程量清单</w:t>
      </w:r>
      <w:r>
        <w:rPr>
          <w:rFonts w:hint="eastAsia" w:ascii="宋体" w:hAnsi="宋体" w:eastAsia="宋体" w:cs="宋体"/>
          <w:color w:val="auto"/>
          <w:sz w:val="21"/>
          <w:szCs w:val="21"/>
          <w:highlight w:val="none"/>
        </w:rPr>
        <w:t>……………………………………………………（页码）</w:t>
      </w: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snapToGrid w:val="0"/>
        <w:spacing w:line="360" w:lineRule="auto"/>
        <w:ind w:right="480"/>
        <w:jc w:val="center"/>
        <w:rPr>
          <w:rFonts w:hint="eastAsia" w:ascii="宋体" w:hAnsi="宋体" w:eastAsia="宋体" w:cs="宋体"/>
          <w:b/>
          <w:color w:val="auto"/>
          <w:kern w:val="0"/>
          <w:sz w:val="32"/>
          <w:szCs w:val="32"/>
          <w:highlight w:val="none"/>
        </w:rPr>
      </w:pPr>
    </w:p>
    <w:p>
      <w:pPr>
        <w:pStyle w:val="35"/>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18" w:type="first"/>
          <w:footerReference r:id="rId20" w:type="first"/>
          <w:headerReference r:id="rId17" w:type="default"/>
          <w:footerReference r:id="rId19" w:type="default"/>
          <w:pgSz w:w="11906" w:h="16838"/>
          <w:pgMar w:top="1984" w:right="1418" w:bottom="1417" w:left="1418" w:header="680" w:footer="992" w:gutter="0"/>
          <w:pgNumType w:fmt="decimal"/>
          <w:cols w:space="720" w:num="1"/>
          <w:titlePg/>
          <w:rtlGutter w:val="0"/>
          <w:docGrid w:linePitch="312" w:charSpace="0"/>
        </w:sectPr>
      </w:pPr>
    </w:p>
    <w:p>
      <w:pPr>
        <w:pStyle w:val="35"/>
        <w:keepNext w:val="0"/>
        <w:pageBreakBefore w:val="0"/>
        <w:tabs>
          <w:tab w:val="clear" w:pos="720"/>
        </w:tabs>
        <w:snapToGrid w:val="0"/>
        <w:spacing w:before="120" w:after="120"/>
        <w:jc w:val="center"/>
        <w:outlineLvl w:val="9"/>
        <w:rPr>
          <w:rFonts w:hint="eastAsia" w:ascii="宋体" w:hAnsi="宋体" w:eastAsia="宋体" w:cs="宋体"/>
          <w:color w:val="auto"/>
          <w:kern w:val="2"/>
          <w:sz w:val="32"/>
          <w:szCs w:val="32"/>
          <w:highlight w:val="none"/>
        </w:rPr>
      </w:pPr>
      <w:bookmarkStart w:id="1103" w:name="_Toc1886"/>
      <w:bookmarkStart w:id="1104" w:name="_Toc3897"/>
      <w:bookmarkStart w:id="1105" w:name="_Toc18598"/>
      <w:r>
        <w:rPr>
          <w:rFonts w:hint="eastAsia" w:ascii="宋体" w:hAnsi="宋体" w:eastAsia="宋体" w:cs="宋体"/>
          <w:color w:val="auto"/>
          <w:kern w:val="2"/>
          <w:sz w:val="32"/>
          <w:szCs w:val="32"/>
          <w:highlight w:val="none"/>
        </w:rPr>
        <w:t>一、</w:t>
      </w:r>
      <w:r>
        <w:rPr>
          <w:rFonts w:hint="eastAsia" w:ascii="宋体" w:hAnsi="宋体" w:eastAsia="宋体" w:cs="宋体"/>
          <w:color w:val="auto"/>
          <w:kern w:val="2"/>
          <w:sz w:val="32"/>
          <w:szCs w:val="32"/>
          <w:highlight w:val="none"/>
          <w:lang w:val="en-US" w:eastAsia="zh-CN"/>
        </w:rPr>
        <w:t>首轮报价</w:t>
      </w:r>
      <w:r>
        <w:rPr>
          <w:rFonts w:hint="eastAsia" w:ascii="宋体" w:hAnsi="宋体" w:eastAsia="宋体" w:cs="宋体"/>
          <w:color w:val="auto"/>
          <w:kern w:val="2"/>
          <w:sz w:val="32"/>
          <w:szCs w:val="32"/>
          <w:highlight w:val="none"/>
        </w:rPr>
        <w:t>一览表</w:t>
      </w:r>
      <w:bookmarkEnd w:id="1103"/>
      <w:bookmarkEnd w:id="1104"/>
      <w:bookmarkEnd w:id="1105"/>
    </w:p>
    <w:p>
      <w:pPr>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（采购人）、（采购代理机构）</w:t>
      </w:r>
      <w:r>
        <w:rPr>
          <w:rFonts w:hint="eastAsia" w:ascii="宋体" w:hAnsi="宋体" w:eastAsia="宋体" w:cs="宋体"/>
          <w:color w:val="auto"/>
          <w:kern w:val="0"/>
          <w:sz w:val="21"/>
          <w:szCs w:val="21"/>
          <w:highlight w:val="none"/>
          <w:lang w:val="zh-CN"/>
        </w:rPr>
        <w:t>：</w:t>
      </w:r>
    </w:p>
    <w:p>
      <w:pPr>
        <w:snapToGrid w:val="0"/>
        <w:spacing w:line="360" w:lineRule="auto"/>
        <w:ind w:firstLine="482"/>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按你方磋商文件要求，我们，本磋商响应文件签字方，谨此向你方发出要约如下：如你方接受本投标，我方承诺按照如下</w:t>
      </w:r>
      <w:r>
        <w:rPr>
          <w:rFonts w:hint="eastAsia" w:ascii="宋体" w:hAnsi="宋体" w:cs="宋体"/>
          <w:color w:val="auto"/>
          <w:kern w:val="0"/>
          <w:sz w:val="21"/>
          <w:szCs w:val="21"/>
          <w:highlight w:val="none"/>
          <w:lang w:val="zh-CN"/>
        </w:rPr>
        <w:t>首轮报价一览表</w:t>
      </w:r>
      <w:r>
        <w:rPr>
          <w:rFonts w:hint="eastAsia" w:ascii="宋体" w:hAnsi="宋体" w:eastAsia="宋体" w:cs="宋体"/>
          <w:color w:val="auto"/>
          <w:kern w:val="0"/>
          <w:sz w:val="21"/>
          <w:szCs w:val="21"/>
          <w:highlight w:val="none"/>
          <w:lang w:val="zh-CN"/>
        </w:rPr>
        <w:t>的价格完成</w:t>
      </w:r>
      <w:r>
        <w:rPr>
          <w:rFonts w:hint="eastAsia" w:ascii="宋体" w:hAnsi="宋体" w:eastAsia="宋体" w:cs="宋体"/>
          <w:color w:val="auto"/>
          <w:sz w:val="21"/>
          <w:szCs w:val="21"/>
          <w:highlight w:val="none"/>
        </w:rPr>
        <w:t>（项目名称）</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kern w:val="0"/>
          <w:sz w:val="21"/>
          <w:szCs w:val="21"/>
          <w:highlight w:val="none"/>
          <w:lang w:val="en-US" w:eastAsia="zh-CN"/>
        </w:rPr>
        <w:t>项目</w:t>
      </w:r>
      <w:r>
        <w:rPr>
          <w:rFonts w:hint="eastAsia" w:ascii="宋体" w:hAnsi="宋体" w:eastAsia="宋体" w:cs="宋体"/>
          <w:color w:val="auto"/>
          <w:kern w:val="0"/>
          <w:sz w:val="21"/>
          <w:szCs w:val="21"/>
          <w:highlight w:val="none"/>
          <w:lang w:val="zh-CN"/>
        </w:rPr>
        <w:t>编号：</w:t>
      </w:r>
      <w:r>
        <w:rPr>
          <w:rFonts w:hint="eastAsia" w:ascii="宋体" w:hAnsi="宋体" w:eastAsia="宋体" w:cs="宋体"/>
          <w:color w:val="auto"/>
          <w:sz w:val="21"/>
          <w:szCs w:val="21"/>
          <w:highlight w:val="none"/>
        </w:rPr>
        <w:t>（采购编号）】的实施</w:t>
      </w:r>
      <w:r>
        <w:rPr>
          <w:rFonts w:hint="eastAsia" w:ascii="宋体" w:hAnsi="宋体" w:eastAsia="宋体" w:cs="宋体"/>
          <w:color w:val="auto"/>
          <w:kern w:val="0"/>
          <w:sz w:val="21"/>
          <w:szCs w:val="21"/>
          <w:highlight w:val="none"/>
          <w:lang w:val="zh-CN"/>
        </w:rPr>
        <w:t>。</w:t>
      </w:r>
    </w:p>
    <w:p>
      <w:pPr>
        <w:spacing w:line="360" w:lineRule="auto"/>
        <w:jc w:val="center"/>
        <w:rPr>
          <w:rFonts w:hint="eastAsia" w:ascii="宋体" w:hAnsi="宋体" w:eastAsia="宋体" w:cs="宋体"/>
          <w:b/>
          <w:color w:val="auto"/>
          <w:kern w:val="0"/>
          <w:sz w:val="21"/>
          <w:szCs w:val="21"/>
          <w:highlight w:val="none"/>
          <w:lang w:val="zh-CN"/>
        </w:rPr>
      </w:pPr>
      <w:r>
        <w:rPr>
          <w:rFonts w:hint="eastAsia" w:ascii="宋体" w:hAnsi="宋体" w:cs="宋体"/>
          <w:b/>
          <w:color w:val="auto"/>
          <w:kern w:val="0"/>
          <w:sz w:val="21"/>
          <w:szCs w:val="21"/>
          <w:highlight w:val="none"/>
          <w:lang w:val="zh-CN"/>
        </w:rPr>
        <w:t>首轮报价一览表</w:t>
      </w:r>
      <w:r>
        <w:rPr>
          <w:rFonts w:hint="eastAsia" w:ascii="宋体" w:hAnsi="宋体" w:eastAsia="宋体" w:cs="宋体"/>
          <w:b/>
          <w:color w:val="auto"/>
          <w:kern w:val="0"/>
          <w:sz w:val="21"/>
          <w:szCs w:val="21"/>
          <w:highlight w:val="none"/>
          <w:lang w:val="zh-CN"/>
        </w:rPr>
        <w:t>(单位均为人民币元)</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269"/>
        <w:gridCol w:w="1898"/>
        <w:gridCol w:w="1861"/>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3269" w:type="dxa"/>
            <w:vAlign w:val="center"/>
          </w:tcPr>
          <w:p>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名称</w:t>
            </w:r>
          </w:p>
        </w:tc>
        <w:tc>
          <w:tcPr>
            <w:tcW w:w="1898" w:type="dxa"/>
            <w:vAlign w:val="center"/>
          </w:tcPr>
          <w:p>
            <w:pPr>
              <w:spacing w:line="360" w:lineRule="auto"/>
              <w:jc w:val="cente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项目负责人</w:t>
            </w:r>
          </w:p>
        </w:tc>
        <w:tc>
          <w:tcPr>
            <w:tcW w:w="1861" w:type="dxa"/>
            <w:vAlign w:val="center"/>
          </w:tcPr>
          <w:p>
            <w:pPr>
              <w:spacing w:line="360" w:lineRule="auto"/>
              <w:jc w:val="center"/>
              <w:rPr>
                <w:rFonts w:hint="eastAsia" w:ascii="宋体" w:hAnsi="宋体" w:eastAsia="宋体" w:cs="宋体"/>
                <w:b/>
                <w:color w:val="auto"/>
                <w:sz w:val="21"/>
                <w:szCs w:val="21"/>
                <w:highlight w:val="none"/>
                <w:lang w:eastAsia="zh-CN"/>
              </w:rPr>
            </w:pPr>
            <w:r>
              <w:rPr>
                <w:rFonts w:hint="eastAsia" w:ascii="宋体" w:hAnsi="宋体" w:cs="宋体"/>
                <w:b/>
                <w:color w:val="auto"/>
                <w:sz w:val="21"/>
                <w:szCs w:val="21"/>
                <w:highlight w:val="none"/>
                <w:lang w:val="en-US" w:eastAsia="zh-CN"/>
              </w:rPr>
              <w:t>工期</w:t>
            </w:r>
          </w:p>
        </w:tc>
        <w:tc>
          <w:tcPr>
            <w:tcW w:w="1573" w:type="dxa"/>
            <w:vAlign w:val="center"/>
          </w:tcPr>
          <w:p>
            <w:pPr>
              <w:spacing w:line="360" w:lineRule="auto"/>
              <w:jc w:val="center"/>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534" w:type="dxa"/>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269" w:type="dxa"/>
            <w:vAlign w:val="center"/>
          </w:tcPr>
          <w:p>
            <w:pPr>
              <w:snapToGrid w:val="0"/>
              <w:spacing w:line="360" w:lineRule="auto"/>
              <w:jc w:val="center"/>
              <w:rPr>
                <w:rFonts w:hint="eastAsia" w:ascii="宋体" w:hAnsi="宋体" w:eastAsia="宋体" w:cs="宋体"/>
                <w:color w:val="auto"/>
                <w:sz w:val="21"/>
                <w:szCs w:val="21"/>
                <w:highlight w:val="none"/>
              </w:rPr>
            </w:pPr>
          </w:p>
        </w:tc>
        <w:tc>
          <w:tcPr>
            <w:tcW w:w="1898" w:type="dxa"/>
            <w:vAlign w:val="center"/>
          </w:tcPr>
          <w:p>
            <w:pPr>
              <w:spacing w:line="360" w:lineRule="auto"/>
              <w:jc w:val="center"/>
              <w:rPr>
                <w:rFonts w:hint="eastAsia" w:ascii="宋体" w:hAnsi="宋体" w:eastAsia="宋体" w:cs="宋体"/>
                <w:color w:val="auto"/>
                <w:sz w:val="21"/>
                <w:szCs w:val="21"/>
                <w:highlight w:val="none"/>
              </w:rPr>
            </w:pPr>
          </w:p>
        </w:tc>
        <w:tc>
          <w:tcPr>
            <w:tcW w:w="1861" w:type="dxa"/>
            <w:vAlign w:val="center"/>
          </w:tcPr>
          <w:p>
            <w:pPr>
              <w:spacing w:line="360" w:lineRule="auto"/>
              <w:jc w:val="center"/>
              <w:rPr>
                <w:rFonts w:hint="eastAsia" w:ascii="宋体" w:hAnsi="宋体" w:eastAsia="宋体" w:cs="宋体"/>
                <w:color w:val="auto"/>
                <w:sz w:val="21"/>
                <w:szCs w:val="21"/>
                <w:highlight w:val="none"/>
              </w:rPr>
            </w:pPr>
          </w:p>
        </w:tc>
        <w:tc>
          <w:tcPr>
            <w:tcW w:w="1573" w:type="dxa"/>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3803" w:type="dxa"/>
            <w:gridSpan w:val="2"/>
            <w:vAlign w:val="center"/>
          </w:tcPr>
          <w:p>
            <w:pPr>
              <w:spacing w:line="360" w:lineRule="auto"/>
              <w:jc w:val="center"/>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eastAsia="zh-CN"/>
              </w:rPr>
              <w:t>报价</w:t>
            </w:r>
            <w:r>
              <w:rPr>
                <w:rFonts w:hint="eastAsia" w:ascii="宋体" w:hAnsi="宋体" w:eastAsia="宋体" w:cs="宋体"/>
                <w:b/>
                <w:color w:val="auto"/>
                <w:sz w:val="21"/>
                <w:szCs w:val="21"/>
                <w:highlight w:val="none"/>
              </w:rPr>
              <w:t>（小写）</w:t>
            </w:r>
          </w:p>
        </w:tc>
        <w:tc>
          <w:tcPr>
            <w:tcW w:w="5332" w:type="dxa"/>
            <w:gridSpan w:val="3"/>
            <w:vAlign w:val="center"/>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3803" w:type="dxa"/>
            <w:gridSpan w:val="2"/>
            <w:vAlign w:val="center"/>
          </w:tcPr>
          <w:p>
            <w:pPr>
              <w:spacing w:line="360" w:lineRule="auto"/>
              <w:jc w:val="center"/>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eastAsia="zh-CN"/>
              </w:rPr>
              <w:t>报价</w:t>
            </w:r>
            <w:r>
              <w:rPr>
                <w:rFonts w:hint="eastAsia" w:ascii="宋体" w:hAnsi="宋体" w:eastAsia="宋体" w:cs="宋体"/>
                <w:b/>
                <w:color w:val="auto"/>
                <w:sz w:val="21"/>
                <w:szCs w:val="21"/>
                <w:highlight w:val="none"/>
              </w:rPr>
              <w:t>（大写）</w:t>
            </w:r>
          </w:p>
        </w:tc>
        <w:tc>
          <w:tcPr>
            <w:tcW w:w="5332" w:type="dxa"/>
            <w:gridSpan w:val="3"/>
            <w:vAlign w:val="center"/>
          </w:tcPr>
          <w:p>
            <w:pPr>
              <w:spacing w:line="360" w:lineRule="auto"/>
              <w:jc w:val="center"/>
              <w:rPr>
                <w:rFonts w:hint="eastAsia" w:ascii="宋体" w:hAnsi="宋体" w:eastAsia="宋体" w:cs="宋体"/>
                <w:color w:val="auto"/>
                <w:sz w:val="21"/>
                <w:szCs w:val="21"/>
                <w:highlight w:val="none"/>
              </w:rPr>
            </w:pPr>
          </w:p>
        </w:tc>
      </w:tr>
    </w:tbl>
    <w:p>
      <w:pPr>
        <w:snapToGrid w:val="0"/>
        <w:spacing w:line="360" w:lineRule="auto"/>
        <w:ind w:left="480"/>
        <w:rPr>
          <w:rFonts w:hint="eastAsia" w:ascii="宋体" w:hAnsi="宋体" w:eastAsia="宋体" w:cs="宋体"/>
          <w:b/>
          <w:color w:val="auto"/>
          <w:kern w:val="0"/>
          <w:sz w:val="21"/>
          <w:szCs w:val="21"/>
          <w:highlight w:val="none"/>
          <w:lang w:val="zh-CN"/>
        </w:rPr>
      </w:pPr>
    </w:p>
    <w:p>
      <w:pPr>
        <w:snapToGrid w:val="0"/>
        <w:spacing w:line="360" w:lineRule="auto"/>
        <w:ind w:left="480"/>
        <w:rPr>
          <w:rFonts w:hint="eastAsia" w:ascii="宋体" w:hAnsi="宋体" w:eastAsia="宋体" w:cs="宋体"/>
          <w:b/>
          <w:color w:val="auto"/>
          <w:kern w:val="0"/>
          <w:sz w:val="21"/>
          <w:szCs w:val="21"/>
          <w:highlight w:val="none"/>
          <w:lang w:val="zh-CN"/>
        </w:rPr>
      </w:pPr>
      <w:r>
        <w:rPr>
          <w:rFonts w:hint="eastAsia" w:ascii="宋体" w:hAnsi="宋体" w:eastAsia="宋体" w:cs="宋体"/>
          <w:b/>
          <w:color w:val="auto"/>
          <w:kern w:val="0"/>
          <w:sz w:val="21"/>
          <w:szCs w:val="21"/>
          <w:highlight w:val="none"/>
          <w:lang w:val="zh-CN"/>
        </w:rPr>
        <w:t>注：</w:t>
      </w:r>
    </w:p>
    <w:p>
      <w:pPr>
        <w:spacing w:line="360" w:lineRule="auto"/>
        <w:ind w:left="-2" w:leftChars="-1" w:firstLine="420" w:firstLineChars="200"/>
        <w:rPr>
          <w:rFonts w:hint="eastAsia" w:ascii="宋体" w:hAnsi="宋体" w:eastAsia="宋体" w:cs="宋体"/>
          <w:i/>
          <w:iCs/>
          <w:color w:val="auto"/>
          <w:kern w:val="0"/>
          <w:sz w:val="21"/>
          <w:szCs w:val="21"/>
          <w:highlight w:val="none"/>
          <w:lang w:val="zh-CN"/>
        </w:rPr>
      </w:pPr>
      <w:r>
        <w:rPr>
          <w:rFonts w:hint="eastAsia" w:ascii="宋体" w:hAnsi="宋体" w:eastAsia="宋体" w:cs="宋体"/>
          <w:color w:val="auto"/>
          <w:kern w:val="0"/>
          <w:sz w:val="21"/>
          <w:szCs w:val="21"/>
          <w:highlight w:val="none"/>
          <w:lang w:val="zh-CN"/>
        </w:rPr>
        <w:t>1、▲</w:t>
      </w:r>
      <w:r>
        <w:rPr>
          <w:rFonts w:hint="eastAsia" w:ascii="宋体" w:hAnsi="宋体" w:eastAsia="宋体" w:cs="宋体"/>
          <w:b/>
          <w:bCs/>
          <w:color w:val="auto"/>
          <w:kern w:val="0"/>
          <w:sz w:val="21"/>
          <w:szCs w:val="21"/>
          <w:highlight w:val="none"/>
          <w:lang w:val="zh-CN"/>
        </w:rPr>
        <w:t>磋商供应商需按本表格式填写，否则视为磋商响应文件含有采购人不能接受的附加条件，</w:t>
      </w:r>
      <w:r>
        <w:rPr>
          <w:rFonts w:hint="eastAsia" w:ascii="宋体" w:hAnsi="宋体" w:cs="宋体"/>
          <w:b/>
          <w:bCs/>
          <w:color w:val="auto"/>
          <w:kern w:val="0"/>
          <w:sz w:val="21"/>
          <w:szCs w:val="21"/>
          <w:highlight w:val="none"/>
          <w:lang w:val="zh-CN"/>
        </w:rPr>
        <w:t>响应无效</w:t>
      </w:r>
      <w:r>
        <w:rPr>
          <w:rFonts w:hint="eastAsia" w:ascii="宋体" w:hAnsi="宋体" w:eastAsia="宋体" w:cs="宋体"/>
          <w:b/>
          <w:bCs/>
          <w:color w:val="auto"/>
          <w:kern w:val="0"/>
          <w:sz w:val="21"/>
          <w:szCs w:val="21"/>
          <w:highlight w:val="none"/>
          <w:lang w:val="zh-CN"/>
        </w:rPr>
        <w:t>。</w:t>
      </w:r>
    </w:p>
    <w:p>
      <w:pPr>
        <w:spacing w:line="360" w:lineRule="auto"/>
        <w:ind w:firstLine="420" w:firstLineChars="2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2、有关本项目实施所涉及的一切费用均计入报价。</w:t>
      </w:r>
      <w:r>
        <w:rPr>
          <w:rFonts w:hint="eastAsia" w:ascii="宋体" w:hAnsi="宋体" w:eastAsia="宋体" w:cs="宋体"/>
          <w:b/>
          <w:color w:val="auto"/>
          <w:kern w:val="0"/>
          <w:sz w:val="21"/>
          <w:szCs w:val="21"/>
          <w:highlight w:val="none"/>
          <w:lang w:val="zh-CN"/>
        </w:rPr>
        <w:t>采购人将以合同形式有偿取得货物或服务，不接受磋商供应商给予的赠品、回扣或者与采购无关的其他商品、服务</w:t>
      </w:r>
      <w:r>
        <w:rPr>
          <w:rFonts w:hint="eastAsia" w:ascii="宋体" w:hAnsi="宋体" w:eastAsia="宋体" w:cs="宋体"/>
          <w:color w:val="auto"/>
          <w:kern w:val="0"/>
          <w:sz w:val="21"/>
          <w:szCs w:val="21"/>
          <w:highlight w:val="none"/>
          <w:lang w:val="zh-CN"/>
        </w:rPr>
        <w:t>，</w:t>
      </w:r>
      <w:r>
        <w:rPr>
          <w:rFonts w:hint="eastAsia" w:ascii="宋体" w:hAnsi="宋体" w:eastAsia="宋体" w:cs="宋体"/>
          <w:b/>
          <w:color w:val="auto"/>
          <w:kern w:val="0"/>
          <w:sz w:val="21"/>
          <w:szCs w:val="21"/>
          <w:highlight w:val="none"/>
          <w:lang w:val="zh-CN"/>
        </w:rPr>
        <w:t>不得出现“0元”“免费赠送”等形式的无偿报价，</w:t>
      </w:r>
      <w:r>
        <w:rPr>
          <w:rFonts w:hint="eastAsia" w:ascii="宋体" w:hAnsi="宋体" w:eastAsia="宋体" w:cs="宋体"/>
          <w:b/>
          <w:color w:val="auto"/>
          <w:kern w:val="0"/>
          <w:sz w:val="21"/>
          <w:szCs w:val="21"/>
          <w:highlight w:val="none"/>
        </w:rPr>
        <w:t>否则视为</w:t>
      </w:r>
      <w:r>
        <w:rPr>
          <w:rFonts w:hint="eastAsia" w:ascii="宋体" w:hAnsi="宋体" w:eastAsia="宋体" w:cs="宋体"/>
          <w:b/>
          <w:color w:val="auto"/>
          <w:sz w:val="21"/>
          <w:szCs w:val="21"/>
          <w:highlight w:val="none"/>
          <w:lang w:eastAsia="zh-CN"/>
        </w:rPr>
        <w:t>磋商响应文件</w:t>
      </w:r>
      <w:r>
        <w:rPr>
          <w:rFonts w:hint="eastAsia" w:ascii="宋体" w:hAnsi="宋体" w:eastAsia="宋体" w:cs="宋体"/>
          <w:b/>
          <w:color w:val="auto"/>
          <w:sz w:val="21"/>
          <w:szCs w:val="21"/>
          <w:highlight w:val="none"/>
        </w:rPr>
        <w:t>含有采购人不能接受的附加条件的，</w:t>
      </w:r>
      <w:r>
        <w:rPr>
          <w:rFonts w:hint="eastAsia" w:ascii="宋体" w:hAnsi="宋体" w:cs="宋体"/>
          <w:b/>
          <w:color w:val="auto"/>
          <w:sz w:val="21"/>
          <w:szCs w:val="21"/>
          <w:highlight w:val="none"/>
          <w:lang w:eastAsia="zh-CN"/>
        </w:rPr>
        <w:t>响应无效</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采购内容未包含在《</w:t>
      </w:r>
      <w:r>
        <w:rPr>
          <w:rFonts w:hint="eastAsia" w:ascii="宋体" w:hAnsi="宋体" w:cs="宋体"/>
          <w:b/>
          <w:color w:val="auto"/>
          <w:sz w:val="21"/>
          <w:szCs w:val="21"/>
          <w:highlight w:val="none"/>
          <w:lang w:eastAsia="zh-CN"/>
        </w:rPr>
        <w:t>首轮报价一览表</w:t>
      </w:r>
      <w:r>
        <w:rPr>
          <w:rFonts w:hint="eastAsia" w:ascii="宋体" w:hAnsi="宋体" w:eastAsia="宋体" w:cs="宋体"/>
          <w:b/>
          <w:color w:val="auto"/>
          <w:sz w:val="21"/>
          <w:szCs w:val="21"/>
          <w:highlight w:val="none"/>
        </w:rPr>
        <w:t>》名称栏中，</w:t>
      </w:r>
      <w:r>
        <w:rPr>
          <w:rFonts w:hint="eastAsia" w:ascii="宋体" w:hAnsi="宋体" w:eastAsia="宋体" w:cs="宋体"/>
          <w:b/>
          <w:color w:val="auto"/>
          <w:sz w:val="21"/>
          <w:szCs w:val="21"/>
          <w:highlight w:val="none"/>
          <w:lang w:eastAsia="zh-CN"/>
        </w:rPr>
        <w:t>磋商供应商</w:t>
      </w:r>
      <w:r>
        <w:rPr>
          <w:rFonts w:hint="eastAsia" w:ascii="宋体" w:hAnsi="宋体" w:eastAsia="宋体" w:cs="宋体"/>
          <w:b/>
          <w:color w:val="auto"/>
          <w:sz w:val="21"/>
          <w:szCs w:val="21"/>
          <w:highlight w:val="none"/>
        </w:rPr>
        <w:t>不能作出合理解释的，视为</w:t>
      </w:r>
      <w:r>
        <w:rPr>
          <w:rFonts w:hint="eastAsia" w:ascii="宋体" w:hAnsi="宋体" w:eastAsia="宋体" w:cs="宋体"/>
          <w:b/>
          <w:color w:val="auto"/>
          <w:sz w:val="21"/>
          <w:szCs w:val="21"/>
          <w:highlight w:val="none"/>
          <w:lang w:eastAsia="zh-CN"/>
        </w:rPr>
        <w:t>磋商响应文件</w:t>
      </w:r>
      <w:r>
        <w:rPr>
          <w:rFonts w:hint="eastAsia" w:ascii="宋体" w:hAnsi="宋体" w:eastAsia="宋体" w:cs="宋体"/>
          <w:b/>
          <w:color w:val="auto"/>
          <w:sz w:val="21"/>
          <w:szCs w:val="21"/>
          <w:highlight w:val="none"/>
        </w:rPr>
        <w:t>含有采购人不能接受的附加条件的，</w:t>
      </w:r>
      <w:r>
        <w:rPr>
          <w:rFonts w:hint="eastAsia" w:ascii="宋体" w:hAnsi="宋体" w:cs="宋体"/>
          <w:b/>
          <w:color w:val="auto"/>
          <w:sz w:val="21"/>
          <w:szCs w:val="21"/>
          <w:highlight w:val="none"/>
          <w:lang w:eastAsia="zh-CN"/>
        </w:rPr>
        <w:t>响应无效</w:t>
      </w:r>
      <w:r>
        <w:rPr>
          <w:rFonts w:hint="eastAsia" w:ascii="宋体" w:hAnsi="宋体" w:eastAsia="宋体" w:cs="宋体"/>
          <w:b/>
          <w:color w:val="auto"/>
          <w:sz w:val="21"/>
          <w:szCs w:val="21"/>
          <w:highlight w:val="none"/>
        </w:rPr>
        <w:t>。</w:t>
      </w:r>
    </w:p>
    <w:p>
      <w:pPr>
        <w:pStyle w:val="3"/>
        <w:rPr>
          <w:rFonts w:hint="eastAsia"/>
          <w:color w:val="auto"/>
          <w:highlight w:val="none"/>
          <w:lang w:val="zh-CN"/>
        </w:rPr>
      </w:pPr>
    </w:p>
    <w:p>
      <w:pPr>
        <w:pStyle w:val="35"/>
        <w:keepNext w:val="0"/>
        <w:pageBreakBefore w:val="0"/>
        <w:tabs>
          <w:tab w:val="clear" w:pos="720"/>
        </w:tabs>
        <w:snapToGrid w:val="0"/>
        <w:spacing w:before="120" w:after="120"/>
        <w:ind w:firstLine="0"/>
        <w:jc w:val="both"/>
        <w:outlineLvl w:val="9"/>
        <w:rPr>
          <w:rFonts w:hint="eastAsia" w:ascii="宋体" w:hAnsi="宋体" w:eastAsia="宋体" w:cs="宋体"/>
          <w:b w:val="0"/>
          <w:color w:val="auto"/>
          <w:sz w:val="32"/>
          <w:szCs w:val="32"/>
          <w:highlight w:val="none"/>
        </w:rPr>
      </w:pPr>
    </w:p>
    <w:p>
      <w:pPr>
        <w:pStyle w:val="35"/>
        <w:keepNext w:val="0"/>
        <w:pageBreakBefore w:val="0"/>
        <w:tabs>
          <w:tab w:val="clear" w:pos="720"/>
        </w:tabs>
        <w:snapToGrid w:val="0"/>
        <w:spacing w:before="120" w:after="120"/>
        <w:ind w:firstLine="0"/>
        <w:jc w:val="both"/>
        <w:outlineLvl w:val="9"/>
        <w:rPr>
          <w:rFonts w:hint="eastAsia" w:ascii="宋体" w:hAnsi="宋体" w:eastAsia="宋体" w:cs="宋体"/>
          <w:b w:val="0"/>
          <w:color w:val="auto"/>
          <w:sz w:val="32"/>
          <w:szCs w:val="32"/>
          <w:highlight w:val="none"/>
        </w:rPr>
      </w:pPr>
    </w:p>
    <w:p>
      <w:pPr>
        <w:pStyle w:val="35"/>
        <w:keepNext w:val="0"/>
        <w:pageBreakBefore w:val="0"/>
        <w:tabs>
          <w:tab w:val="clear" w:pos="720"/>
        </w:tabs>
        <w:snapToGrid w:val="0"/>
        <w:spacing w:before="120" w:after="120"/>
        <w:ind w:firstLine="0"/>
        <w:jc w:val="both"/>
        <w:outlineLvl w:val="9"/>
        <w:rPr>
          <w:rFonts w:hint="eastAsia" w:ascii="宋体" w:hAnsi="宋体" w:eastAsia="宋体" w:cs="宋体"/>
          <w:b w:val="0"/>
          <w:color w:val="auto"/>
          <w:sz w:val="32"/>
          <w:szCs w:val="32"/>
          <w:highlight w:val="none"/>
        </w:rPr>
      </w:pPr>
    </w:p>
    <w:p>
      <w:pPr>
        <w:pStyle w:val="35"/>
        <w:keepNext w:val="0"/>
        <w:pageBreakBefore w:val="0"/>
        <w:tabs>
          <w:tab w:val="clear" w:pos="720"/>
        </w:tabs>
        <w:snapToGrid w:val="0"/>
        <w:spacing w:before="120" w:after="120"/>
        <w:ind w:firstLine="0"/>
        <w:jc w:val="both"/>
        <w:outlineLvl w:val="9"/>
        <w:rPr>
          <w:rFonts w:hint="eastAsia" w:ascii="宋体" w:hAnsi="宋体" w:eastAsia="宋体" w:cs="宋体"/>
          <w:b w:val="0"/>
          <w:color w:val="auto"/>
          <w:sz w:val="32"/>
          <w:szCs w:val="32"/>
          <w:highlight w:val="none"/>
        </w:rPr>
      </w:pPr>
    </w:p>
    <w:p>
      <w:pPr>
        <w:pStyle w:val="35"/>
        <w:keepNext w:val="0"/>
        <w:pageBreakBefore w:val="0"/>
        <w:tabs>
          <w:tab w:val="clear" w:pos="720"/>
        </w:tabs>
        <w:snapToGrid w:val="0"/>
        <w:spacing w:before="120" w:after="120"/>
        <w:jc w:val="center"/>
        <w:outlineLvl w:val="9"/>
        <w:rPr>
          <w:rFonts w:hint="eastAsia" w:ascii="宋体" w:hAnsi="宋体" w:eastAsia="宋体" w:cs="宋体"/>
          <w:color w:val="auto"/>
          <w:kern w:val="2"/>
          <w:sz w:val="32"/>
          <w:szCs w:val="32"/>
          <w:highlight w:val="none"/>
          <w:lang w:val="en-US" w:eastAsia="zh-CN"/>
        </w:rPr>
      </w:pPr>
      <w:bookmarkStart w:id="1106" w:name="_Toc21523"/>
      <w:bookmarkStart w:id="1107" w:name="_Toc9288"/>
      <w:r>
        <w:rPr>
          <w:rFonts w:hint="eastAsia" w:ascii="宋体" w:hAnsi="宋体" w:eastAsia="宋体" w:cs="宋体"/>
          <w:color w:val="auto"/>
          <w:kern w:val="2"/>
          <w:sz w:val="32"/>
          <w:szCs w:val="32"/>
          <w:highlight w:val="none"/>
          <w:lang w:val="en-US" w:eastAsia="zh-CN"/>
        </w:rPr>
        <w:t>二、报价</w:t>
      </w:r>
    </w:p>
    <w:p>
      <w:pPr>
        <w:spacing w:line="480" w:lineRule="exact"/>
        <w:rPr>
          <w:rFonts w:hint="eastAsia" w:ascii="黑体" w:eastAsia="黑体"/>
          <w:color w:val="auto"/>
          <w:sz w:val="24"/>
          <w:highlight w:val="none"/>
        </w:rPr>
      </w:pPr>
    </w:p>
    <w:p>
      <w:pPr>
        <w:wordWrap w:val="0"/>
        <w:spacing w:afterLines="100"/>
        <w:ind w:firstLine="845" w:firstLineChars="302"/>
        <w:rPr>
          <w:rFonts w:hint="eastAsia" w:ascii="黑体" w:hAnsi="黑体" w:eastAsia="黑体" w:cs="Arial"/>
          <w:color w:val="auto"/>
          <w:sz w:val="28"/>
          <w:highlight w:val="none"/>
        </w:rPr>
      </w:pPr>
    </w:p>
    <w:p>
      <w:pPr>
        <w:wordWrap w:val="0"/>
        <w:spacing w:afterLines="100"/>
        <w:ind w:firstLine="845" w:firstLineChars="302"/>
        <w:rPr>
          <w:rFonts w:hint="eastAsia" w:ascii="黑体" w:hAnsi="黑体" w:eastAsia="黑体" w:cs="Arial"/>
          <w:color w:val="auto"/>
          <w:sz w:val="28"/>
          <w:highlight w:val="none"/>
        </w:rPr>
      </w:pPr>
    </w:p>
    <w:p>
      <w:pPr>
        <w:wordWrap w:val="0"/>
        <w:spacing w:afterLines="100"/>
        <w:ind w:firstLine="845" w:firstLineChars="302"/>
        <w:rPr>
          <w:rFonts w:hint="eastAsia" w:ascii="黑体" w:hAnsi="黑体" w:eastAsia="黑体" w:cs="Arial"/>
          <w:color w:val="auto"/>
          <w:sz w:val="28"/>
          <w:highlight w:val="none"/>
        </w:rPr>
      </w:pPr>
    </w:p>
    <w:p>
      <w:pPr>
        <w:wordWrap w:val="0"/>
        <w:spacing w:afterLines="100"/>
        <w:ind w:firstLine="845" w:firstLineChars="302"/>
        <w:rPr>
          <w:rFonts w:ascii="黑体" w:hAnsi="黑体" w:eastAsia="黑体" w:cs="Arial"/>
          <w:color w:val="auto"/>
          <w:sz w:val="28"/>
          <w:highlight w:val="none"/>
          <w:u w:val="single"/>
        </w:rPr>
      </w:pPr>
      <w:r>
        <w:rPr>
          <w:rFonts w:hint="eastAsia" w:ascii="黑体" w:hAnsi="黑体" w:eastAsia="黑体" w:cs="Arial"/>
          <w:color w:val="auto"/>
          <w:sz w:val="28"/>
          <w:highlight w:val="none"/>
          <w:lang w:eastAsia="zh-CN"/>
        </w:rPr>
        <w:t>采</w:t>
      </w:r>
      <w:r>
        <w:rPr>
          <w:rFonts w:ascii="黑体" w:hAnsi="黑体" w:eastAsia="黑体" w:cs="Arial"/>
          <w:color w:val="auto"/>
          <w:sz w:val="28"/>
          <w:highlight w:val="none"/>
        </w:rPr>
        <w:t xml:space="preserve"> </w:t>
      </w:r>
      <w:r>
        <w:rPr>
          <w:rFonts w:hint="eastAsia" w:ascii="黑体" w:hAnsi="黑体" w:eastAsia="黑体" w:cs="Arial"/>
          <w:color w:val="auto"/>
          <w:sz w:val="28"/>
          <w:highlight w:val="none"/>
          <w:lang w:eastAsia="zh-CN"/>
        </w:rPr>
        <w:t>购</w:t>
      </w:r>
      <w:r>
        <w:rPr>
          <w:rFonts w:ascii="黑体" w:hAnsi="黑体" w:eastAsia="黑体" w:cs="Arial"/>
          <w:color w:val="auto"/>
          <w:sz w:val="28"/>
          <w:highlight w:val="none"/>
        </w:rPr>
        <w:t xml:space="preserve"> </w:t>
      </w:r>
      <w:r>
        <w:rPr>
          <w:rFonts w:hint="eastAsia" w:ascii="黑体" w:hAnsi="黑体" w:eastAsia="黑体" w:cs="Arial"/>
          <w:color w:val="auto"/>
          <w:sz w:val="28"/>
          <w:highlight w:val="none"/>
        </w:rPr>
        <w:t>人：</w:t>
      </w:r>
      <w:r>
        <w:rPr>
          <w:rFonts w:hint="eastAsia" w:ascii="宋体" w:hAnsi="宋体"/>
          <w:color w:val="auto"/>
          <w:highlight w:val="none"/>
          <w:u w:val="single"/>
        </w:rPr>
        <w:t xml:space="preserve">                                        </w:t>
      </w:r>
      <w:r>
        <w:rPr>
          <w:rFonts w:ascii="黑体" w:hAnsi="黑体" w:eastAsia="黑体" w:cs="Arial"/>
          <w:color w:val="auto"/>
          <w:sz w:val="24"/>
          <w:highlight w:val="none"/>
          <w:u w:val="single"/>
        </w:rPr>
        <w:t xml:space="preserve">  </w:t>
      </w:r>
    </w:p>
    <w:p>
      <w:pPr>
        <w:spacing w:afterLines="100"/>
        <w:ind w:firstLine="848" w:firstLineChars="303"/>
        <w:rPr>
          <w:rFonts w:ascii="黑体" w:hAnsi="黑体" w:eastAsia="黑体" w:cs="Arial"/>
          <w:color w:val="auto"/>
          <w:sz w:val="28"/>
          <w:highlight w:val="none"/>
        </w:rPr>
      </w:pPr>
      <w:r>
        <w:rPr>
          <w:rFonts w:hint="eastAsia" w:ascii="黑体" w:hAnsi="黑体" w:eastAsia="黑体" w:cs="Arial"/>
          <w:color w:val="auto"/>
          <w:sz w:val="28"/>
          <w:highlight w:val="none"/>
        </w:rPr>
        <w:t>工程名称：</w:t>
      </w:r>
      <w:r>
        <w:rPr>
          <w:rFonts w:hint="eastAsia" w:ascii="宋体" w:hAnsi="宋体"/>
          <w:color w:val="auto"/>
          <w:highlight w:val="none"/>
          <w:u w:val="single"/>
        </w:rPr>
        <w:t xml:space="preserve">                                        </w:t>
      </w:r>
      <w:r>
        <w:rPr>
          <w:rFonts w:ascii="黑体" w:hAnsi="黑体" w:eastAsia="黑体" w:cs="Arial"/>
          <w:color w:val="auto"/>
          <w:sz w:val="24"/>
          <w:highlight w:val="none"/>
          <w:u w:val="single"/>
        </w:rPr>
        <w:t xml:space="preserve">  </w:t>
      </w:r>
      <w:r>
        <w:rPr>
          <w:rFonts w:ascii="黑体" w:hAnsi="黑体" w:eastAsia="黑体" w:cs="Arial"/>
          <w:color w:val="auto"/>
          <w:sz w:val="24"/>
          <w:highlight w:val="none"/>
        </w:rPr>
        <w:t xml:space="preserve">                     </w:t>
      </w:r>
    </w:p>
    <w:p>
      <w:pPr>
        <w:spacing w:afterLines="100"/>
        <w:ind w:firstLine="848" w:firstLineChars="303"/>
        <w:rPr>
          <w:rFonts w:ascii="黑体" w:hAnsi="黑体" w:eastAsia="黑体" w:cs="Arial"/>
          <w:color w:val="auto"/>
          <w:highlight w:val="none"/>
          <w:u w:val="single"/>
        </w:rPr>
      </w:pPr>
      <w:r>
        <w:rPr>
          <w:rFonts w:hint="eastAsia" w:ascii="黑体" w:hAnsi="黑体" w:eastAsia="黑体" w:cs="Arial"/>
          <w:color w:val="auto"/>
          <w:sz w:val="28"/>
          <w:highlight w:val="none"/>
        </w:rPr>
        <w:t>投标总价</w:t>
      </w:r>
      <w:r>
        <w:rPr>
          <w:rFonts w:hint="eastAsia" w:ascii="黑体" w:hAnsi="黑体" w:eastAsia="黑体" w:cs="Arial"/>
          <w:color w:val="auto"/>
          <w:sz w:val="24"/>
          <w:highlight w:val="none"/>
        </w:rPr>
        <w:t>（小写）：</w:t>
      </w:r>
      <w:r>
        <w:rPr>
          <w:rFonts w:ascii="黑体" w:hAnsi="黑体" w:eastAsia="黑体" w:cs="Arial"/>
          <w:color w:val="auto"/>
          <w:sz w:val="24"/>
          <w:highlight w:val="none"/>
          <w:u w:val="single"/>
        </w:rPr>
        <w:t xml:space="preserve">                                        </w:t>
      </w:r>
    </w:p>
    <w:p>
      <w:pPr>
        <w:spacing w:afterLines="100"/>
        <w:ind w:firstLine="2040" w:firstLineChars="850"/>
        <w:rPr>
          <w:rFonts w:ascii="黑体" w:hAnsi="黑体" w:eastAsia="黑体" w:cs="Arial"/>
          <w:color w:val="auto"/>
          <w:sz w:val="24"/>
          <w:highlight w:val="none"/>
        </w:rPr>
      </w:pPr>
      <w:r>
        <w:rPr>
          <w:rFonts w:hint="eastAsia" w:ascii="黑体" w:hAnsi="黑体" w:eastAsia="黑体" w:cs="Arial"/>
          <w:color w:val="auto"/>
          <w:sz w:val="24"/>
          <w:highlight w:val="none"/>
        </w:rPr>
        <w:t>（大写）：</w:t>
      </w:r>
      <w:r>
        <w:rPr>
          <w:rFonts w:ascii="黑体" w:hAnsi="黑体" w:eastAsia="黑体" w:cs="Arial"/>
          <w:color w:val="auto"/>
          <w:sz w:val="24"/>
          <w:highlight w:val="none"/>
          <w:u w:val="single"/>
        </w:rPr>
        <w:t xml:space="preserve">                                        </w:t>
      </w:r>
    </w:p>
    <w:p>
      <w:pPr>
        <w:tabs>
          <w:tab w:val="left" w:pos="720"/>
        </w:tabs>
        <w:spacing w:afterLines="50"/>
        <w:rPr>
          <w:rFonts w:ascii="黑体" w:hAnsi="黑体" w:eastAsia="黑体" w:cs="Arial"/>
          <w:color w:val="auto"/>
          <w:highlight w:val="none"/>
        </w:rPr>
      </w:pPr>
    </w:p>
    <w:p>
      <w:pPr>
        <w:spacing w:afterLines="50"/>
        <w:rPr>
          <w:rFonts w:ascii="黑体" w:hAnsi="黑体" w:eastAsia="黑体" w:cs="Arial"/>
          <w:color w:val="auto"/>
          <w:highlight w:val="none"/>
        </w:rPr>
      </w:pPr>
    </w:p>
    <w:p>
      <w:pPr>
        <w:spacing w:afterLines="50"/>
        <w:ind w:firstLine="848" w:firstLineChars="303"/>
        <w:rPr>
          <w:rFonts w:ascii="黑体" w:hAnsi="黑体" w:eastAsia="黑体" w:cs="Arial"/>
          <w:color w:val="auto"/>
          <w:szCs w:val="21"/>
          <w:highlight w:val="none"/>
        </w:rPr>
      </w:pPr>
      <w:r>
        <w:rPr>
          <w:rFonts w:hint="eastAsia" w:ascii="黑体" w:hAnsi="黑体" w:eastAsia="黑体" w:cs="Arial"/>
          <w:color w:val="auto"/>
          <w:sz w:val="28"/>
          <w:highlight w:val="none"/>
          <w:lang w:eastAsia="zh-CN"/>
        </w:rPr>
        <w:t>磋商供应商</w:t>
      </w:r>
      <w:r>
        <w:rPr>
          <w:rFonts w:hint="eastAsia" w:ascii="黑体" w:hAnsi="黑体" w:eastAsia="黑体" w:cs="Arial"/>
          <w:color w:val="auto"/>
          <w:sz w:val="28"/>
          <w:highlight w:val="none"/>
        </w:rPr>
        <w:t>：</w:t>
      </w:r>
      <w:r>
        <w:rPr>
          <w:rFonts w:ascii="黑体" w:hAnsi="黑体" w:eastAsia="黑体" w:cs="Arial"/>
          <w:color w:val="auto"/>
          <w:sz w:val="24"/>
          <w:highlight w:val="none"/>
          <w:u w:val="single"/>
        </w:rPr>
        <w:t xml:space="preserve">                                        </w:t>
      </w:r>
    </w:p>
    <w:p>
      <w:pPr>
        <w:spacing w:afterLines="50"/>
        <w:ind w:left="4393" w:leftChars="2092"/>
        <w:rPr>
          <w:rFonts w:ascii="黑体" w:hAnsi="黑体" w:eastAsia="黑体" w:cs="Arial"/>
          <w:color w:val="auto"/>
          <w:szCs w:val="21"/>
          <w:highlight w:val="none"/>
        </w:rPr>
      </w:pPr>
      <w:r>
        <w:rPr>
          <w:rFonts w:hint="eastAsia" w:ascii="黑体" w:hAnsi="黑体" w:eastAsia="黑体" w:cs="Arial"/>
          <w:color w:val="auto"/>
          <w:szCs w:val="21"/>
          <w:highlight w:val="none"/>
        </w:rPr>
        <w:t>（</w:t>
      </w:r>
      <w:r>
        <w:rPr>
          <w:rFonts w:hint="eastAsia" w:ascii="宋体" w:hAnsi="宋体"/>
          <w:color w:val="auto"/>
          <w:highlight w:val="none"/>
        </w:rPr>
        <w:t>盖电子签章</w:t>
      </w:r>
      <w:r>
        <w:rPr>
          <w:rFonts w:hint="eastAsia" w:ascii="黑体" w:hAnsi="黑体" w:eastAsia="黑体" w:cs="Arial"/>
          <w:color w:val="auto"/>
          <w:szCs w:val="21"/>
          <w:highlight w:val="none"/>
        </w:rPr>
        <w:t>）</w:t>
      </w:r>
    </w:p>
    <w:p>
      <w:pPr>
        <w:tabs>
          <w:tab w:val="left" w:pos="720"/>
        </w:tabs>
        <w:spacing w:afterLines="50"/>
        <w:rPr>
          <w:rFonts w:ascii="黑体" w:hAnsi="黑体" w:eastAsia="黑体" w:cs="Arial"/>
          <w:color w:val="auto"/>
          <w:highlight w:val="none"/>
        </w:rPr>
      </w:pPr>
    </w:p>
    <w:p>
      <w:pPr>
        <w:spacing w:afterLines="50"/>
        <w:ind w:firstLine="848" w:firstLineChars="303"/>
        <w:rPr>
          <w:rFonts w:hint="eastAsia" w:ascii="黑体" w:hAnsi="黑体" w:eastAsia="黑体" w:cs="Arial"/>
          <w:color w:val="auto"/>
          <w:sz w:val="28"/>
          <w:highlight w:val="none"/>
        </w:rPr>
      </w:pPr>
    </w:p>
    <w:p>
      <w:pPr>
        <w:spacing w:afterLines="50"/>
        <w:ind w:firstLine="848" w:firstLineChars="303"/>
        <w:rPr>
          <w:rFonts w:ascii="黑体" w:hAnsi="黑体" w:eastAsia="黑体" w:cs="Arial"/>
          <w:color w:val="auto"/>
          <w:sz w:val="28"/>
          <w:highlight w:val="none"/>
        </w:rPr>
      </w:pPr>
      <w:r>
        <w:rPr>
          <w:rFonts w:hint="eastAsia" w:ascii="黑体" w:hAnsi="黑体" w:eastAsia="黑体" w:cs="Arial"/>
          <w:color w:val="auto"/>
          <w:sz w:val="28"/>
          <w:highlight w:val="none"/>
        </w:rPr>
        <w:t>法定代表人</w:t>
      </w:r>
    </w:p>
    <w:p>
      <w:pPr>
        <w:spacing w:afterLines="50"/>
        <w:ind w:firstLine="840" w:firstLineChars="300"/>
        <w:rPr>
          <w:rFonts w:hint="eastAsia" w:ascii="黑体" w:hAnsi="黑体" w:eastAsia="黑体" w:cs="Arial"/>
          <w:color w:val="auto"/>
          <w:szCs w:val="21"/>
          <w:highlight w:val="none"/>
          <w:u w:val="single"/>
        </w:rPr>
      </w:pPr>
      <w:r>
        <w:rPr>
          <w:rFonts w:hint="eastAsia" w:ascii="黑体" w:hAnsi="黑体" w:eastAsia="黑体" w:cs="Arial"/>
          <w:color w:val="auto"/>
          <w:sz w:val="28"/>
          <w:highlight w:val="none"/>
        </w:rPr>
        <w:t>或其授权人</w:t>
      </w:r>
      <w:r>
        <w:rPr>
          <w:rFonts w:hint="eastAsia" w:ascii="黑体" w:hAnsi="黑体" w:eastAsia="黑体" w:cs="Arial"/>
          <w:color w:val="auto"/>
          <w:sz w:val="22"/>
          <w:highlight w:val="none"/>
        </w:rPr>
        <w:t>：</w:t>
      </w:r>
      <w:r>
        <w:rPr>
          <w:rFonts w:hint="eastAsia" w:ascii="黑体" w:hAnsi="黑体" w:eastAsia="黑体" w:cs="Arial"/>
          <w:color w:val="auto"/>
          <w:szCs w:val="21"/>
          <w:highlight w:val="none"/>
          <w:u w:val="single"/>
        </w:rPr>
        <w:t xml:space="preserve">（签字或盖章）                    </w:t>
      </w:r>
    </w:p>
    <w:p>
      <w:pPr>
        <w:tabs>
          <w:tab w:val="left" w:pos="720"/>
        </w:tabs>
        <w:spacing w:afterLines="50"/>
        <w:rPr>
          <w:rFonts w:ascii="黑体" w:hAnsi="黑体" w:eastAsia="黑体" w:cs="Arial"/>
          <w:color w:val="auto"/>
          <w:highlight w:val="none"/>
        </w:rPr>
      </w:pPr>
    </w:p>
    <w:p>
      <w:pPr>
        <w:ind w:firstLine="840" w:firstLineChars="300"/>
        <w:rPr>
          <w:rFonts w:hint="eastAsia" w:ascii="宋体" w:hAnsi="宋体" w:eastAsia="宋体" w:cs="宋体"/>
          <w:color w:val="auto"/>
          <w:highlight w:val="none"/>
        </w:rPr>
      </w:pPr>
      <w:r>
        <w:rPr>
          <w:rFonts w:hint="eastAsia" w:ascii="黑体" w:hAnsi="黑体" w:eastAsia="黑体" w:cs="Arial"/>
          <w:color w:val="auto"/>
          <w:sz w:val="28"/>
          <w:highlight w:val="none"/>
        </w:rPr>
        <w:t>编制时间：</w:t>
      </w:r>
      <w:r>
        <w:rPr>
          <w:rFonts w:ascii="黑体" w:hAnsi="黑体" w:eastAsia="黑体" w:cs="Arial"/>
          <w:color w:val="auto"/>
          <w:sz w:val="24"/>
          <w:highlight w:val="none"/>
          <w:u w:val="single"/>
        </w:rPr>
        <w:t xml:space="preserve">        </w:t>
      </w:r>
      <w:r>
        <w:rPr>
          <w:rFonts w:hint="eastAsia" w:ascii="黑体" w:hAnsi="黑体" w:eastAsia="黑体" w:cs="Arial"/>
          <w:color w:val="auto"/>
          <w:sz w:val="28"/>
          <w:highlight w:val="none"/>
        </w:rPr>
        <w:t>年</w:t>
      </w:r>
      <w:r>
        <w:rPr>
          <w:rFonts w:ascii="黑体" w:hAnsi="黑体" w:eastAsia="黑体" w:cs="Arial"/>
          <w:color w:val="auto"/>
          <w:sz w:val="24"/>
          <w:highlight w:val="none"/>
          <w:u w:val="single"/>
        </w:rPr>
        <w:t xml:space="preserve">       </w:t>
      </w:r>
      <w:r>
        <w:rPr>
          <w:rFonts w:hint="eastAsia" w:ascii="黑体" w:hAnsi="黑体" w:eastAsia="黑体" w:cs="Arial"/>
          <w:color w:val="auto"/>
          <w:sz w:val="28"/>
          <w:highlight w:val="none"/>
        </w:rPr>
        <w:t>月</w:t>
      </w:r>
      <w:r>
        <w:rPr>
          <w:rFonts w:ascii="黑体" w:hAnsi="黑体" w:eastAsia="黑体" w:cs="Arial"/>
          <w:color w:val="auto"/>
          <w:sz w:val="24"/>
          <w:highlight w:val="none"/>
          <w:u w:val="single"/>
        </w:rPr>
        <w:t xml:space="preserve">      </w:t>
      </w:r>
      <w:r>
        <w:rPr>
          <w:rFonts w:hint="eastAsia" w:ascii="黑体" w:hAnsi="黑体" w:eastAsia="黑体" w:cs="Arial"/>
          <w:color w:val="auto"/>
          <w:sz w:val="28"/>
          <w:highlight w:val="none"/>
        </w:rPr>
        <w:t>日</w:t>
      </w:r>
    </w:p>
    <w:p>
      <w:pPr>
        <w:pStyle w:val="9"/>
        <w:rPr>
          <w:rFonts w:hint="eastAsia" w:ascii="宋体" w:hAnsi="宋体" w:eastAsia="宋体" w:cs="宋体"/>
          <w:color w:val="auto"/>
          <w:highlight w:val="none"/>
        </w:rPr>
      </w:pPr>
    </w:p>
    <w:p>
      <w:pPr>
        <w:pStyle w:val="9"/>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
        <w:rPr>
          <w:rFonts w:hint="eastAsia" w:ascii="宋体" w:hAnsi="宋体" w:eastAsia="宋体" w:cs="宋体"/>
          <w:color w:val="auto"/>
          <w:highlight w:val="none"/>
        </w:rPr>
      </w:pPr>
    </w:p>
    <w:p>
      <w:pPr>
        <w:pStyle w:val="4"/>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
        <w:rPr>
          <w:rFonts w:hint="eastAsia" w:ascii="宋体" w:hAnsi="宋体" w:eastAsia="宋体" w:cs="宋体"/>
          <w:color w:val="auto"/>
          <w:highlight w:val="none"/>
        </w:rPr>
      </w:pPr>
    </w:p>
    <w:p>
      <w:pPr>
        <w:pStyle w:val="4"/>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
        <w:rPr>
          <w:rFonts w:hint="eastAsia" w:ascii="宋体" w:hAnsi="宋体" w:eastAsia="宋体" w:cs="宋体"/>
          <w:color w:val="auto"/>
          <w:highlight w:val="none"/>
        </w:rPr>
      </w:pPr>
    </w:p>
    <w:p>
      <w:pPr>
        <w:pStyle w:val="4"/>
        <w:rPr>
          <w:rFonts w:hint="eastAsia"/>
        </w:rPr>
      </w:pPr>
    </w:p>
    <w:p>
      <w:pPr>
        <w:pStyle w:val="4"/>
        <w:rPr>
          <w:rFonts w:hint="eastAsia" w:ascii="宋体" w:hAnsi="宋体" w:eastAsia="宋体" w:cs="宋体"/>
          <w:color w:val="auto"/>
          <w:highlight w:val="none"/>
        </w:rPr>
      </w:pPr>
    </w:p>
    <w:p>
      <w:pPr>
        <w:pStyle w:val="35"/>
        <w:keepNext w:val="0"/>
        <w:pageBreakBefore w:val="0"/>
        <w:numPr>
          <w:ilvl w:val="0"/>
          <w:numId w:val="47"/>
        </w:numPr>
        <w:tabs>
          <w:tab w:val="clear" w:pos="720"/>
        </w:tabs>
        <w:snapToGrid w:val="0"/>
        <w:spacing w:before="120" w:after="120"/>
        <w:ind w:firstLine="0"/>
        <w:jc w:val="center"/>
        <w:outlineLvl w:val="9"/>
        <w:rPr>
          <w:rFonts w:hint="eastAsia" w:ascii="宋体" w:hAnsi="宋体" w:eastAsia="宋体" w:cs="宋体"/>
          <w:color w:val="auto"/>
          <w:highlight w:val="none"/>
        </w:rPr>
      </w:pPr>
      <w:r>
        <w:rPr>
          <w:rFonts w:hint="eastAsia" w:ascii="宋体" w:hAnsi="宋体" w:eastAsia="宋体" w:cs="宋体"/>
          <w:color w:val="auto"/>
          <w:highlight w:val="none"/>
        </w:rPr>
        <w:t>实质性响应条款及无效标条款</w:t>
      </w:r>
      <w:bookmarkEnd w:id="1106"/>
      <w:bookmarkEnd w:id="1107"/>
    </w:p>
    <w:p>
      <w:pPr>
        <w:pStyle w:val="35"/>
        <w:keepNext w:val="0"/>
        <w:pageBreakBefore w:val="0"/>
        <w:numPr>
          <w:ilvl w:val="0"/>
          <w:numId w:val="48"/>
        </w:numPr>
        <w:tabs>
          <w:tab w:val="clear" w:pos="720"/>
        </w:tabs>
        <w:snapToGrid w:val="0"/>
        <w:spacing w:before="120" w:after="120"/>
        <w:ind w:left="0" w:leftChars="0" w:firstLine="0" w:firstLineChars="0"/>
        <w:jc w:val="both"/>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实质性响应条款</w:t>
      </w:r>
      <w:r>
        <w:rPr>
          <w:rFonts w:hint="eastAsia" w:ascii="宋体" w:hAnsi="宋体" w:eastAsia="宋体" w:cs="宋体"/>
          <w:color w:val="auto"/>
          <w:sz w:val="24"/>
          <w:szCs w:val="24"/>
          <w:highlight w:val="none"/>
          <w:lang w:eastAsia="zh-CN"/>
        </w:rPr>
        <w:t>：</w:t>
      </w:r>
    </w:p>
    <w:p>
      <w:pPr>
        <w:pStyle w:val="35"/>
        <w:keepNext w:val="0"/>
        <w:pageBreakBefore w:val="0"/>
        <w:numPr>
          <w:ilvl w:val="0"/>
          <w:numId w:val="49"/>
        </w:numPr>
        <w:tabs>
          <w:tab w:val="clear" w:pos="720"/>
        </w:tabs>
        <w:snapToGrid w:val="0"/>
        <w:spacing w:before="120" w:after="120"/>
        <w:ind w:left="425" w:leftChars="0" w:hanging="425" w:firstLineChars="0"/>
        <w:jc w:val="both"/>
        <w:outlineLvl w:val="9"/>
        <w:rPr>
          <w:rFonts w:hint="eastAsia" w:ascii="宋体" w:hAnsi="宋体" w:eastAsia="宋体" w:cs="宋体"/>
          <w:b/>
          <w:bCs/>
          <w:color w:val="auto"/>
          <w:sz w:val="21"/>
          <w:szCs w:val="21"/>
          <w:highlight w:val="none"/>
        </w:rPr>
      </w:pPr>
      <w:r>
        <w:rPr>
          <w:rFonts w:hint="eastAsia" w:ascii="宋体" w:hAnsi="宋体" w:eastAsia="宋体" w:cs="宋体"/>
          <w:b w:val="0"/>
          <w:bCs w:val="0"/>
          <w:color w:val="auto"/>
          <w:sz w:val="21"/>
          <w:szCs w:val="21"/>
          <w:highlight w:val="none"/>
        </w:rPr>
        <w:t>在原定投标有效期满之前，如果出现特殊情况，</w:t>
      </w:r>
      <w:r>
        <w:rPr>
          <w:rFonts w:hint="eastAsia" w:ascii="宋体" w:hAnsi="宋体" w:eastAsia="宋体" w:cs="宋体"/>
          <w:b w:val="0"/>
          <w:bCs w:val="0"/>
          <w:color w:val="auto"/>
          <w:sz w:val="21"/>
          <w:szCs w:val="21"/>
          <w:highlight w:val="none"/>
          <w:lang w:eastAsia="zh-CN"/>
        </w:rPr>
        <w:t>采购代理机构</w:t>
      </w:r>
      <w:r>
        <w:rPr>
          <w:rFonts w:hint="eastAsia" w:ascii="宋体" w:hAnsi="宋体" w:eastAsia="宋体" w:cs="宋体"/>
          <w:b w:val="0"/>
          <w:bCs w:val="0"/>
          <w:color w:val="auto"/>
          <w:sz w:val="21"/>
          <w:szCs w:val="21"/>
          <w:highlight w:val="none"/>
        </w:rPr>
        <w:t>可以以书面形式通知</w:t>
      </w:r>
      <w:r>
        <w:rPr>
          <w:rFonts w:hint="eastAsia" w:ascii="宋体" w:hAnsi="宋体" w:eastAsia="宋体" w:cs="宋体"/>
          <w:b w:val="0"/>
          <w:bCs w:val="0"/>
          <w:color w:val="auto"/>
          <w:sz w:val="21"/>
          <w:szCs w:val="21"/>
          <w:highlight w:val="none"/>
          <w:lang w:eastAsia="zh-CN"/>
        </w:rPr>
        <w:t>磋商供应商</w:t>
      </w:r>
      <w:r>
        <w:rPr>
          <w:rFonts w:hint="eastAsia" w:ascii="宋体" w:hAnsi="宋体" w:eastAsia="宋体" w:cs="宋体"/>
          <w:b w:val="0"/>
          <w:bCs w:val="0"/>
          <w:color w:val="auto"/>
          <w:sz w:val="21"/>
          <w:szCs w:val="21"/>
          <w:highlight w:val="none"/>
        </w:rPr>
        <w:t>延长投标有效期。</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磋商供应商</w:t>
      </w:r>
      <w:r>
        <w:rPr>
          <w:rFonts w:hint="eastAsia" w:ascii="宋体" w:hAnsi="宋体" w:eastAsia="宋体" w:cs="宋体"/>
          <w:b/>
          <w:bCs/>
          <w:color w:val="auto"/>
          <w:sz w:val="21"/>
          <w:szCs w:val="21"/>
          <w:highlight w:val="none"/>
        </w:rPr>
        <w:t>同意延长的，不得要求或被允许修改其</w:t>
      </w:r>
      <w:r>
        <w:rPr>
          <w:rFonts w:hint="eastAsia" w:ascii="宋体" w:hAnsi="宋体" w:eastAsia="宋体" w:cs="宋体"/>
          <w:b/>
          <w:bCs/>
          <w:color w:val="auto"/>
          <w:sz w:val="21"/>
          <w:szCs w:val="21"/>
          <w:highlight w:val="none"/>
          <w:lang w:eastAsia="zh-CN"/>
        </w:rPr>
        <w:t>响应文件</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磋商供应商</w:t>
      </w:r>
      <w:r>
        <w:rPr>
          <w:rFonts w:hint="eastAsia" w:ascii="宋体" w:hAnsi="宋体" w:eastAsia="宋体" w:cs="宋体"/>
          <w:b/>
          <w:bCs/>
          <w:color w:val="auto"/>
          <w:sz w:val="21"/>
          <w:szCs w:val="21"/>
          <w:highlight w:val="none"/>
        </w:rPr>
        <w:t>拒绝延长的，其</w:t>
      </w:r>
      <w:r>
        <w:rPr>
          <w:rFonts w:hint="eastAsia" w:ascii="宋体" w:hAnsi="宋体" w:eastAsia="宋体" w:cs="宋体"/>
          <w:b/>
          <w:bCs/>
          <w:color w:val="auto"/>
          <w:sz w:val="21"/>
          <w:szCs w:val="21"/>
          <w:highlight w:val="none"/>
          <w:lang w:eastAsia="zh-CN"/>
        </w:rPr>
        <w:t>响应无效</w:t>
      </w:r>
      <w:r>
        <w:rPr>
          <w:rFonts w:hint="eastAsia" w:ascii="宋体" w:hAnsi="宋体" w:eastAsia="宋体" w:cs="宋体"/>
          <w:b/>
          <w:bCs/>
          <w:color w:val="auto"/>
          <w:sz w:val="21"/>
          <w:szCs w:val="21"/>
          <w:highlight w:val="none"/>
        </w:rPr>
        <w:t>。</w:t>
      </w:r>
    </w:p>
    <w:p>
      <w:pPr>
        <w:pStyle w:val="35"/>
        <w:keepNext w:val="0"/>
        <w:pageBreakBefore w:val="0"/>
        <w:numPr>
          <w:ilvl w:val="0"/>
          <w:numId w:val="49"/>
        </w:numPr>
        <w:tabs>
          <w:tab w:val="clear" w:pos="720"/>
        </w:tabs>
        <w:snapToGrid w:val="0"/>
        <w:spacing w:before="120" w:after="120"/>
        <w:ind w:left="425" w:leftChars="0" w:hanging="425" w:firstLineChars="0"/>
        <w:jc w:val="both"/>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磋商供应商</w:t>
      </w:r>
      <w:r>
        <w:rPr>
          <w:rFonts w:hint="eastAsia" w:ascii="宋体" w:hAnsi="宋体" w:eastAsia="宋体" w:cs="宋体"/>
          <w:b/>
          <w:bCs/>
          <w:color w:val="auto"/>
          <w:sz w:val="21"/>
          <w:szCs w:val="21"/>
          <w:highlight w:val="none"/>
        </w:rPr>
        <w:t>未按照</w:t>
      </w:r>
      <w:r>
        <w:rPr>
          <w:rFonts w:hint="eastAsia" w:ascii="宋体" w:hAnsi="宋体" w:eastAsia="宋体" w:cs="宋体"/>
          <w:b/>
          <w:bCs/>
          <w:color w:val="auto"/>
          <w:sz w:val="21"/>
          <w:szCs w:val="21"/>
          <w:highlight w:val="none"/>
          <w:lang w:eastAsia="zh-CN"/>
        </w:rPr>
        <w:t>磋商文件</w:t>
      </w:r>
      <w:r>
        <w:rPr>
          <w:rFonts w:hint="eastAsia" w:ascii="宋体" w:hAnsi="宋体" w:eastAsia="宋体" w:cs="宋体"/>
          <w:b/>
          <w:bCs/>
          <w:color w:val="auto"/>
          <w:sz w:val="21"/>
          <w:szCs w:val="21"/>
          <w:highlight w:val="none"/>
        </w:rPr>
        <w:t>要求提供与资格条件相应的有效资格证明材料的，视为</w:t>
      </w:r>
      <w:r>
        <w:rPr>
          <w:rFonts w:hint="eastAsia" w:ascii="宋体" w:hAnsi="宋体" w:eastAsia="宋体" w:cs="宋体"/>
          <w:b/>
          <w:bCs/>
          <w:color w:val="auto"/>
          <w:sz w:val="21"/>
          <w:szCs w:val="21"/>
          <w:highlight w:val="none"/>
          <w:lang w:eastAsia="zh-CN"/>
        </w:rPr>
        <w:t>磋商供应商</w:t>
      </w:r>
      <w:r>
        <w:rPr>
          <w:rFonts w:hint="eastAsia" w:ascii="宋体" w:hAnsi="宋体" w:eastAsia="宋体" w:cs="宋体"/>
          <w:b/>
          <w:bCs/>
          <w:color w:val="auto"/>
          <w:sz w:val="21"/>
          <w:szCs w:val="21"/>
          <w:highlight w:val="none"/>
        </w:rPr>
        <w:t>不具备</w:t>
      </w:r>
      <w:r>
        <w:rPr>
          <w:rFonts w:hint="eastAsia" w:ascii="宋体" w:hAnsi="宋体" w:eastAsia="宋体" w:cs="宋体"/>
          <w:b/>
          <w:bCs/>
          <w:color w:val="auto"/>
          <w:sz w:val="21"/>
          <w:szCs w:val="21"/>
          <w:highlight w:val="none"/>
          <w:lang w:eastAsia="zh-CN"/>
        </w:rPr>
        <w:t>磋商文件</w:t>
      </w:r>
      <w:r>
        <w:rPr>
          <w:rFonts w:hint="eastAsia" w:ascii="宋体" w:hAnsi="宋体" w:eastAsia="宋体" w:cs="宋体"/>
          <w:b/>
          <w:bCs/>
          <w:color w:val="auto"/>
          <w:sz w:val="21"/>
          <w:szCs w:val="21"/>
          <w:highlight w:val="none"/>
        </w:rPr>
        <w:t>中规定的资格要求，其</w:t>
      </w:r>
      <w:r>
        <w:rPr>
          <w:rFonts w:hint="eastAsia" w:ascii="宋体" w:hAnsi="宋体" w:eastAsia="宋体" w:cs="宋体"/>
          <w:b/>
          <w:bCs/>
          <w:color w:val="auto"/>
          <w:sz w:val="21"/>
          <w:szCs w:val="21"/>
          <w:highlight w:val="none"/>
          <w:lang w:eastAsia="zh-CN"/>
        </w:rPr>
        <w:t>响应无效</w:t>
      </w:r>
      <w:r>
        <w:rPr>
          <w:rFonts w:hint="eastAsia" w:ascii="宋体" w:hAnsi="宋体" w:eastAsia="宋体" w:cs="宋体"/>
          <w:b/>
          <w:bCs/>
          <w:color w:val="auto"/>
          <w:sz w:val="21"/>
          <w:szCs w:val="21"/>
          <w:highlight w:val="none"/>
        </w:rPr>
        <w:t>。</w:t>
      </w:r>
    </w:p>
    <w:p>
      <w:pPr>
        <w:pStyle w:val="35"/>
        <w:keepNext w:val="0"/>
        <w:pageBreakBefore w:val="0"/>
        <w:numPr>
          <w:ilvl w:val="0"/>
          <w:numId w:val="49"/>
        </w:numPr>
        <w:tabs>
          <w:tab w:val="clear" w:pos="720"/>
        </w:tabs>
        <w:snapToGrid w:val="0"/>
        <w:spacing w:before="120" w:after="120"/>
        <w:ind w:left="425" w:leftChars="0" w:hanging="425" w:firstLineChars="0"/>
        <w:jc w:val="both"/>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▲单位负责人（指法定代表人或者法律、行政法规规定代表单位行使职权的主要负责人）为同一人或者存在直接控股、管理关系的不同</w:t>
      </w:r>
      <w:r>
        <w:rPr>
          <w:rFonts w:hint="eastAsia" w:ascii="宋体" w:hAnsi="宋体" w:eastAsia="宋体" w:cs="宋体"/>
          <w:b/>
          <w:bCs/>
          <w:color w:val="auto"/>
          <w:sz w:val="21"/>
          <w:szCs w:val="21"/>
          <w:highlight w:val="none"/>
          <w:lang w:eastAsia="zh-CN"/>
        </w:rPr>
        <w:t>供应商</w:t>
      </w:r>
      <w:r>
        <w:rPr>
          <w:rFonts w:hint="eastAsia" w:ascii="宋体" w:hAnsi="宋体" w:eastAsia="宋体" w:cs="宋体"/>
          <w:b/>
          <w:bCs/>
          <w:color w:val="auto"/>
          <w:sz w:val="21"/>
          <w:szCs w:val="21"/>
          <w:highlight w:val="none"/>
        </w:rPr>
        <w:t>不得分别参加同一合同项下的采购活动。</w:t>
      </w:r>
    </w:p>
    <w:p>
      <w:pPr>
        <w:pStyle w:val="35"/>
        <w:keepNext w:val="0"/>
        <w:pageBreakBefore w:val="0"/>
        <w:numPr>
          <w:ilvl w:val="0"/>
          <w:numId w:val="49"/>
        </w:numPr>
        <w:tabs>
          <w:tab w:val="clear" w:pos="720"/>
        </w:tabs>
        <w:snapToGrid w:val="0"/>
        <w:spacing w:before="120" w:after="120"/>
        <w:ind w:left="425" w:leftChars="0" w:hanging="425" w:firstLineChars="0"/>
        <w:jc w:val="both"/>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▲为本项目提供过整体设计、规范编制或者项目管理、监理、检测等服务的</w:t>
      </w:r>
      <w:r>
        <w:rPr>
          <w:rFonts w:hint="eastAsia" w:ascii="宋体" w:hAnsi="宋体" w:eastAsia="宋体" w:cs="宋体"/>
          <w:b/>
          <w:bCs/>
          <w:color w:val="auto"/>
          <w:sz w:val="21"/>
          <w:szCs w:val="21"/>
          <w:highlight w:val="none"/>
          <w:lang w:eastAsia="zh-CN"/>
        </w:rPr>
        <w:t>磋商供应商</w:t>
      </w:r>
      <w:r>
        <w:rPr>
          <w:rFonts w:hint="eastAsia" w:ascii="宋体" w:hAnsi="宋体" w:eastAsia="宋体" w:cs="宋体"/>
          <w:b/>
          <w:bCs/>
          <w:color w:val="auto"/>
          <w:sz w:val="21"/>
          <w:szCs w:val="21"/>
          <w:highlight w:val="none"/>
        </w:rPr>
        <w:t>，不得再参加该采购项目的其他采购活动。</w:t>
      </w:r>
    </w:p>
    <w:p>
      <w:pPr>
        <w:pStyle w:val="35"/>
        <w:keepNext w:val="0"/>
        <w:pageBreakBefore w:val="0"/>
        <w:numPr>
          <w:ilvl w:val="0"/>
          <w:numId w:val="49"/>
        </w:numPr>
        <w:tabs>
          <w:tab w:val="clear" w:pos="720"/>
        </w:tabs>
        <w:snapToGrid w:val="0"/>
        <w:spacing w:before="120" w:after="120"/>
        <w:ind w:left="425" w:leftChars="0" w:hanging="425" w:firstLineChars="0"/>
        <w:jc w:val="both"/>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▲以联合体形式参加政府采购活动的，联合体各方不得再单独参加或者与其他</w:t>
      </w:r>
      <w:r>
        <w:rPr>
          <w:rFonts w:hint="eastAsia" w:ascii="宋体" w:hAnsi="宋体" w:eastAsia="宋体" w:cs="宋体"/>
          <w:b/>
          <w:bCs/>
          <w:color w:val="auto"/>
          <w:sz w:val="21"/>
          <w:szCs w:val="21"/>
          <w:highlight w:val="none"/>
          <w:lang w:eastAsia="zh-CN"/>
        </w:rPr>
        <w:t>磋商供应商</w:t>
      </w:r>
      <w:r>
        <w:rPr>
          <w:rFonts w:hint="eastAsia" w:ascii="宋体" w:hAnsi="宋体" w:eastAsia="宋体" w:cs="宋体"/>
          <w:b/>
          <w:bCs/>
          <w:color w:val="auto"/>
          <w:sz w:val="21"/>
          <w:szCs w:val="21"/>
          <w:highlight w:val="none"/>
        </w:rPr>
        <w:t>另外组成联合体参加同一合同项下的政府采购活动。</w:t>
      </w:r>
    </w:p>
    <w:p>
      <w:pPr>
        <w:pStyle w:val="35"/>
        <w:keepNext w:val="0"/>
        <w:pageBreakBefore w:val="0"/>
        <w:numPr>
          <w:ilvl w:val="0"/>
          <w:numId w:val="48"/>
        </w:numPr>
        <w:tabs>
          <w:tab w:val="clear" w:pos="720"/>
        </w:tabs>
        <w:snapToGrid w:val="0"/>
        <w:spacing w:before="120" w:after="120"/>
        <w:ind w:left="0" w:leftChars="0" w:firstLine="0" w:firstLineChars="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无效标条款</w:t>
      </w:r>
    </w:p>
    <w:p>
      <w:pPr>
        <w:pStyle w:val="35"/>
        <w:keepNext w:val="0"/>
        <w:pageBreakBefore w:val="0"/>
        <w:numPr>
          <w:ilvl w:val="0"/>
          <w:numId w:val="50"/>
        </w:numPr>
        <w:tabs>
          <w:tab w:val="clear" w:pos="720"/>
        </w:tabs>
        <w:snapToGrid w:val="0"/>
        <w:spacing w:before="120" w:after="120"/>
        <w:ind w:left="425" w:leftChars="0" w:hanging="425" w:firstLineChars="0"/>
        <w:jc w:val="both"/>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响应无效</w:t>
      </w:r>
      <w:r>
        <w:rPr>
          <w:rFonts w:hint="eastAsia" w:ascii="宋体" w:hAnsi="宋体" w:eastAsia="宋体" w:cs="宋体"/>
          <w:b/>
          <w:bCs/>
          <w:color w:val="auto"/>
          <w:sz w:val="21"/>
          <w:szCs w:val="21"/>
          <w:highlight w:val="none"/>
        </w:rPr>
        <w:t>。▲有下列情况之一的，</w:t>
      </w:r>
      <w:r>
        <w:rPr>
          <w:rFonts w:hint="eastAsia" w:ascii="宋体" w:hAnsi="宋体" w:eastAsia="宋体" w:cs="宋体"/>
          <w:b/>
          <w:bCs/>
          <w:color w:val="auto"/>
          <w:sz w:val="21"/>
          <w:szCs w:val="21"/>
          <w:highlight w:val="none"/>
          <w:lang w:eastAsia="zh-CN"/>
        </w:rPr>
        <w:t>响应无效</w:t>
      </w:r>
      <w:r>
        <w:rPr>
          <w:rFonts w:hint="eastAsia" w:ascii="宋体" w:hAnsi="宋体" w:eastAsia="宋体" w:cs="宋体"/>
          <w:b/>
          <w:bCs/>
          <w:color w:val="auto"/>
          <w:sz w:val="21"/>
          <w:szCs w:val="21"/>
          <w:highlight w:val="none"/>
        </w:rPr>
        <w:t>：</w:t>
      </w:r>
    </w:p>
    <w:p>
      <w:pPr>
        <w:numPr>
          <w:ilvl w:val="0"/>
          <w:numId w:val="51"/>
        </w:numPr>
        <w:tabs>
          <w:tab w:val="left" w:pos="840"/>
          <w:tab w:val="clear" w:pos="420"/>
        </w:tabs>
        <w:spacing w:line="360" w:lineRule="auto"/>
        <w:ind w:left="825" w:leftChars="0" w:hanging="825" w:firstLineChars="0"/>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eastAsia="zh-CN"/>
        </w:rPr>
        <w:t>磋商供应商</w:t>
      </w:r>
      <w:r>
        <w:rPr>
          <w:rFonts w:hint="eastAsia" w:ascii="宋体" w:hAnsi="宋体" w:eastAsia="宋体" w:cs="宋体"/>
          <w:color w:val="auto"/>
          <w:kern w:val="0"/>
          <w:sz w:val="24"/>
          <w:highlight w:val="none"/>
        </w:rPr>
        <w:t>不具备</w:t>
      </w:r>
      <w:r>
        <w:rPr>
          <w:rFonts w:hint="eastAsia" w:ascii="宋体" w:hAnsi="宋体" w:cs="宋体"/>
          <w:color w:val="auto"/>
          <w:kern w:val="0"/>
          <w:sz w:val="24"/>
          <w:highlight w:val="none"/>
          <w:lang w:eastAsia="zh-CN"/>
        </w:rPr>
        <w:t>磋商文件</w:t>
      </w:r>
      <w:r>
        <w:rPr>
          <w:rFonts w:hint="eastAsia" w:ascii="宋体" w:hAnsi="宋体" w:eastAsia="宋体" w:cs="宋体"/>
          <w:color w:val="auto"/>
          <w:kern w:val="0"/>
          <w:sz w:val="24"/>
          <w:highlight w:val="none"/>
        </w:rPr>
        <w:t>中规定的资格要求的（</w:t>
      </w:r>
      <w:r>
        <w:rPr>
          <w:rFonts w:hint="eastAsia" w:ascii="宋体" w:hAnsi="宋体" w:cs="宋体"/>
          <w:color w:val="auto"/>
          <w:kern w:val="0"/>
          <w:sz w:val="24"/>
          <w:highlight w:val="none"/>
          <w:lang w:eastAsia="zh-CN"/>
        </w:rPr>
        <w:t>供应商</w:t>
      </w:r>
      <w:r>
        <w:rPr>
          <w:rFonts w:hint="eastAsia" w:ascii="宋体" w:hAnsi="宋体" w:eastAsia="宋体" w:cs="宋体"/>
          <w:color w:val="auto"/>
          <w:kern w:val="0"/>
          <w:sz w:val="24"/>
          <w:highlight w:val="none"/>
        </w:rPr>
        <w:t>未提供有效的资格文件的，视为</w:t>
      </w:r>
      <w:r>
        <w:rPr>
          <w:rFonts w:hint="eastAsia" w:ascii="宋体" w:hAnsi="宋体" w:cs="宋体"/>
          <w:color w:val="auto"/>
          <w:kern w:val="0"/>
          <w:sz w:val="24"/>
          <w:highlight w:val="none"/>
          <w:lang w:eastAsia="zh-CN"/>
        </w:rPr>
        <w:t>供应商</w:t>
      </w:r>
      <w:r>
        <w:rPr>
          <w:rFonts w:hint="eastAsia" w:ascii="宋体" w:hAnsi="宋体" w:eastAsia="宋体" w:cs="宋体"/>
          <w:color w:val="auto"/>
          <w:kern w:val="0"/>
          <w:sz w:val="24"/>
          <w:highlight w:val="none"/>
        </w:rPr>
        <w:t>不具备</w:t>
      </w:r>
      <w:r>
        <w:rPr>
          <w:rFonts w:hint="eastAsia" w:ascii="宋体" w:hAnsi="宋体" w:cs="宋体"/>
          <w:color w:val="auto"/>
          <w:kern w:val="0"/>
          <w:sz w:val="24"/>
          <w:highlight w:val="none"/>
          <w:lang w:eastAsia="zh-CN"/>
        </w:rPr>
        <w:t>磋商文件</w:t>
      </w:r>
      <w:r>
        <w:rPr>
          <w:rFonts w:hint="eastAsia" w:ascii="宋体" w:hAnsi="宋体" w:eastAsia="宋体" w:cs="宋体"/>
          <w:color w:val="auto"/>
          <w:kern w:val="0"/>
          <w:sz w:val="24"/>
          <w:highlight w:val="none"/>
        </w:rPr>
        <w:t>中规定的资格要求）；</w:t>
      </w:r>
    </w:p>
    <w:p>
      <w:pPr>
        <w:numPr>
          <w:ilvl w:val="0"/>
          <w:numId w:val="51"/>
        </w:numPr>
        <w:tabs>
          <w:tab w:val="left" w:pos="840"/>
          <w:tab w:val="clear" w:pos="420"/>
        </w:tabs>
        <w:spacing w:line="360" w:lineRule="auto"/>
        <w:ind w:left="825" w:leftChars="0" w:hanging="825" w:firstLineChars="0"/>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eastAsia="zh-CN"/>
        </w:rPr>
        <w:t>响应文件</w:t>
      </w:r>
      <w:r>
        <w:rPr>
          <w:rFonts w:hint="eastAsia" w:ascii="宋体" w:hAnsi="宋体" w:eastAsia="宋体" w:cs="宋体"/>
          <w:color w:val="auto"/>
          <w:kern w:val="0"/>
          <w:sz w:val="24"/>
          <w:highlight w:val="none"/>
        </w:rPr>
        <w:t>未按照</w:t>
      </w:r>
      <w:r>
        <w:rPr>
          <w:rFonts w:hint="eastAsia" w:ascii="宋体" w:hAnsi="宋体" w:cs="宋体"/>
          <w:color w:val="auto"/>
          <w:kern w:val="0"/>
          <w:sz w:val="24"/>
          <w:highlight w:val="none"/>
          <w:lang w:eastAsia="zh-CN"/>
        </w:rPr>
        <w:t>磋商文件</w:t>
      </w:r>
      <w:r>
        <w:rPr>
          <w:rFonts w:hint="eastAsia" w:ascii="宋体" w:hAnsi="宋体" w:eastAsia="宋体" w:cs="宋体"/>
          <w:color w:val="auto"/>
          <w:kern w:val="0"/>
          <w:sz w:val="24"/>
          <w:highlight w:val="none"/>
        </w:rPr>
        <w:t>要求签署、盖章的；</w:t>
      </w:r>
    </w:p>
    <w:p>
      <w:pPr>
        <w:numPr>
          <w:ilvl w:val="0"/>
          <w:numId w:val="51"/>
        </w:numPr>
        <w:tabs>
          <w:tab w:val="left" w:pos="840"/>
          <w:tab w:val="clear" w:pos="420"/>
        </w:tabs>
        <w:spacing w:line="360" w:lineRule="auto"/>
        <w:ind w:left="825" w:leftChars="0" w:hanging="825"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采购人拟采购的产品属于政府强制采购的节能产品品目清单范围的，</w:t>
      </w:r>
      <w:r>
        <w:rPr>
          <w:rFonts w:hint="eastAsia" w:ascii="宋体" w:hAnsi="宋体" w:cs="宋体"/>
          <w:color w:val="auto"/>
          <w:kern w:val="0"/>
          <w:sz w:val="24"/>
          <w:highlight w:val="none"/>
          <w:lang w:eastAsia="zh-CN"/>
        </w:rPr>
        <w:t>磋商供应商</w:t>
      </w:r>
      <w:r>
        <w:rPr>
          <w:rFonts w:hint="eastAsia" w:ascii="宋体" w:hAnsi="宋体" w:eastAsia="宋体" w:cs="宋体"/>
          <w:color w:val="auto"/>
          <w:kern w:val="0"/>
          <w:sz w:val="24"/>
          <w:highlight w:val="none"/>
        </w:rPr>
        <w:t>未按</w:t>
      </w:r>
      <w:r>
        <w:rPr>
          <w:rFonts w:hint="eastAsia" w:ascii="宋体" w:hAnsi="宋体" w:cs="宋体"/>
          <w:color w:val="auto"/>
          <w:kern w:val="0"/>
          <w:sz w:val="24"/>
          <w:highlight w:val="none"/>
          <w:lang w:eastAsia="zh-CN"/>
        </w:rPr>
        <w:t>磋商文件</w:t>
      </w:r>
      <w:r>
        <w:rPr>
          <w:rFonts w:hint="eastAsia" w:ascii="宋体" w:hAnsi="宋体" w:eastAsia="宋体" w:cs="宋体"/>
          <w:color w:val="auto"/>
          <w:kern w:val="0"/>
          <w:sz w:val="24"/>
          <w:highlight w:val="none"/>
        </w:rPr>
        <w:t>要求提供国家确定的认证机构出具的、处于有效期之内的节能产品认证证书的；</w:t>
      </w:r>
    </w:p>
    <w:p>
      <w:pPr>
        <w:numPr>
          <w:ilvl w:val="0"/>
          <w:numId w:val="51"/>
        </w:numPr>
        <w:tabs>
          <w:tab w:val="left" w:pos="840"/>
          <w:tab w:val="clear" w:pos="420"/>
        </w:tabs>
        <w:spacing w:line="360" w:lineRule="auto"/>
        <w:ind w:left="825" w:leftChars="0" w:hanging="825" w:firstLineChars="0"/>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eastAsia="zh-CN"/>
        </w:rPr>
        <w:t>响应文件</w:t>
      </w:r>
      <w:r>
        <w:rPr>
          <w:rFonts w:hint="eastAsia" w:ascii="宋体" w:hAnsi="宋体" w:eastAsia="宋体" w:cs="宋体"/>
          <w:color w:val="auto"/>
          <w:kern w:val="0"/>
          <w:sz w:val="24"/>
          <w:highlight w:val="none"/>
        </w:rPr>
        <w:t>含有采购人不能接受的附加条件的；</w:t>
      </w:r>
    </w:p>
    <w:p>
      <w:pPr>
        <w:numPr>
          <w:ilvl w:val="0"/>
          <w:numId w:val="51"/>
        </w:numPr>
        <w:tabs>
          <w:tab w:val="left" w:pos="840"/>
          <w:tab w:val="clear" w:pos="420"/>
        </w:tabs>
        <w:spacing w:line="360" w:lineRule="auto"/>
        <w:ind w:left="825" w:leftChars="0" w:hanging="825" w:firstLineChars="0"/>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eastAsia="zh-CN"/>
        </w:rPr>
        <w:t>响应文件</w:t>
      </w:r>
      <w:r>
        <w:rPr>
          <w:rFonts w:hint="eastAsia" w:ascii="宋体" w:hAnsi="宋体" w:eastAsia="宋体" w:cs="宋体"/>
          <w:color w:val="auto"/>
          <w:kern w:val="0"/>
          <w:sz w:val="24"/>
          <w:highlight w:val="none"/>
        </w:rPr>
        <w:t>中承诺的投标有效期少于</w:t>
      </w:r>
      <w:r>
        <w:rPr>
          <w:rFonts w:hint="eastAsia" w:ascii="宋体" w:hAnsi="宋体" w:cs="宋体"/>
          <w:color w:val="auto"/>
          <w:kern w:val="0"/>
          <w:sz w:val="24"/>
          <w:highlight w:val="none"/>
          <w:lang w:eastAsia="zh-CN"/>
        </w:rPr>
        <w:t>磋商文件</w:t>
      </w:r>
      <w:r>
        <w:rPr>
          <w:rFonts w:hint="eastAsia" w:ascii="宋体" w:hAnsi="宋体" w:eastAsia="宋体" w:cs="宋体"/>
          <w:color w:val="auto"/>
          <w:kern w:val="0"/>
          <w:sz w:val="24"/>
          <w:highlight w:val="none"/>
        </w:rPr>
        <w:t>中载明的投标有效期的；</w:t>
      </w:r>
    </w:p>
    <w:p>
      <w:pPr>
        <w:numPr>
          <w:ilvl w:val="0"/>
          <w:numId w:val="51"/>
        </w:numPr>
        <w:tabs>
          <w:tab w:val="left" w:pos="840"/>
          <w:tab w:val="clear" w:pos="420"/>
        </w:tabs>
        <w:snapToGrid w:val="0"/>
        <w:spacing w:line="360" w:lineRule="auto"/>
        <w:ind w:left="825" w:leftChars="0" w:hanging="825" w:firstLineChars="0"/>
        <w:jc w:val="left"/>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eastAsia="zh-CN"/>
        </w:rPr>
        <w:t>响应文件</w:t>
      </w:r>
      <w:r>
        <w:rPr>
          <w:rFonts w:hint="eastAsia" w:ascii="宋体" w:hAnsi="宋体" w:eastAsia="宋体" w:cs="宋体"/>
          <w:color w:val="auto"/>
          <w:kern w:val="0"/>
          <w:sz w:val="24"/>
          <w:highlight w:val="none"/>
        </w:rPr>
        <w:t>出现不是唯一的、有选择性</w:t>
      </w:r>
      <w:r>
        <w:rPr>
          <w:rFonts w:hint="eastAsia" w:ascii="宋体" w:hAnsi="宋体" w:cs="宋体"/>
          <w:color w:val="auto"/>
          <w:kern w:val="0"/>
          <w:sz w:val="24"/>
          <w:highlight w:val="none"/>
          <w:lang w:eastAsia="zh-CN"/>
        </w:rPr>
        <w:t>报价</w:t>
      </w:r>
      <w:r>
        <w:rPr>
          <w:rFonts w:hint="eastAsia" w:ascii="宋体" w:hAnsi="宋体" w:eastAsia="宋体" w:cs="宋体"/>
          <w:color w:val="auto"/>
          <w:kern w:val="0"/>
          <w:sz w:val="24"/>
          <w:highlight w:val="none"/>
        </w:rPr>
        <w:t>的</w:t>
      </w:r>
      <w:r>
        <w:rPr>
          <w:rFonts w:hint="eastAsia" w:ascii="宋体" w:hAnsi="宋体" w:cs="宋体"/>
          <w:color w:val="auto"/>
          <w:kern w:val="0"/>
          <w:sz w:val="24"/>
          <w:highlight w:val="none"/>
          <w:lang w:eastAsia="zh-CN"/>
        </w:rPr>
        <w:t>；</w:t>
      </w:r>
    </w:p>
    <w:p>
      <w:pPr>
        <w:numPr>
          <w:ilvl w:val="0"/>
          <w:numId w:val="51"/>
        </w:numPr>
        <w:tabs>
          <w:tab w:val="left" w:pos="840"/>
          <w:tab w:val="clear" w:pos="420"/>
        </w:tabs>
        <w:spacing w:line="360" w:lineRule="auto"/>
        <w:ind w:left="825" w:leftChars="0" w:hanging="825" w:firstLineChars="0"/>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eastAsia="zh-CN"/>
        </w:rPr>
        <w:t>报价</w:t>
      </w:r>
      <w:r>
        <w:rPr>
          <w:rFonts w:hint="eastAsia" w:ascii="宋体" w:hAnsi="宋体" w:eastAsia="宋体" w:cs="宋体"/>
          <w:color w:val="auto"/>
          <w:kern w:val="0"/>
          <w:sz w:val="24"/>
          <w:highlight w:val="none"/>
        </w:rPr>
        <w:t>超过</w:t>
      </w:r>
      <w:r>
        <w:rPr>
          <w:rFonts w:hint="eastAsia" w:ascii="宋体" w:hAnsi="宋体" w:cs="宋体"/>
          <w:color w:val="auto"/>
          <w:kern w:val="0"/>
          <w:sz w:val="24"/>
          <w:highlight w:val="none"/>
          <w:lang w:eastAsia="zh-CN"/>
        </w:rPr>
        <w:t>磋商文件</w:t>
      </w:r>
      <w:r>
        <w:rPr>
          <w:rFonts w:hint="eastAsia" w:ascii="宋体" w:hAnsi="宋体" w:eastAsia="宋体" w:cs="宋体"/>
          <w:color w:val="auto"/>
          <w:kern w:val="0"/>
          <w:sz w:val="24"/>
          <w:highlight w:val="none"/>
        </w:rPr>
        <w:t>中规定的预算金额或者最高限价的</w:t>
      </w:r>
      <w:r>
        <w:rPr>
          <w:rFonts w:hint="eastAsia" w:ascii="宋体" w:hAnsi="宋体" w:cs="宋体"/>
          <w:color w:val="auto"/>
          <w:kern w:val="0"/>
          <w:sz w:val="24"/>
          <w:highlight w:val="none"/>
          <w:lang w:eastAsia="zh-CN"/>
        </w:rPr>
        <w:t>；</w:t>
      </w:r>
    </w:p>
    <w:p>
      <w:pPr>
        <w:numPr>
          <w:ilvl w:val="0"/>
          <w:numId w:val="51"/>
        </w:numPr>
        <w:tabs>
          <w:tab w:val="left" w:pos="840"/>
          <w:tab w:val="clear" w:pos="420"/>
        </w:tabs>
        <w:spacing w:line="360" w:lineRule="auto"/>
        <w:ind w:left="825" w:leftChars="0" w:hanging="825"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报价明显低于其他通过符合性审查</w:t>
      </w:r>
      <w:r>
        <w:rPr>
          <w:rFonts w:hint="eastAsia" w:ascii="宋体" w:hAnsi="宋体" w:cs="宋体"/>
          <w:color w:val="auto"/>
          <w:kern w:val="0"/>
          <w:sz w:val="24"/>
          <w:highlight w:val="none"/>
          <w:lang w:eastAsia="zh-CN"/>
        </w:rPr>
        <w:t>供应商</w:t>
      </w:r>
      <w:r>
        <w:rPr>
          <w:rFonts w:hint="eastAsia" w:ascii="宋体" w:hAnsi="宋体" w:eastAsia="宋体" w:cs="宋体"/>
          <w:color w:val="auto"/>
          <w:kern w:val="0"/>
          <w:sz w:val="24"/>
          <w:highlight w:val="none"/>
        </w:rPr>
        <w:t>的报价，有可能影响产品质量或者不能诚信履约的，未能按要求提供书面说明或者提交相关证明材料，不能证明其报价合理性的</w:t>
      </w:r>
      <w:r>
        <w:rPr>
          <w:rFonts w:hint="eastAsia" w:ascii="宋体" w:hAnsi="宋体" w:cs="宋体"/>
          <w:color w:val="auto"/>
          <w:kern w:val="0"/>
          <w:sz w:val="24"/>
          <w:highlight w:val="none"/>
          <w:lang w:eastAsia="zh-CN"/>
        </w:rPr>
        <w:t>；</w:t>
      </w:r>
    </w:p>
    <w:p>
      <w:pPr>
        <w:numPr>
          <w:ilvl w:val="0"/>
          <w:numId w:val="51"/>
        </w:numPr>
        <w:tabs>
          <w:tab w:val="left" w:pos="840"/>
          <w:tab w:val="clear" w:pos="420"/>
        </w:tabs>
        <w:spacing w:line="360" w:lineRule="auto"/>
        <w:ind w:left="825" w:leftChars="0" w:hanging="825" w:firstLineChars="0"/>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eastAsia="zh-CN"/>
        </w:rPr>
        <w:t>磋商供应商</w:t>
      </w:r>
      <w:r>
        <w:rPr>
          <w:rFonts w:hint="eastAsia" w:ascii="宋体" w:hAnsi="宋体" w:eastAsia="宋体" w:cs="宋体"/>
          <w:color w:val="auto"/>
          <w:kern w:val="0"/>
          <w:sz w:val="24"/>
          <w:highlight w:val="none"/>
        </w:rPr>
        <w:t>对根据修正原则修正后的报价不确认的；</w:t>
      </w:r>
    </w:p>
    <w:p>
      <w:pPr>
        <w:numPr>
          <w:ilvl w:val="0"/>
          <w:numId w:val="51"/>
        </w:numPr>
        <w:tabs>
          <w:tab w:val="left" w:pos="840"/>
          <w:tab w:val="clear" w:pos="420"/>
        </w:tabs>
        <w:spacing w:line="360" w:lineRule="auto"/>
        <w:ind w:left="825" w:leftChars="0" w:hanging="825" w:firstLineChars="0"/>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eastAsia="zh-CN"/>
        </w:rPr>
        <w:t>磋商供应商</w:t>
      </w:r>
      <w:r>
        <w:rPr>
          <w:rFonts w:hint="eastAsia" w:ascii="宋体" w:hAnsi="宋体" w:eastAsia="宋体" w:cs="宋体"/>
          <w:color w:val="auto"/>
          <w:kern w:val="0"/>
          <w:sz w:val="24"/>
          <w:highlight w:val="none"/>
        </w:rPr>
        <w:t>提供虚假材料投标的；</w:t>
      </w:r>
    </w:p>
    <w:p>
      <w:pPr>
        <w:numPr>
          <w:ilvl w:val="0"/>
          <w:numId w:val="51"/>
        </w:numPr>
        <w:tabs>
          <w:tab w:val="left" w:pos="840"/>
          <w:tab w:val="clear" w:pos="420"/>
        </w:tabs>
        <w:spacing w:line="360" w:lineRule="auto"/>
        <w:ind w:left="825" w:leftChars="0" w:hanging="825" w:firstLineChars="0"/>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eastAsia="zh-CN"/>
        </w:rPr>
        <w:t>磋商供应商</w:t>
      </w:r>
      <w:r>
        <w:rPr>
          <w:rFonts w:hint="eastAsia" w:ascii="宋体" w:hAnsi="宋体" w:eastAsia="宋体" w:cs="宋体"/>
          <w:color w:val="auto"/>
          <w:kern w:val="0"/>
          <w:sz w:val="24"/>
          <w:highlight w:val="none"/>
        </w:rPr>
        <w:t>有恶意串通、妨碍其他</w:t>
      </w:r>
      <w:r>
        <w:rPr>
          <w:rFonts w:hint="eastAsia" w:ascii="宋体" w:hAnsi="宋体" w:cs="宋体"/>
          <w:color w:val="auto"/>
          <w:kern w:val="0"/>
          <w:sz w:val="24"/>
          <w:highlight w:val="none"/>
          <w:lang w:eastAsia="zh-CN"/>
        </w:rPr>
        <w:t>磋商供应商</w:t>
      </w:r>
      <w:r>
        <w:rPr>
          <w:rFonts w:hint="eastAsia" w:ascii="宋体" w:hAnsi="宋体" w:eastAsia="宋体" w:cs="宋体"/>
          <w:color w:val="auto"/>
          <w:kern w:val="0"/>
          <w:sz w:val="24"/>
          <w:highlight w:val="none"/>
        </w:rPr>
        <w:t>的竞争行为、损害采购人或者其他</w:t>
      </w:r>
      <w:r>
        <w:rPr>
          <w:rFonts w:hint="eastAsia" w:ascii="宋体" w:hAnsi="宋体" w:cs="宋体"/>
          <w:color w:val="auto"/>
          <w:kern w:val="0"/>
          <w:sz w:val="24"/>
          <w:highlight w:val="none"/>
          <w:lang w:eastAsia="zh-CN"/>
        </w:rPr>
        <w:t>磋商供应商</w:t>
      </w:r>
      <w:r>
        <w:rPr>
          <w:rFonts w:hint="eastAsia" w:ascii="宋体" w:hAnsi="宋体" w:eastAsia="宋体" w:cs="宋体"/>
          <w:color w:val="auto"/>
          <w:kern w:val="0"/>
          <w:sz w:val="24"/>
          <w:highlight w:val="none"/>
        </w:rPr>
        <w:t>的合法权益情形的；</w:t>
      </w:r>
    </w:p>
    <w:p>
      <w:pPr>
        <w:numPr>
          <w:ilvl w:val="0"/>
          <w:numId w:val="51"/>
        </w:numPr>
        <w:tabs>
          <w:tab w:val="left" w:pos="840"/>
          <w:tab w:val="clear" w:pos="420"/>
        </w:tabs>
        <w:spacing w:line="360" w:lineRule="auto"/>
        <w:ind w:left="825" w:leftChars="0" w:hanging="825" w:firstLineChars="0"/>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eastAsia="zh-CN"/>
        </w:rPr>
        <w:t>磋商供应商</w:t>
      </w:r>
      <w:r>
        <w:rPr>
          <w:rFonts w:hint="eastAsia" w:ascii="宋体" w:hAnsi="宋体" w:eastAsia="宋体" w:cs="宋体"/>
          <w:color w:val="auto"/>
          <w:kern w:val="0"/>
          <w:sz w:val="24"/>
          <w:highlight w:val="none"/>
        </w:rPr>
        <w:t>仅提交备份</w:t>
      </w:r>
      <w:r>
        <w:rPr>
          <w:rFonts w:hint="eastAsia" w:ascii="宋体" w:hAnsi="宋体" w:cs="宋体"/>
          <w:color w:val="auto"/>
          <w:kern w:val="0"/>
          <w:sz w:val="24"/>
          <w:highlight w:val="none"/>
          <w:lang w:eastAsia="zh-CN"/>
        </w:rPr>
        <w:t>响应文件</w:t>
      </w:r>
      <w:r>
        <w:rPr>
          <w:rFonts w:hint="eastAsia" w:ascii="宋体" w:hAnsi="宋体" w:eastAsia="宋体" w:cs="宋体"/>
          <w:color w:val="auto"/>
          <w:kern w:val="0"/>
          <w:sz w:val="24"/>
          <w:highlight w:val="none"/>
        </w:rPr>
        <w:t>，没有在电子交易平台传输递交</w:t>
      </w:r>
      <w:r>
        <w:rPr>
          <w:rFonts w:hint="eastAsia" w:ascii="宋体" w:hAnsi="宋体" w:cs="宋体"/>
          <w:color w:val="auto"/>
          <w:kern w:val="0"/>
          <w:sz w:val="24"/>
          <w:highlight w:val="none"/>
          <w:lang w:eastAsia="zh-CN"/>
        </w:rPr>
        <w:t>响应文件</w:t>
      </w:r>
      <w:r>
        <w:rPr>
          <w:rFonts w:hint="eastAsia" w:ascii="宋体" w:hAnsi="宋体" w:eastAsia="宋体" w:cs="宋体"/>
          <w:color w:val="auto"/>
          <w:kern w:val="0"/>
          <w:sz w:val="24"/>
          <w:highlight w:val="none"/>
        </w:rPr>
        <w:t>的，</w:t>
      </w:r>
      <w:r>
        <w:rPr>
          <w:rFonts w:hint="eastAsia" w:ascii="宋体" w:hAnsi="宋体" w:cs="宋体"/>
          <w:color w:val="auto"/>
          <w:kern w:val="0"/>
          <w:sz w:val="24"/>
          <w:highlight w:val="none"/>
          <w:lang w:eastAsia="zh-CN"/>
        </w:rPr>
        <w:t>响应无效</w:t>
      </w:r>
      <w:r>
        <w:rPr>
          <w:rFonts w:hint="eastAsia" w:ascii="宋体" w:hAnsi="宋体" w:eastAsia="宋体" w:cs="宋体"/>
          <w:color w:val="auto"/>
          <w:kern w:val="0"/>
          <w:sz w:val="24"/>
          <w:highlight w:val="none"/>
        </w:rPr>
        <w:t>；</w:t>
      </w:r>
    </w:p>
    <w:p>
      <w:pPr>
        <w:pStyle w:val="6"/>
        <w:numPr>
          <w:ilvl w:val="0"/>
          <w:numId w:val="51"/>
        </w:numPr>
        <w:tabs>
          <w:tab w:val="left" w:pos="840"/>
          <w:tab w:val="clear" w:pos="420"/>
          <w:tab w:val="clear" w:pos="432"/>
        </w:tabs>
        <w:ind w:left="825" w:leftChars="0" w:hanging="825" w:firstLineChars="0"/>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eastAsia="zh-CN"/>
        </w:rPr>
        <w:t>响应文件</w:t>
      </w:r>
      <w:r>
        <w:rPr>
          <w:rFonts w:hint="eastAsia" w:ascii="宋体" w:hAnsi="宋体" w:eastAsia="宋体" w:cs="宋体"/>
          <w:b w:val="0"/>
          <w:bCs w:val="0"/>
          <w:color w:val="auto"/>
          <w:kern w:val="0"/>
          <w:sz w:val="24"/>
          <w:szCs w:val="24"/>
          <w:highlight w:val="none"/>
          <w:lang w:val="en-US"/>
        </w:rPr>
        <w:t>不满足</w:t>
      </w:r>
      <w:r>
        <w:rPr>
          <w:rFonts w:hint="eastAsia" w:ascii="宋体" w:hAnsi="宋体" w:eastAsia="宋体" w:cs="宋体"/>
          <w:b w:val="0"/>
          <w:bCs w:val="0"/>
          <w:color w:val="auto"/>
          <w:kern w:val="0"/>
          <w:sz w:val="24"/>
          <w:szCs w:val="24"/>
          <w:highlight w:val="none"/>
          <w:lang w:val="en-US" w:eastAsia="zh-CN"/>
        </w:rPr>
        <w:t>磋商文件</w:t>
      </w:r>
      <w:r>
        <w:rPr>
          <w:rFonts w:hint="eastAsia" w:ascii="宋体" w:hAnsi="宋体" w:eastAsia="宋体" w:cs="宋体"/>
          <w:b w:val="0"/>
          <w:bCs w:val="0"/>
          <w:color w:val="auto"/>
          <w:kern w:val="0"/>
          <w:sz w:val="24"/>
          <w:szCs w:val="24"/>
          <w:highlight w:val="none"/>
          <w:lang w:val="en-US"/>
        </w:rPr>
        <w:t>的其它实质性要求的；</w:t>
      </w:r>
    </w:p>
    <w:p>
      <w:pPr>
        <w:numPr>
          <w:ilvl w:val="0"/>
          <w:numId w:val="51"/>
        </w:numPr>
        <w:tabs>
          <w:tab w:val="left" w:pos="840"/>
          <w:tab w:val="clear" w:pos="420"/>
        </w:tabs>
        <w:spacing w:line="360" w:lineRule="auto"/>
        <w:ind w:left="825" w:leftChars="0" w:hanging="825" w:firstLine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法律、法规、规章（适用本市的）及省级以上规范性文件（适用本市的）规定的其他无效情形。</w:t>
      </w:r>
    </w:p>
    <w:p>
      <w:pPr>
        <w:pStyle w:val="35"/>
        <w:keepNext w:val="0"/>
        <w:pageBreakBefore w:val="0"/>
        <w:numPr>
          <w:ilvl w:val="0"/>
          <w:numId w:val="50"/>
        </w:numPr>
        <w:tabs>
          <w:tab w:val="clear" w:pos="720"/>
        </w:tabs>
        <w:snapToGrid w:val="0"/>
        <w:spacing w:before="120" w:after="120"/>
        <w:ind w:left="425" w:leftChars="0" w:hanging="425" w:firstLineChars="0"/>
        <w:jc w:val="both"/>
        <w:outlineLvl w:val="9"/>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rPr>
        <w:t>有下列情形之一的，视为</w:t>
      </w:r>
      <w:r>
        <w:rPr>
          <w:rFonts w:hint="eastAsia" w:ascii="宋体" w:hAnsi="宋体" w:eastAsia="宋体" w:cs="宋体"/>
          <w:b/>
          <w:bCs/>
          <w:color w:val="auto"/>
          <w:sz w:val="21"/>
          <w:szCs w:val="21"/>
          <w:highlight w:val="none"/>
          <w:lang w:val="en-US" w:eastAsia="zh-CN"/>
        </w:rPr>
        <w:t>磋商供应商</w:t>
      </w:r>
      <w:r>
        <w:rPr>
          <w:rFonts w:hint="eastAsia" w:ascii="宋体" w:hAnsi="宋体" w:eastAsia="宋体" w:cs="宋体"/>
          <w:b/>
          <w:bCs/>
          <w:color w:val="auto"/>
          <w:sz w:val="21"/>
          <w:szCs w:val="21"/>
          <w:highlight w:val="none"/>
          <w:lang w:val="en-US"/>
        </w:rPr>
        <w:t>串通投标，其</w:t>
      </w:r>
      <w:r>
        <w:rPr>
          <w:rFonts w:hint="eastAsia" w:ascii="宋体" w:hAnsi="宋体" w:eastAsia="宋体" w:cs="宋体"/>
          <w:b/>
          <w:bCs/>
          <w:color w:val="auto"/>
          <w:sz w:val="21"/>
          <w:szCs w:val="21"/>
          <w:highlight w:val="none"/>
          <w:lang w:val="en-US" w:eastAsia="zh-CN"/>
        </w:rPr>
        <w:t>响应无效</w:t>
      </w:r>
      <w:r>
        <w:rPr>
          <w:rFonts w:hint="eastAsia" w:ascii="宋体" w:hAnsi="宋体" w:eastAsia="宋体" w:cs="宋体"/>
          <w:b/>
          <w:bCs/>
          <w:color w:val="auto"/>
          <w:sz w:val="21"/>
          <w:szCs w:val="21"/>
          <w:highlight w:val="none"/>
          <w:lang w:val="en-US"/>
        </w:rPr>
        <w:t>：</w:t>
      </w:r>
    </w:p>
    <w:p>
      <w:pPr>
        <w:numPr>
          <w:ilvl w:val="0"/>
          <w:numId w:val="52"/>
        </w:numPr>
        <w:tabs>
          <w:tab w:val="left" w:pos="840"/>
          <w:tab w:val="clear" w:pos="420"/>
        </w:tabs>
        <w:spacing w:line="360" w:lineRule="auto"/>
        <w:ind w:left="825" w:leftChars="0" w:hanging="825" w:firstLineChars="0"/>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lang w:val="en-US"/>
        </w:rPr>
        <w:t>不同</w:t>
      </w:r>
      <w:r>
        <w:rPr>
          <w:rFonts w:hint="eastAsia" w:ascii="宋体" w:hAnsi="宋体" w:cs="宋体"/>
          <w:color w:val="auto"/>
          <w:kern w:val="0"/>
          <w:sz w:val="24"/>
          <w:highlight w:val="none"/>
          <w:lang w:val="en-US" w:eastAsia="zh-CN"/>
        </w:rPr>
        <w:t>磋商供应商</w:t>
      </w:r>
      <w:r>
        <w:rPr>
          <w:rFonts w:hint="eastAsia" w:ascii="宋体" w:hAnsi="宋体" w:eastAsia="宋体" w:cs="宋体"/>
          <w:color w:val="auto"/>
          <w:kern w:val="0"/>
          <w:sz w:val="24"/>
          <w:highlight w:val="none"/>
          <w:lang w:val="en-US"/>
        </w:rPr>
        <w:t>的</w:t>
      </w:r>
      <w:r>
        <w:rPr>
          <w:rFonts w:hint="eastAsia" w:ascii="宋体" w:hAnsi="宋体" w:cs="宋体"/>
          <w:color w:val="auto"/>
          <w:kern w:val="0"/>
          <w:sz w:val="24"/>
          <w:highlight w:val="none"/>
          <w:lang w:val="en-US" w:eastAsia="zh-CN"/>
        </w:rPr>
        <w:t>响应文件</w:t>
      </w:r>
      <w:r>
        <w:rPr>
          <w:rFonts w:hint="eastAsia" w:ascii="宋体" w:hAnsi="宋体" w:eastAsia="宋体" w:cs="宋体"/>
          <w:color w:val="auto"/>
          <w:kern w:val="0"/>
          <w:sz w:val="24"/>
          <w:highlight w:val="none"/>
          <w:lang w:val="en-US"/>
        </w:rPr>
        <w:t>由同一单位或者个人编制；</w:t>
      </w:r>
    </w:p>
    <w:p>
      <w:pPr>
        <w:numPr>
          <w:ilvl w:val="0"/>
          <w:numId w:val="52"/>
        </w:numPr>
        <w:tabs>
          <w:tab w:val="left" w:pos="840"/>
          <w:tab w:val="clear" w:pos="420"/>
        </w:tabs>
        <w:spacing w:line="360" w:lineRule="auto"/>
        <w:ind w:left="825" w:leftChars="0" w:hanging="825" w:firstLineChars="0"/>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lang w:val="en-US"/>
        </w:rPr>
        <w:t>不同</w:t>
      </w:r>
      <w:r>
        <w:rPr>
          <w:rFonts w:hint="eastAsia" w:ascii="宋体" w:hAnsi="宋体" w:cs="宋体"/>
          <w:color w:val="auto"/>
          <w:kern w:val="0"/>
          <w:sz w:val="24"/>
          <w:highlight w:val="none"/>
          <w:lang w:val="en-US" w:eastAsia="zh-CN"/>
        </w:rPr>
        <w:t>磋商供应商</w:t>
      </w:r>
      <w:r>
        <w:rPr>
          <w:rFonts w:hint="eastAsia" w:ascii="宋体" w:hAnsi="宋体" w:eastAsia="宋体" w:cs="宋体"/>
          <w:color w:val="auto"/>
          <w:kern w:val="0"/>
          <w:sz w:val="24"/>
          <w:highlight w:val="none"/>
          <w:lang w:val="en-US"/>
        </w:rPr>
        <w:t>委托同一单位或者个人办理投标事宜；</w:t>
      </w:r>
    </w:p>
    <w:p>
      <w:pPr>
        <w:numPr>
          <w:ilvl w:val="0"/>
          <w:numId w:val="52"/>
        </w:numPr>
        <w:tabs>
          <w:tab w:val="left" w:pos="840"/>
          <w:tab w:val="clear" w:pos="420"/>
        </w:tabs>
        <w:spacing w:line="360" w:lineRule="auto"/>
        <w:ind w:left="825" w:leftChars="0" w:hanging="825" w:firstLineChars="0"/>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lang w:val="en-US"/>
        </w:rPr>
        <w:t>不同</w:t>
      </w:r>
      <w:r>
        <w:rPr>
          <w:rFonts w:hint="eastAsia" w:ascii="宋体" w:hAnsi="宋体" w:cs="宋体"/>
          <w:color w:val="auto"/>
          <w:kern w:val="0"/>
          <w:sz w:val="24"/>
          <w:highlight w:val="none"/>
          <w:lang w:val="en-US" w:eastAsia="zh-CN"/>
        </w:rPr>
        <w:t>磋商供应商</w:t>
      </w:r>
      <w:r>
        <w:rPr>
          <w:rFonts w:hint="eastAsia" w:ascii="宋体" w:hAnsi="宋体" w:eastAsia="宋体" w:cs="宋体"/>
          <w:color w:val="auto"/>
          <w:kern w:val="0"/>
          <w:sz w:val="24"/>
          <w:highlight w:val="none"/>
          <w:lang w:val="en-US"/>
        </w:rPr>
        <w:t>的</w:t>
      </w:r>
      <w:r>
        <w:rPr>
          <w:rFonts w:hint="eastAsia" w:ascii="宋体" w:hAnsi="宋体" w:cs="宋体"/>
          <w:color w:val="auto"/>
          <w:kern w:val="0"/>
          <w:sz w:val="24"/>
          <w:highlight w:val="none"/>
          <w:lang w:val="en-US" w:eastAsia="zh-CN"/>
        </w:rPr>
        <w:t>响应文件</w:t>
      </w:r>
      <w:r>
        <w:rPr>
          <w:rFonts w:hint="eastAsia" w:ascii="宋体" w:hAnsi="宋体" w:eastAsia="宋体" w:cs="宋体"/>
          <w:color w:val="auto"/>
          <w:kern w:val="0"/>
          <w:sz w:val="24"/>
          <w:highlight w:val="none"/>
          <w:lang w:val="en-US"/>
        </w:rPr>
        <w:t>载明的项目管理成员或者联系人员为同一人；</w:t>
      </w:r>
    </w:p>
    <w:p>
      <w:pPr>
        <w:numPr>
          <w:ilvl w:val="0"/>
          <w:numId w:val="52"/>
        </w:numPr>
        <w:tabs>
          <w:tab w:val="left" w:pos="840"/>
          <w:tab w:val="clear" w:pos="420"/>
        </w:tabs>
        <w:spacing w:line="360" w:lineRule="auto"/>
        <w:ind w:left="825" w:leftChars="0" w:hanging="825" w:firstLineChars="0"/>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lang w:val="en-US"/>
        </w:rPr>
        <w:t>不同</w:t>
      </w:r>
      <w:r>
        <w:rPr>
          <w:rFonts w:hint="eastAsia" w:ascii="宋体" w:hAnsi="宋体" w:cs="宋体"/>
          <w:color w:val="auto"/>
          <w:kern w:val="0"/>
          <w:sz w:val="24"/>
          <w:highlight w:val="none"/>
          <w:lang w:val="en-US" w:eastAsia="zh-CN"/>
        </w:rPr>
        <w:t>磋商供应商</w:t>
      </w:r>
      <w:r>
        <w:rPr>
          <w:rFonts w:hint="eastAsia" w:ascii="宋体" w:hAnsi="宋体" w:eastAsia="宋体" w:cs="宋体"/>
          <w:color w:val="auto"/>
          <w:kern w:val="0"/>
          <w:sz w:val="24"/>
          <w:highlight w:val="none"/>
          <w:lang w:val="en-US"/>
        </w:rPr>
        <w:t>的</w:t>
      </w:r>
      <w:r>
        <w:rPr>
          <w:rFonts w:hint="eastAsia" w:ascii="宋体" w:hAnsi="宋体" w:cs="宋体"/>
          <w:color w:val="auto"/>
          <w:kern w:val="0"/>
          <w:sz w:val="24"/>
          <w:highlight w:val="none"/>
          <w:lang w:val="en-US" w:eastAsia="zh-CN"/>
        </w:rPr>
        <w:t>响应文件</w:t>
      </w:r>
      <w:r>
        <w:rPr>
          <w:rFonts w:hint="eastAsia" w:ascii="宋体" w:hAnsi="宋体" w:eastAsia="宋体" w:cs="宋体"/>
          <w:color w:val="auto"/>
          <w:kern w:val="0"/>
          <w:sz w:val="24"/>
          <w:highlight w:val="none"/>
          <w:lang w:val="en-US"/>
        </w:rPr>
        <w:t>异常一致或者</w:t>
      </w:r>
      <w:r>
        <w:rPr>
          <w:rFonts w:hint="eastAsia" w:ascii="宋体" w:hAnsi="宋体" w:cs="宋体"/>
          <w:color w:val="auto"/>
          <w:kern w:val="0"/>
          <w:sz w:val="24"/>
          <w:highlight w:val="none"/>
          <w:lang w:val="en-US" w:eastAsia="zh-CN"/>
        </w:rPr>
        <w:t>报价</w:t>
      </w:r>
      <w:r>
        <w:rPr>
          <w:rFonts w:hint="eastAsia" w:ascii="宋体" w:hAnsi="宋体" w:eastAsia="宋体" w:cs="宋体"/>
          <w:color w:val="auto"/>
          <w:kern w:val="0"/>
          <w:sz w:val="24"/>
          <w:highlight w:val="none"/>
          <w:lang w:val="en-US"/>
        </w:rPr>
        <w:t>呈规律性差异；</w:t>
      </w:r>
    </w:p>
    <w:p>
      <w:pPr>
        <w:numPr>
          <w:ilvl w:val="0"/>
          <w:numId w:val="52"/>
        </w:numPr>
        <w:tabs>
          <w:tab w:val="left" w:pos="840"/>
          <w:tab w:val="clear" w:pos="420"/>
        </w:tabs>
        <w:spacing w:line="360" w:lineRule="auto"/>
        <w:ind w:left="825" w:leftChars="0" w:hanging="825" w:firstLineChars="0"/>
        <w:rPr>
          <w:rFonts w:hint="eastAsia" w:ascii="宋体" w:hAnsi="宋体" w:eastAsia="宋体" w:cs="宋体"/>
          <w:color w:val="auto"/>
          <w:kern w:val="0"/>
          <w:sz w:val="24"/>
          <w:highlight w:val="none"/>
          <w:lang w:val="en-US"/>
        </w:rPr>
      </w:pPr>
      <w:r>
        <w:rPr>
          <w:rFonts w:hint="eastAsia" w:ascii="宋体" w:hAnsi="宋体" w:eastAsia="宋体" w:cs="宋体"/>
          <w:color w:val="auto"/>
          <w:kern w:val="0"/>
          <w:sz w:val="24"/>
          <w:highlight w:val="none"/>
          <w:lang w:val="en-US"/>
        </w:rPr>
        <w:t>不同</w:t>
      </w:r>
      <w:r>
        <w:rPr>
          <w:rFonts w:hint="eastAsia" w:ascii="宋体" w:hAnsi="宋体" w:cs="宋体"/>
          <w:color w:val="auto"/>
          <w:kern w:val="0"/>
          <w:sz w:val="24"/>
          <w:highlight w:val="none"/>
          <w:lang w:val="en-US" w:eastAsia="zh-CN"/>
        </w:rPr>
        <w:t>磋商供应商</w:t>
      </w:r>
      <w:r>
        <w:rPr>
          <w:rFonts w:hint="eastAsia" w:ascii="宋体" w:hAnsi="宋体" w:eastAsia="宋体" w:cs="宋体"/>
          <w:color w:val="auto"/>
          <w:kern w:val="0"/>
          <w:sz w:val="24"/>
          <w:highlight w:val="none"/>
          <w:lang w:val="en-US"/>
        </w:rPr>
        <w:t>的</w:t>
      </w:r>
      <w:r>
        <w:rPr>
          <w:rFonts w:hint="eastAsia" w:ascii="宋体" w:hAnsi="宋体" w:cs="宋体"/>
          <w:color w:val="auto"/>
          <w:kern w:val="0"/>
          <w:sz w:val="24"/>
          <w:highlight w:val="none"/>
          <w:lang w:val="en-US" w:eastAsia="zh-CN"/>
        </w:rPr>
        <w:t>响应文件</w:t>
      </w:r>
      <w:r>
        <w:rPr>
          <w:rFonts w:hint="eastAsia" w:ascii="宋体" w:hAnsi="宋体" w:eastAsia="宋体" w:cs="宋体"/>
          <w:color w:val="auto"/>
          <w:kern w:val="0"/>
          <w:sz w:val="24"/>
          <w:highlight w:val="none"/>
          <w:lang w:val="en-US"/>
        </w:rPr>
        <w:t>相互混装；</w:t>
      </w:r>
    </w:p>
    <w:p>
      <w:pPr>
        <w:numPr>
          <w:ilvl w:val="0"/>
          <w:numId w:val="52"/>
        </w:numPr>
        <w:tabs>
          <w:tab w:val="left" w:pos="840"/>
          <w:tab w:val="clear" w:pos="420"/>
        </w:tabs>
        <w:spacing w:line="360" w:lineRule="auto"/>
        <w:ind w:left="825" w:leftChars="0" w:hanging="825" w:firstLineChars="0"/>
        <w:rPr>
          <w:rFonts w:hint="eastAsia" w:ascii="宋体" w:hAnsi="宋体" w:eastAsia="宋体" w:cs="宋体"/>
          <w:color w:val="auto"/>
          <w:highlight w:val="none"/>
          <w:lang w:val="en-US" w:eastAsia="zh-CN"/>
        </w:rPr>
      </w:pPr>
      <w:r>
        <w:rPr>
          <w:rFonts w:hint="eastAsia" w:ascii="宋体" w:hAnsi="宋体" w:eastAsia="宋体" w:cs="宋体"/>
          <w:color w:val="auto"/>
          <w:kern w:val="0"/>
          <w:sz w:val="24"/>
          <w:highlight w:val="none"/>
          <w:lang w:val="en-US"/>
        </w:rPr>
        <w:t>不同</w:t>
      </w:r>
      <w:r>
        <w:rPr>
          <w:rFonts w:hint="eastAsia" w:ascii="宋体" w:hAnsi="宋体" w:cs="宋体"/>
          <w:color w:val="auto"/>
          <w:kern w:val="0"/>
          <w:sz w:val="24"/>
          <w:highlight w:val="none"/>
          <w:lang w:val="en-US" w:eastAsia="zh-CN"/>
        </w:rPr>
        <w:t>磋商供应商</w:t>
      </w:r>
      <w:r>
        <w:rPr>
          <w:rFonts w:hint="eastAsia" w:ascii="宋体" w:hAnsi="宋体" w:eastAsia="宋体" w:cs="宋体"/>
          <w:color w:val="auto"/>
          <w:kern w:val="0"/>
          <w:sz w:val="24"/>
          <w:highlight w:val="none"/>
          <w:lang w:val="en-US"/>
        </w:rPr>
        <w:t>的投标保证金从同一单位或者个人的账户转出。</w:t>
      </w:r>
    </w:p>
    <w:p>
      <w:pPr>
        <w:pStyle w:val="2"/>
        <w:rPr>
          <w:rFonts w:hint="eastAsia" w:ascii="宋体" w:hAnsi="宋体" w:eastAsia="宋体" w:cs="宋体"/>
          <w:b/>
          <w:bCs/>
          <w:color w:val="auto"/>
          <w:kern w:val="44"/>
          <w:sz w:val="21"/>
          <w:szCs w:val="21"/>
          <w:highlight w:val="none"/>
          <w:lang w:val="en-US" w:eastAsia="zh-CN" w:bidi="ar-SA"/>
        </w:rPr>
      </w:pPr>
      <w:r>
        <w:rPr>
          <w:rFonts w:hint="eastAsia" w:ascii="宋体" w:hAnsi="宋体" w:eastAsia="宋体" w:cs="宋体"/>
          <w:b/>
          <w:bCs/>
          <w:color w:val="auto"/>
          <w:kern w:val="44"/>
          <w:sz w:val="21"/>
          <w:szCs w:val="21"/>
          <w:highlight w:val="none"/>
          <w:lang w:val="en-US" w:eastAsia="zh-CN" w:bidi="ar-SA"/>
        </w:rPr>
        <w:t>注：如上述无效标条款有所遗漏，以招标文件中表述为准。</w:t>
      </w:r>
    </w:p>
    <w:p>
      <w:pPr>
        <w:pStyle w:val="35"/>
        <w:keepNext w:val="0"/>
        <w:pageBreakBefore w:val="0"/>
        <w:numPr>
          <w:ilvl w:val="0"/>
          <w:numId w:val="0"/>
        </w:numPr>
        <w:tabs>
          <w:tab w:val="clear" w:pos="720"/>
        </w:tabs>
        <w:snapToGrid w:val="0"/>
        <w:spacing w:before="120" w:after="120"/>
        <w:jc w:val="both"/>
        <w:outlineLvl w:val="9"/>
        <w:rPr>
          <w:rFonts w:hint="eastAsia" w:ascii="仿宋_GB2312" w:hAnsi="仿宋" w:eastAsia="仿宋_GB2312" w:cs="仿宋_GB2312"/>
          <w:b/>
          <w:bCs/>
          <w:color w:val="auto"/>
          <w:sz w:val="21"/>
          <w:szCs w:val="21"/>
          <w:highlight w:val="none"/>
        </w:rPr>
      </w:pPr>
    </w:p>
    <w:p>
      <w:pPr>
        <w:pStyle w:val="5"/>
        <w:keepNext w:val="0"/>
        <w:keepLines w:val="0"/>
        <w:pageBreakBefore/>
        <w:widowControl/>
        <w:spacing w:before="100" w:beforeAutospacing="1" w:after="100" w:afterAutospacing="1" w:line="360" w:lineRule="auto"/>
        <w:ind w:left="0" w:firstLine="0" w:firstLineChars="0"/>
        <w:jc w:val="center"/>
        <w:rPr>
          <w:rFonts w:hint="eastAsia" w:ascii="宋体" w:hAnsi="宋体" w:eastAsia="宋体" w:cs="宋体"/>
          <w:color w:val="auto"/>
          <w:highlight w:val="none"/>
        </w:rPr>
      </w:pPr>
      <w:bookmarkStart w:id="1108" w:name="_Toc8172"/>
      <w:bookmarkStart w:id="1109" w:name="_Toc465665161"/>
      <w:bookmarkStart w:id="1110" w:name="_Toc1336"/>
      <w:bookmarkStart w:id="1111" w:name="_Toc13787"/>
      <w:r>
        <w:rPr>
          <w:rFonts w:hint="eastAsia" w:ascii="宋体" w:hAnsi="宋体" w:eastAsia="宋体" w:cs="宋体"/>
          <w:color w:val="auto"/>
          <w:highlight w:val="none"/>
        </w:rPr>
        <w:t>附件</w:t>
      </w:r>
      <w:bookmarkEnd w:id="1108"/>
      <w:bookmarkEnd w:id="1109"/>
      <w:bookmarkEnd w:id="1110"/>
      <w:bookmarkEnd w:id="1111"/>
    </w:p>
    <w:p>
      <w:pPr>
        <w:spacing w:line="360" w:lineRule="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w:t>
      </w:r>
    </w:p>
    <w:p>
      <w:pPr>
        <w:spacing w:line="360" w:lineRule="auto"/>
        <w:jc w:val="center"/>
        <w:rPr>
          <w:rFonts w:hint="eastAsia" w:ascii="宋体" w:hAnsi="宋体" w:eastAsia="宋体" w:cs="宋体"/>
          <w:b/>
          <w:color w:val="auto"/>
          <w:spacing w:val="6"/>
          <w:sz w:val="32"/>
          <w:szCs w:val="32"/>
          <w:highlight w:val="none"/>
        </w:rPr>
      </w:pPr>
      <w:bookmarkStart w:id="1112" w:name="OLE_LINK13"/>
      <w:bookmarkStart w:id="1113" w:name="OLE_LINK14"/>
      <w:r>
        <w:rPr>
          <w:rFonts w:hint="eastAsia" w:ascii="宋体" w:hAnsi="宋体" w:eastAsia="宋体" w:cs="宋体"/>
          <w:b/>
          <w:color w:val="auto"/>
          <w:spacing w:val="6"/>
          <w:sz w:val="32"/>
          <w:szCs w:val="32"/>
          <w:highlight w:val="none"/>
        </w:rPr>
        <w:t>残疾人福利性单位声明函</w:t>
      </w:r>
    </w:p>
    <w:bookmarkEnd w:id="1112"/>
    <w:bookmarkEnd w:id="1113"/>
    <w:p>
      <w:pPr>
        <w:spacing w:line="360" w:lineRule="auto"/>
        <w:rPr>
          <w:rFonts w:hint="eastAsia" w:ascii="宋体" w:hAnsi="宋体" w:eastAsia="宋体" w:cs="宋体"/>
          <w:b/>
          <w:color w:val="auto"/>
          <w:spacing w:val="6"/>
          <w:sz w:val="30"/>
          <w:szCs w:val="30"/>
          <w:highlight w:val="none"/>
        </w:rPr>
      </w:pP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b w:val="0"/>
          <w:bCs w:val="0"/>
          <w:color w:val="auto"/>
          <w:sz w:val="21"/>
          <w:szCs w:val="21"/>
          <w:highlight w:val="none"/>
          <w:u w:val="single"/>
        </w:rPr>
        <w:t>__</w:t>
      </w:r>
      <w:r>
        <w:rPr>
          <w:rFonts w:hint="eastAsia" w:ascii="宋体" w:hAnsi="宋体" w:eastAsia="宋体" w:cs="宋体"/>
          <w:b w:val="0"/>
          <w:bCs w:val="0"/>
          <w:color w:val="auto"/>
          <w:sz w:val="21"/>
          <w:szCs w:val="21"/>
          <w:highlight w:val="none"/>
          <w:u w:val="single"/>
          <w:lang w:val="en-US" w:eastAsia="zh-CN"/>
        </w:rPr>
        <w:t>(采购人)</w:t>
      </w:r>
      <w:r>
        <w:rPr>
          <w:rFonts w:hint="eastAsia" w:ascii="宋体" w:hAnsi="宋体" w:eastAsia="宋体" w:cs="宋体"/>
          <w:b w:val="0"/>
          <w:bCs w:val="0"/>
          <w:color w:val="auto"/>
          <w:sz w:val="21"/>
          <w:szCs w:val="21"/>
          <w:highlight w:val="none"/>
          <w:u w:val="single"/>
        </w:rPr>
        <w:t>___</w:t>
      </w:r>
      <w:r>
        <w:rPr>
          <w:rFonts w:hint="eastAsia" w:ascii="宋体" w:hAnsi="宋体" w:eastAsia="宋体" w:cs="宋体"/>
          <w:color w:val="auto"/>
          <w:sz w:val="21"/>
          <w:szCs w:val="21"/>
          <w:highlight w:val="none"/>
        </w:rPr>
        <w:t>单位的</w:t>
      </w:r>
      <w:r>
        <w:rPr>
          <w:rFonts w:hint="eastAsia" w:ascii="宋体" w:hAnsi="宋体" w:eastAsia="宋体" w:cs="宋体"/>
          <w:color w:val="auto"/>
          <w:sz w:val="21"/>
          <w:szCs w:val="21"/>
          <w:highlight w:val="none"/>
          <w:u w:val="single"/>
        </w:rPr>
        <w:t>_</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项目名称</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rPr>
        <w:t>_</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项目编号：</w:t>
      </w:r>
      <w:r>
        <w:rPr>
          <w:rFonts w:hint="eastAsia" w:ascii="宋体" w:hAnsi="宋体" w:eastAsia="宋体" w:cs="宋体"/>
          <w:color w:val="auto"/>
          <w:sz w:val="21"/>
          <w:szCs w:val="21"/>
          <w:highlight w:val="none"/>
          <w:u w:val="single"/>
        </w:rPr>
        <w:t>_</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val="en-US" w:eastAsia="zh-CN"/>
        </w:rPr>
        <w:t>项目编号</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rPr>
        <w:t>_</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本单位对上述声明的真实性负责。如有虚假，将依法承担相应责任。</w:t>
      </w:r>
    </w:p>
    <w:p>
      <w:pPr>
        <w:spacing w:line="360" w:lineRule="auto"/>
        <w:ind w:firstLine="420" w:firstLineChars="200"/>
        <w:rPr>
          <w:rFonts w:hint="eastAsia" w:ascii="宋体" w:hAnsi="宋体" w:eastAsia="宋体" w:cs="宋体"/>
          <w:color w:val="auto"/>
          <w:sz w:val="21"/>
          <w:szCs w:val="21"/>
          <w:highlight w:val="none"/>
        </w:rPr>
      </w:pPr>
    </w:p>
    <w:p>
      <w:pPr>
        <w:spacing w:line="360" w:lineRule="auto"/>
        <w:ind w:firstLine="420" w:firstLineChars="200"/>
        <w:rPr>
          <w:rFonts w:hint="eastAsia" w:ascii="宋体" w:hAnsi="宋体" w:eastAsia="宋体" w:cs="宋体"/>
          <w:color w:val="auto"/>
          <w:sz w:val="21"/>
          <w:szCs w:val="21"/>
          <w:highlight w:val="none"/>
        </w:rPr>
      </w:pPr>
    </w:p>
    <w:p>
      <w:pPr>
        <w:tabs>
          <w:tab w:val="left" w:pos="4860"/>
        </w:tabs>
        <w:spacing w:line="360" w:lineRule="auto"/>
        <w:ind w:right="156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kern w:val="0"/>
          <w:sz w:val="21"/>
          <w:szCs w:val="21"/>
          <w:highlight w:val="none"/>
          <w:lang w:val="zh-CN"/>
        </w:rPr>
        <w:t>磋商供应商名称（电子签名）</w:t>
      </w:r>
      <w:r>
        <w:rPr>
          <w:rFonts w:hint="eastAsia" w:ascii="宋体" w:hAnsi="宋体" w:eastAsia="宋体" w:cs="宋体"/>
          <w:color w:val="auto"/>
          <w:sz w:val="21"/>
          <w:szCs w:val="21"/>
          <w:highlight w:val="none"/>
        </w:rPr>
        <w:t>：</w:t>
      </w:r>
    </w:p>
    <w:p>
      <w:pPr>
        <w:tabs>
          <w:tab w:val="left" w:pos="4860"/>
        </w:tabs>
        <w:spacing w:line="360" w:lineRule="auto"/>
        <w:ind w:right="156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日  期：</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ind w:firstLine="420" w:firstLineChars="200"/>
        <w:rPr>
          <w:rFonts w:hint="eastAsia" w:ascii="宋体" w:hAnsi="宋体" w:eastAsia="宋体" w:cs="宋体"/>
          <w:color w:val="auto"/>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jc w:val="left"/>
        <w:rPr>
          <w:rFonts w:hint="eastAsia" w:ascii="宋体" w:hAnsi="宋体" w:eastAsia="宋体" w:cs="宋体"/>
          <w:b/>
          <w:color w:val="auto"/>
          <w:spacing w:val="6"/>
          <w:sz w:val="32"/>
          <w:szCs w:val="32"/>
          <w:highlight w:val="none"/>
        </w:rPr>
      </w:pPr>
    </w:p>
    <w:p>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附件2：质疑函范本及制作说明</w:t>
      </w:r>
    </w:p>
    <w:p>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pPr>
        <w:snapToGrid w:val="0"/>
        <w:spacing w:beforeLines="100"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w:t>
      </w:r>
      <w:r>
        <w:rPr>
          <w:rFonts w:hint="eastAsia" w:ascii="宋体" w:hAnsi="宋体" w:cs="宋体"/>
          <w:bCs/>
          <w:color w:val="auto"/>
          <w:sz w:val="21"/>
          <w:szCs w:val="21"/>
          <w:highlight w:val="none"/>
          <w:lang w:eastAsia="zh-CN"/>
        </w:rPr>
        <w:t>磋商</w:t>
      </w:r>
      <w:r>
        <w:rPr>
          <w:rFonts w:hint="eastAsia" w:ascii="宋体" w:hAnsi="宋体" w:eastAsia="宋体" w:cs="宋体"/>
          <w:bCs/>
          <w:color w:val="auto"/>
          <w:sz w:val="21"/>
          <w:szCs w:val="21"/>
          <w:highlight w:val="none"/>
        </w:rPr>
        <w:t>供应商基本信息</w:t>
      </w:r>
    </w:p>
    <w:p>
      <w:pPr>
        <w:snapToGrid w:val="0"/>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u w:val="dotted"/>
        </w:rPr>
        <w:t xml:space="preserve">                                        </w:t>
      </w:r>
    </w:p>
    <w:p>
      <w:p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snapToGrid w:val="0"/>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snapToGrid w:val="0"/>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snapToGrid w:val="0"/>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snapToGrid w:val="0"/>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snapToGrid w:val="0"/>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snapToGrid w:val="0"/>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snapToGrid w:val="0"/>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snapToGrid w:val="0"/>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snapToGrid w:val="0"/>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snapToGrid w:val="0"/>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snapToGrid w:val="0"/>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日期：    </w:t>
      </w:r>
    </w:p>
    <w:p>
      <w:pPr>
        <w:spacing w:line="360" w:lineRule="auto"/>
        <w:jc w:val="center"/>
        <w:rPr>
          <w:rFonts w:hint="eastAsia" w:ascii="宋体" w:hAnsi="宋体" w:eastAsia="宋体" w:cs="宋体"/>
          <w:b/>
          <w:bCs/>
          <w:color w:val="auto"/>
          <w:sz w:val="24"/>
          <w:highlight w:val="none"/>
        </w:rPr>
      </w:pPr>
    </w:p>
    <w:p>
      <w:pPr>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质疑函制作说明：</w:t>
      </w:r>
    </w:p>
    <w:p>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供应商提出质疑时，应提交质疑函和必要的证明材料。</w:t>
      </w:r>
    </w:p>
    <w:p>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2.质疑</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供应商若委托代理人进行质疑的，质疑函应按要求列明“授权代表”的有关内容，并在附件中提交由质疑</w:t>
      </w:r>
      <w:r>
        <w:rPr>
          <w:rFonts w:hint="eastAsia" w:ascii="宋体" w:hAnsi="宋体" w:cs="宋体"/>
          <w:color w:val="auto"/>
          <w:sz w:val="21"/>
          <w:szCs w:val="21"/>
          <w:highlight w:val="none"/>
          <w:lang w:eastAsia="zh-CN"/>
        </w:rPr>
        <w:t>磋商</w:t>
      </w:r>
      <w:r>
        <w:rPr>
          <w:rFonts w:hint="eastAsia" w:ascii="宋体" w:hAnsi="宋体" w:eastAsia="宋体" w:cs="宋体"/>
          <w:color w:val="auto"/>
          <w:kern w:val="0"/>
          <w:sz w:val="21"/>
          <w:szCs w:val="21"/>
          <w:highlight w:val="none"/>
        </w:rPr>
        <w:t>供应商签署的授权委托书。授权委托书应载明代理人的姓名或者名称、代理事项、具体权限、期限和相关事项。</w:t>
      </w:r>
    </w:p>
    <w:p>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3.质疑</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供应商若对项目的某一分包进行质疑，质疑函中应列明具体分包号。</w:t>
      </w:r>
    </w:p>
    <w:p>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6.质疑</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供应商为自然人的，质疑函应由本人签字；质疑</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宋体" w:hAnsi="宋体" w:eastAsia="宋体" w:cs="宋体"/>
          <w:color w:val="auto"/>
          <w:sz w:val="30"/>
          <w:szCs w:val="30"/>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pStyle w:val="2"/>
        <w:rPr>
          <w:rFonts w:hint="eastAsia"/>
        </w:rPr>
      </w:pPr>
    </w:p>
    <w:p>
      <w:pPr>
        <w:spacing w:line="360" w:lineRule="auto"/>
        <w:jc w:val="center"/>
        <w:rPr>
          <w:rFonts w:hint="eastAsia" w:ascii="宋体" w:hAnsi="宋体" w:eastAsia="宋体" w:cs="宋体"/>
          <w:b/>
          <w:color w:val="auto"/>
          <w:spacing w:val="6"/>
          <w:sz w:val="32"/>
          <w:szCs w:val="32"/>
          <w:highlight w:val="none"/>
        </w:rPr>
      </w:pPr>
    </w:p>
    <w:p>
      <w:pPr>
        <w:pStyle w:val="3"/>
        <w:rPr>
          <w:rFonts w:hint="eastAsia"/>
          <w:color w:val="auto"/>
          <w:highlight w:val="none"/>
        </w:rPr>
      </w:pPr>
    </w:p>
    <w:p>
      <w:pPr>
        <w:pStyle w:val="4"/>
        <w:rPr>
          <w:rFonts w:hint="eastAsia"/>
          <w:color w:val="auto"/>
          <w:highlight w:val="none"/>
        </w:rPr>
      </w:pPr>
    </w:p>
    <w:p>
      <w:pPr>
        <w:rPr>
          <w:rFonts w:hint="eastAsia"/>
          <w:color w:val="auto"/>
          <w:highlight w:val="none"/>
        </w:rPr>
      </w:pPr>
    </w:p>
    <w:p>
      <w:pPr>
        <w:pStyle w:val="3"/>
        <w:rPr>
          <w:rFonts w:hint="eastAsia"/>
          <w:color w:val="auto"/>
          <w:highlight w:val="none"/>
        </w:rPr>
      </w:pPr>
    </w:p>
    <w:p>
      <w:pPr>
        <w:pStyle w:val="4"/>
        <w:rPr>
          <w:rFonts w:hint="eastAsia"/>
          <w:color w:val="auto"/>
          <w:highlight w:val="none"/>
        </w:rPr>
      </w:pPr>
    </w:p>
    <w:p>
      <w:pPr>
        <w:rPr>
          <w:rFonts w:hint="eastAsia"/>
          <w:color w:val="auto"/>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center"/>
        <w:rPr>
          <w:rFonts w:hint="eastAsia" w:ascii="宋体" w:hAnsi="宋体" w:eastAsia="宋体" w:cs="宋体"/>
          <w:b/>
          <w:color w:val="auto"/>
          <w:spacing w:val="6"/>
          <w:sz w:val="32"/>
          <w:szCs w:val="32"/>
          <w:highlight w:val="none"/>
        </w:rPr>
      </w:pPr>
    </w:p>
    <w:p>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附件3：投诉书范本及制作说明</w:t>
      </w:r>
    </w:p>
    <w:p>
      <w:pPr>
        <w:spacing w:line="360" w:lineRule="auto"/>
        <w:jc w:val="center"/>
        <w:rPr>
          <w:rFonts w:hint="eastAsia" w:ascii="宋体" w:hAnsi="宋体" w:eastAsia="宋体" w:cs="宋体"/>
          <w:b/>
          <w:color w:val="auto"/>
          <w:sz w:val="24"/>
          <w:highlight w:val="none"/>
        </w:rPr>
      </w:pPr>
    </w:p>
    <w:p>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一、投诉相关主体基本情况</w:t>
      </w:r>
    </w:p>
    <w:p>
      <w:pPr>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投诉人：</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pPr>
        <w:tabs>
          <w:tab w:val="left" w:pos="6510"/>
        </w:tabs>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法定代表人/主要负责人：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tabs>
          <w:tab w:val="left" w:pos="6510"/>
        </w:tabs>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被投诉人1：</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被投诉人2</w:t>
      </w:r>
    </w:p>
    <w:p>
      <w:pPr>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相关供应商：</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二、投诉项目基本情况</w:t>
      </w:r>
    </w:p>
    <w:p>
      <w:pPr>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采购项目名称：</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采购项目编号：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u w:val="single"/>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代理机构名称：</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采购文件公告:</w:t>
      </w:r>
      <w:r>
        <w:rPr>
          <w:rFonts w:hint="eastAsia" w:ascii="宋体" w:hAnsi="宋体" w:eastAsia="宋体" w:cs="宋体"/>
          <w:color w:val="auto"/>
          <w:sz w:val="21"/>
          <w:szCs w:val="21"/>
          <w:highlight w:val="none"/>
          <w:u w:val="dotted"/>
        </w:rPr>
        <w:t xml:space="preserve">是/否 </w:t>
      </w:r>
      <w:r>
        <w:rPr>
          <w:rFonts w:hint="eastAsia" w:ascii="宋体" w:hAnsi="宋体" w:eastAsia="宋体" w:cs="宋体"/>
          <w:color w:val="auto"/>
          <w:sz w:val="21"/>
          <w:szCs w:val="21"/>
          <w:highlight w:val="none"/>
        </w:rPr>
        <w:t>公告期限：</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采购结果公告:</w:t>
      </w:r>
      <w:r>
        <w:rPr>
          <w:rFonts w:hint="eastAsia" w:ascii="宋体" w:hAnsi="宋体" w:eastAsia="宋体" w:cs="宋体"/>
          <w:color w:val="auto"/>
          <w:sz w:val="21"/>
          <w:szCs w:val="21"/>
          <w:highlight w:val="none"/>
          <w:u w:val="dotted"/>
        </w:rPr>
        <w:t xml:space="preserve">是/否 </w:t>
      </w:r>
      <w:r>
        <w:rPr>
          <w:rFonts w:hint="eastAsia" w:ascii="宋体" w:hAnsi="宋体" w:eastAsia="宋体" w:cs="宋体"/>
          <w:color w:val="auto"/>
          <w:sz w:val="21"/>
          <w:szCs w:val="21"/>
          <w:highlight w:val="none"/>
        </w:rPr>
        <w:t>公告期限：</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三、质疑基本情况</w:t>
      </w:r>
    </w:p>
    <w:p>
      <w:pPr>
        <w:spacing w:line="360" w:lineRule="auto"/>
        <w:ind w:firstLine="420" w:firstLineChars="200"/>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投诉人于</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日,向</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提出质疑，质疑事项为：</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spacing w:line="360" w:lineRule="auto"/>
        <w:ind w:firstLine="315" w:firstLineChars="1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采购人/代理机构</w:t>
      </w:r>
      <w:r>
        <w:rPr>
          <w:rFonts w:hint="eastAsia" w:ascii="宋体" w:hAnsi="宋体" w:eastAsia="宋体" w:cs="宋体"/>
          <w:color w:val="auto"/>
          <w:sz w:val="21"/>
          <w:szCs w:val="21"/>
          <w:highlight w:val="none"/>
        </w:rPr>
        <w:t>于</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日,就质疑事项作出了答复/没有在法定期限内作出答复。</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四、投诉事项具体内容</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投诉事项 1：</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投诉事项2</w:t>
      </w:r>
    </w:p>
    <w:p>
      <w:pPr>
        <w:spacing w:line="360" w:lineRule="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五、与投诉事项相关的投诉请求</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日期：    </w:t>
      </w: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4"/>
          <w:highlight w:val="none"/>
        </w:rPr>
      </w:pPr>
    </w:p>
    <w:p>
      <w:pPr>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投诉书制作说明：</w:t>
      </w:r>
    </w:p>
    <w:p>
      <w:pPr>
        <w:widowControl/>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1.投诉人提起投诉时，应当提交投诉书和必要的证明材料，并按照被投诉人和与投诉事项有关的供应商数量提供投诉书副本。</w:t>
      </w:r>
    </w:p>
    <w:p>
      <w:pPr>
        <w:widowControl/>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2.投诉人若委托代理人进行投诉的，投诉书应按照要求列明“授权代表”的有关内容，并在附件中提交由</w:t>
      </w:r>
      <w:r>
        <w:rPr>
          <w:rFonts w:hint="eastAsia" w:ascii="宋体" w:hAnsi="宋体" w:eastAsia="宋体" w:cs="宋体"/>
          <w:color w:val="auto"/>
          <w:kern w:val="0"/>
          <w:sz w:val="21"/>
          <w:szCs w:val="21"/>
          <w:highlight w:val="none"/>
        </w:rPr>
        <w:t>投诉人签署的授权委托书。授权委托书应当载明代理人的姓名或者名称、代理事项、具体权限、期限和相关事项。</w:t>
      </w:r>
    </w:p>
    <w:p>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3.投诉人若对项目的某一分包进行投诉，投诉书应列明具体分包号。</w:t>
      </w:r>
    </w:p>
    <w:p>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4.投诉书应简要列明质疑事项，质疑函、质疑答复等作为附件材料提供。</w:t>
      </w:r>
    </w:p>
    <w:p>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5.投诉书的投诉事项应具体、明确，并有必要的事实依据和法律依据。</w:t>
      </w:r>
    </w:p>
    <w:p>
      <w:pPr>
        <w:widowControl/>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6.投诉书的投诉请求应与投诉事项相关。</w:t>
      </w:r>
    </w:p>
    <w:p>
      <w:pPr>
        <w:widowControl/>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hint="eastAsia" w:ascii="宋体" w:hAnsi="宋体" w:eastAsia="宋体" w:cs="宋体"/>
          <w:b/>
          <w:color w:val="auto"/>
          <w:spacing w:val="6"/>
          <w:sz w:val="32"/>
          <w:szCs w:val="32"/>
          <w:highlight w:val="none"/>
          <w:lang w:val="en-US" w:eastAsia="zh-CN"/>
        </w:rPr>
      </w:pPr>
    </w:p>
    <w:p>
      <w:pPr>
        <w:autoSpaceDE w:val="0"/>
        <w:autoSpaceDN w:val="0"/>
        <w:jc w:val="center"/>
        <w:rPr>
          <w:rFonts w:hint="eastAsia" w:ascii="宋体" w:hAnsi="宋体" w:eastAsia="宋体" w:cs="宋体"/>
          <w:b/>
          <w:color w:val="auto"/>
          <w:spacing w:val="6"/>
          <w:sz w:val="32"/>
          <w:szCs w:val="32"/>
          <w:highlight w:val="none"/>
          <w:lang w:val="en-US" w:eastAsia="zh-CN"/>
        </w:rPr>
      </w:pPr>
    </w:p>
    <w:p>
      <w:pPr>
        <w:autoSpaceDE w:val="0"/>
        <w:autoSpaceDN w:val="0"/>
        <w:jc w:val="center"/>
        <w:rPr>
          <w:rFonts w:hint="eastAsia" w:ascii="宋体" w:hAnsi="宋体" w:eastAsia="宋体" w:cs="宋体"/>
          <w:b/>
          <w:color w:val="auto"/>
          <w:spacing w:val="6"/>
          <w:sz w:val="32"/>
          <w:szCs w:val="32"/>
          <w:highlight w:val="none"/>
          <w:lang w:val="en-US" w:eastAsia="zh-CN"/>
        </w:rPr>
      </w:pPr>
    </w:p>
    <w:p>
      <w:pPr>
        <w:autoSpaceDE w:val="0"/>
        <w:autoSpaceDN w:val="0"/>
        <w:jc w:val="center"/>
        <w:rPr>
          <w:rFonts w:hint="eastAsia" w:ascii="宋体" w:hAnsi="宋体" w:eastAsia="宋体" w:cs="宋体"/>
          <w:b/>
          <w:color w:val="auto"/>
          <w:spacing w:val="6"/>
          <w:sz w:val="32"/>
          <w:szCs w:val="32"/>
          <w:highlight w:val="none"/>
          <w:lang w:val="en-US" w:eastAsia="zh-CN"/>
        </w:rPr>
      </w:pPr>
    </w:p>
    <w:p>
      <w:pPr>
        <w:autoSpaceDE w:val="0"/>
        <w:autoSpaceDN w:val="0"/>
        <w:jc w:val="center"/>
        <w:rPr>
          <w:rFonts w:hint="eastAsia" w:ascii="宋体" w:hAnsi="宋体" w:eastAsia="宋体" w:cs="宋体"/>
          <w:b/>
          <w:color w:val="auto"/>
          <w:spacing w:val="6"/>
          <w:sz w:val="32"/>
          <w:szCs w:val="32"/>
          <w:highlight w:val="none"/>
          <w:lang w:val="en-US" w:eastAsia="zh-CN"/>
        </w:rPr>
      </w:pPr>
    </w:p>
    <w:p>
      <w:pPr>
        <w:autoSpaceDE w:val="0"/>
        <w:autoSpaceDN w:val="0"/>
        <w:jc w:val="center"/>
        <w:rPr>
          <w:rFonts w:hint="eastAsia" w:ascii="宋体" w:hAnsi="宋体" w:eastAsia="宋体" w:cs="宋体"/>
          <w:b/>
          <w:color w:val="auto"/>
          <w:spacing w:val="6"/>
          <w:sz w:val="32"/>
          <w:szCs w:val="32"/>
          <w:highlight w:val="none"/>
          <w:lang w:val="en-US" w:eastAsia="zh-CN"/>
        </w:rPr>
      </w:pPr>
    </w:p>
    <w:p>
      <w:pPr>
        <w:autoSpaceDE w:val="0"/>
        <w:autoSpaceDN w:val="0"/>
        <w:jc w:val="center"/>
        <w:rPr>
          <w:rFonts w:hint="eastAsia" w:ascii="宋体" w:hAnsi="宋体" w:eastAsia="宋体" w:cs="宋体"/>
          <w:b/>
          <w:color w:val="auto"/>
          <w:spacing w:val="6"/>
          <w:sz w:val="32"/>
          <w:szCs w:val="32"/>
          <w:highlight w:val="none"/>
          <w:lang w:val="en-US" w:eastAsia="zh-CN"/>
        </w:rPr>
      </w:pPr>
    </w:p>
    <w:p>
      <w:pPr>
        <w:autoSpaceDE w:val="0"/>
        <w:autoSpaceDN w:val="0"/>
        <w:jc w:val="center"/>
        <w:rPr>
          <w:rFonts w:hint="eastAsia" w:ascii="宋体" w:hAnsi="宋体" w:eastAsia="宋体" w:cs="宋体"/>
          <w:b/>
          <w:color w:val="auto"/>
          <w:spacing w:val="6"/>
          <w:sz w:val="32"/>
          <w:szCs w:val="32"/>
          <w:highlight w:val="none"/>
          <w:lang w:val="en-US" w:eastAsia="zh-CN"/>
        </w:rPr>
      </w:pPr>
    </w:p>
    <w:p>
      <w:pPr>
        <w:autoSpaceDE w:val="0"/>
        <w:autoSpaceDN w:val="0"/>
        <w:jc w:val="center"/>
        <w:rPr>
          <w:rFonts w:hint="eastAsia" w:ascii="宋体" w:hAnsi="宋体" w:eastAsia="宋体" w:cs="宋体"/>
          <w:b/>
          <w:color w:val="auto"/>
          <w:spacing w:val="6"/>
          <w:sz w:val="32"/>
          <w:szCs w:val="32"/>
          <w:highlight w:val="none"/>
          <w:lang w:val="en-US" w:eastAsia="zh-CN"/>
        </w:rPr>
      </w:pPr>
      <w:r>
        <w:rPr>
          <w:rFonts w:hint="eastAsia" w:ascii="宋体" w:hAnsi="宋体" w:eastAsia="宋体" w:cs="宋体"/>
          <w:b/>
          <w:color w:val="auto"/>
          <w:spacing w:val="6"/>
          <w:sz w:val="32"/>
          <w:szCs w:val="32"/>
          <w:highlight w:val="none"/>
          <w:lang w:val="en-US" w:eastAsia="zh-CN"/>
        </w:rPr>
        <w:t>附件4：中小企业划型标准</w:t>
      </w:r>
    </w:p>
    <w:p>
      <w:pPr>
        <w:rPr>
          <w:rFonts w:hint="eastAsia" w:ascii="宋体" w:hAnsi="宋体" w:eastAsia="宋体" w:cs="宋体"/>
          <w:b/>
          <w:color w:val="auto"/>
          <w:spacing w:val="6"/>
          <w:sz w:val="32"/>
          <w:szCs w:val="32"/>
          <w:highlight w:val="none"/>
          <w:lang w:val="en-US" w:eastAsia="zh-CN"/>
        </w:rPr>
      </w:pPr>
      <w:r>
        <w:rPr>
          <w:rFonts w:hint="eastAsia" w:ascii="宋体" w:hAnsi="宋体" w:eastAsia="宋体" w:cs="宋体"/>
          <w:b/>
          <w:color w:val="auto"/>
          <w:spacing w:val="6"/>
          <w:sz w:val="32"/>
          <w:szCs w:val="32"/>
          <w:highlight w:val="none"/>
          <w:lang w:val="en-US" w:eastAsia="zh-CN"/>
        </w:rPr>
        <w:drawing>
          <wp:inline distT="0" distB="0" distL="114300" distR="114300">
            <wp:extent cx="5768340" cy="8233410"/>
            <wp:effectExtent l="0" t="0" r="3810" b="15240"/>
            <wp:docPr id="2" name="图片 15" descr="中小企业划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中小企业划分"/>
                    <pic:cNvPicPr>
                      <a:picLocks noChangeAspect="1"/>
                    </pic:cNvPicPr>
                  </pic:nvPicPr>
                  <pic:blipFill>
                    <a:blip r:embed="rId28"/>
                    <a:stretch>
                      <a:fillRect/>
                    </a:stretch>
                  </pic:blipFill>
                  <pic:spPr>
                    <a:xfrm>
                      <a:off x="0" y="0"/>
                      <a:ext cx="5768340" cy="8233410"/>
                    </a:xfrm>
                    <a:prstGeom prst="rect">
                      <a:avLst/>
                    </a:prstGeom>
                    <a:noFill/>
                    <a:ln>
                      <a:noFill/>
                    </a:ln>
                  </pic:spPr>
                </pic:pic>
              </a:graphicData>
            </a:graphic>
          </wp:inline>
        </w:drawing>
      </w:r>
    </w:p>
    <w:p>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color w:val="auto"/>
          <w:spacing w:val="6"/>
          <w:sz w:val="32"/>
          <w:szCs w:val="32"/>
          <w:highlight w:val="none"/>
        </w:rPr>
        <w:t>附件5：</w:t>
      </w:r>
      <w:r>
        <w:rPr>
          <w:rFonts w:hint="eastAsia" w:ascii="宋体" w:hAnsi="宋体" w:eastAsia="宋体" w:cs="宋体"/>
          <w:b/>
          <w:color w:val="auto"/>
          <w:sz w:val="32"/>
          <w:szCs w:val="32"/>
          <w:highlight w:val="none"/>
        </w:rPr>
        <w:t>中小企业声明函</w:t>
      </w:r>
    </w:p>
    <w:p>
      <w:pPr>
        <w:spacing w:line="360" w:lineRule="auto"/>
        <w:jc w:val="center"/>
        <w:rPr>
          <w:rFonts w:hint="eastAsia" w:ascii="宋体" w:hAnsi="宋体" w:eastAsia="宋体" w:cs="宋体"/>
          <w:color w:val="auto"/>
          <w:sz w:val="24"/>
          <w:highlight w:val="none"/>
          <w:u w:val="single"/>
        </w:rPr>
      </w:pPr>
    </w:p>
    <w:p>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中小企业声明函</w:t>
      </w:r>
    </w:p>
    <w:p>
      <w:pPr>
        <w:spacing w:line="360" w:lineRule="auto"/>
        <w:rPr>
          <w:rFonts w:hint="eastAsia" w:ascii="宋体" w:hAnsi="宋体" w:eastAsia="宋体" w:cs="宋体"/>
          <w:color w:val="auto"/>
          <w:highlight w:val="none"/>
        </w:rPr>
      </w:pPr>
    </w:p>
    <w:p>
      <w:pPr>
        <w:spacing w:line="360" w:lineRule="auto"/>
        <w:ind w:firstLine="315" w:firstLineChars="15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 </w:t>
      </w:r>
      <w:r>
        <w:rPr>
          <w:rFonts w:hint="eastAsia" w:ascii="宋体" w:hAnsi="宋体" w:eastAsia="宋体" w:cs="宋体"/>
          <w:color w:val="auto"/>
          <w:sz w:val="21"/>
          <w:szCs w:val="21"/>
          <w:highlight w:val="none"/>
          <w:u w:val="single"/>
        </w:rPr>
        <w:t>（标的名称）</w:t>
      </w:r>
      <w:r>
        <w:rPr>
          <w:rFonts w:hint="eastAsia" w:ascii="宋体" w:hAnsi="宋体" w:eastAsia="宋体" w:cs="宋体"/>
          <w:color w:val="auto"/>
          <w:sz w:val="21"/>
          <w:szCs w:val="21"/>
          <w:highlight w:val="none"/>
        </w:rPr>
        <w:t xml:space="preserve">，属于 </w:t>
      </w:r>
      <w:r>
        <w:rPr>
          <w:rFonts w:hint="eastAsia" w:ascii="宋体" w:hAnsi="宋体" w:eastAsia="宋体" w:cs="宋体"/>
          <w:color w:val="auto"/>
          <w:sz w:val="21"/>
          <w:szCs w:val="21"/>
          <w:highlight w:val="none"/>
          <w:u w:val="single"/>
        </w:rPr>
        <w:t>（采购文件中明确的所属行业）</w:t>
      </w:r>
      <w:r>
        <w:rPr>
          <w:rFonts w:hint="eastAsia" w:ascii="宋体" w:hAnsi="宋体" w:eastAsia="宋体" w:cs="宋体"/>
          <w:color w:val="auto"/>
          <w:sz w:val="21"/>
          <w:szCs w:val="21"/>
          <w:highlight w:val="none"/>
        </w:rPr>
        <w:t xml:space="preserve"> ；承建（承接）企业为 </w:t>
      </w:r>
      <w:r>
        <w:rPr>
          <w:rFonts w:hint="eastAsia" w:ascii="宋体" w:hAnsi="宋体" w:eastAsia="宋体" w:cs="宋体"/>
          <w:color w:val="auto"/>
          <w:sz w:val="21"/>
          <w:szCs w:val="21"/>
          <w:highlight w:val="none"/>
          <w:u w:val="single"/>
        </w:rPr>
        <w:t>（企业名称）</w:t>
      </w:r>
      <w:r>
        <w:rPr>
          <w:rFonts w:hint="eastAsia" w:ascii="宋体" w:hAnsi="宋体" w:eastAsia="宋体" w:cs="宋体"/>
          <w:color w:val="auto"/>
          <w:sz w:val="21"/>
          <w:szCs w:val="21"/>
          <w:highlight w:val="none"/>
        </w:rPr>
        <w:t xml:space="preserve"> ，从业人员</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人，营业收入为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万元，资产总额为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万元属于</w:t>
      </w:r>
      <w:r>
        <w:rPr>
          <w:rFonts w:hint="eastAsia" w:ascii="宋体" w:hAnsi="宋体" w:eastAsia="宋体" w:cs="宋体"/>
          <w:color w:val="auto"/>
          <w:sz w:val="21"/>
          <w:szCs w:val="21"/>
          <w:highlight w:val="none"/>
          <w:u w:val="single"/>
        </w:rPr>
        <w:t xml:space="preserve"> （中型企业、小型企业、微型企业） </w:t>
      </w:r>
      <w:r>
        <w:rPr>
          <w:rFonts w:hint="eastAsia" w:ascii="宋体" w:hAnsi="宋体" w:eastAsia="宋体" w:cs="宋体"/>
          <w:color w:val="auto"/>
          <w:sz w:val="21"/>
          <w:szCs w:val="21"/>
          <w:highlight w:val="none"/>
        </w:rPr>
        <w:t>；</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 </w:t>
      </w:r>
      <w:r>
        <w:rPr>
          <w:rFonts w:hint="eastAsia" w:ascii="宋体" w:hAnsi="宋体" w:eastAsia="宋体" w:cs="宋体"/>
          <w:color w:val="auto"/>
          <w:sz w:val="21"/>
          <w:szCs w:val="21"/>
          <w:highlight w:val="none"/>
          <w:u w:val="single"/>
        </w:rPr>
        <w:t>（标的名称）</w:t>
      </w:r>
      <w:r>
        <w:rPr>
          <w:rFonts w:hint="eastAsia" w:ascii="宋体" w:hAnsi="宋体" w:eastAsia="宋体" w:cs="宋体"/>
          <w:color w:val="auto"/>
          <w:sz w:val="21"/>
          <w:szCs w:val="21"/>
          <w:highlight w:val="none"/>
        </w:rPr>
        <w:t xml:space="preserve">，属于 </w:t>
      </w:r>
      <w:r>
        <w:rPr>
          <w:rFonts w:hint="eastAsia" w:ascii="宋体" w:hAnsi="宋体" w:eastAsia="宋体" w:cs="宋体"/>
          <w:color w:val="auto"/>
          <w:sz w:val="21"/>
          <w:szCs w:val="21"/>
          <w:highlight w:val="none"/>
          <w:u w:val="single"/>
        </w:rPr>
        <w:t>（采购文件中明确的所属行业）</w:t>
      </w:r>
      <w:r>
        <w:rPr>
          <w:rFonts w:hint="eastAsia" w:ascii="宋体" w:hAnsi="宋体" w:eastAsia="宋体" w:cs="宋体"/>
          <w:color w:val="auto"/>
          <w:sz w:val="21"/>
          <w:szCs w:val="21"/>
          <w:highlight w:val="none"/>
        </w:rPr>
        <w:t xml:space="preserve"> ；承建（承接）企业为 </w:t>
      </w:r>
      <w:r>
        <w:rPr>
          <w:rFonts w:hint="eastAsia" w:ascii="宋体" w:hAnsi="宋体" w:eastAsia="宋体" w:cs="宋体"/>
          <w:color w:val="auto"/>
          <w:sz w:val="21"/>
          <w:szCs w:val="21"/>
          <w:highlight w:val="none"/>
          <w:u w:val="single"/>
        </w:rPr>
        <w:t>（企业名称）</w:t>
      </w:r>
      <w:r>
        <w:rPr>
          <w:rFonts w:hint="eastAsia" w:ascii="宋体" w:hAnsi="宋体" w:eastAsia="宋体" w:cs="宋体"/>
          <w:color w:val="auto"/>
          <w:sz w:val="21"/>
          <w:szCs w:val="21"/>
          <w:highlight w:val="none"/>
        </w:rPr>
        <w:t xml:space="preserve"> ，从业人员</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人，营业收入为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万元，资产总额为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万元属于</w:t>
      </w:r>
      <w:r>
        <w:rPr>
          <w:rFonts w:hint="eastAsia" w:ascii="宋体" w:hAnsi="宋体" w:eastAsia="宋体" w:cs="宋体"/>
          <w:color w:val="auto"/>
          <w:sz w:val="21"/>
          <w:szCs w:val="21"/>
          <w:highlight w:val="none"/>
          <w:u w:val="single"/>
        </w:rPr>
        <w:t xml:space="preserve"> （中型企业、小型企业、微型企业） </w:t>
      </w:r>
      <w:r>
        <w:rPr>
          <w:rFonts w:hint="eastAsia" w:ascii="宋体" w:hAnsi="宋体" w:eastAsia="宋体" w:cs="宋体"/>
          <w:color w:val="auto"/>
          <w:sz w:val="21"/>
          <w:szCs w:val="21"/>
          <w:highlight w:val="none"/>
        </w:rPr>
        <w:t>；</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以上企业，不属于大企业的分支机构，不存在控股股东为大企业的情形，也不存在与大企业的负责人为同一人的情形。</w:t>
      </w:r>
    </w:p>
    <w:p>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本企业对上述声明内容的真实性负责。如有虚假，将依法承担相应责任。</w:t>
      </w:r>
    </w:p>
    <w:p>
      <w:pPr>
        <w:spacing w:line="360" w:lineRule="auto"/>
        <w:ind w:right="1760"/>
        <w:jc w:val="right"/>
        <w:rPr>
          <w:rFonts w:hint="eastAsia" w:ascii="宋体" w:hAnsi="宋体" w:eastAsia="宋体" w:cs="宋体"/>
          <w:color w:val="auto"/>
          <w:sz w:val="21"/>
          <w:szCs w:val="21"/>
          <w:highlight w:val="none"/>
          <w:lang w:eastAsia="zh-CN"/>
        </w:rPr>
      </w:pPr>
    </w:p>
    <w:p>
      <w:pPr>
        <w:spacing w:line="360" w:lineRule="auto"/>
        <w:ind w:right="176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名称（电子签名）：</w:t>
      </w:r>
    </w:p>
    <w:p>
      <w:pPr>
        <w:spacing w:line="360" w:lineRule="auto"/>
        <w:ind w:right="1120" w:firstLine="4305" w:firstLineChars="20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spacing w:line="360" w:lineRule="auto"/>
        <w:ind w:firstLine="310" w:firstLineChars="147"/>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从业人员、营业收入、资产总额填报上一年度数据，无上一年度数据的新成立企业可不填报。</w:t>
      </w:r>
    </w:p>
    <w:p>
      <w:pPr>
        <w:numPr>
          <w:ilvl w:val="0"/>
          <w:numId w:val="0"/>
        </w:numPr>
        <w:spacing w:line="360" w:lineRule="auto"/>
        <w:ind w:right="42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pPr>
        <w:numPr>
          <w:ilvl w:val="0"/>
          <w:numId w:val="0"/>
        </w:numPr>
        <w:spacing w:line="360" w:lineRule="auto"/>
        <w:ind w:right="30" w:rightChars="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填写要求：①“标的名称”、“采购文件中明确的所属行业”依据</w:t>
      </w:r>
      <w:r>
        <w:rPr>
          <w:rFonts w:hint="eastAsia" w:ascii="宋体" w:hAnsi="宋体" w:eastAsia="宋体" w:cs="宋体"/>
          <w:color w:val="auto"/>
          <w:sz w:val="21"/>
          <w:szCs w:val="21"/>
          <w:highlight w:val="none"/>
          <w:lang w:eastAsia="zh-CN"/>
        </w:rPr>
        <w:t>磋商文件</w:t>
      </w:r>
      <w:r>
        <w:rPr>
          <w:rFonts w:hint="eastAsia" w:ascii="宋体" w:hAnsi="宋体" w:eastAsia="宋体" w:cs="宋体"/>
          <w:color w:val="auto"/>
          <w:sz w:val="21"/>
          <w:szCs w:val="21"/>
          <w:highlight w:val="none"/>
        </w:rPr>
        <w:t>第二部分</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提供的《中小企业声明函》与实际情况不符的或者未按以上要求填写的，中小企业声明函无效，不享受中小企业扶持政策。</w:t>
      </w:r>
    </w:p>
    <w:p>
      <w:pPr>
        <w:numPr>
          <w:ilvl w:val="0"/>
          <w:numId w:val="0"/>
        </w:numPr>
        <w:spacing w:line="360" w:lineRule="auto"/>
        <w:ind w:right="30" w:rightChars="0" w:firstLine="420" w:firstLineChars="200"/>
        <w:rPr>
          <w:rFonts w:hint="eastAsia" w:ascii="宋体" w:hAnsi="宋体" w:eastAsia="宋体" w:cs="宋体"/>
          <w:color w:val="auto"/>
          <w:sz w:val="28"/>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提供由省级以上监狱管理局、戒毒管理局（含新疆生产建设兵团）出具的属于监狱企业证明文件的，视同为小型和微型企业。</w:t>
      </w:r>
    </w:p>
    <w:p>
      <w:pPr>
        <w:snapToGrid w:val="0"/>
        <w:spacing w:before="50" w:after="50"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en-US" w:eastAsia="zh-CN"/>
        </w:rPr>
        <w:t>附件6：联</w:t>
      </w:r>
      <w:r>
        <w:rPr>
          <w:rFonts w:hint="eastAsia" w:ascii="宋体" w:hAnsi="宋体" w:eastAsia="宋体" w:cs="宋体"/>
          <w:b/>
          <w:color w:val="auto"/>
          <w:kern w:val="0"/>
          <w:sz w:val="32"/>
          <w:szCs w:val="32"/>
          <w:highlight w:val="none"/>
          <w:lang w:val="zh-CN"/>
        </w:rPr>
        <w:t>合协议（</w:t>
      </w:r>
      <w:r>
        <w:rPr>
          <w:rFonts w:hint="eastAsia" w:ascii="宋体" w:hAnsi="宋体" w:cs="宋体"/>
          <w:b/>
          <w:color w:val="auto"/>
          <w:kern w:val="0"/>
          <w:sz w:val="32"/>
          <w:szCs w:val="32"/>
          <w:highlight w:val="none"/>
          <w:lang w:val="en-US" w:eastAsia="zh-CN"/>
        </w:rPr>
        <w:t>工程</w:t>
      </w:r>
      <w:r>
        <w:rPr>
          <w:rFonts w:hint="eastAsia" w:ascii="宋体" w:hAnsi="宋体" w:eastAsia="宋体" w:cs="宋体"/>
          <w:b/>
          <w:color w:val="auto"/>
          <w:kern w:val="0"/>
          <w:sz w:val="32"/>
          <w:szCs w:val="32"/>
          <w:highlight w:val="none"/>
          <w:lang w:val="en-US" w:eastAsia="zh-CN"/>
        </w:rPr>
        <w:t>类</w:t>
      </w:r>
      <w:r>
        <w:rPr>
          <w:rFonts w:hint="eastAsia" w:ascii="宋体" w:hAnsi="宋体" w:eastAsia="宋体" w:cs="宋体"/>
          <w:b/>
          <w:color w:val="auto"/>
          <w:kern w:val="0"/>
          <w:sz w:val="32"/>
          <w:szCs w:val="32"/>
          <w:highlight w:val="none"/>
          <w:lang w:val="zh-CN"/>
        </w:rPr>
        <w:t>）</w:t>
      </w:r>
    </w:p>
    <w:p>
      <w:pPr>
        <w:pStyle w:val="6"/>
        <w:pageBreakBefore w:val="0"/>
        <w:widowControl w:val="0"/>
        <w:kinsoku/>
        <w:wordWrap/>
        <w:overflowPunct/>
        <w:topLinePunct w:val="0"/>
        <w:autoSpaceDE/>
        <w:autoSpaceDN/>
        <w:bidi w:val="0"/>
        <w:spacing w:line="360" w:lineRule="exact"/>
        <w:ind w:left="0" w:firstLine="420" w:firstLineChars="200"/>
        <w:jc w:val="both"/>
        <w:textAlignment w:val="auto"/>
        <w:rPr>
          <w:rFonts w:hint="eastAsia" w:ascii="宋体" w:hAnsi="宋体" w:eastAsia="宋体" w:cs="宋体"/>
          <w:color w:val="auto"/>
          <w:sz w:val="21"/>
          <w:szCs w:val="21"/>
          <w:highlight w:val="none"/>
          <w:lang w:val="zh-CN"/>
        </w:rPr>
      </w:pPr>
      <w:bookmarkStart w:id="1114" w:name="_Toc32554"/>
      <w:r>
        <w:rPr>
          <w:rFonts w:hint="eastAsia" w:ascii="宋体" w:hAnsi="宋体" w:eastAsia="宋体" w:cs="宋体"/>
          <w:b w:val="0"/>
          <w:bCs w:val="0"/>
          <w:i/>
          <w:iCs/>
          <w:color w:val="auto"/>
          <w:kern w:val="0"/>
          <w:sz w:val="21"/>
          <w:szCs w:val="21"/>
          <w:highlight w:val="none"/>
        </w:rPr>
        <w:t>（以联合体形式投标的，提供联合协议；本项目不接受联合体投标或者</w:t>
      </w:r>
      <w:r>
        <w:rPr>
          <w:rFonts w:hint="eastAsia" w:ascii="宋体" w:hAnsi="宋体" w:eastAsia="宋体" w:cs="宋体"/>
          <w:b w:val="0"/>
          <w:bCs w:val="0"/>
          <w:i/>
          <w:iCs/>
          <w:color w:val="auto"/>
          <w:kern w:val="0"/>
          <w:sz w:val="21"/>
          <w:szCs w:val="21"/>
          <w:highlight w:val="none"/>
          <w:lang w:eastAsia="zh-CN"/>
        </w:rPr>
        <w:t>磋商供应商</w:t>
      </w:r>
      <w:r>
        <w:rPr>
          <w:rFonts w:hint="eastAsia" w:ascii="宋体" w:hAnsi="宋体" w:eastAsia="宋体" w:cs="宋体"/>
          <w:b w:val="0"/>
          <w:bCs w:val="0"/>
          <w:i/>
          <w:iCs/>
          <w:color w:val="auto"/>
          <w:kern w:val="0"/>
          <w:sz w:val="21"/>
          <w:szCs w:val="21"/>
          <w:highlight w:val="none"/>
        </w:rPr>
        <w:t>不以联合体形式投标的，则不需要提供）</w:t>
      </w:r>
      <w:bookmarkEnd w:id="1114"/>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u w:val="single"/>
        </w:rPr>
        <w:t>（联合体所有成员名称）</w:t>
      </w:r>
      <w:r>
        <w:rPr>
          <w:rFonts w:hint="eastAsia" w:ascii="宋体" w:hAnsi="宋体" w:eastAsia="宋体" w:cs="宋体"/>
          <w:color w:val="auto"/>
          <w:kern w:val="0"/>
          <w:sz w:val="21"/>
          <w:szCs w:val="21"/>
          <w:highlight w:val="none"/>
        </w:rPr>
        <w:t>自愿</w:t>
      </w:r>
      <w:r>
        <w:rPr>
          <w:rFonts w:hint="eastAsia" w:ascii="宋体" w:hAnsi="宋体" w:eastAsia="宋体" w:cs="宋体"/>
          <w:color w:val="auto"/>
          <w:kern w:val="0"/>
          <w:sz w:val="21"/>
          <w:szCs w:val="21"/>
          <w:highlight w:val="none"/>
          <w:lang w:val="zh-CN"/>
        </w:rPr>
        <w:t>组成一个联合体，以一个磋商供应商的身份</w:t>
      </w:r>
      <w:r>
        <w:rPr>
          <w:rFonts w:hint="eastAsia" w:ascii="宋体" w:hAnsi="宋体" w:eastAsia="宋体" w:cs="宋体"/>
          <w:color w:val="auto"/>
          <w:kern w:val="0"/>
          <w:sz w:val="21"/>
          <w:szCs w:val="21"/>
          <w:highlight w:val="none"/>
        </w:rPr>
        <w:t>参加</w:t>
      </w: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编号：（采购编号）】</w:t>
      </w:r>
      <w:r>
        <w:rPr>
          <w:rFonts w:hint="eastAsia" w:ascii="宋体" w:hAnsi="宋体" w:eastAsia="宋体" w:cs="宋体"/>
          <w:color w:val="auto"/>
          <w:kern w:val="0"/>
          <w:sz w:val="21"/>
          <w:szCs w:val="21"/>
          <w:highlight w:val="none"/>
          <w:lang w:val="zh-CN"/>
        </w:rPr>
        <w:t xml:space="preserve">投标。 </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一、各方一致决定，</w:t>
      </w:r>
      <w:r>
        <w:rPr>
          <w:rFonts w:hint="eastAsia" w:ascii="宋体" w:hAnsi="宋体" w:eastAsia="宋体" w:cs="宋体"/>
          <w:color w:val="auto"/>
          <w:kern w:val="0"/>
          <w:sz w:val="21"/>
          <w:szCs w:val="21"/>
          <w:highlight w:val="none"/>
          <w:u w:val="single"/>
        </w:rPr>
        <w:t>（某联合体成员名称）</w:t>
      </w:r>
      <w:r>
        <w:rPr>
          <w:rFonts w:hint="eastAsia" w:ascii="宋体" w:hAnsi="宋体" w:eastAsia="宋体" w:cs="宋体"/>
          <w:color w:val="auto"/>
          <w:kern w:val="0"/>
          <w:sz w:val="21"/>
          <w:szCs w:val="21"/>
          <w:highlight w:val="none"/>
        </w:rPr>
        <w:t>为联合体</w:t>
      </w:r>
      <w:r>
        <w:rPr>
          <w:rFonts w:hint="eastAsia" w:ascii="宋体" w:hAnsi="宋体" w:eastAsia="宋体" w:cs="宋体"/>
          <w:color w:val="auto"/>
          <w:kern w:val="0"/>
          <w:sz w:val="21"/>
          <w:szCs w:val="21"/>
          <w:highlight w:val="none"/>
          <w:lang w:val="zh-CN"/>
        </w:rPr>
        <w:t>牵头人</w:t>
      </w:r>
      <w:r>
        <w:rPr>
          <w:rFonts w:hint="eastAsia" w:ascii="宋体" w:hAnsi="宋体" w:eastAsia="宋体" w:cs="宋体"/>
          <w:color w:val="auto"/>
          <w:sz w:val="21"/>
          <w:szCs w:val="21"/>
          <w:highlight w:val="none"/>
        </w:rPr>
        <w:t>，代表所有联合体成员负责投标和合同实施阶段的主办、协调工作</w:t>
      </w:r>
      <w:r>
        <w:rPr>
          <w:rFonts w:hint="eastAsia" w:ascii="宋体" w:hAnsi="宋体" w:eastAsia="宋体" w:cs="宋体"/>
          <w:color w:val="auto"/>
          <w:kern w:val="0"/>
          <w:sz w:val="21"/>
          <w:szCs w:val="21"/>
          <w:highlight w:val="none"/>
          <w:lang w:val="zh-CN"/>
        </w:rPr>
        <w:t>。</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二、</w:t>
      </w:r>
      <w:r>
        <w:rPr>
          <w:rFonts w:hint="eastAsia" w:ascii="宋体" w:hAnsi="宋体" w:eastAsia="宋体" w:cs="宋体"/>
          <w:color w:val="auto"/>
          <w:sz w:val="21"/>
          <w:szCs w:val="21"/>
          <w:highlight w:val="none"/>
        </w:rPr>
        <w:t>所有联合体成员各方签署授权书，授权书载明的</w:t>
      </w:r>
      <w:r>
        <w:rPr>
          <w:rFonts w:hint="eastAsia" w:ascii="宋体" w:hAnsi="宋体" w:eastAsia="宋体" w:cs="宋体"/>
          <w:color w:val="auto"/>
          <w:kern w:val="0"/>
          <w:sz w:val="21"/>
          <w:szCs w:val="21"/>
          <w:highlight w:val="none"/>
          <w:lang w:val="zh-CN"/>
        </w:rPr>
        <w:t>授权代表根据磋商文件规定及投标内容而对采购人、采购代理机构所作的任何合法承诺，包括书面澄清及相应等均对联合投标各方产生约束力。</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三、本次联合投标中，分工如下：</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u w:val="single"/>
        </w:rPr>
        <w:t>（联合体其中一方成员名称）</w:t>
      </w:r>
      <w:r>
        <w:rPr>
          <w:rFonts w:hint="eastAsia" w:ascii="宋体" w:hAnsi="宋体" w:eastAsia="宋体" w:cs="宋体"/>
          <w:color w:val="auto"/>
          <w:kern w:val="0"/>
          <w:sz w:val="21"/>
          <w:szCs w:val="21"/>
          <w:highlight w:val="none"/>
          <w:lang w:val="zh-CN"/>
        </w:rPr>
        <w:t>承担的工作和义务为：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lang w:val="zh-CN"/>
        </w:rPr>
        <w:t>；</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u w:val="single"/>
        </w:rPr>
        <w:t>（联合体其中一方成员名称）</w:t>
      </w:r>
      <w:r>
        <w:rPr>
          <w:rFonts w:hint="eastAsia" w:ascii="宋体" w:hAnsi="宋体" w:eastAsia="宋体" w:cs="宋体"/>
          <w:color w:val="auto"/>
          <w:kern w:val="0"/>
          <w:sz w:val="21"/>
          <w:szCs w:val="21"/>
          <w:highlight w:val="none"/>
          <w:lang w:val="zh-CN"/>
        </w:rPr>
        <w:t>承担的工作和义务为：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lang w:val="zh-CN"/>
        </w:rPr>
        <w:t xml:space="preserve"> ；</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zh-CN"/>
        </w:rPr>
        <w:t>四、</w:t>
      </w:r>
      <w:r>
        <w:rPr>
          <w:rFonts w:hint="eastAsia" w:ascii="宋体" w:hAnsi="宋体" w:eastAsia="宋体" w:cs="宋体"/>
          <w:color w:val="auto"/>
          <w:kern w:val="0"/>
          <w:sz w:val="21"/>
          <w:szCs w:val="21"/>
          <w:highlight w:val="none"/>
          <w:lang w:val="en-US" w:eastAsia="zh-CN"/>
        </w:rPr>
        <w:t>联合体成员</w:t>
      </w:r>
      <w:r>
        <w:rPr>
          <w:rFonts w:hint="eastAsia" w:ascii="宋体" w:hAnsi="宋体" w:eastAsia="宋体" w:cs="宋体"/>
          <w:color w:val="auto"/>
          <w:kern w:val="0"/>
          <w:sz w:val="21"/>
          <w:szCs w:val="21"/>
          <w:highlight w:val="none"/>
        </w:rPr>
        <w:t>中小企业合同份额。</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u w:val="single"/>
        </w:rPr>
        <w:t>（联合体成员X,……）</w:t>
      </w:r>
      <w:r>
        <w:rPr>
          <w:rFonts w:hint="eastAsia" w:ascii="宋体" w:hAnsi="宋体" w:eastAsia="宋体" w:cs="宋体"/>
          <w:color w:val="auto"/>
          <w:sz w:val="21"/>
          <w:szCs w:val="21"/>
          <w:highlight w:val="none"/>
        </w:rPr>
        <w:t>提供的服务由小微企业承接，其合同份额占到合同总金额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%以上。</w:t>
      </w:r>
      <w:r>
        <w:rPr>
          <w:rFonts w:hint="eastAsia" w:ascii="宋体" w:hAnsi="宋体" w:eastAsia="宋体" w:cs="宋体"/>
          <w:b w:val="0"/>
          <w:bCs w:val="0"/>
          <w:i/>
          <w:iCs/>
          <w:color w:val="auto"/>
          <w:sz w:val="21"/>
          <w:szCs w:val="21"/>
          <w:highlight w:val="none"/>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拟享受以上价格扣除政策的，填写有关内容。）</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rPr>
        <w:t>2、中小企业合同金额达到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rPr>
        <w:t>%，其中小微企业合同金额达到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i/>
          <w:iCs/>
          <w:color w:val="auto"/>
          <w:sz w:val="21"/>
          <w:szCs w:val="21"/>
          <w:highlight w:val="none"/>
        </w:rPr>
        <w:t>（要求以联合体形式参加的项目或采购包，供应商按</w:t>
      </w:r>
      <w:r>
        <w:rPr>
          <w:rFonts w:hint="eastAsia" w:ascii="宋体" w:hAnsi="宋体" w:eastAsia="宋体" w:cs="宋体"/>
          <w:b w:val="0"/>
          <w:bCs w:val="0"/>
          <w:i/>
          <w:iCs/>
          <w:color w:val="auto"/>
          <w:sz w:val="21"/>
          <w:szCs w:val="21"/>
          <w:highlight w:val="none"/>
          <w:lang w:eastAsia="zh-CN"/>
        </w:rPr>
        <w:t>磋商文件</w:t>
      </w:r>
      <w:r>
        <w:rPr>
          <w:rFonts w:hint="eastAsia" w:ascii="宋体" w:hAnsi="宋体" w:eastAsia="宋体" w:cs="宋体"/>
          <w:b w:val="0"/>
          <w:bCs w:val="0"/>
          <w:i/>
          <w:iCs/>
          <w:color w:val="auto"/>
          <w:sz w:val="21"/>
          <w:szCs w:val="21"/>
          <w:highlight w:val="none"/>
        </w:rPr>
        <w:t>第一部分</w:t>
      </w:r>
      <w:r>
        <w:rPr>
          <w:rFonts w:hint="eastAsia" w:ascii="宋体" w:hAnsi="宋体" w:eastAsia="宋体" w:cs="宋体"/>
          <w:b w:val="0"/>
          <w:bCs w:val="0"/>
          <w:i/>
          <w:iCs/>
          <w:color w:val="auto"/>
          <w:sz w:val="21"/>
          <w:szCs w:val="21"/>
          <w:highlight w:val="none"/>
          <w:lang w:eastAsia="zh-CN"/>
        </w:rPr>
        <w:t>竞争性磋商公告</w:t>
      </w:r>
      <w:r>
        <w:rPr>
          <w:rFonts w:hint="eastAsia" w:ascii="宋体" w:hAnsi="宋体" w:eastAsia="宋体" w:cs="宋体"/>
          <w:b w:val="0"/>
          <w:bCs w:val="0"/>
          <w:i/>
          <w:iCs/>
          <w:color w:val="auto"/>
          <w:sz w:val="21"/>
          <w:szCs w:val="21"/>
          <w:highlight w:val="none"/>
        </w:rPr>
        <w:t>申请人的资格要求中规定的联合协议中中小企业、小微企业合同金额应当达到的比例要求填写。）</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五、如果中标，</w:t>
      </w:r>
      <w:r>
        <w:rPr>
          <w:rFonts w:hint="eastAsia" w:ascii="宋体" w:hAnsi="宋体" w:eastAsia="宋体" w:cs="宋体"/>
          <w:color w:val="auto"/>
          <w:sz w:val="21"/>
          <w:szCs w:val="21"/>
          <w:highlight w:val="none"/>
        </w:rPr>
        <w:t>联合体各成员方共同与采购人签订合同，并就采购合同约定的事项对采购人承担连带责任。</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六、有关本次联合投标的其他事宜：</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1、联合体各方不再单独参加或者与其他供应商另外组成联合体参加同一合同项下的政府采购活动。</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2、联合体中有同类资质的各方按照联合体分工承担相同工作的，按照资质等级较低的供应商确定资质等级。</w:t>
      </w:r>
    </w:p>
    <w:p>
      <w:pPr>
        <w:pageBreakBefore w:val="0"/>
        <w:widowControl w:val="0"/>
        <w:kinsoku/>
        <w:wordWrap/>
        <w:overflowPunct/>
        <w:topLinePunct w:val="0"/>
        <w:autoSpaceDE/>
        <w:autoSpaceDN/>
        <w:bidi w:val="0"/>
        <w:snapToGrid w:val="0"/>
        <w:spacing w:line="360" w:lineRule="exact"/>
        <w:ind w:firstLine="576"/>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3、本协议提交采购人、采购代理机构后，联合体各方不得以任何形式对上述内容进行修改或撤销。</w:t>
      </w:r>
    </w:p>
    <w:p>
      <w:pPr>
        <w:pageBreakBefore w:val="0"/>
        <w:widowControl w:val="0"/>
        <w:kinsoku/>
        <w:wordWrap/>
        <w:overflowPunct/>
        <w:topLinePunct w:val="0"/>
        <w:autoSpaceDE/>
        <w:autoSpaceDN/>
        <w:bidi w:val="0"/>
        <w:snapToGrid w:val="0"/>
        <w:spacing w:line="360" w:lineRule="exact"/>
        <w:ind w:firstLine="4410" w:firstLineChars="21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联合体成员名称(电子签名/公章)：</w:t>
      </w:r>
    </w:p>
    <w:p>
      <w:pPr>
        <w:pageBreakBefore w:val="0"/>
        <w:widowControl w:val="0"/>
        <w:kinsoku/>
        <w:wordWrap/>
        <w:overflowPunct/>
        <w:topLinePunct w:val="0"/>
        <w:autoSpaceDE/>
        <w:autoSpaceDN/>
        <w:bidi w:val="0"/>
        <w:snapToGrid w:val="0"/>
        <w:spacing w:line="360" w:lineRule="exact"/>
        <w:ind w:firstLine="4410" w:firstLineChars="2100"/>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联合体成员名称(电子签名/公章)：</w:t>
      </w:r>
    </w:p>
    <w:p>
      <w:pPr>
        <w:pageBreakBefore w:val="0"/>
        <w:widowControl w:val="0"/>
        <w:kinsoku/>
        <w:wordWrap/>
        <w:overflowPunct/>
        <w:topLinePunct w:val="0"/>
        <w:autoSpaceDE/>
        <w:autoSpaceDN/>
        <w:bidi w:val="0"/>
        <w:snapToGrid w:val="0"/>
        <w:spacing w:line="360" w:lineRule="exact"/>
        <w:ind w:firstLine="5040" w:firstLineChars="24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zh-CN"/>
        </w:rPr>
        <w:t>……</w:t>
      </w:r>
    </w:p>
    <w:p>
      <w:pPr>
        <w:pageBreakBefore w:val="0"/>
        <w:widowControl w:val="0"/>
        <w:kinsoku/>
        <w:wordWrap/>
        <w:overflowPunct/>
        <w:topLinePunct w:val="0"/>
        <w:autoSpaceDE/>
        <w:autoSpaceDN/>
        <w:bidi w:val="0"/>
        <w:snapToGrid w:val="0"/>
        <w:spacing w:line="360" w:lineRule="exact"/>
        <w:textAlignment w:val="auto"/>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 xml:space="preserve">                                               日期：  年  月   日</w:t>
      </w:r>
    </w:p>
    <w:p>
      <w:pPr>
        <w:pStyle w:val="3"/>
        <w:rPr>
          <w:rFonts w:hint="eastAsia" w:ascii="宋体" w:hAnsi="宋体" w:eastAsia="宋体" w:cs="宋体"/>
          <w:color w:val="auto"/>
          <w:highlight w:val="none"/>
        </w:rPr>
      </w:pPr>
    </w:p>
    <w:p>
      <w:pPr>
        <w:snapToGrid w:val="0"/>
        <w:spacing w:line="360" w:lineRule="auto"/>
        <w:ind w:firstLine="0" w:firstLineChars="0"/>
        <w:jc w:val="center"/>
        <w:rPr>
          <w:rFonts w:hint="eastAsia" w:ascii="宋体" w:hAnsi="宋体" w:eastAsia="宋体" w:cs="宋体"/>
          <w:b/>
          <w:color w:val="auto"/>
          <w:kern w:val="0"/>
          <w:sz w:val="32"/>
          <w:szCs w:val="32"/>
          <w:highlight w:val="none"/>
          <w:lang w:eastAsia="zh-CN"/>
        </w:rPr>
      </w:pPr>
      <w:r>
        <w:rPr>
          <w:rFonts w:hint="eastAsia" w:ascii="宋体" w:hAnsi="宋体" w:eastAsia="宋体" w:cs="宋体"/>
          <w:b/>
          <w:color w:val="auto"/>
          <w:kern w:val="0"/>
          <w:sz w:val="32"/>
          <w:szCs w:val="32"/>
          <w:highlight w:val="none"/>
          <w:lang w:val="en-US" w:eastAsia="zh-CN"/>
        </w:rPr>
        <w:t>附件7：</w:t>
      </w:r>
      <w:r>
        <w:rPr>
          <w:rFonts w:hint="eastAsia" w:ascii="宋体" w:hAnsi="宋体" w:eastAsia="宋体" w:cs="宋体"/>
          <w:b/>
          <w:color w:val="auto"/>
          <w:kern w:val="0"/>
          <w:sz w:val="32"/>
          <w:szCs w:val="32"/>
          <w:highlight w:val="none"/>
        </w:rPr>
        <w:t>分包意向协议</w:t>
      </w:r>
      <w:r>
        <w:rPr>
          <w:rFonts w:hint="eastAsia" w:ascii="宋体" w:hAnsi="宋体" w:eastAsia="宋体" w:cs="宋体"/>
          <w:b/>
          <w:color w:val="auto"/>
          <w:kern w:val="0"/>
          <w:sz w:val="32"/>
          <w:szCs w:val="32"/>
          <w:highlight w:val="none"/>
          <w:lang w:eastAsia="zh-CN"/>
        </w:rPr>
        <w:t>（</w:t>
      </w:r>
      <w:r>
        <w:rPr>
          <w:rFonts w:hint="eastAsia" w:ascii="宋体" w:hAnsi="宋体" w:cs="宋体"/>
          <w:b/>
          <w:color w:val="auto"/>
          <w:kern w:val="0"/>
          <w:sz w:val="32"/>
          <w:szCs w:val="32"/>
          <w:highlight w:val="none"/>
          <w:lang w:val="en-US" w:eastAsia="zh-CN"/>
        </w:rPr>
        <w:t>工程</w:t>
      </w:r>
      <w:r>
        <w:rPr>
          <w:rFonts w:hint="eastAsia" w:ascii="宋体" w:hAnsi="宋体" w:eastAsia="宋体" w:cs="宋体"/>
          <w:b/>
          <w:color w:val="auto"/>
          <w:kern w:val="0"/>
          <w:sz w:val="32"/>
          <w:szCs w:val="32"/>
          <w:highlight w:val="none"/>
          <w:lang w:val="en-US" w:eastAsia="zh-CN"/>
        </w:rPr>
        <w:t>类</w:t>
      </w:r>
      <w:r>
        <w:rPr>
          <w:rFonts w:hint="eastAsia" w:ascii="宋体" w:hAnsi="宋体" w:eastAsia="宋体" w:cs="宋体"/>
          <w:b/>
          <w:color w:val="auto"/>
          <w:kern w:val="0"/>
          <w:sz w:val="32"/>
          <w:szCs w:val="32"/>
          <w:highlight w:val="none"/>
          <w:lang w:eastAsia="zh-CN"/>
        </w:rPr>
        <w:t>）</w:t>
      </w:r>
    </w:p>
    <w:p>
      <w:pPr>
        <w:widowControl/>
        <w:spacing w:line="360" w:lineRule="auto"/>
        <w:ind w:firstLine="105" w:firstLineChars="50"/>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i/>
          <w:iCs/>
          <w:color w:val="auto"/>
          <w:sz w:val="21"/>
          <w:szCs w:val="21"/>
          <w:highlight w:val="none"/>
        </w:rPr>
        <w:t>（中标后以分包方式履行合同的，提供分包意向协议；采购人不同意分包或者</w:t>
      </w:r>
      <w:r>
        <w:rPr>
          <w:rFonts w:hint="eastAsia" w:ascii="宋体" w:hAnsi="宋体" w:eastAsia="宋体" w:cs="宋体"/>
          <w:b w:val="0"/>
          <w:bCs w:val="0"/>
          <w:i/>
          <w:iCs/>
          <w:color w:val="auto"/>
          <w:sz w:val="21"/>
          <w:szCs w:val="21"/>
          <w:highlight w:val="none"/>
          <w:lang w:eastAsia="zh-CN"/>
        </w:rPr>
        <w:t>磋商供应商</w:t>
      </w:r>
      <w:r>
        <w:rPr>
          <w:rFonts w:hint="eastAsia" w:ascii="宋体" w:hAnsi="宋体" w:eastAsia="宋体" w:cs="宋体"/>
          <w:b w:val="0"/>
          <w:bCs w:val="0"/>
          <w:i/>
          <w:iCs/>
          <w:color w:val="auto"/>
          <w:sz w:val="21"/>
          <w:szCs w:val="21"/>
          <w:highlight w:val="none"/>
        </w:rPr>
        <w:t>中标后不以分包方式履行合同的，则不需要提供。）</w:t>
      </w:r>
    </w:p>
    <w:p>
      <w:pPr>
        <w:snapToGrid w:val="0"/>
        <w:spacing w:line="360" w:lineRule="auto"/>
        <w:ind w:firstLine="576"/>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u w:val="single"/>
        </w:rPr>
        <w:t>（</w:t>
      </w:r>
      <w:r>
        <w:rPr>
          <w:rFonts w:hint="eastAsia" w:ascii="宋体" w:hAnsi="宋体" w:eastAsia="宋体" w:cs="宋体"/>
          <w:color w:val="auto"/>
          <w:kern w:val="0"/>
          <w:sz w:val="21"/>
          <w:szCs w:val="21"/>
          <w:highlight w:val="none"/>
          <w:u w:val="single"/>
          <w:lang w:eastAsia="zh-CN"/>
        </w:rPr>
        <w:t>磋商供应商</w:t>
      </w:r>
      <w:r>
        <w:rPr>
          <w:rFonts w:hint="eastAsia" w:ascii="宋体" w:hAnsi="宋体" w:eastAsia="宋体" w:cs="宋体"/>
          <w:color w:val="auto"/>
          <w:kern w:val="0"/>
          <w:sz w:val="21"/>
          <w:szCs w:val="21"/>
          <w:highlight w:val="none"/>
          <w:u w:val="single"/>
        </w:rPr>
        <w:t>名称）</w:t>
      </w:r>
      <w:r>
        <w:rPr>
          <w:rFonts w:hint="eastAsia" w:ascii="宋体" w:hAnsi="宋体" w:eastAsia="宋体" w:cs="宋体"/>
          <w:color w:val="auto"/>
          <w:kern w:val="0"/>
          <w:sz w:val="21"/>
          <w:szCs w:val="21"/>
          <w:highlight w:val="none"/>
          <w:lang w:val="zh-CN"/>
        </w:rPr>
        <w:t>若成为</w:t>
      </w: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编号：（采购编号）】</w:t>
      </w:r>
      <w:r>
        <w:rPr>
          <w:rFonts w:hint="eastAsia" w:ascii="宋体" w:hAnsi="宋体" w:eastAsia="宋体" w:cs="宋体"/>
          <w:color w:val="auto"/>
          <w:kern w:val="0"/>
          <w:sz w:val="21"/>
          <w:szCs w:val="21"/>
          <w:highlight w:val="none"/>
          <w:lang w:val="zh-CN"/>
        </w:rPr>
        <w:t>的成交供应商，将依法采取分包方式履行合同。</w:t>
      </w:r>
      <w:r>
        <w:rPr>
          <w:rFonts w:hint="eastAsia" w:ascii="宋体" w:hAnsi="宋体" w:eastAsia="宋体" w:cs="宋体"/>
          <w:color w:val="auto"/>
          <w:kern w:val="0"/>
          <w:sz w:val="21"/>
          <w:szCs w:val="21"/>
          <w:highlight w:val="none"/>
          <w:u w:val="single"/>
        </w:rPr>
        <w:t>（</w:t>
      </w:r>
      <w:r>
        <w:rPr>
          <w:rFonts w:hint="eastAsia" w:ascii="宋体" w:hAnsi="宋体" w:eastAsia="宋体" w:cs="宋体"/>
          <w:color w:val="auto"/>
          <w:kern w:val="0"/>
          <w:sz w:val="21"/>
          <w:szCs w:val="21"/>
          <w:highlight w:val="none"/>
          <w:u w:val="single"/>
          <w:lang w:eastAsia="zh-CN"/>
        </w:rPr>
        <w:t>磋商供应商</w:t>
      </w:r>
      <w:r>
        <w:rPr>
          <w:rFonts w:hint="eastAsia" w:ascii="宋体" w:hAnsi="宋体" w:eastAsia="宋体" w:cs="宋体"/>
          <w:color w:val="auto"/>
          <w:kern w:val="0"/>
          <w:sz w:val="21"/>
          <w:szCs w:val="21"/>
          <w:highlight w:val="none"/>
          <w:u w:val="single"/>
        </w:rPr>
        <w:t>名称）</w:t>
      </w:r>
      <w:r>
        <w:rPr>
          <w:rFonts w:hint="eastAsia" w:ascii="宋体" w:hAnsi="宋体" w:eastAsia="宋体" w:cs="宋体"/>
          <w:color w:val="auto"/>
          <w:kern w:val="0"/>
          <w:sz w:val="21"/>
          <w:szCs w:val="21"/>
          <w:highlight w:val="none"/>
        </w:rPr>
        <w:t>与</w:t>
      </w:r>
      <w:r>
        <w:rPr>
          <w:rFonts w:hint="eastAsia" w:ascii="宋体" w:hAnsi="宋体" w:eastAsia="宋体" w:cs="宋体"/>
          <w:color w:val="auto"/>
          <w:kern w:val="0"/>
          <w:sz w:val="21"/>
          <w:szCs w:val="21"/>
          <w:highlight w:val="none"/>
          <w:u w:val="single"/>
        </w:rPr>
        <w:t>（所有分包供应商名称）</w:t>
      </w:r>
      <w:r>
        <w:rPr>
          <w:rFonts w:hint="eastAsia" w:ascii="宋体" w:hAnsi="宋体" w:eastAsia="宋体" w:cs="宋体"/>
          <w:color w:val="auto"/>
          <w:kern w:val="0"/>
          <w:sz w:val="21"/>
          <w:szCs w:val="21"/>
          <w:highlight w:val="none"/>
        </w:rPr>
        <w:t>达成分包意向协议</w:t>
      </w:r>
      <w:r>
        <w:rPr>
          <w:rFonts w:hint="eastAsia" w:ascii="宋体" w:hAnsi="宋体" w:eastAsia="宋体" w:cs="宋体"/>
          <w:color w:val="auto"/>
          <w:kern w:val="0"/>
          <w:sz w:val="21"/>
          <w:szCs w:val="21"/>
          <w:highlight w:val="none"/>
          <w:lang w:val="zh-CN"/>
        </w:rPr>
        <w:t xml:space="preserve">。 </w:t>
      </w:r>
    </w:p>
    <w:p>
      <w:pPr>
        <w:snapToGrid w:val="0"/>
        <w:spacing w:line="360" w:lineRule="auto"/>
        <w:ind w:firstLine="576"/>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一、分包标的及数量</w:t>
      </w:r>
    </w:p>
    <w:p>
      <w:pPr>
        <w:snapToGrid w:val="0"/>
        <w:spacing w:line="360" w:lineRule="auto"/>
        <w:ind w:firstLine="576"/>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u w:val="single"/>
        </w:rPr>
        <w:t>（</w:t>
      </w:r>
      <w:r>
        <w:rPr>
          <w:rFonts w:hint="eastAsia" w:ascii="宋体" w:hAnsi="宋体" w:eastAsia="宋体" w:cs="宋体"/>
          <w:color w:val="auto"/>
          <w:kern w:val="0"/>
          <w:sz w:val="21"/>
          <w:szCs w:val="21"/>
          <w:highlight w:val="none"/>
          <w:u w:val="single"/>
          <w:lang w:eastAsia="zh-CN"/>
        </w:rPr>
        <w:t>磋商供应商</w:t>
      </w:r>
      <w:r>
        <w:rPr>
          <w:rFonts w:hint="eastAsia" w:ascii="宋体" w:hAnsi="宋体" w:eastAsia="宋体" w:cs="宋体"/>
          <w:color w:val="auto"/>
          <w:kern w:val="0"/>
          <w:sz w:val="21"/>
          <w:szCs w:val="21"/>
          <w:highlight w:val="none"/>
          <w:u w:val="single"/>
        </w:rPr>
        <w:t>名称）</w:t>
      </w:r>
      <w:r>
        <w:rPr>
          <w:rFonts w:hint="eastAsia" w:ascii="宋体" w:hAnsi="宋体" w:eastAsia="宋体" w:cs="宋体"/>
          <w:color w:val="auto"/>
          <w:kern w:val="0"/>
          <w:sz w:val="21"/>
          <w:szCs w:val="21"/>
          <w:highlight w:val="none"/>
          <w:lang w:val="zh-CN"/>
        </w:rPr>
        <w:t>将</w:t>
      </w:r>
      <w:r>
        <w:rPr>
          <w:rFonts w:hint="eastAsia" w:ascii="宋体" w:hAnsi="宋体" w:eastAsia="宋体" w:cs="宋体"/>
          <w:color w:val="auto"/>
          <w:sz w:val="21"/>
          <w:szCs w:val="21"/>
          <w:highlight w:val="none"/>
          <w:u w:val="single"/>
        </w:rPr>
        <w:t xml:space="preserve">   XX工作内容   </w:t>
      </w:r>
      <w:r>
        <w:rPr>
          <w:rFonts w:hint="eastAsia" w:ascii="宋体" w:hAnsi="宋体" w:eastAsia="宋体" w:cs="宋体"/>
          <w:color w:val="auto"/>
          <w:sz w:val="21"/>
          <w:szCs w:val="21"/>
          <w:highlight w:val="none"/>
        </w:rPr>
        <w:t>分包给</w:t>
      </w:r>
      <w:r>
        <w:rPr>
          <w:rFonts w:hint="eastAsia" w:ascii="宋体" w:hAnsi="宋体" w:eastAsia="宋体" w:cs="宋体"/>
          <w:color w:val="auto"/>
          <w:kern w:val="0"/>
          <w:sz w:val="21"/>
          <w:szCs w:val="21"/>
          <w:highlight w:val="none"/>
          <w:u w:val="single"/>
        </w:rPr>
        <w:t>（某分包供应商名称）</w:t>
      </w:r>
      <w:r>
        <w:rPr>
          <w:rFonts w:hint="eastAsia" w:ascii="宋体" w:hAnsi="宋体" w:eastAsia="宋体" w:cs="宋体"/>
          <w:color w:val="auto"/>
          <w:kern w:val="0"/>
          <w:sz w:val="21"/>
          <w:szCs w:val="21"/>
          <w:highlight w:val="none"/>
          <w:lang w:val="zh-CN"/>
        </w:rPr>
        <w:t>，</w:t>
      </w:r>
      <w:r>
        <w:rPr>
          <w:rFonts w:hint="eastAsia" w:ascii="宋体" w:hAnsi="宋体" w:eastAsia="宋体" w:cs="宋体"/>
          <w:color w:val="auto"/>
          <w:kern w:val="0"/>
          <w:sz w:val="21"/>
          <w:szCs w:val="21"/>
          <w:highlight w:val="none"/>
          <w:u w:val="single"/>
        </w:rPr>
        <w:t>（某分包供应商名称），</w:t>
      </w:r>
      <w:r>
        <w:rPr>
          <w:rFonts w:hint="eastAsia" w:ascii="宋体" w:hAnsi="宋体" w:eastAsia="宋体" w:cs="宋体"/>
          <w:color w:val="auto"/>
          <w:kern w:val="0"/>
          <w:sz w:val="21"/>
          <w:szCs w:val="21"/>
          <w:highlight w:val="none"/>
          <w:lang w:val="zh-CN"/>
        </w:rPr>
        <w:t>具备承</w:t>
      </w:r>
      <w:r>
        <w:rPr>
          <w:rFonts w:hint="eastAsia" w:ascii="宋体" w:hAnsi="宋体" w:eastAsia="宋体" w:cs="宋体"/>
          <w:color w:val="auto"/>
          <w:kern w:val="0"/>
          <w:sz w:val="21"/>
          <w:szCs w:val="21"/>
          <w:highlight w:val="none"/>
        </w:rPr>
        <w:t>担</w:t>
      </w:r>
      <w:r>
        <w:rPr>
          <w:rFonts w:hint="eastAsia" w:ascii="宋体" w:hAnsi="宋体" w:eastAsia="宋体" w:cs="宋体"/>
          <w:color w:val="auto"/>
          <w:kern w:val="0"/>
          <w:sz w:val="21"/>
          <w:szCs w:val="21"/>
          <w:highlight w:val="none"/>
          <w:u w:val="single"/>
          <w:lang w:val="zh-CN"/>
        </w:rPr>
        <w:t>XX工作内容</w:t>
      </w:r>
      <w:r>
        <w:rPr>
          <w:rFonts w:hint="eastAsia" w:ascii="宋体" w:hAnsi="宋体" w:eastAsia="宋体" w:cs="宋体"/>
          <w:color w:val="auto"/>
          <w:kern w:val="0"/>
          <w:sz w:val="21"/>
          <w:szCs w:val="21"/>
          <w:highlight w:val="none"/>
          <w:lang w:val="zh-CN"/>
        </w:rPr>
        <w:t>相应资质条件且不得再次分包；</w:t>
      </w:r>
    </w:p>
    <w:p>
      <w:pPr>
        <w:pStyle w:val="6"/>
        <w:ind w:left="664" w:leftChars="316" w:firstLine="200" w:firstLineChars="95"/>
        <w:rPr>
          <w:rFonts w:hint="eastAsia" w:ascii="宋体" w:hAnsi="宋体" w:eastAsia="宋体" w:cs="宋体"/>
          <w:color w:val="auto"/>
          <w:kern w:val="0"/>
          <w:sz w:val="21"/>
          <w:szCs w:val="21"/>
          <w:highlight w:val="none"/>
        </w:rPr>
      </w:pPr>
      <w:bookmarkStart w:id="1115" w:name="_Toc20696"/>
      <w:r>
        <w:rPr>
          <w:rFonts w:hint="eastAsia" w:ascii="宋体" w:hAnsi="宋体" w:eastAsia="宋体" w:cs="宋体"/>
          <w:color w:val="auto"/>
          <w:kern w:val="0"/>
          <w:sz w:val="21"/>
          <w:szCs w:val="21"/>
          <w:highlight w:val="none"/>
        </w:rPr>
        <w:t>……</w:t>
      </w:r>
      <w:bookmarkEnd w:id="1115"/>
    </w:p>
    <w:p>
      <w:pPr>
        <w:snapToGrid w:val="0"/>
        <w:spacing w:line="360" w:lineRule="auto"/>
        <w:ind w:firstLine="576"/>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二、分包供应商中小企业合同份额</w:t>
      </w:r>
    </w:p>
    <w:p>
      <w:pPr>
        <w:snapToGrid w:val="0"/>
        <w:spacing w:line="360" w:lineRule="auto"/>
        <w:ind w:firstLine="576"/>
        <w:rPr>
          <w:rFonts w:hint="eastAsia" w:ascii="宋体" w:hAnsi="宋体" w:eastAsia="宋体" w:cs="宋体"/>
          <w:b w:val="0"/>
          <w:color w:val="auto"/>
          <w:kern w:val="0"/>
          <w:sz w:val="21"/>
          <w:szCs w:val="21"/>
          <w:highlight w:val="none"/>
          <w:lang w:val="zh-CN"/>
        </w:rPr>
      </w:pPr>
      <w:r>
        <w:rPr>
          <w:rFonts w:hint="eastAsia" w:ascii="宋体" w:hAnsi="宋体" w:eastAsia="宋体" w:cs="宋体"/>
          <w:color w:val="auto"/>
          <w:kern w:val="0"/>
          <w:sz w:val="21"/>
          <w:szCs w:val="21"/>
          <w:highlight w:val="none"/>
          <w:lang w:val="zh-CN"/>
        </w:rPr>
        <w:t>1、</w:t>
      </w:r>
      <w:r>
        <w:rPr>
          <w:rFonts w:hint="eastAsia" w:ascii="宋体" w:hAnsi="宋体" w:eastAsia="宋体" w:cs="宋体"/>
          <w:color w:val="auto"/>
          <w:kern w:val="0"/>
          <w:sz w:val="21"/>
          <w:szCs w:val="21"/>
          <w:highlight w:val="none"/>
          <w:u w:val="single"/>
          <w:lang w:val="zh-CN"/>
        </w:rPr>
        <w:t>（分包供应商X,……）提供的服务全部由小微企业承接</w:t>
      </w:r>
      <w:r>
        <w:rPr>
          <w:rFonts w:hint="eastAsia" w:ascii="宋体" w:hAnsi="宋体" w:eastAsia="宋体" w:cs="宋体"/>
          <w:color w:val="auto"/>
          <w:kern w:val="0"/>
          <w:sz w:val="21"/>
          <w:szCs w:val="21"/>
          <w:highlight w:val="none"/>
          <w:u w:val="none"/>
          <w:lang w:val="zh-CN"/>
        </w:rPr>
        <w:t>，</w:t>
      </w:r>
      <w:r>
        <w:rPr>
          <w:rFonts w:hint="eastAsia" w:ascii="宋体" w:hAnsi="宋体" w:eastAsia="宋体" w:cs="宋体"/>
          <w:color w:val="auto"/>
          <w:kern w:val="0"/>
          <w:sz w:val="21"/>
          <w:szCs w:val="21"/>
          <w:highlight w:val="none"/>
          <w:lang w:val="zh-CN"/>
        </w:rPr>
        <w:t>其合同份额占到合同总金额</w:t>
      </w:r>
      <w:r>
        <w:rPr>
          <w:rFonts w:hint="eastAsia" w:ascii="宋体" w:hAnsi="宋体" w:eastAsia="宋体" w:cs="宋体"/>
          <w:color w:val="auto"/>
          <w:kern w:val="0"/>
          <w:sz w:val="21"/>
          <w:szCs w:val="21"/>
          <w:highlight w:val="none"/>
          <w:u w:val="single"/>
          <w:lang w:val="zh-CN"/>
        </w:rPr>
        <w:t xml:space="preserve">    </w:t>
      </w:r>
      <w:r>
        <w:rPr>
          <w:rFonts w:hint="eastAsia" w:ascii="宋体" w:hAnsi="宋体" w:eastAsia="宋体" w:cs="宋体"/>
          <w:color w:val="auto"/>
          <w:kern w:val="0"/>
          <w:sz w:val="21"/>
          <w:szCs w:val="21"/>
          <w:highlight w:val="none"/>
          <w:u w:val="none"/>
          <w:lang w:val="zh-CN"/>
        </w:rPr>
        <w:t xml:space="preserve"> </w:t>
      </w:r>
      <w:r>
        <w:rPr>
          <w:rFonts w:hint="eastAsia" w:ascii="宋体" w:hAnsi="宋体" w:eastAsia="宋体" w:cs="宋体"/>
          <w:color w:val="auto"/>
          <w:kern w:val="0"/>
          <w:sz w:val="21"/>
          <w:szCs w:val="21"/>
          <w:highlight w:val="none"/>
          <w:lang w:val="zh-CN"/>
        </w:rPr>
        <w:t>%以上。</w:t>
      </w:r>
      <w:r>
        <w:rPr>
          <w:rFonts w:hint="eastAsia" w:ascii="宋体" w:hAnsi="宋体" w:eastAsia="宋体" w:cs="宋体"/>
          <w:b w:val="0"/>
          <w:bCs w:val="0"/>
          <w:i/>
          <w:iCs/>
          <w:color w:val="auto"/>
          <w:kern w:val="0"/>
          <w:sz w:val="21"/>
          <w:szCs w:val="21"/>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拟享受以上价格扣除政策的，填写有关内容。）</w:t>
      </w:r>
    </w:p>
    <w:p>
      <w:pPr>
        <w:snapToGrid w:val="0"/>
        <w:spacing w:line="360" w:lineRule="auto"/>
        <w:ind w:firstLine="576"/>
        <w:rPr>
          <w:rFonts w:hint="eastAsia" w:ascii="宋体" w:hAnsi="宋体" w:eastAsia="宋体" w:cs="宋体"/>
          <w:i/>
          <w:iCs/>
          <w:color w:val="auto"/>
          <w:kern w:val="0"/>
          <w:sz w:val="21"/>
          <w:szCs w:val="21"/>
          <w:highlight w:val="none"/>
          <w:lang w:val="zh-CN"/>
        </w:rPr>
      </w:pPr>
      <w:r>
        <w:rPr>
          <w:rFonts w:hint="eastAsia" w:ascii="宋体" w:hAnsi="宋体" w:eastAsia="宋体" w:cs="宋体"/>
          <w:color w:val="auto"/>
          <w:kern w:val="0"/>
          <w:sz w:val="21"/>
          <w:szCs w:val="21"/>
          <w:highlight w:val="none"/>
          <w:lang w:val="zh-CN"/>
        </w:rPr>
        <w:t>2、中小企业合同金额达到</w:t>
      </w:r>
      <w:r>
        <w:rPr>
          <w:rFonts w:hint="eastAsia" w:ascii="宋体" w:hAnsi="宋体" w:eastAsia="宋体" w:cs="宋体"/>
          <w:color w:val="auto"/>
          <w:kern w:val="0"/>
          <w:sz w:val="21"/>
          <w:szCs w:val="21"/>
          <w:highlight w:val="none"/>
          <w:u w:val="single"/>
          <w:lang w:val="zh-CN"/>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lang w:val="zh-CN"/>
        </w:rPr>
        <w:t xml:space="preserve"> </w:t>
      </w:r>
      <w:r>
        <w:rPr>
          <w:rFonts w:hint="eastAsia" w:ascii="宋体" w:hAnsi="宋体" w:eastAsia="宋体" w:cs="宋体"/>
          <w:color w:val="auto"/>
          <w:kern w:val="0"/>
          <w:sz w:val="21"/>
          <w:szCs w:val="21"/>
          <w:highlight w:val="none"/>
          <w:lang w:val="zh-CN"/>
        </w:rPr>
        <w:t>%，其中小微企业合同金额达到</w:t>
      </w:r>
      <w:r>
        <w:rPr>
          <w:rFonts w:hint="eastAsia" w:ascii="宋体" w:hAnsi="宋体" w:eastAsia="宋体" w:cs="宋体"/>
          <w:color w:val="auto"/>
          <w:kern w:val="0"/>
          <w:sz w:val="21"/>
          <w:szCs w:val="21"/>
          <w:highlight w:val="none"/>
          <w:u w:val="single"/>
          <w:lang w:val="zh-CN"/>
        </w:rPr>
        <w:t xml:space="preserve"> </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lang w:val="zh-CN"/>
        </w:rPr>
        <w:t>%。</w:t>
      </w:r>
      <w:r>
        <w:rPr>
          <w:rFonts w:hint="eastAsia" w:ascii="宋体" w:hAnsi="宋体" w:eastAsia="宋体" w:cs="宋体"/>
          <w:b w:val="0"/>
          <w:bCs w:val="0"/>
          <w:i/>
          <w:iCs/>
          <w:color w:val="auto"/>
          <w:kern w:val="0"/>
          <w:sz w:val="21"/>
          <w:szCs w:val="21"/>
          <w:highlight w:val="none"/>
          <w:lang w:val="zh-CN"/>
        </w:rPr>
        <w:t>（要求合同分包形式参加的项目或采购包，供应商按磋商文件第一部分竞争性磋商公告申请人的资格要求中规定的</w:t>
      </w:r>
      <w:r>
        <w:rPr>
          <w:rFonts w:hint="eastAsia" w:ascii="宋体" w:hAnsi="宋体" w:eastAsia="宋体" w:cs="宋体"/>
          <w:b w:val="0"/>
          <w:i/>
          <w:iCs/>
          <w:color w:val="auto"/>
          <w:kern w:val="0"/>
          <w:sz w:val="21"/>
          <w:szCs w:val="21"/>
          <w:highlight w:val="none"/>
          <w:lang w:val="zh-CN"/>
        </w:rPr>
        <w:t>分包意向协议</w:t>
      </w:r>
      <w:r>
        <w:rPr>
          <w:rFonts w:hint="eastAsia" w:ascii="宋体" w:hAnsi="宋体" w:eastAsia="宋体" w:cs="宋体"/>
          <w:b w:val="0"/>
          <w:bCs w:val="0"/>
          <w:i/>
          <w:iCs/>
          <w:color w:val="auto"/>
          <w:kern w:val="0"/>
          <w:sz w:val="21"/>
          <w:szCs w:val="21"/>
          <w:highlight w:val="none"/>
          <w:lang w:val="zh-CN"/>
        </w:rPr>
        <w:t>中中小企业、小微企业合同金额应当达到的比例要求填写。）</w:t>
      </w:r>
    </w:p>
    <w:p>
      <w:pPr>
        <w:snapToGrid w:val="0"/>
        <w:spacing w:line="360" w:lineRule="auto"/>
        <w:ind w:firstLine="420" w:firstLineChars="2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en-US" w:eastAsia="zh-CN"/>
        </w:rPr>
        <w:t>三</w:t>
      </w:r>
      <w:r>
        <w:rPr>
          <w:rFonts w:hint="eastAsia" w:ascii="宋体" w:hAnsi="宋体" w:eastAsia="宋体" w:cs="宋体"/>
          <w:color w:val="auto"/>
          <w:kern w:val="0"/>
          <w:sz w:val="21"/>
          <w:szCs w:val="21"/>
          <w:highlight w:val="none"/>
          <w:lang w:val="zh-CN"/>
        </w:rPr>
        <w:t>、分包工作履行期限、地点、方式</w:t>
      </w:r>
    </w:p>
    <w:p>
      <w:pPr>
        <w:snapToGrid w:val="0"/>
        <w:spacing w:line="360" w:lineRule="auto"/>
        <w:ind w:firstLine="576"/>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 xml:space="preserve">                                                                                  </w:t>
      </w:r>
    </w:p>
    <w:p>
      <w:pPr>
        <w:snapToGrid w:val="0"/>
        <w:spacing w:line="360" w:lineRule="auto"/>
        <w:ind w:firstLine="576"/>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en-US" w:eastAsia="zh-CN"/>
        </w:rPr>
        <w:t>四</w:t>
      </w:r>
      <w:r>
        <w:rPr>
          <w:rFonts w:hint="eastAsia" w:ascii="宋体" w:hAnsi="宋体" w:eastAsia="宋体" w:cs="宋体"/>
          <w:color w:val="auto"/>
          <w:kern w:val="0"/>
          <w:sz w:val="21"/>
          <w:szCs w:val="21"/>
          <w:highlight w:val="none"/>
          <w:lang w:val="zh-CN"/>
        </w:rPr>
        <w:t>、质量</w:t>
      </w:r>
    </w:p>
    <w:p>
      <w:pPr>
        <w:snapToGrid w:val="0"/>
        <w:spacing w:line="360" w:lineRule="auto"/>
        <w:ind w:firstLine="576"/>
        <w:rPr>
          <w:rFonts w:hint="eastAsia" w:ascii="宋体" w:hAnsi="宋体" w:eastAsia="宋体" w:cs="宋体"/>
          <w:color w:val="auto"/>
          <w:kern w:val="0"/>
          <w:sz w:val="21"/>
          <w:szCs w:val="21"/>
          <w:highlight w:val="none"/>
          <w:lang w:val="zh-CN"/>
        </w:rPr>
      </w:pPr>
      <w:r>
        <w:rPr>
          <w:rFonts w:hint="eastAsia" w:ascii="宋体" w:hAnsi="宋体" w:eastAsia="宋体" w:cs="宋体"/>
          <w:color w:val="auto"/>
          <w:sz w:val="21"/>
          <w:szCs w:val="21"/>
          <w:highlight w:val="none"/>
          <w:u w:val="single"/>
        </w:rPr>
        <w:t xml:space="preserve">                                                                                       </w:t>
      </w:r>
    </w:p>
    <w:p>
      <w:pPr>
        <w:snapToGrid w:val="0"/>
        <w:spacing w:line="360" w:lineRule="auto"/>
        <w:ind w:firstLine="576"/>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en-US" w:eastAsia="zh-CN"/>
        </w:rPr>
        <w:t>五</w:t>
      </w:r>
      <w:r>
        <w:rPr>
          <w:rFonts w:hint="eastAsia" w:ascii="宋体" w:hAnsi="宋体" w:eastAsia="宋体" w:cs="宋体"/>
          <w:color w:val="auto"/>
          <w:kern w:val="0"/>
          <w:sz w:val="21"/>
          <w:szCs w:val="21"/>
          <w:highlight w:val="none"/>
          <w:lang w:val="zh-CN"/>
        </w:rPr>
        <w:t>、价款或者报酬</w:t>
      </w:r>
    </w:p>
    <w:p>
      <w:pPr>
        <w:snapToGrid w:val="0"/>
        <w:spacing w:line="360" w:lineRule="auto"/>
        <w:ind w:left="573" w:leftChars="273"/>
        <w:rPr>
          <w:rFonts w:hint="eastAsia" w:ascii="宋体" w:hAnsi="宋体" w:eastAsia="宋体" w:cs="宋体"/>
          <w:color w:val="auto"/>
          <w:kern w:val="0"/>
          <w:sz w:val="21"/>
          <w:szCs w:val="21"/>
          <w:highlight w:val="none"/>
          <w:lang w:val="zh-CN"/>
        </w:rPr>
      </w:pPr>
      <w:r>
        <w:rPr>
          <w:rFonts w:hint="eastAsia" w:ascii="宋体" w:hAnsi="宋体" w:eastAsia="宋体" w:cs="宋体"/>
          <w:color w:val="auto"/>
          <w:sz w:val="21"/>
          <w:szCs w:val="21"/>
          <w:highlight w:val="none"/>
          <w:u w:val="single"/>
        </w:rPr>
        <w:t xml:space="preserve">                                                                                     </w:t>
      </w:r>
    </w:p>
    <w:p>
      <w:pPr>
        <w:snapToGrid w:val="0"/>
        <w:spacing w:line="360" w:lineRule="auto"/>
        <w:ind w:left="573" w:leftChars="273"/>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en-US" w:eastAsia="zh-CN"/>
        </w:rPr>
        <w:t>六</w:t>
      </w:r>
      <w:r>
        <w:rPr>
          <w:rFonts w:hint="eastAsia" w:ascii="宋体" w:hAnsi="宋体" w:eastAsia="宋体" w:cs="宋体"/>
          <w:color w:val="auto"/>
          <w:kern w:val="0"/>
          <w:sz w:val="21"/>
          <w:szCs w:val="21"/>
          <w:highlight w:val="none"/>
          <w:lang w:val="zh-CN"/>
        </w:rPr>
        <w:t>、违约责任</w:t>
      </w:r>
    </w:p>
    <w:p>
      <w:pPr>
        <w:snapToGrid w:val="0"/>
        <w:spacing w:line="360" w:lineRule="auto"/>
        <w:ind w:firstLine="576"/>
        <w:rPr>
          <w:rFonts w:hint="eastAsia" w:ascii="宋体" w:hAnsi="宋体" w:eastAsia="宋体" w:cs="宋体"/>
          <w:color w:val="auto"/>
          <w:kern w:val="0"/>
          <w:sz w:val="21"/>
          <w:szCs w:val="21"/>
          <w:highlight w:val="none"/>
          <w:lang w:val="zh-CN"/>
        </w:rPr>
      </w:pPr>
      <w:r>
        <w:rPr>
          <w:rFonts w:hint="eastAsia" w:ascii="宋体" w:hAnsi="宋体" w:eastAsia="宋体" w:cs="宋体"/>
          <w:color w:val="auto"/>
          <w:sz w:val="21"/>
          <w:szCs w:val="21"/>
          <w:highlight w:val="none"/>
          <w:u w:val="single"/>
        </w:rPr>
        <w:t xml:space="preserve">                                                                                     </w:t>
      </w:r>
    </w:p>
    <w:p>
      <w:pPr>
        <w:snapToGrid w:val="0"/>
        <w:spacing w:line="360" w:lineRule="auto"/>
        <w:ind w:firstLine="576"/>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en-US" w:eastAsia="zh-CN"/>
        </w:rPr>
        <w:t>七</w:t>
      </w:r>
      <w:r>
        <w:rPr>
          <w:rFonts w:hint="eastAsia" w:ascii="宋体" w:hAnsi="宋体" w:eastAsia="宋体" w:cs="宋体"/>
          <w:color w:val="auto"/>
          <w:kern w:val="0"/>
          <w:sz w:val="21"/>
          <w:szCs w:val="21"/>
          <w:highlight w:val="none"/>
          <w:lang w:val="zh-CN"/>
        </w:rPr>
        <w:t>、争议解决的办法</w:t>
      </w:r>
    </w:p>
    <w:p>
      <w:pPr>
        <w:snapToGrid w:val="0"/>
        <w:spacing w:line="360" w:lineRule="auto"/>
        <w:ind w:firstLine="576"/>
        <w:rPr>
          <w:rFonts w:hint="eastAsia" w:ascii="宋体" w:hAnsi="宋体" w:eastAsia="宋体" w:cs="宋体"/>
          <w:color w:val="auto"/>
          <w:kern w:val="0"/>
          <w:sz w:val="21"/>
          <w:szCs w:val="21"/>
          <w:highlight w:val="none"/>
          <w:lang w:val="zh-CN"/>
        </w:rPr>
      </w:pPr>
      <w:r>
        <w:rPr>
          <w:rFonts w:hint="eastAsia" w:ascii="宋体" w:hAnsi="宋体" w:eastAsia="宋体" w:cs="宋体"/>
          <w:color w:val="auto"/>
          <w:sz w:val="21"/>
          <w:szCs w:val="21"/>
          <w:highlight w:val="none"/>
          <w:u w:val="single"/>
        </w:rPr>
        <w:t xml:space="preserve">                                                                                  </w:t>
      </w:r>
    </w:p>
    <w:p>
      <w:pPr>
        <w:snapToGrid w:val="0"/>
        <w:spacing w:line="360" w:lineRule="auto"/>
        <w:ind w:left="5128" w:leftChars="342" w:hanging="4410" w:hangingChars="2100"/>
        <w:rPr>
          <w:rFonts w:hint="eastAsia" w:ascii="宋体" w:hAnsi="宋体" w:eastAsia="宋体" w:cs="宋体"/>
          <w:color w:val="auto"/>
          <w:kern w:val="0"/>
          <w:sz w:val="21"/>
          <w:szCs w:val="21"/>
          <w:highlight w:val="none"/>
          <w:lang w:val="zh-CN"/>
        </w:rPr>
      </w:pPr>
    </w:p>
    <w:p>
      <w:pPr>
        <w:snapToGrid w:val="0"/>
        <w:spacing w:line="360" w:lineRule="auto"/>
        <w:ind w:left="5128" w:leftChars="342" w:hanging="4410" w:hangingChars="21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 xml:space="preserve">                                         磋商供应商名称(电子签名)：</w:t>
      </w:r>
    </w:p>
    <w:p>
      <w:pPr>
        <w:snapToGrid w:val="0"/>
        <w:spacing w:line="360" w:lineRule="auto"/>
        <w:ind w:firstLine="4935" w:firstLineChars="235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分包供应商名称：</w:t>
      </w:r>
    </w:p>
    <w:p>
      <w:pPr>
        <w:snapToGrid w:val="0"/>
        <w:spacing w:line="360" w:lineRule="auto"/>
        <w:ind w:firstLine="5040" w:firstLineChars="24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zh-CN"/>
        </w:rPr>
        <w:t>……</w:t>
      </w:r>
    </w:p>
    <w:p>
      <w:pPr>
        <w:widowControl/>
        <w:spacing w:line="360" w:lineRule="auto"/>
        <w:ind w:left="150"/>
        <w:jc w:val="both"/>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1"/>
          <w:szCs w:val="21"/>
          <w:highlight w:val="none"/>
          <w:lang w:val="zh-CN"/>
        </w:rPr>
        <w:t xml:space="preserve">                                        日期：  年  月   日</w:t>
      </w:r>
    </w:p>
    <w:p>
      <w:pPr>
        <w:pStyle w:val="42"/>
        <w:snapToGrid w:val="0"/>
        <w:spacing w:line="500" w:lineRule="exact"/>
        <w:jc w:val="both"/>
        <w:rPr>
          <w:rFonts w:hint="eastAsia" w:ascii="宋体" w:hAnsi="宋体" w:eastAsia="宋体" w:cs="宋体"/>
          <w:b/>
          <w:bCs/>
          <w:color w:val="auto"/>
          <w:highlight w:val="none"/>
          <w:lang w:val="en-US" w:eastAsia="zh-CN"/>
        </w:rPr>
      </w:pPr>
      <w:r>
        <w:rPr>
          <w:rFonts w:hint="eastAsia" w:ascii="宋体" w:hAnsi="宋体" w:eastAsia="宋体" w:cs="宋体"/>
          <w:color w:val="auto"/>
          <w:sz w:val="28"/>
          <w:highlight w:val="none"/>
          <w:lang w:val="en-US" w:eastAsia="zh-CN"/>
        </w:rPr>
        <w:t>其他附表：</w:t>
      </w:r>
    </w:p>
    <w:p>
      <w:pPr>
        <w:pStyle w:val="42"/>
        <w:snapToGrid w:val="0"/>
        <w:spacing w:afterLines="50" w:line="420" w:lineRule="exact"/>
        <w:jc w:val="center"/>
        <w:rPr>
          <w:rFonts w:hint="eastAsia" w:ascii="宋体" w:hAnsi="宋体" w:eastAsia="宋体" w:cs="宋体"/>
          <w:b/>
          <w:bCs/>
          <w:color w:val="auto"/>
          <w:sz w:val="32"/>
          <w:szCs w:val="28"/>
          <w:highlight w:val="none"/>
          <w:lang w:val="en-US" w:eastAsia="zh-CN"/>
        </w:rPr>
      </w:pPr>
      <w:r>
        <w:rPr>
          <w:rFonts w:hint="eastAsia" w:ascii="宋体" w:hAnsi="宋体" w:eastAsia="宋体" w:cs="宋体"/>
          <w:b/>
          <w:bCs/>
          <w:color w:val="auto"/>
          <w:sz w:val="32"/>
          <w:szCs w:val="28"/>
          <w:highlight w:val="none"/>
          <w:lang w:val="en-US" w:eastAsia="zh-CN"/>
        </w:rPr>
        <w:t>政府采购活动现场确认声明书</w:t>
      </w:r>
    </w:p>
    <w:p>
      <w:pPr>
        <w:pStyle w:val="14"/>
        <w:widowControl w:val="0"/>
        <w:kinsoku/>
        <w:wordWrap/>
        <w:overflowPunct/>
        <w:topLinePunct w:val="0"/>
        <w:autoSpaceDE/>
        <w:autoSpaceDN/>
        <w:bidi w:val="0"/>
        <w:snapToGrid w:val="0"/>
        <w:spacing w:line="400" w:lineRule="exac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u w:val="single"/>
          <w:lang w:val="en-US" w:eastAsia="zh-CN"/>
        </w:rPr>
        <w:t xml:space="preserve">    采购人、采购代理机构   </w:t>
      </w:r>
      <w:r>
        <w:rPr>
          <w:rFonts w:hint="eastAsia" w:ascii="宋体" w:hAnsi="宋体" w:eastAsia="宋体" w:cs="宋体"/>
          <w:color w:val="auto"/>
          <w:sz w:val="21"/>
          <w:szCs w:val="21"/>
          <w:highlight w:val="none"/>
        </w:rPr>
        <w:t>：</w:t>
      </w:r>
    </w:p>
    <w:p>
      <w:pPr>
        <w:pStyle w:val="14"/>
        <w:widowControl w:val="0"/>
        <w:kinsoku/>
        <w:wordWrap/>
        <w:overflowPunct/>
        <w:topLinePunct w:val="0"/>
        <w:autoSpaceDE/>
        <w:autoSpaceDN/>
        <w:bidi w:val="0"/>
        <w:snapToGrid w:val="0"/>
        <w:spacing w:before="0" w:after="0" w:line="400" w:lineRule="exact"/>
        <w:ind w:firstLine="444" w:firstLineChars="200"/>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spacing w:val="6"/>
          <w:sz w:val="21"/>
          <w:szCs w:val="21"/>
          <w:highlight w:val="none"/>
        </w:rPr>
        <w:t>本人</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6"/>
          <w:sz w:val="21"/>
          <w:szCs w:val="21"/>
          <w:highlight w:val="none"/>
        </w:rPr>
        <w:t>（授权代表姓名），经由</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6"/>
          <w:sz w:val="21"/>
          <w:szCs w:val="21"/>
          <w:highlight w:val="none"/>
        </w:rPr>
        <w:t>（单位）</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6"/>
          <w:sz w:val="21"/>
          <w:szCs w:val="21"/>
          <w:highlight w:val="none"/>
        </w:rPr>
        <w:t>（法定代表人姓名）合法授权参加</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6"/>
          <w:sz w:val="21"/>
          <w:szCs w:val="21"/>
          <w:highlight w:val="none"/>
          <w:u w:val="single"/>
          <w:lang w:val="en-US" w:eastAsia="zh-CN"/>
        </w:rPr>
        <w:t xml:space="preserve">                  </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6"/>
          <w:sz w:val="21"/>
          <w:szCs w:val="21"/>
          <w:highlight w:val="none"/>
        </w:rPr>
        <w:t>项目（编号：</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6"/>
          <w:sz w:val="21"/>
          <w:szCs w:val="21"/>
          <w:highlight w:val="none"/>
        </w:rPr>
        <w:t>）政府采购活动，经与本单位法人代表（负责人）联系确认，现就有关公平竞争事项郑重声明如下：</w:t>
      </w:r>
    </w:p>
    <w:p>
      <w:pPr>
        <w:pStyle w:val="14"/>
        <w:widowControl w:val="0"/>
        <w:kinsoku/>
        <w:wordWrap/>
        <w:overflowPunct/>
        <w:topLinePunct w:val="0"/>
        <w:autoSpaceDE/>
        <w:autoSpaceDN/>
        <w:bidi w:val="0"/>
        <w:snapToGrid w:val="0"/>
        <w:spacing w:before="0" w:after="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一、本单位与采购人之间□不存在利害关系□存在下列利害关系：</w:t>
      </w:r>
    </w:p>
    <w:p>
      <w:pPr>
        <w:pStyle w:val="14"/>
        <w:widowControl w:val="0"/>
        <w:kinsoku/>
        <w:wordWrap/>
        <w:overflowPunct/>
        <w:topLinePunct w:val="0"/>
        <w:autoSpaceDE/>
        <w:autoSpaceDN/>
        <w:bidi w:val="0"/>
        <w:snapToGrid w:val="0"/>
        <w:spacing w:before="0" w:after="0" w:line="400" w:lineRule="exact"/>
        <w:ind w:firstLine="420" w:firstLineChars="200"/>
        <w:textAlignment w:val="auto"/>
        <w:rPr>
          <w:rFonts w:hint="eastAsia" w:ascii="宋体" w:hAnsi="宋体" w:eastAsia="宋体" w:cs="宋体"/>
          <w:b/>
          <w:bCs/>
          <w:color w:val="auto"/>
          <w:sz w:val="21"/>
          <w:szCs w:val="21"/>
          <w:highlight w:val="none"/>
        </w:rPr>
      </w:pPr>
      <w:bookmarkStart w:id="1116" w:name="_Toc27231"/>
      <w:bookmarkStart w:id="1117" w:name="_Toc15373"/>
      <w:bookmarkStart w:id="1118" w:name="_Toc6003"/>
      <w:bookmarkStart w:id="1119" w:name="_Toc17468"/>
      <w:bookmarkStart w:id="1120" w:name="_Toc12112"/>
      <w:r>
        <w:rPr>
          <w:rFonts w:hint="eastAsia" w:ascii="宋体" w:hAnsi="宋体" w:eastAsia="宋体" w:cs="宋体"/>
          <w:color w:val="auto"/>
          <w:sz w:val="21"/>
          <w:szCs w:val="21"/>
          <w:highlight w:val="none"/>
        </w:rPr>
        <w:t>A.投资关系    B.行政隶属关系    C.业务指导关系</w:t>
      </w:r>
      <w:bookmarkEnd w:id="1116"/>
      <w:bookmarkEnd w:id="1117"/>
      <w:bookmarkEnd w:id="1118"/>
      <w:bookmarkEnd w:id="1119"/>
      <w:bookmarkEnd w:id="1120"/>
    </w:p>
    <w:p>
      <w:pPr>
        <w:widowControl w:val="0"/>
        <w:kinsoku/>
        <w:wordWrap/>
        <w:overflowPunct/>
        <w:topLinePunct w:val="0"/>
        <w:autoSpaceDE/>
        <w:autoSpaceDN/>
        <w:bidi w:val="0"/>
        <w:snapToGrid w:val="0"/>
        <w:spacing w:line="400" w:lineRule="exact"/>
        <w:ind w:firstLine="420" w:firstLineChars="200"/>
        <w:textAlignment w:val="auto"/>
        <w:rPr>
          <w:rFonts w:hint="eastAsia" w:ascii="宋体" w:hAnsi="宋体" w:eastAsia="宋体" w:cs="宋体"/>
          <w:color w:val="auto"/>
          <w:sz w:val="21"/>
          <w:szCs w:val="21"/>
          <w:highlight w:val="none"/>
        </w:rPr>
      </w:pPr>
      <w:bookmarkStart w:id="1121" w:name="_Toc28394"/>
      <w:bookmarkStart w:id="1122" w:name="_Toc4044"/>
      <w:bookmarkStart w:id="1123" w:name="_Toc9171"/>
      <w:bookmarkStart w:id="1124" w:name="_Toc19012"/>
      <w:bookmarkStart w:id="1125" w:name="_Toc24424"/>
      <w:r>
        <w:rPr>
          <w:rFonts w:hint="eastAsia" w:ascii="宋体" w:hAnsi="宋体" w:eastAsia="宋体" w:cs="宋体"/>
          <w:color w:val="auto"/>
          <w:sz w:val="21"/>
          <w:szCs w:val="21"/>
          <w:highlight w:val="none"/>
        </w:rPr>
        <w:t>D.其他可能影响采购公正的利害关系</w:t>
      </w:r>
      <w:r>
        <w:rPr>
          <w:rFonts w:hint="eastAsia" w:ascii="宋体" w:hAnsi="宋体" w:eastAsia="宋体" w:cs="宋体"/>
          <w:color w:val="auto"/>
          <w:sz w:val="21"/>
          <w:szCs w:val="21"/>
          <w:highlight w:val="none"/>
          <w:u w:val="single"/>
        </w:rPr>
        <w:t xml:space="preserve">（如有，请如实说明）              </w:t>
      </w:r>
      <w:r>
        <w:rPr>
          <w:rFonts w:hint="eastAsia" w:ascii="宋体" w:hAnsi="宋体" w:eastAsia="宋体" w:cs="宋体"/>
          <w:color w:val="auto"/>
          <w:sz w:val="21"/>
          <w:szCs w:val="21"/>
          <w:highlight w:val="none"/>
        </w:rPr>
        <w:t>。</w:t>
      </w:r>
      <w:bookmarkEnd w:id="1121"/>
      <w:bookmarkEnd w:id="1122"/>
      <w:bookmarkEnd w:id="1123"/>
      <w:bookmarkEnd w:id="1124"/>
      <w:bookmarkEnd w:id="1125"/>
    </w:p>
    <w:p>
      <w:pPr>
        <w:widowControl w:val="0"/>
        <w:kinsoku/>
        <w:wordWrap/>
        <w:overflowPunct/>
        <w:topLinePunct w:val="0"/>
        <w:autoSpaceDE/>
        <w:autoSpaceDN/>
        <w:bidi w:val="0"/>
        <w:snapToGrid w:val="0"/>
        <w:spacing w:line="400" w:lineRule="exact"/>
        <w:ind w:firstLine="44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二、</w:t>
      </w:r>
      <w:r>
        <w:rPr>
          <w:rFonts w:hint="eastAsia" w:ascii="宋体" w:hAnsi="宋体" w:eastAsia="宋体" w:cs="宋体"/>
          <w:color w:val="auto"/>
          <w:sz w:val="21"/>
          <w:szCs w:val="21"/>
          <w:highlight w:val="none"/>
        </w:rPr>
        <w:t>现已清楚知道参加本项目采购活动的其他所有</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名称，本单位□与其他所有</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之间均不存在利害关系  □与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eastAsia="zh-CN"/>
        </w:rPr>
        <w:t>磋商供应商</w:t>
      </w:r>
      <w:r>
        <w:rPr>
          <w:rFonts w:hint="eastAsia" w:ascii="宋体" w:hAnsi="宋体" w:eastAsia="宋体" w:cs="宋体"/>
          <w:color w:val="auto"/>
          <w:sz w:val="21"/>
          <w:szCs w:val="21"/>
          <w:highlight w:val="none"/>
          <w:u w:val="single"/>
        </w:rPr>
        <w:t>名称）</w:t>
      </w:r>
      <w:r>
        <w:rPr>
          <w:rFonts w:hint="eastAsia" w:ascii="宋体" w:hAnsi="宋体" w:eastAsia="宋体" w:cs="宋体"/>
          <w:color w:val="auto"/>
          <w:sz w:val="21"/>
          <w:szCs w:val="21"/>
          <w:highlight w:val="none"/>
        </w:rPr>
        <w:t>之间存在下列利害关系：</w:t>
      </w:r>
    </w:p>
    <w:p>
      <w:pPr>
        <w:widowControl w:val="0"/>
        <w:kinsoku/>
        <w:wordWrap/>
        <w:overflowPunct/>
        <w:topLinePunct w:val="0"/>
        <w:autoSpaceDE/>
        <w:autoSpaceDN/>
        <w:bidi w:val="0"/>
        <w:snapToGrid w:val="0"/>
        <w:spacing w:line="4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A.法定代表人或负责人或实际控制人是同一人</w:t>
      </w:r>
    </w:p>
    <w:p>
      <w:pPr>
        <w:pStyle w:val="14"/>
        <w:widowControl w:val="0"/>
        <w:kinsoku/>
        <w:wordWrap/>
        <w:overflowPunct/>
        <w:topLinePunct w:val="0"/>
        <w:autoSpaceDE/>
        <w:autoSpaceDN/>
        <w:bidi w:val="0"/>
        <w:snapToGrid w:val="0"/>
        <w:spacing w:before="0" w:after="0" w:line="400" w:lineRule="exact"/>
        <w:ind w:firstLine="420" w:firstLineChars="200"/>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kern w:val="0"/>
          <w:sz w:val="21"/>
          <w:szCs w:val="21"/>
          <w:highlight w:val="none"/>
        </w:rPr>
        <w:t xml:space="preserve"> B.法定代表人或负责人或实际控制人是夫妻关系</w:t>
      </w:r>
    </w:p>
    <w:p>
      <w:pPr>
        <w:pStyle w:val="14"/>
        <w:widowControl w:val="0"/>
        <w:kinsoku/>
        <w:wordWrap/>
        <w:overflowPunct/>
        <w:topLinePunct w:val="0"/>
        <w:autoSpaceDE/>
        <w:autoSpaceDN/>
        <w:bidi w:val="0"/>
        <w:snapToGrid w:val="0"/>
        <w:spacing w:before="0" w:after="0" w:line="400" w:lineRule="exact"/>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C.法定代表人或负责人或实际控制人是直系血亲关系</w:t>
      </w:r>
    </w:p>
    <w:p>
      <w:pPr>
        <w:pStyle w:val="14"/>
        <w:widowControl w:val="0"/>
        <w:kinsoku/>
        <w:wordWrap/>
        <w:overflowPunct/>
        <w:topLinePunct w:val="0"/>
        <w:autoSpaceDE/>
        <w:autoSpaceDN/>
        <w:bidi w:val="0"/>
        <w:snapToGrid w:val="0"/>
        <w:spacing w:before="0" w:after="0" w:line="400" w:lineRule="exact"/>
        <w:ind w:firstLine="420" w:firstLineChars="200"/>
        <w:textAlignment w:val="auto"/>
        <w:rPr>
          <w:rFonts w:hint="eastAsia" w:ascii="宋体" w:hAnsi="宋体" w:eastAsia="宋体" w:cs="宋体"/>
          <w:color w:val="auto"/>
          <w:spacing w:val="6"/>
          <w:sz w:val="21"/>
          <w:szCs w:val="21"/>
          <w:highlight w:val="none"/>
        </w:rPr>
      </w:pPr>
      <w:r>
        <w:rPr>
          <w:rFonts w:hint="eastAsia" w:ascii="宋体" w:hAnsi="宋体" w:eastAsia="宋体" w:cs="宋体"/>
          <w:color w:val="auto"/>
          <w:kern w:val="0"/>
          <w:sz w:val="21"/>
          <w:szCs w:val="21"/>
          <w:highlight w:val="none"/>
        </w:rPr>
        <w:t xml:space="preserve"> D.法定代表人或负责人或实际控制人存在三代以内旁系血亲关系</w:t>
      </w:r>
    </w:p>
    <w:p>
      <w:pPr>
        <w:pStyle w:val="14"/>
        <w:widowControl w:val="0"/>
        <w:kinsoku/>
        <w:wordWrap/>
        <w:overflowPunct/>
        <w:topLinePunct w:val="0"/>
        <w:autoSpaceDE/>
        <w:autoSpaceDN/>
        <w:bidi w:val="0"/>
        <w:snapToGrid w:val="0"/>
        <w:spacing w:before="0" w:after="0"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E.法定代表人或负责人或实际控制人存在近姻亲关系</w:t>
      </w:r>
    </w:p>
    <w:p>
      <w:pPr>
        <w:pStyle w:val="14"/>
        <w:widowControl w:val="0"/>
        <w:kinsoku/>
        <w:wordWrap/>
        <w:overflowPunct/>
        <w:topLinePunct w:val="0"/>
        <w:autoSpaceDE/>
        <w:autoSpaceDN/>
        <w:bidi w:val="0"/>
        <w:snapToGrid w:val="0"/>
        <w:spacing w:before="0" w:after="0"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F.法定代表人或负责人或实际控制人存在股份控制或实际控制关系</w:t>
      </w:r>
    </w:p>
    <w:p>
      <w:pPr>
        <w:pStyle w:val="14"/>
        <w:widowControl w:val="0"/>
        <w:kinsoku/>
        <w:wordWrap/>
        <w:overflowPunct/>
        <w:topLinePunct w:val="0"/>
        <w:autoSpaceDE/>
        <w:autoSpaceDN/>
        <w:bidi w:val="0"/>
        <w:snapToGrid w:val="0"/>
        <w:spacing w:before="0" w:after="0"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G.存在共同直接或间接投资设立子公司、联营企业和合营企业情况</w:t>
      </w:r>
    </w:p>
    <w:p>
      <w:pPr>
        <w:pStyle w:val="14"/>
        <w:widowControl w:val="0"/>
        <w:kinsoku/>
        <w:wordWrap/>
        <w:overflowPunct/>
        <w:topLinePunct w:val="0"/>
        <w:autoSpaceDE/>
        <w:autoSpaceDN/>
        <w:bidi w:val="0"/>
        <w:snapToGrid w:val="0"/>
        <w:spacing w:before="0" w:after="0"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 H.存在分级代理或代销关系、同一生产制造商关系、管理关系、重要业务（占</w:t>
      </w:r>
      <w:r>
        <w:rPr>
          <w:rFonts w:hint="eastAsia" w:ascii="宋体" w:hAnsi="宋体" w:eastAsia="宋体" w:cs="宋体"/>
          <w:color w:val="auto"/>
          <w:sz w:val="21"/>
          <w:szCs w:val="21"/>
          <w:highlight w:val="none"/>
        </w:rPr>
        <w:t>主营业务收入50%以上）或重要财务往来关系（如融资）等其他实质性控制关系</w:t>
      </w:r>
    </w:p>
    <w:p>
      <w:pPr>
        <w:pStyle w:val="14"/>
        <w:widowControl w:val="0"/>
        <w:kinsoku/>
        <w:wordWrap/>
        <w:overflowPunct/>
        <w:topLinePunct w:val="0"/>
        <w:autoSpaceDE/>
        <w:autoSpaceDN/>
        <w:bidi w:val="0"/>
        <w:snapToGrid w:val="0"/>
        <w:spacing w:before="0" w:after="0" w:line="400" w:lineRule="exact"/>
        <w:ind w:left="-190" w:firstLine="604" w:firstLineChars="288"/>
        <w:textAlignment w:val="auto"/>
        <w:rPr>
          <w:rFonts w:hint="eastAsia" w:ascii="宋体" w:hAnsi="宋体" w:eastAsia="宋体" w:cs="宋体"/>
          <w:color w:val="auto"/>
          <w:kern w:val="0"/>
          <w:sz w:val="21"/>
          <w:szCs w:val="21"/>
          <w:highlight w:val="none"/>
        </w:rPr>
      </w:pPr>
      <w:bookmarkStart w:id="1126" w:name="_Toc21051"/>
      <w:bookmarkStart w:id="1127" w:name="_Toc24972"/>
      <w:bookmarkStart w:id="1128" w:name="_Toc19277"/>
      <w:bookmarkStart w:id="1129" w:name="_Toc3905"/>
      <w:bookmarkStart w:id="1130" w:name="_Toc23144"/>
      <w:r>
        <w:rPr>
          <w:rFonts w:hint="eastAsia" w:ascii="宋体" w:hAnsi="宋体" w:eastAsia="宋体" w:cs="宋体"/>
          <w:color w:val="auto"/>
          <w:sz w:val="21"/>
          <w:szCs w:val="21"/>
          <w:highlight w:val="none"/>
        </w:rPr>
        <w:t>I</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其他利害关系情况</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bookmarkEnd w:id="1126"/>
      <w:bookmarkEnd w:id="1127"/>
      <w:bookmarkEnd w:id="1128"/>
      <w:bookmarkEnd w:id="1129"/>
      <w:bookmarkEnd w:id="1130"/>
    </w:p>
    <w:p>
      <w:pPr>
        <w:pStyle w:val="14"/>
        <w:widowControl w:val="0"/>
        <w:numPr>
          <w:ilvl w:val="0"/>
          <w:numId w:val="0"/>
        </w:numPr>
        <w:tabs>
          <w:tab w:val="left" w:pos="210"/>
          <w:tab w:val="left" w:pos="420"/>
        </w:tabs>
        <w:kinsoku/>
        <w:wordWrap/>
        <w:overflowPunct/>
        <w:topLinePunct w:val="0"/>
        <w:autoSpaceDE/>
        <w:autoSpaceDN/>
        <w:bidi w:val="0"/>
        <w:snapToGrid w:val="0"/>
        <w:spacing w:line="40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现已清楚知道并严格遵守政府采购法律法规和现场纪律。</w:t>
      </w:r>
    </w:p>
    <w:p>
      <w:pPr>
        <w:widowControl w:val="0"/>
        <w:numPr>
          <w:ilvl w:val="0"/>
          <w:numId w:val="0"/>
        </w:numPr>
        <w:tabs>
          <w:tab w:val="left" w:pos="420"/>
        </w:tabs>
        <w:kinsoku/>
        <w:wordWrap/>
        <w:overflowPunct/>
        <w:topLinePunct w:val="0"/>
        <w:autoSpaceDE/>
        <w:autoSpaceDN/>
        <w:bidi w:val="0"/>
        <w:snapToGrid w:val="0"/>
        <w:spacing w:line="40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我发现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lang w:eastAsia="zh-CN"/>
        </w:rPr>
        <w:t>磋商供应商</w:t>
      </w:r>
      <w:r>
        <w:rPr>
          <w:rFonts w:hint="eastAsia" w:ascii="宋体" w:hAnsi="宋体" w:eastAsia="宋体" w:cs="宋体"/>
          <w:color w:val="auto"/>
          <w:sz w:val="21"/>
          <w:szCs w:val="21"/>
          <w:highlight w:val="none"/>
        </w:rPr>
        <w:t>之间存在或可能存在上述第二条第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项利害关系。</w:t>
      </w:r>
    </w:p>
    <w:p>
      <w:pPr>
        <w:pStyle w:val="13"/>
        <w:widowControl w:val="0"/>
        <w:kinsoku/>
        <w:wordWrap/>
        <w:overflowPunct/>
        <w:topLinePunct w:val="0"/>
        <w:autoSpaceDE/>
        <w:autoSpaceDN/>
        <w:bidi w:val="0"/>
        <w:spacing w:line="400" w:lineRule="exact"/>
        <w:ind w:left="0" w:right="-252" w:firstLine="420" w:firstLineChars="200"/>
        <w:jc w:val="center"/>
        <w:textAlignment w:val="auto"/>
        <w:rPr>
          <w:rFonts w:hint="eastAsia" w:ascii="宋体" w:hAnsi="宋体" w:eastAsia="宋体" w:cs="宋体"/>
          <w:color w:val="auto"/>
          <w:sz w:val="21"/>
          <w:szCs w:val="21"/>
          <w:highlight w:val="none"/>
          <w:lang w:val="en-US" w:eastAsia="zh-CN" w:bidi="ar"/>
        </w:rPr>
      </w:pPr>
    </w:p>
    <w:p>
      <w:pPr>
        <w:pStyle w:val="13"/>
        <w:widowControl w:val="0"/>
        <w:kinsoku/>
        <w:wordWrap/>
        <w:overflowPunct/>
        <w:topLinePunct w:val="0"/>
        <w:autoSpaceDE/>
        <w:autoSpaceDN/>
        <w:bidi w:val="0"/>
        <w:spacing w:line="400" w:lineRule="exact"/>
        <w:ind w:left="0" w:right="-252" w:firstLine="420" w:firstLineChars="200"/>
        <w:jc w:val="center"/>
        <w:textAlignment w:val="auto"/>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 xml:space="preserve"> </w:t>
      </w:r>
    </w:p>
    <w:p>
      <w:pPr>
        <w:pStyle w:val="13"/>
        <w:widowControl w:val="0"/>
        <w:kinsoku/>
        <w:wordWrap/>
        <w:overflowPunct/>
        <w:topLinePunct w:val="0"/>
        <w:autoSpaceDE/>
        <w:autoSpaceDN/>
        <w:bidi w:val="0"/>
        <w:spacing w:line="400" w:lineRule="exact"/>
        <w:ind w:left="0" w:right="-252" w:firstLine="0" w:firstLineChars="0"/>
        <w:jc w:val="both"/>
        <w:textAlignment w:val="auto"/>
        <w:rPr>
          <w:rFonts w:hint="eastAsia" w:ascii="宋体" w:hAnsi="宋体" w:eastAsia="宋体" w:cs="宋体"/>
          <w:color w:val="auto"/>
          <w:sz w:val="21"/>
          <w:szCs w:val="21"/>
          <w:highlight w:val="none"/>
          <w:u w:val="single"/>
          <w:lang w:val="en-US" w:eastAsia="zh-CN" w:bidi="ar"/>
        </w:rPr>
      </w:pPr>
      <w:r>
        <w:rPr>
          <w:rFonts w:hint="eastAsia" w:ascii="宋体" w:hAnsi="宋体" w:eastAsia="宋体" w:cs="宋体"/>
          <w:color w:val="auto"/>
          <w:sz w:val="21"/>
          <w:szCs w:val="21"/>
          <w:highlight w:val="none"/>
          <w:lang w:val="en-US" w:eastAsia="zh-CN" w:bidi="ar"/>
        </w:rPr>
        <w:t xml:space="preserve">                                  </w:t>
      </w:r>
      <w:r>
        <w:rPr>
          <w:rFonts w:hint="eastAsia" w:cs="宋体"/>
          <w:color w:val="auto"/>
          <w:sz w:val="21"/>
          <w:szCs w:val="21"/>
          <w:highlight w:val="none"/>
          <w:lang w:val="en-US" w:eastAsia="zh-CN" w:bidi="ar"/>
        </w:rPr>
        <w:t xml:space="preserve"> </w:t>
      </w:r>
      <w:r>
        <w:rPr>
          <w:rFonts w:hint="eastAsia" w:ascii="宋体" w:hAnsi="宋体" w:eastAsia="宋体" w:cs="宋体"/>
          <w:color w:val="auto"/>
          <w:sz w:val="21"/>
          <w:szCs w:val="21"/>
          <w:highlight w:val="none"/>
          <w:lang w:eastAsia="zh-CN" w:bidi="ar"/>
        </w:rPr>
        <w:t>磋商供应商</w:t>
      </w:r>
      <w:r>
        <w:rPr>
          <w:rFonts w:hint="eastAsia" w:ascii="宋体" w:hAnsi="宋体" w:eastAsia="宋体" w:cs="宋体"/>
          <w:color w:val="auto"/>
          <w:sz w:val="21"/>
          <w:szCs w:val="21"/>
          <w:highlight w:val="none"/>
          <w:lang w:bidi="ar"/>
        </w:rPr>
        <w:t>全称：</w:t>
      </w:r>
      <w:r>
        <w:rPr>
          <w:rFonts w:hint="eastAsia" w:ascii="宋体" w:hAnsi="宋体" w:eastAsia="宋体" w:cs="宋体"/>
          <w:color w:val="auto"/>
          <w:sz w:val="21"/>
          <w:szCs w:val="21"/>
          <w:highlight w:val="none"/>
          <w:u w:val="single"/>
          <w:lang w:val="en-US" w:eastAsia="zh-CN" w:bidi="ar"/>
        </w:rPr>
        <w:t xml:space="preserve">                  </w:t>
      </w:r>
      <w:r>
        <w:rPr>
          <w:rFonts w:hint="eastAsia" w:ascii="宋体" w:hAnsi="宋体" w:eastAsia="宋体" w:cs="宋体"/>
          <w:color w:val="auto"/>
          <w:sz w:val="21"/>
          <w:szCs w:val="21"/>
          <w:highlight w:val="none"/>
          <w:u w:val="single"/>
          <w:lang w:bidi="ar"/>
        </w:rPr>
        <w:t>（盖公章</w:t>
      </w:r>
      <w:r>
        <w:rPr>
          <w:rFonts w:hint="eastAsia" w:ascii="宋体" w:hAnsi="宋体" w:eastAsia="宋体" w:cs="宋体"/>
          <w:color w:val="auto"/>
          <w:sz w:val="21"/>
          <w:szCs w:val="21"/>
          <w:highlight w:val="none"/>
          <w:u w:val="single"/>
          <w:lang w:eastAsia="zh-CN" w:bidi="ar"/>
        </w:rPr>
        <w:t>）</w:t>
      </w:r>
      <w:r>
        <w:rPr>
          <w:rFonts w:hint="eastAsia" w:ascii="宋体" w:hAnsi="宋体" w:eastAsia="宋体" w:cs="宋体"/>
          <w:color w:val="auto"/>
          <w:sz w:val="21"/>
          <w:szCs w:val="21"/>
          <w:highlight w:val="none"/>
          <w:u w:val="single"/>
          <w:lang w:val="en-US" w:eastAsia="zh-CN" w:bidi="ar"/>
        </w:rPr>
        <w:t xml:space="preserve"> </w:t>
      </w:r>
    </w:p>
    <w:p>
      <w:pPr>
        <w:pStyle w:val="13"/>
        <w:widowControl w:val="0"/>
        <w:kinsoku/>
        <w:wordWrap/>
        <w:overflowPunct/>
        <w:topLinePunct w:val="0"/>
        <w:autoSpaceDE/>
        <w:autoSpaceDN/>
        <w:bidi w:val="0"/>
        <w:spacing w:line="400" w:lineRule="exact"/>
        <w:ind w:right="-252" w:firstLine="2730" w:firstLineChars="1300"/>
        <w:jc w:val="both"/>
        <w:textAlignment w:val="auto"/>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eastAsia="zh-CN" w:bidi="ar"/>
        </w:rPr>
        <w:t>磋商供应商</w:t>
      </w:r>
      <w:r>
        <w:rPr>
          <w:rFonts w:hint="eastAsia" w:ascii="宋体" w:hAnsi="宋体" w:eastAsia="宋体" w:cs="宋体"/>
          <w:color w:val="auto"/>
          <w:sz w:val="21"/>
          <w:szCs w:val="21"/>
          <w:highlight w:val="none"/>
          <w:lang w:bidi="ar"/>
        </w:rPr>
        <w:t>代表签名：</w:t>
      </w:r>
      <w:r>
        <w:rPr>
          <w:rFonts w:hint="eastAsia" w:ascii="宋体" w:hAnsi="宋体" w:eastAsia="宋体" w:cs="宋体"/>
          <w:color w:val="auto"/>
          <w:sz w:val="21"/>
          <w:szCs w:val="21"/>
          <w:highlight w:val="none"/>
          <w:u w:val="single"/>
          <w:lang w:val="en-US" w:eastAsia="zh-CN" w:bidi="ar"/>
        </w:rPr>
        <w:t xml:space="preserve">                        </w:t>
      </w:r>
      <w:r>
        <w:rPr>
          <w:rFonts w:hint="eastAsia" w:ascii="宋体" w:hAnsi="宋体" w:eastAsia="宋体" w:cs="宋体"/>
          <w:color w:val="auto"/>
          <w:sz w:val="21"/>
          <w:szCs w:val="21"/>
          <w:highlight w:val="none"/>
          <w:lang w:val="en-US" w:eastAsia="zh-CN" w:bidi="ar"/>
        </w:rPr>
        <w:t xml:space="preserve">            </w:t>
      </w:r>
    </w:p>
    <w:p>
      <w:pPr>
        <w:pStyle w:val="13"/>
        <w:widowControl w:val="0"/>
        <w:kinsoku/>
        <w:wordWrap/>
        <w:overflowPunct/>
        <w:topLinePunct w:val="0"/>
        <w:autoSpaceDE/>
        <w:autoSpaceDN/>
        <w:bidi w:val="0"/>
        <w:spacing w:line="400" w:lineRule="exact"/>
        <w:ind w:firstLine="2730" w:firstLineChars="1300"/>
        <w:jc w:val="both"/>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eastAsia="zh-CN" w:bidi="ar"/>
        </w:rPr>
        <w:t>日期：</w:t>
      </w:r>
      <w:r>
        <w:rPr>
          <w:rFonts w:hint="eastAsia" w:ascii="宋体" w:hAnsi="宋体" w:eastAsia="宋体" w:cs="宋体"/>
          <w:color w:val="auto"/>
          <w:sz w:val="21"/>
          <w:szCs w:val="21"/>
          <w:highlight w:val="none"/>
          <w:u w:val="single"/>
          <w:lang w:eastAsia="zh-CN" w:bidi="ar"/>
        </w:rPr>
        <w:t xml:space="preserve">        </w:t>
      </w:r>
      <w:r>
        <w:rPr>
          <w:rFonts w:hint="eastAsia" w:ascii="宋体" w:hAnsi="宋体" w:eastAsia="宋体" w:cs="宋体"/>
          <w:color w:val="auto"/>
          <w:sz w:val="21"/>
          <w:szCs w:val="21"/>
          <w:highlight w:val="none"/>
          <w:lang w:eastAsia="zh-CN" w:bidi="ar"/>
        </w:rPr>
        <w:t>年</w:t>
      </w:r>
      <w:r>
        <w:rPr>
          <w:rFonts w:hint="eastAsia" w:ascii="宋体" w:hAnsi="宋体" w:eastAsia="宋体" w:cs="宋体"/>
          <w:color w:val="auto"/>
          <w:sz w:val="21"/>
          <w:szCs w:val="21"/>
          <w:highlight w:val="none"/>
          <w:u w:val="single"/>
          <w:lang w:eastAsia="zh-CN" w:bidi="ar"/>
        </w:rPr>
        <w:t xml:space="preserve">   </w:t>
      </w:r>
      <w:r>
        <w:rPr>
          <w:rFonts w:hint="eastAsia" w:ascii="宋体" w:hAnsi="宋体" w:eastAsia="宋体" w:cs="宋体"/>
          <w:color w:val="auto"/>
          <w:sz w:val="21"/>
          <w:szCs w:val="21"/>
          <w:highlight w:val="none"/>
          <w:u w:val="single"/>
          <w:lang w:val="en-US" w:eastAsia="zh-CN" w:bidi="ar"/>
        </w:rPr>
        <w:t xml:space="preserve">   </w:t>
      </w:r>
      <w:r>
        <w:rPr>
          <w:rFonts w:hint="eastAsia" w:ascii="宋体" w:hAnsi="宋体" w:eastAsia="宋体" w:cs="宋体"/>
          <w:color w:val="auto"/>
          <w:sz w:val="21"/>
          <w:szCs w:val="21"/>
          <w:highlight w:val="none"/>
          <w:u w:val="single"/>
          <w:lang w:eastAsia="zh-CN" w:bidi="ar"/>
        </w:rPr>
        <w:t xml:space="preserve"> </w:t>
      </w:r>
      <w:r>
        <w:rPr>
          <w:rFonts w:hint="eastAsia" w:ascii="宋体" w:hAnsi="宋体" w:eastAsia="宋体" w:cs="宋体"/>
          <w:color w:val="auto"/>
          <w:sz w:val="21"/>
          <w:szCs w:val="21"/>
          <w:highlight w:val="none"/>
          <w:lang w:eastAsia="zh-CN" w:bidi="ar"/>
        </w:rPr>
        <w:t>月</w:t>
      </w:r>
      <w:r>
        <w:rPr>
          <w:rFonts w:hint="eastAsia" w:ascii="宋体" w:hAnsi="宋体" w:eastAsia="宋体" w:cs="宋体"/>
          <w:color w:val="auto"/>
          <w:sz w:val="21"/>
          <w:szCs w:val="21"/>
          <w:highlight w:val="none"/>
          <w:u w:val="single"/>
          <w:lang w:eastAsia="zh-CN" w:bidi="ar"/>
        </w:rPr>
        <w:t xml:space="preserve">   </w:t>
      </w:r>
      <w:r>
        <w:rPr>
          <w:rFonts w:hint="eastAsia" w:ascii="宋体" w:hAnsi="宋体" w:eastAsia="宋体" w:cs="宋体"/>
          <w:color w:val="auto"/>
          <w:sz w:val="21"/>
          <w:szCs w:val="21"/>
          <w:highlight w:val="none"/>
          <w:u w:val="single"/>
          <w:lang w:val="en-US" w:eastAsia="zh-CN" w:bidi="ar"/>
        </w:rPr>
        <w:t xml:space="preserve">  </w:t>
      </w:r>
      <w:r>
        <w:rPr>
          <w:rFonts w:hint="eastAsia" w:ascii="宋体" w:hAnsi="宋体" w:eastAsia="宋体" w:cs="宋体"/>
          <w:color w:val="auto"/>
          <w:sz w:val="21"/>
          <w:szCs w:val="21"/>
          <w:highlight w:val="none"/>
          <w:u w:val="single"/>
          <w:lang w:eastAsia="zh-CN" w:bidi="ar"/>
        </w:rPr>
        <w:t xml:space="preserve"> </w:t>
      </w:r>
      <w:r>
        <w:rPr>
          <w:rFonts w:hint="eastAsia" w:ascii="宋体" w:hAnsi="宋体" w:eastAsia="宋体" w:cs="宋体"/>
          <w:color w:val="auto"/>
          <w:sz w:val="21"/>
          <w:szCs w:val="21"/>
          <w:highlight w:val="none"/>
          <w:lang w:eastAsia="zh-CN" w:bidi="ar"/>
        </w:rPr>
        <w:t>日</w:t>
      </w:r>
      <w:r>
        <w:rPr>
          <w:rFonts w:hint="eastAsia" w:ascii="宋体" w:hAnsi="宋体" w:eastAsia="宋体" w:cs="宋体"/>
          <w:bCs/>
          <w:color w:val="auto"/>
          <w:sz w:val="21"/>
          <w:szCs w:val="21"/>
          <w:highlight w:val="none"/>
        </w:rPr>
        <w:t xml:space="preserve"> </w:t>
      </w:r>
    </w:p>
    <w:p>
      <w:pPr>
        <w:pStyle w:val="6"/>
        <w:pageBreakBefore/>
        <w:widowControl w:val="0"/>
        <w:kinsoku/>
        <w:wordWrap/>
        <w:overflowPunct/>
        <w:topLinePunct w:val="0"/>
        <w:autoSpaceDE/>
        <w:autoSpaceDN/>
        <w:bidi w:val="0"/>
        <w:spacing w:beforeLines="25" w:after="0" w:line="400" w:lineRule="exact"/>
        <w:ind w:left="0" w:firstLine="0"/>
        <w:jc w:val="center"/>
        <w:textAlignment w:val="auto"/>
        <w:outlineLvl w:val="0"/>
        <w:rPr>
          <w:rFonts w:hint="eastAsia" w:ascii="宋体" w:hAnsi="宋体" w:eastAsia="宋体" w:cs="宋体"/>
          <w:b/>
          <w:bCs/>
          <w:color w:val="auto"/>
          <w:sz w:val="21"/>
          <w:szCs w:val="21"/>
          <w:highlight w:val="none"/>
          <w:lang w:val="en-US" w:eastAsia="zh-CN"/>
        </w:rPr>
        <w:sectPr>
          <w:headerReference r:id="rId22" w:type="first"/>
          <w:footerReference r:id="rId25" w:type="first"/>
          <w:headerReference r:id="rId21" w:type="default"/>
          <w:footerReference r:id="rId23" w:type="default"/>
          <w:footerReference r:id="rId24" w:type="even"/>
          <w:pgSz w:w="11906" w:h="16838"/>
          <w:pgMar w:top="1984" w:right="1418" w:bottom="1417" w:left="1418" w:header="680" w:footer="992" w:gutter="0"/>
          <w:pgNumType w:fmt="decimal"/>
          <w:cols w:space="720" w:num="1"/>
          <w:titlePg/>
          <w:rtlGutter w:val="0"/>
          <w:docGrid w:linePitch="312" w:charSpace="0"/>
        </w:sectPr>
      </w:pPr>
    </w:p>
    <w:p>
      <w:pPr>
        <w:pStyle w:val="6"/>
        <w:pageBreakBefore/>
        <w:spacing w:beforeLines="25" w:after="0" w:line="360" w:lineRule="auto"/>
        <w:ind w:left="0" w:firstLine="0"/>
        <w:jc w:val="center"/>
        <w:outlineLvl w:val="0"/>
        <w:rPr>
          <w:rFonts w:hint="eastAsia" w:ascii="宋体" w:hAnsi="宋体" w:eastAsia="宋体" w:cs="宋体"/>
          <w:b/>
          <w:bCs/>
          <w:color w:val="auto"/>
          <w:highlight w:val="none"/>
          <w:lang w:val="en-US" w:eastAsia="zh-CN"/>
        </w:rPr>
      </w:pPr>
      <w:bookmarkStart w:id="1131" w:name="_Toc23145"/>
      <w:bookmarkStart w:id="1132" w:name="_Toc30509"/>
      <w:bookmarkStart w:id="1133" w:name="_Toc21911"/>
      <w:r>
        <w:rPr>
          <w:rFonts w:hint="eastAsia" w:ascii="宋体" w:hAnsi="宋体" w:eastAsia="宋体" w:cs="宋体"/>
          <w:b/>
          <w:bCs/>
          <w:color w:val="auto"/>
          <w:highlight w:val="none"/>
          <w:lang w:val="en-US" w:eastAsia="zh-CN"/>
        </w:rPr>
        <w:t>政府采购履约验收书</w:t>
      </w:r>
      <w:bookmarkEnd w:id="1131"/>
      <w:bookmarkEnd w:id="1132"/>
      <w:bookmarkEnd w:id="1133"/>
    </w:p>
    <w:p>
      <w:pPr>
        <w:pStyle w:val="31"/>
        <w:spacing w:line="360" w:lineRule="auto"/>
        <w:ind w:firstLine="0" w:firstLineChars="0"/>
        <w:jc w:val="center"/>
        <w:rPr>
          <w:rFonts w:hint="eastAsia" w:ascii="宋体" w:hAnsi="宋体" w:eastAsia="宋体" w:cs="宋体"/>
          <w:b/>
          <w:bCs/>
          <w:color w:val="auto"/>
          <w:sz w:val="28"/>
          <w:szCs w:val="32"/>
          <w:highlight w:val="none"/>
          <w:lang w:val="en-US" w:eastAsia="zh-CN" w:bidi="ar-SA"/>
        </w:rPr>
      </w:pPr>
      <w:r>
        <w:rPr>
          <w:rFonts w:hint="eastAsia" w:ascii="宋体" w:hAnsi="宋体" w:eastAsia="宋体" w:cs="宋体"/>
          <w:b/>
          <w:bCs/>
          <w:color w:val="auto"/>
          <w:sz w:val="28"/>
          <w:szCs w:val="32"/>
          <w:highlight w:val="none"/>
          <w:lang w:val="en-US" w:eastAsia="zh-CN" w:bidi="ar-SA"/>
        </w:rPr>
        <w:t>（参考模板）</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2028"/>
        <w:gridCol w:w="141"/>
        <w:gridCol w:w="767"/>
        <w:gridCol w:w="934"/>
        <w:gridCol w:w="284"/>
        <w:gridCol w:w="1559"/>
        <w:gridCol w:w="2006"/>
        <w:gridCol w:w="120"/>
        <w:gridCol w:w="1276"/>
        <w:gridCol w:w="852"/>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777" w:type="dxa"/>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采购单位</w:t>
            </w:r>
          </w:p>
        </w:tc>
        <w:tc>
          <w:tcPr>
            <w:tcW w:w="2169" w:type="dxa"/>
            <w:gridSpan w:val="2"/>
            <w:vAlign w:val="center"/>
          </w:tcPr>
          <w:p>
            <w:pPr>
              <w:spacing w:line="280" w:lineRule="exact"/>
              <w:jc w:val="center"/>
              <w:rPr>
                <w:rFonts w:hint="eastAsia" w:ascii="宋体" w:hAnsi="宋体" w:eastAsia="宋体" w:cs="宋体"/>
                <w:color w:val="auto"/>
                <w:sz w:val="21"/>
                <w:szCs w:val="21"/>
                <w:highlight w:val="none"/>
              </w:rPr>
            </w:pPr>
          </w:p>
        </w:tc>
        <w:tc>
          <w:tcPr>
            <w:tcW w:w="1985" w:type="dxa"/>
            <w:gridSpan w:val="3"/>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1559" w:type="dxa"/>
            <w:vAlign w:val="center"/>
          </w:tcPr>
          <w:p>
            <w:pPr>
              <w:spacing w:line="280" w:lineRule="exact"/>
              <w:jc w:val="center"/>
              <w:rPr>
                <w:rFonts w:hint="eastAsia" w:ascii="宋体" w:hAnsi="宋体" w:eastAsia="宋体" w:cs="宋体"/>
                <w:color w:val="auto"/>
                <w:sz w:val="21"/>
                <w:szCs w:val="21"/>
                <w:highlight w:val="none"/>
              </w:rPr>
            </w:pPr>
          </w:p>
        </w:tc>
        <w:tc>
          <w:tcPr>
            <w:tcW w:w="3402" w:type="dxa"/>
            <w:gridSpan w:val="3"/>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合同名称</w:t>
            </w:r>
          </w:p>
        </w:tc>
        <w:tc>
          <w:tcPr>
            <w:tcW w:w="3043" w:type="dxa"/>
            <w:gridSpan w:val="2"/>
            <w:vAlign w:val="center"/>
          </w:tcPr>
          <w:p>
            <w:pPr>
              <w:spacing w:line="28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777" w:type="dxa"/>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w:t>
            </w:r>
          </w:p>
        </w:tc>
        <w:tc>
          <w:tcPr>
            <w:tcW w:w="2169" w:type="dxa"/>
            <w:gridSpan w:val="2"/>
            <w:vAlign w:val="center"/>
          </w:tcPr>
          <w:p>
            <w:pPr>
              <w:spacing w:line="280" w:lineRule="exact"/>
              <w:jc w:val="center"/>
              <w:rPr>
                <w:rFonts w:hint="eastAsia" w:ascii="宋体" w:hAnsi="宋体" w:eastAsia="宋体" w:cs="宋体"/>
                <w:color w:val="auto"/>
                <w:sz w:val="21"/>
                <w:szCs w:val="21"/>
                <w:highlight w:val="none"/>
              </w:rPr>
            </w:pPr>
          </w:p>
        </w:tc>
        <w:tc>
          <w:tcPr>
            <w:tcW w:w="1985" w:type="dxa"/>
            <w:gridSpan w:val="3"/>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项目及合同</w:t>
            </w:r>
          </w:p>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编号</w:t>
            </w:r>
          </w:p>
        </w:tc>
        <w:tc>
          <w:tcPr>
            <w:tcW w:w="1559" w:type="dxa"/>
            <w:vAlign w:val="center"/>
          </w:tcPr>
          <w:p>
            <w:pPr>
              <w:spacing w:line="280" w:lineRule="exact"/>
              <w:jc w:val="center"/>
              <w:rPr>
                <w:rFonts w:hint="eastAsia" w:ascii="宋体" w:hAnsi="宋体" w:eastAsia="宋体" w:cs="宋体"/>
                <w:color w:val="auto"/>
                <w:sz w:val="21"/>
                <w:szCs w:val="21"/>
                <w:highlight w:val="none"/>
              </w:rPr>
            </w:pPr>
          </w:p>
        </w:tc>
        <w:tc>
          <w:tcPr>
            <w:tcW w:w="3402" w:type="dxa"/>
            <w:gridSpan w:val="3"/>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合同金额</w:t>
            </w:r>
          </w:p>
        </w:tc>
        <w:tc>
          <w:tcPr>
            <w:tcW w:w="3043" w:type="dxa"/>
            <w:gridSpan w:val="2"/>
            <w:vAlign w:val="center"/>
          </w:tcPr>
          <w:p>
            <w:pPr>
              <w:spacing w:line="28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77" w:type="dxa"/>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分期验收</w:t>
            </w:r>
          </w:p>
        </w:tc>
        <w:tc>
          <w:tcPr>
            <w:tcW w:w="2169" w:type="dxa"/>
            <w:gridSpan w:val="2"/>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   否□</w:t>
            </w:r>
          </w:p>
        </w:tc>
        <w:tc>
          <w:tcPr>
            <w:tcW w:w="1985" w:type="dxa"/>
            <w:gridSpan w:val="3"/>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分期情况</w:t>
            </w:r>
          </w:p>
        </w:tc>
        <w:tc>
          <w:tcPr>
            <w:tcW w:w="8004" w:type="dxa"/>
            <w:gridSpan w:val="6"/>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共分   期，此为第   期验收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777" w:type="dxa"/>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验收时间</w:t>
            </w:r>
          </w:p>
        </w:tc>
        <w:tc>
          <w:tcPr>
            <w:tcW w:w="2169" w:type="dxa"/>
            <w:gridSpan w:val="2"/>
            <w:vAlign w:val="center"/>
          </w:tcPr>
          <w:p>
            <w:pPr>
              <w:spacing w:line="280" w:lineRule="exact"/>
              <w:jc w:val="center"/>
              <w:rPr>
                <w:rFonts w:hint="eastAsia" w:ascii="宋体" w:hAnsi="宋体" w:eastAsia="宋体" w:cs="宋体"/>
                <w:color w:val="auto"/>
                <w:sz w:val="21"/>
                <w:szCs w:val="21"/>
                <w:highlight w:val="none"/>
              </w:rPr>
            </w:pPr>
          </w:p>
        </w:tc>
        <w:tc>
          <w:tcPr>
            <w:tcW w:w="1985" w:type="dxa"/>
            <w:gridSpan w:val="3"/>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验收地点</w:t>
            </w:r>
          </w:p>
        </w:tc>
        <w:tc>
          <w:tcPr>
            <w:tcW w:w="1559" w:type="dxa"/>
            <w:vAlign w:val="center"/>
          </w:tcPr>
          <w:p>
            <w:pPr>
              <w:spacing w:line="280" w:lineRule="exact"/>
              <w:jc w:val="center"/>
              <w:rPr>
                <w:rFonts w:hint="eastAsia" w:ascii="宋体" w:hAnsi="宋体" w:eastAsia="宋体" w:cs="宋体"/>
                <w:color w:val="auto"/>
                <w:sz w:val="21"/>
                <w:szCs w:val="21"/>
                <w:highlight w:val="none"/>
              </w:rPr>
            </w:pPr>
          </w:p>
        </w:tc>
        <w:tc>
          <w:tcPr>
            <w:tcW w:w="3402" w:type="dxa"/>
            <w:gridSpan w:val="3"/>
            <w:vAlign w:val="center"/>
          </w:tcPr>
          <w:p>
            <w:pPr>
              <w:spacing w:line="280" w:lineRule="exact"/>
              <w:ind w:left="432" w:hanging="378" w:hangingChars="18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验收组织形式</w:t>
            </w:r>
          </w:p>
        </w:tc>
        <w:tc>
          <w:tcPr>
            <w:tcW w:w="3043" w:type="dxa"/>
            <w:gridSpan w:val="2"/>
            <w:vAlign w:val="center"/>
          </w:tcPr>
          <w:p>
            <w:pPr>
              <w:spacing w:line="28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777" w:type="dxa"/>
            <w:vMerge w:val="restart"/>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验收内容</w:t>
            </w:r>
          </w:p>
        </w:tc>
        <w:tc>
          <w:tcPr>
            <w:tcW w:w="2028" w:type="dxa"/>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施工内容</w:t>
            </w:r>
          </w:p>
        </w:tc>
        <w:tc>
          <w:tcPr>
            <w:tcW w:w="1842" w:type="dxa"/>
            <w:gridSpan w:val="3"/>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施工进度</w:t>
            </w:r>
          </w:p>
        </w:tc>
        <w:tc>
          <w:tcPr>
            <w:tcW w:w="1843" w:type="dxa"/>
            <w:gridSpan w:val="2"/>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施工质量</w:t>
            </w:r>
          </w:p>
        </w:tc>
        <w:tc>
          <w:tcPr>
            <w:tcW w:w="2126" w:type="dxa"/>
            <w:gridSpan w:val="2"/>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施工人员</w:t>
            </w:r>
          </w:p>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配备情况</w:t>
            </w:r>
          </w:p>
        </w:tc>
        <w:tc>
          <w:tcPr>
            <w:tcW w:w="2128" w:type="dxa"/>
            <w:gridSpan w:val="2"/>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施工设备</w:t>
            </w:r>
          </w:p>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配备情况</w:t>
            </w:r>
          </w:p>
        </w:tc>
        <w:tc>
          <w:tcPr>
            <w:tcW w:w="2191" w:type="dxa"/>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安全文明标准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777" w:type="dxa"/>
            <w:vMerge w:val="continue"/>
            <w:vAlign w:val="center"/>
          </w:tcPr>
          <w:p>
            <w:pPr>
              <w:spacing w:line="280" w:lineRule="exact"/>
              <w:jc w:val="center"/>
              <w:rPr>
                <w:rFonts w:hint="eastAsia" w:ascii="宋体" w:hAnsi="宋体" w:eastAsia="宋体" w:cs="宋体"/>
                <w:color w:val="auto"/>
                <w:sz w:val="21"/>
                <w:szCs w:val="21"/>
                <w:highlight w:val="none"/>
              </w:rPr>
            </w:pPr>
          </w:p>
        </w:tc>
        <w:tc>
          <w:tcPr>
            <w:tcW w:w="2028" w:type="dxa"/>
            <w:vAlign w:val="center"/>
          </w:tcPr>
          <w:p>
            <w:pPr>
              <w:spacing w:line="280" w:lineRule="exact"/>
              <w:ind w:firstLine="105" w:firstLine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  格□</w:t>
            </w:r>
          </w:p>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不合格□</w:t>
            </w:r>
          </w:p>
        </w:tc>
        <w:tc>
          <w:tcPr>
            <w:tcW w:w="1842" w:type="dxa"/>
            <w:gridSpan w:val="3"/>
            <w:vAlign w:val="center"/>
          </w:tcPr>
          <w:p>
            <w:pPr>
              <w:spacing w:line="280" w:lineRule="exact"/>
              <w:ind w:firstLine="105" w:firstLine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  格□</w:t>
            </w:r>
          </w:p>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不合格□</w:t>
            </w:r>
          </w:p>
        </w:tc>
        <w:tc>
          <w:tcPr>
            <w:tcW w:w="1843" w:type="dxa"/>
            <w:gridSpan w:val="2"/>
            <w:vAlign w:val="center"/>
          </w:tcPr>
          <w:p>
            <w:pPr>
              <w:spacing w:line="280" w:lineRule="exact"/>
              <w:ind w:firstLine="105" w:firstLine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  格□</w:t>
            </w:r>
          </w:p>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不合格□</w:t>
            </w:r>
          </w:p>
        </w:tc>
        <w:tc>
          <w:tcPr>
            <w:tcW w:w="2126" w:type="dxa"/>
            <w:gridSpan w:val="2"/>
            <w:vAlign w:val="center"/>
          </w:tcPr>
          <w:p>
            <w:pPr>
              <w:spacing w:line="280" w:lineRule="exact"/>
              <w:ind w:firstLine="105" w:firstLine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  格□</w:t>
            </w:r>
          </w:p>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不合格□</w:t>
            </w:r>
          </w:p>
        </w:tc>
        <w:tc>
          <w:tcPr>
            <w:tcW w:w="2128" w:type="dxa"/>
            <w:gridSpan w:val="2"/>
            <w:vAlign w:val="center"/>
          </w:tcPr>
          <w:p>
            <w:pPr>
              <w:spacing w:line="280" w:lineRule="exact"/>
              <w:ind w:firstLine="105" w:firstLine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  格□</w:t>
            </w:r>
          </w:p>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不合格□</w:t>
            </w:r>
          </w:p>
        </w:tc>
        <w:tc>
          <w:tcPr>
            <w:tcW w:w="2191" w:type="dxa"/>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  格□</w:t>
            </w:r>
          </w:p>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7" w:type="dxa"/>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第三方机构</w:t>
            </w:r>
          </w:p>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情况说明</w:t>
            </w:r>
          </w:p>
        </w:tc>
        <w:tc>
          <w:tcPr>
            <w:tcW w:w="12158" w:type="dxa"/>
            <w:gridSpan w:val="11"/>
            <w:vAlign w:val="center"/>
          </w:tcPr>
          <w:p>
            <w:pPr>
              <w:spacing w:line="2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（设计、监理等机构可根据实际情况，出具相关意见）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7" w:type="dxa"/>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存在问题</w:t>
            </w:r>
          </w:p>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和改进意见</w:t>
            </w:r>
          </w:p>
        </w:tc>
        <w:tc>
          <w:tcPr>
            <w:tcW w:w="12158" w:type="dxa"/>
            <w:gridSpan w:val="11"/>
            <w:vAlign w:val="center"/>
          </w:tcPr>
          <w:p>
            <w:pPr>
              <w:spacing w:line="28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777" w:type="dxa"/>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最终结论</w:t>
            </w:r>
          </w:p>
        </w:tc>
        <w:tc>
          <w:tcPr>
            <w:tcW w:w="12158" w:type="dxa"/>
            <w:gridSpan w:val="11"/>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  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7" w:type="dxa"/>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收</w:t>
            </w:r>
          </w:p>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字</w:t>
            </w:r>
          </w:p>
        </w:tc>
        <w:tc>
          <w:tcPr>
            <w:tcW w:w="12158" w:type="dxa"/>
            <w:gridSpan w:val="11"/>
            <w:vAlign w:val="center"/>
          </w:tcPr>
          <w:p>
            <w:pPr>
              <w:spacing w:line="280" w:lineRule="exact"/>
              <w:rPr>
                <w:rFonts w:hint="eastAsia" w:ascii="宋体" w:hAnsi="宋体" w:eastAsia="宋体" w:cs="宋体"/>
                <w:color w:val="auto"/>
                <w:sz w:val="21"/>
                <w:szCs w:val="21"/>
                <w:highlight w:val="none"/>
                <w:lang w:val="en-US" w:eastAsia="zh-CN"/>
              </w:rPr>
            </w:pPr>
          </w:p>
          <w:p>
            <w:pPr>
              <w:spacing w:line="28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经办人</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专家：</w:t>
            </w:r>
          </w:p>
          <w:p>
            <w:pPr>
              <w:spacing w:line="280" w:lineRule="exact"/>
              <w:rPr>
                <w:rFonts w:hint="eastAsia" w:ascii="宋体" w:hAnsi="宋体" w:eastAsia="宋体" w:cs="宋体"/>
                <w:color w:val="auto"/>
                <w:sz w:val="21"/>
                <w:szCs w:val="21"/>
                <w:highlight w:val="none"/>
                <w:lang w:val="en-US" w:eastAsia="zh-CN"/>
              </w:rPr>
            </w:pPr>
          </w:p>
          <w:p>
            <w:pPr>
              <w:spacing w:line="28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 xml:space="preserve">验收小组负责人：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验收小组成员：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713" w:type="dxa"/>
            <w:gridSpan w:val="4"/>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代理机构意见</w:t>
            </w:r>
          </w:p>
        </w:tc>
        <w:tc>
          <w:tcPr>
            <w:tcW w:w="4783" w:type="dxa"/>
            <w:gridSpan w:val="4"/>
            <w:vAlign w:val="center"/>
          </w:tcPr>
          <w:p>
            <w:pPr>
              <w:spacing w:line="2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申购</w:t>
            </w:r>
            <w:r>
              <w:rPr>
                <w:rFonts w:hint="eastAsia" w:ascii="宋体" w:hAnsi="宋体" w:eastAsia="宋体" w:cs="宋体"/>
                <w:color w:val="auto"/>
                <w:sz w:val="21"/>
                <w:szCs w:val="21"/>
                <w:highlight w:val="none"/>
              </w:rPr>
              <w:t>单位意见</w:t>
            </w:r>
          </w:p>
        </w:tc>
        <w:tc>
          <w:tcPr>
            <w:tcW w:w="4439" w:type="dxa"/>
            <w:gridSpan w:val="4"/>
            <w:vAlign w:val="center"/>
          </w:tcPr>
          <w:p>
            <w:pPr>
              <w:spacing w:line="28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采购单位意见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4713" w:type="dxa"/>
            <w:gridSpan w:val="4"/>
            <w:vAlign w:val="top"/>
          </w:tcPr>
          <w:p>
            <w:pPr>
              <w:spacing w:line="2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spacing w:line="280" w:lineRule="exact"/>
              <w:ind w:firstLine="105" w:firstLineChars="50"/>
              <w:jc w:val="center"/>
              <w:rPr>
                <w:rFonts w:hint="eastAsia" w:ascii="宋体" w:hAnsi="宋体" w:eastAsia="宋体" w:cs="宋体"/>
                <w:color w:val="auto"/>
                <w:sz w:val="21"/>
                <w:szCs w:val="21"/>
                <w:highlight w:val="none"/>
              </w:rPr>
            </w:pPr>
          </w:p>
          <w:p>
            <w:pPr>
              <w:spacing w:line="2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经办人：        负责人：</w:t>
            </w:r>
          </w:p>
          <w:p>
            <w:pPr>
              <w:spacing w:line="280" w:lineRule="exact"/>
              <w:rPr>
                <w:rFonts w:hint="eastAsia" w:ascii="宋体" w:hAnsi="宋体" w:eastAsia="宋体" w:cs="宋体"/>
                <w:color w:val="auto"/>
                <w:sz w:val="21"/>
                <w:szCs w:val="21"/>
                <w:highlight w:val="none"/>
              </w:rPr>
            </w:pPr>
          </w:p>
          <w:p>
            <w:pPr>
              <w:spacing w:line="280" w:lineRule="exact"/>
              <w:ind w:firstLine="105" w:firstLineChar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（采购代理机构公章）</w:t>
            </w:r>
          </w:p>
        </w:tc>
        <w:tc>
          <w:tcPr>
            <w:tcW w:w="4783" w:type="dxa"/>
            <w:gridSpan w:val="4"/>
            <w:vAlign w:val="top"/>
          </w:tcPr>
          <w:p>
            <w:pPr>
              <w:spacing w:line="2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spacing w:line="280" w:lineRule="exact"/>
              <w:ind w:firstLine="105" w:firstLineChars="50"/>
              <w:jc w:val="center"/>
              <w:rPr>
                <w:rFonts w:hint="eastAsia" w:ascii="宋体" w:hAnsi="宋体" w:eastAsia="宋体" w:cs="宋体"/>
                <w:color w:val="auto"/>
                <w:sz w:val="21"/>
                <w:szCs w:val="21"/>
                <w:highlight w:val="none"/>
              </w:rPr>
            </w:pPr>
          </w:p>
          <w:p>
            <w:pPr>
              <w:spacing w:line="2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经办人：        负责人：</w:t>
            </w:r>
          </w:p>
          <w:p>
            <w:pPr>
              <w:spacing w:line="280" w:lineRule="exact"/>
              <w:rPr>
                <w:rFonts w:hint="eastAsia" w:ascii="宋体" w:hAnsi="宋体" w:eastAsia="宋体" w:cs="宋体"/>
                <w:color w:val="auto"/>
                <w:sz w:val="21"/>
                <w:szCs w:val="21"/>
                <w:highlight w:val="none"/>
              </w:rPr>
            </w:pPr>
          </w:p>
          <w:p>
            <w:pPr>
              <w:spacing w:line="2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申购单位</w:t>
            </w:r>
            <w:r>
              <w:rPr>
                <w:rFonts w:hint="eastAsia" w:ascii="宋体" w:hAnsi="宋体" w:eastAsia="宋体" w:cs="宋体"/>
                <w:color w:val="auto"/>
                <w:sz w:val="21"/>
                <w:szCs w:val="21"/>
                <w:highlight w:val="none"/>
              </w:rPr>
              <w:t>公章）</w:t>
            </w:r>
          </w:p>
        </w:tc>
        <w:tc>
          <w:tcPr>
            <w:tcW w:w="4439" w:type="dxa"/>
            <w:gridSpan w:val="4"/>
            <w:vAlign w:val="top"/>
          </w:tcPr>
          <w:p>
            <w:pPr>
              <w:spacing w:line="2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spacing w:line="280" w:lineRule="exact"/>
              <w:ind w:firstLine="105" w:firstLineChars="50"/>
              <w:jc w:val="center"/>
              <w:rPr>
                <w:rFonts w:hint="eastAsia" w:ascii="宋体" w:hAnsi="宋体" w:eastAsia="宋体" w:cs="宋体"/>
                <w:color w:val="auto"/>
                <w:sz w:val="21"/>
                <w:szCs w:val="21"/>
                <w:highlight w:val="none"/>
              </w:rPr>
            </w:pPr>
          </w:p>
          <w:p>
            <w:pPr>
              <w:spacing w:line="2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经办人：        负责人：</w:t>
            </w:r>
          </w:p>
          <w:p>
            <w:pPr>
              <w:spacing w:line="280" w:lineRule="exact"/>
              <w:rPr>
                <w:rFonts w:hint="eastAsia" w:ascii="宋体" w:hAnsi="宋体" w:eastAsia="宋体" w:cs="宋体"/>
                <w:color w:val="auto"/>
                <w:sz w:val="21"/>
                <w:szCs w:val="21"/>
                <w:highlight w:val="none"/>
              </w:rPr>
            </w:pPr>
          </w:p>
          <w:p>
            <w:pPr>
              <w:spacing w:line="2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（采购</w:t>
            </w:r>
            <w:r>
              <w:rPr>
                <w:rFonts w:hint="eastAsia" w:ascii="宋体" w:hAnsi="宋体" w:eastAsia="宋体" w:cs="宋体"/>
                <w:color w:val="auto"/>
                <w:sz w:val="21"/>
                <w:szCs w:val="21"/>
                <w:highlight w:val="none"/>
                <w:lang w:val="en-US" w:eastAsia="zh-CN"/>
              </w:rPr>
              <w:t>单位</w:t>
            </w:r>
            <w:r>
              <w:rPr>
                <w:rFonts w:hint="eastAsia" w:ascii="宋体" w:hAnsi="宋体" w:eastAsia="宋体" w:cs="宋体"/>
                <w:color w:val="auto"/>
                <w:sz w:val="21"/>
                <w:szCs w:val="21"/>
                <w:highlight w:val="none"/>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3935" w:type="dxa"/>
            <w:gridSpan w:val="12"/>
            <w:vAlign w:val="top"/>
          </w:tcPr>
          <w:p>
            <w:pPr>
              <w:spacing w:line="2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供应商确认：</w:t>
            </w:r>
          </w:p>
          <w:p>
            <w:pPr>
              <w:spacing w:line="280" w:lineRule="exact"/>
              <w:ind w:firstLine="105" w:firstLineChar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（单位公章或授权代表签字）</w:t>
            </w:r>
          </w:p>
        </w:tc>
      </w:tr>
    </w:tbl>
    <w:p>
      <w:pPr>
        <w:spacing w:line="280" w:lineRule="exact"/>
        <w:rPr>
          <w:rFonts w:hint="eastAsia" w:ascii="宋体" w:hAnsi="宋体" w:eastAsia="宋体" w:cs="宋体"/>
          <w:color w:val="auto"/>
          <w:highlight w:val="none"/>
        </w:rPr>
      </w:pPr>
      <w:r>
        <w:rPr>
          <w:rFonts w:hint="eastAsia" w:ascii="宋体" w:hAnsi="宋体" w:eastAsia="宋体" w:cs="宋体"/>
          <w:color w:val="auto"/>
          <w:highlight w:val="none"/>
        </w:rPr>
        <w:t>说明：1.该表为工程类项目履约验收的参考样表，采购人或采购代理机构可以根据工作实际进行调整。</w:t>
      </w:r>
    </w:p>
    <w:p>
      <w:pPr>
        <w:spacing w:line="28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      2.“代理机构意见”，履约验收工作由采购人自行组织的，无需填写该项内容。</w:t>
      </w:r>
    </w:p>
    <w:p>
      <w:pPr>
        <w:ind w:firstLine="105" w:firstLineChars="50"/>
        <w:rPr>
          <w:rFonts w:hint="eastAsia" w:ascii="宋体" w:hAnsi="宋体" w:eastAsia="宋体" w:cs="宋体"/>
          <w:color w:val="auto"/>
          <w:sz w:val="21"/>
          <w:szCs w:val="21"/>
          <w:highlight w:val="none"/>
        </w:rPr>
      </w:pPr>
    </w:p>
    <w:p>
      <w:pPr>
        <w:ind w:firstLine="105" w:firstLineChars="50"/>
        <w:rPr>
          <w:rFonts w:hint="eastAsia" w:ascii="宋体" w:hAnsi="宋体" w:eastAsia="宋体" w:cs="宋体"/>
          <w:i/>
          <w:iCs/>
          <w:color w:val="auto"/>
          <w:sz w:val="21"/>
          <w:szCs w:val="21"/>
          <w:highlight w:val="none"/>
        </w:rPr>
      </w:pPr>
      <w:r>
        <w:rPr>
          <w:rFonts w:hint="eastAsia" w:ascii="宋体" w:hAnsi="宋体" w:eastAsia="宋体" w:cs="宋体"/>
          <w:i/>
          <w:iCs/>
          <w:color w:val="auto"/>
          <w:sz w:val="21"/>
          <w:szCs w:val="21"/>
          <w:highlight w:val="none"/>
        </w:rPr>
        <w:t>注：该表为履约验收书的综合性参考模板，</w:t>
      </w:r>
      <w:r>
        <w:rPr>
          <w:rFonts w:hint="eastAsia" w:ascii="宋体" w:hAnsi="宋体" w:eastAsia="宋体" w:cs="宋体"/>
          <w:i/>
          <w:iCs/>
          <w:color w:val="auto"/>
          <w:sz w:val="21"/>
          <w:szCs w:val="21"/>
          <w:highlight w:val="none"/>
          <w:lang w:eastAsia="zh-CN"/>
        </w:rPr>
        <w:t>采购人</w:t>
      </w:r>
      <w:r>
        <w:rPr>
          <w:rFonts w:hint="eastAsia" w:ascii="宋体" w:hAnsi="宋体" w:eastAsia="宋体" w:cs="宋体"/>
          <w:i/>
          <w:iCs/>
          <w:color w:val="auto"/>
          <w:sz w:val="21"/>
          <w:szCs w:val="21"/>
          <w:highlight w:val="none"/>
        </w:rPr>
        <w:t>可以根据工作实际进行调整。</w:t>
      </w:r>
    </w:p>
    <w:p>
      <w:pPr>
        <w:pStyle w:val="6"/>
        <w:rPr>
          <w:rFonts w:hint="eastAsia" w:ascii="宋体" w:hAnsi="宋体" w:eastAsia="宋体" w:cs="宋体"/>
          <w:color w:val="auto"/>
          <w:highlight w:val="none"/>
        </w:rPr>
      </w:pPr>
    </w:p>
    <w:sectPr>
      <w:pgSz w:w="16838" w:h="11906" w:orient="landscape"/>
      <w:pgMar w:top="1984" w:right="1417" w:bottom="1417" w:left="1417" w:header="680" w:footer="992" w:gutter="0"/>
      <w:pgNumType w:fmt="decimal"/>
      <w:cols w:space="72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8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Arial"/>
    <w:panose1 w:val="020B0604020202020204"/>
    <w:charset w:val="00"/>
    <w:family w:val="roman"/>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ascii="仿宋_GB2312" w:eastAsia="仿宋_GB231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hint="eastAsia" w:ascii="仿宋_GB2312" w:eastAsia="仿宋_GB2312"/>
        <w:szCs w:val="24"/>
        <w:lang w:val="en-US" w:eastAsia="zh-CN"/>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81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53"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OP2x8d8BAADAAwAADgAAAAAA&#10;AAABACAAAAAeAQAAZHJzL2Uyb0RvYy54bWxQSwUGAAAAAAYABgBZAQAAbwUAAAAA&#10;">
              <v:fill on="f" focussize="0,0"/>
              <v:stroke on="f"/>
              <v:imagedata o:title=""/>
              <o:lock v:ext="edit" aspectratio="f"/>
              <v:textbox inset="0mm,0mm,0mm,0mm" style="mso-fit-shape-to-text:t;">
                <w:txbxContent>
                  <w:p>
                    <w:pPr>
                      <w:pStyle w:val="1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81</w:t>
                    </w:r>
                    <w:r>
                      <w:rPr>
                        <w:rFonts w:hint="eastAsia"/>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right" w:yAlign="top"/>
      <w:rPr>
        <w:rStyle w:val="24"/>
      </w:rPr>
    </w:pPr>
    <w:r>
      <w:fldChar w:fldCharType="begin"/>
    </w:r>
    <w:r>
      <w:rPr>
        <w:rStyle w:val="24"/>
      </w:rPr>
      <w:instrText xml:space="preserve">PAGE  </w:instrText>
    </w:r>
    <w:r>
      <w:fldChar w:fldCharType="end"/>
    </w:r>
  </w:p>
  <w:p>
    <w:pPr>
      <w:pStyle w:val="15"/>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80</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54"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0j6bVN8BAADAAwAADgAAAAAA&#10;AAABACAAAAAeAQAAZHJzL2Uyb0RvYy54bWxQSwUGAAAAAAYABgBZAQAAbwUAAAAA&#10;">
              <v:fill on="f" focussize="0,0"/>
              <v:stroke on="f"/>
              <v:imagedata o:title=""/>
              <o:lock v:ext="edit" aspectratio="f"/>
              <v:textbox inset="0mm,0mm,0mm,0mm" style="mso-fit-shape-to-text:t;">
                <w:txbxContent>
                  <w:p>
                    <w:pPr>
                      <w:pStyle w:val="1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80</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4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bjUDod8BAAC/AwAADgAAAAAA&#10;AAABACAAAAAeAQAAZHJzL2Uyb0RvYy54bWxQSwUGAAAAAAYABgBZAQAAbwUAAAAA&#10;">
              <v:fill on="f" focussize="0,0"/>
              <v:stroke on="f"/>
              <v:imagedata o:title=""/>
              <o:lock v:ext="edit" aspectratio="f"/>
              <v:textbox inset="0mm,0mm,0mm,0mm" style="mso-fit-shape-to-text:t;">
                <w:txbxContent>
                  <w:p>
                    <w:pPr>
                      <w:pStyle w:val="1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22</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4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6dMYxt8BAAC/AwAADgAAAAAA&#10;AAABACAAAAAeAQAAZHJzL2Uyb0RvYy54bWxQSwUGAAAAAAYABgBZAQAAbwUAAAAA&#10;">
              <v:fill on="f" focussize="0,0"/>
              <v:stroke on="f"/>
              <v:imagedata o:title=""/>
              <o:lock v:ext="edit" aspectratio="f"/>
              <v:textbox inset="0mm,0mm,0mm,0mm" style="mso-fit-shape-to-text:t;">
                <w:txbxContent>
                  <w:p>
                    <w:pPr>
                      <w:pStyle w:val="1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22</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53</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4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h4kRyN8BAADAAwAADgAAAAAA&#10;AAABACAAAAAeAQAAZHJzL2Uyb0RvYy54bWxQSwUGAAAAAAYABgBZAQAAbwUAAAAA&#10;">
              <v:fill on="f" focussize="0,0"/>
              <v:stroke on="f"/>
              <v:imagedata o:title=""/>
              <o:lock v:ext="edit" aspectratio="f"/>
              <v:textbox inset="0mm,0mm,0mm,0mm" style="mso-fit-shape-to-text:t;">
                <w:txbxContent>
                  <w:p>
                    <w:pPr>
                      <w:pStyle w:val="1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53</w:t>
                    </w:r>
                    <w:r>
                      <w:rPr>
                        <w:rFonts w:hint="eastAsia"/>
                        <w:lang w:eastAsia="zh-CN"/>
                      </w:rPr>
                      <w:fldChar w:fldCharType="end"/>
                    </w:r>
                  </w:p>
                </w:txbxContent>
              </v:textbox>
            </v:shape>
          </w:pict>
        </mc:Fallback>
      </mc:AlternateContent>
    </w:r>
  </w:p>
  <w:p>
    <w:pPr>
      <w:tabs>
        <w:tab w:val="center" w:pos="4153"/>
        <w:tab w:val="right" w:pos="8306"/>
      </w:tabs>
      <w:snapToGrid w:val="0"/>
      <w:rPr>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70</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4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wNbL6d8BAADAAwAADgAAAAAA&#10;AAABACAAAAAeAQAAZHJzL2Uyb0RvYy54bWxQSwUGAAAAAAYABgBZAQAAbwUAAAAA&#10;">
              <v:fill on="f" focussize="0,0"/>
              <v:stroke on="f"/>
              <v:imagedata o:title=""/>
              <o:lock v:ext="edit" aspectratio="f"/>
              <v:textbox inset="0mm,0mm,0mm,0mm" style="mso-fit-shape-to-text:t;">
                <w:txbxContent>
                  <w:p>
                    <w:pPr>
                      <w:pStyle w:val="1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70</w:t>
                    </w:r>
                    <w:r>
                      <w:rPr>
                        <w:rFonts w:hint="eastAsia"/>
                        <w:lang w:eastAsia="zh-CN"/>
                      </w:rPr>
                      <w:fldChar w:fldCharType="end"/>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69</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50"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8Rzfk98BAADAAwAADgAAAAAA&#10;AAABACAAAAAeAQAAZHJzL2Uyb0RvYy54bWxQSwUGAAAAAAYABgBZAQAAbwUAAAAA&#10;">
              <v:fill on="f" focussize="0,0"/>
              <v:stroke on="f"/>
              <v:imagedata o:title=""/>
              <o:lock v:ext="edit" aspectratio="f"/>
              <v:textbox inset="0mm,0mm,0mm,0mm" style="mso-fit-shape-to-text:t;">
                <w:txbxContent>
                  <w:p>
                    <w:pPr>
                      <w:pStyle w:val="1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69</w:t>
                    </w:r>
                    <w:r>
                      <w:rPr>
                        <w:rFonts w:hint="eastAsia"/>
                        <w:lang w:eastAsia="zh-CN"/>
                      </w:rPr>
                      <w:fldChar w:fldCharType="end"/>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5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LZDBbLgAQAAwAMAAA4AAAAA&#10;AAAAAQAgAAAAHgEAAGRycy9lMm9Eb2MueG1sUEsFBgAAAAAGAAYAWQEAAHAFAAAAAA==&#10;">
              <v:fill on="f" focussize="0,0"/>
              <v:stroke on="f"/>
              <v:imagedata o:title=""/>
              <o:lock v:ext="edit" aspectratio="f"/>
              <v:textbox inset="0mm,0mm,0mm,0mm" style="mso-fit-shape-to-text:t;">
                <w:txbxContent>
                  <w:p>
                    <w:pPr>
                      <w:pStyle w:val="1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1</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79</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52"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f6Jr0N8BAADAAwAADgAAAAAA&#10;AAABACAAAAAeAQAAZHJzL2Uyb0RvYy54bWxQSwUGAAAAAAYABgBZAQAAbwUAAAAA&#10;">
              <v:fill on="f" focussize="0,0"/>
              <v:stroke on="f"/>
              <v:imagedata o:title=""/>
              <o:lock v:ext="edit" aspectratio="f"/>
              <v:textbox inset="0mm,0mm,0mm,0mm" style="mso-fit-shape-to-text:t;">
                <w:txbxContent>
                  <w:p>
                    <w:pPr>
                      <w:pStyle w:val="15"/>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79</w:t>
                    </w:r>
                    <w:r>
                      <w:rPr>
                        <w:rFonts w:hint="eastAsia"/>
                        <w:lang w:eastAsia="zh-CN"/>
                      </w:rPr>
                      <w:fldChar w:fldCharType="end"/>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4" w:space="1"/>
      </w:pBdr>
      <w:jc w:val="both"/>
      <w:rPr>
        <w:rFonts w:hint="default" w:ascii="仿宋_GB2312" w:eastAsia="仿宋_GB2312"/>
        <w:b/>
        <w:i/>
        <w:iCs/>
        <w:u w:val="single"/>
        <w:lang w:val="en-US"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left"/>
      <w:rPr>
        <w:rFonts w:ascii="宋体" w:hAnsi="宋体"/>
        <w:sz w:val="15"/>
      </w:rPr>
    </w:pPr>
    <w:r>
      <w:rPr>
        <w:rFonts w:hint="eastAsia" w:ascii="宋体" w:hAnsi="宋体"/>
        <w:sz w:val="21"/>
        <w:szCs w:val="24"/>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tabs>
        <w:tab w:val="center" w:pos="4535"/>
        <w:tab w:val="right" w:pos="9070"/>
      </w:tabs>
      <w:ind w:firstLine="241" w:firstLineChars="100"/>
      <w:jc w:val="both"/>
      <w:rPr>
        <w:rFonts w:ascii="仿宋_GB2312" w:eastAsia="仿宋_GB2312"/>
        <w:b w:val="0"/>
        <w:i/>
        <w:sz w:val="18"/>
        <w:u w:val="single"/>
        <w:lang w:val="en-US"/>
      </w:rPr>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rPr>
        <w:rFonts w:hint="eastAsia" w:ascii="宋体" w:hAnsi="宋体"/>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hint="eastAsia"/>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hint="eastAsia" w:eastAsia="宋体"/>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lef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1C880"/>
    <w:multiLevelType w:val="singleLevel"/>
    <w:tmpl w:val="8A01C880"/>
    <w:lvl w:ilvl="0" w:tentative="0">
      <w:start w:val="1"/>
      <w:numFmt w:val="decimal"/>
      <w:lvlText w:val="4.3.%1"/>
      <w:lvlJc w:val="left"/>
      <w:pPr>
        <w:tabs>
          <w:tab w:val="left" w:pos="420"/>
        </w:tabs>
        <w:ind w:left="425" w:hanging="425"/>
      </w:pPr>
      <w:rPr>
        <w:rFonts w:hint="default"/>
      </w:rPr>
    </w:lvl>
  </w:abstractNum>
  <w:abstractNum w:abstractNumId="1">
    <w:nsid w:val="934006C2"/>
    <w:multiLevelType w:val="singleLevel"/>
    <w:tmpl w:val="934006C2"/>
    <w:lvl w:ilvl="0" w:tentative="0">
      <w:start w:val="1"/>
      <w:numFmt w:val="decimal"/>
      <w:lvlText w:val="3.%1"/>
      <w:lvlJc w:val="left"/>
      <w:pPr>
        <w:tabs>
          <w:tab w:val="left" w:pos="420"/>
        </w:tabs>
        <w:ind w:left="425" w:hanging="425"/>
      </w:pPr>
      <w:rPr>
        <w:rFonts w:hint="default"/>
      </w:rPr>
    </w:lvl>
  </w:abstractNum>
  <w:abstractNum w:abstractNumId="2">
    <w:nsid w:val="9B0ED45B"/>
    <w:multiLevelType w:val="singleLevel"/>
    <w:tmpl w:val="9B0ED45B"/>
    <w:lvl w:ilvl="0" w:tentative="0">
      <w:start w:val="1"/>
      <w:numFmt w:val="chineseCounting"/>
      <w:suff w:val="nothing"/>
      <w:lvlText w:val="%1、"/>
      <w:lvlJc w:val="left"/>
      <w:pPr>
        <w:ind w:left="0" w:firstLine="420"/>
      </w:pPr>
      <w:rPr>
        <w:rFonts w:hint="eastAsia"/>
      </w:rPr>
    </w:lvl>
  </w:abstractNum>
  <w:abstractNum w:abstractNumId="3">
    <w:nsid w:val="9B1834B8"/>
    <w:multiLevelType w:val="singleLevel"/>
    <w:tmpl w:val="9B1834B8"/>
    <w:lvl w:ilvl="0" w:tentative="0">
      <w:start w:val="1"/>
      <w:numFmt w:val="decimal"/>
      <w:lvlText w:val="5.1.%1"/>
      <w:lvlJc w:val="left"/>
      <w:pPr>
        <w:tabs>
          <w:tab w:val="left" w:pos="420"/>
        </w:tabs>
        <w:ind w:left="425" w:hanging="425"/>
      </w:pPr>
      <w:rPr>
        <w:rFonts w:hint="default"/>
      </w:rPr>
    </w:lvl>
  </w:abstractNum>
  <w:abstractNum w:abstractNumId="4">
    <w:nsid w:val="9B942CB8"/>
    <w:multiLevelType w:val="singleLevel"/>
    <w:tmpl w:val="9B942CB8"/>
    <w:lvl w:ilvl="0" w:tentative="0">
      <w:start w:val="7"/>
      <w:numFmt w:val="chineseCounting"/>
      <w:suff w:val="space"/>
      <w:lvlText w:val="第%1部分"/>
      <w:lvlJc w:val="left"/>
      <w:rPr>
        <w:rFonts w:hint="eastAsia"/>
      </w:rPr>
    </w:lvl>
  </w:abstractNum>
  <w:abstractNum w:abstractNumId="5">
    <w:nsid w:val="9CDF8C2A"/>
    <w:multiLevelType w:val="singleLevel"/>
    <w:tmpl w:val="9CDF8C2A"/>
    <w:lvl w:ilvl="0" w:tentative="0">
      <w:start w:val="1"/>
      <w:numFmt w:val="decimal"/>
      <w:lvlText w:val="4.4.%1"/>
      <w:lvlJc w:val="left"/>
      <w:pPr>
        <w:tabs>
          <w:tab w:val="left" w:pos="420"/>
        </w:tabs>
        <w:ind w:left="425" w:hanging="425"/>
      </w:pPr>
      <w:rPr>
        <w:rFonts w:hint="default"/>
      </w:rPr>
    </w:lvl>
  </w:abstractNum>
  <w:abstractNum w:abstractNumId="6">
    <w:nsid w:val="A15F1172"/>
    <w:multiLevelType w:val="singleLevel"/>
    <w:tmpl w:val="A15F1172"/>
    <w:lvl w:ilvl="0" w:tentative="0">
      <w:start w:val="1"/>
      <w:numFmt w:val="decimal"/>
      <w:lvlText w:val="4.2.%1"/>
      <w:lvlJc w:val="left"/>
      <w:pPr>
        <w:tabs>
          <w:tab w:val="left" w:pos="420"/>
        </w:tabs>
        <w:ind w:left="425" w:hanging="425"/>
      </w:pPr>
      <w:rPr>
        <w:rFonts w:hint="default"/>
      </w:rPr>
    </w:lvl>
  </w:abstractNum>
  <w:abstractNum w:abstractNumId="7">
    <w:nsid w:val="A84C4E50"/>
    <w:multiLevelType w:val="singleLevel"/>
    <w:tmpl w:val="A84C4E50"/>
    <w:lvl w:ilvl="0" w:tentative="0">
      <w:start w:val="1"/>
      <w:numFmt w:val="decimal"/>
      <w:lvlText w:val="4.2.2.%1"/>
      <w:lvlJc w:val="left"/>
      <w:pPr>
        <w:tabs>
          <w:tab w:val="left" w:pos="420"/>
        </w:tabs>
        <w:ind w:left="425" w:hanging="425"/>
      </w:pPr>
      <w:rPr>
        <w:rFonts w:hint="default"/>
      </w:rPr>
    </w:lvl>
  </w:abstractNum>
  <w:abstractNum w:abstractNumId="8">
    <w:nsid w:val="AD9B1DF0"/>
    <w:multiLevelType w:val="singleLevel"/>
    <w:tmpl w:val="AD9B1DF0"/>
    <w:lvl w:ilvl="0" w:tentative="0">
      <w:start w:val="1"/>
      <w:numFmt w:val="decimal"/>
      <w:lvlText w:val="%1."/>
      <w:lvlJc w:val="left"/>
      <w:pPr>
        <w:ind w:left="425" w:hanging="425"/>
      </w:pPr>
      <w:rPr>
        <w:rFonts w:hint="default"/>
      </w:rPr>
    </w:lvl>
  </w:abstractNum>
  <w:abstractNum w:abstractNumId="9">
    <w:nsid w:val="AF468F4D"/>
    <w:multiLevelType w:val="singleLevel"/>
    <w:tmpl w:val="AF468F4D"/>
    <w:lvl w:ilvl="0" w:tentative="0">
      <w:start w:val="1"/>
      <w:numFmt w:val="decimal"/>
      <w:lvlText w:val="2.1.%1"/>
      <w:lvlJc w:val="left"/>
      <w:pPr>
        <w:tabs>
          <w:tab w:val="left" w:pos="420"/>
        </w:tabs>
        <w:ind w:left="425" w:hanging="425"/>
      </w:pPr>
      <w:rPr>
        <w:rFonts w:hint="default"/>
      </w:rPr>
    </w:lvl>
  </w:abstractNum>
  <w:abstractNum w:abstractNumId="10">
    <w:nsid w:val="B805654E"/>
    <w:multiLevelType w:val="singleLevel"/>
    <w:tmpl w:val="B805654E"/>
    <w:lvl w:ilvl="0" w:tentative="0">
      <w:start w:val="1"/>
      <w:numFmt w:val="decimal"/>
      <w:lvlText w:val="(%1)"/>
      <w:lvlJc w:val="left"/>
      <w:pPr>
        <w:ind w:left="425" w:hanging="425"/>
      </w:pPr>
      <w:rPr>
        <w:rFonts w:hint="default"/>
      </w:rPr>
    </w:lvl>
  </w:abstractNum>
  <w:abstractNum w:abstractNumId="11">
    <w:nsid w:val="C7B16C2F"/>
    <w:multiLevelType w:val="singleLevel"/>
    <w:tmpl w:val="C7B16C2F"/>
    <w:lvl w:ilvl="0" w:tentative="0">
      <w:start w:val="1"/>
      <w:numFmt w:val="decimal"/>
      <w:lvlText w:val="3.2.%1"/>
      <w:lvlJc w:val="left"/>
      <w:pPr>
        <w:tabs>
          <w:tab w:val="left" w:pos="420"/>
        </w:tabs>
        <w:ind w:left="425" w:hanging="425"/>
      </w:pPr>
      <w:rPr>
        <w:rFonts w:hint="default"/>
      </w:rPr>
    </w:lvl>
  </w:abstractNum>
  <w:abstractNum w:abstractNumId="12">
    <w:nsid w:val="CD2E2129"/>
    <w:multiLevelType w:val="singleLevel"/>
    <w:tmpl w:val="CD2E2129"/>
    <w:lvl w:ilvl="0" w:tentative="0">
      <w:start w:val="1"/>
      <w:numFmt w:val="decimal"/>
      <w:lvlText w:val="13.5.%1"/>
      <w:lvlJc w:val="left"/>
      <w:pPr>
        <w:tabs>
          <w:tab w:val="left" w:pos="420"/>
        </w:tabs>
        <w:ind w:left="425" w:hanging="425"/>
      </w:pPr>
      <w:rPr>
        <w:rFonts w:hint="default"/>
      </w:rPr>
    </w:lvl>
  </w:abstractNum>
  <w:abstractNum w:abstractNumId="13">
    <w:nsid w:val="CE0984F0"/>
    <w:multiLevelType w:val="singleLevel"/>
    <w:tmpl w:val="CE0984F0"/>
    <w:lvl w:ilvl="0" w:tentative="0">
      <w:start w:val="1"/>
      <w:numFmt w:val="decimal"/>
      <w:lvlText w:val="%1."/>
      <w:lvlJc w:val="left"/>
      <w:pPr>
        <w:ind w:left="425" w:hanging="425"/>
      </w:pPr>
      <w:rPr>
        <w:rFonts w:hint="default"/>
      </w:rPr>
    </w:lvl>
  </w:abstractNum>
  <w:abstractNum w:abstractNumId="14">
    <w:nsid w:val="CEE76CE2"/>
    <w:multiLevelType w:val="singleLevel"/>
    <w:tmpl w:val="CEE76CE2"/>
    <w:lvl w:ilvl="0" w:tentative="0">
      <w:start w:val="1"/>
      <w:numFmt w:val="decimal"/>
      <w:lvlText w:val="1.%1."/>
      <w:lvlJc w:val="left"/>
      <w:pPr>
        <w:tabs>
          <w:tab w:val="left" w:pos="420"/>
        </w:tabs>
        <w:ind w:left="425" w:hanging="425"/>
      </w:pPr>
      <w:rPr>
        <w:rFonts w:hint="default"/>
      </w:rPr>
    </w:lvl>
  </w:abstractNum>
  <w:abstractNum w:abstractNumId="15">
    <w:nsid w:val="D015E068"/>
    <w:multiLevelType w:val="singleLevel"/>
    <w:tmpl w:val="D015E068"/>
    <w:lvl w:ilvl="0" w:tentative="0">
      <w:start w:val="1"/>
      <w:numFmt w:val="decimal"/>
      <w:lvlText w:val="3.2.%1"/>
      <w:lvlJc w:val="left"/>
      <w:pPr>
        <w:tabs>
          <w:tab w:val="left" w:pos="420"/>
        </w:tabs>
        <w:ind w:left="425" w:hanging="425"/>
      </w:pPr>
      <w:rPr>
        <w:rFonts w:hint="default"/>
      </w:rPr>
    </w:lvl>
  </w:abstractNum>
  <w:abstractNum w:abstractNumId="16">
    <w:nsid w:val="D3699D54"/>
    <w:multiLevelType w:val="singleLevel"/>
    <w:tmpl w:val="D3699D54"/>
    <w:lvl w:ilvl="0" w:tentative="0">
      <w:start w:val="1"/>
      <w:numFmt w:val="decimal"/>
      <w:lvlText w:val="2.3.%1"/>
      <w:lvlJc w:val="left"/>
      <w:pPr>
        <w:tabs>
          <w:tab w:val="left" w:pos="420"/>
        </w:tabs>
        <w:ind w:left="425" w:hanging="425"/>
      </w:pPr>
      <w:rPr>
        <w:rFonts w:hint="default"/>
      </w:rPr>
    </w:lvl>
  </w:abstractNum>
  <w:abstractNum w:abstractNumId="17">
    <w:nsid w:val="D43A8110"/>
    <w:multiLevelType w:val="singleLevel"/>
    <w:tmpl w:val="D43A8110"/>
    <w:lvl w:ilvl="0" w:tentative="0">
      <w:start w:val="1"/>
      <w:numFmt w:val="decimal"/>
      <w:lvlText w:val="3.3.%1"/>
      <w:lvlJc w:val="left"/>
      <w:pPr>
        <w:tabs>
          <w:tab w:val="left" w:pos="420"/>
        </w:tabs>
        <w:ind w:left="425" w:hanging="425"/>
      </w:pPr>
      <w:rPr>
        <w:rFonts w:hint="default"/>
      </w:rPr>
    </w:lvl>
  </w:abstractNum>
  <w:abstractNum w:abstractNumId="18">
    <w:nsid w:val="D5765A64"/>
    <w:multiLevelType w:val="singleLevel"/>
    <w:tmpl w:val="D5765A64"/>
    <w:lvl w:ilvl="0" w:tentative="0">
      <w:start w:val="1"/>
      <w:numFmt w:val="decimal"/>
      <w:lvlText w:val="4.2.%1"/>
      <w:lvlJc w:val="left"/>
      <w:pPr>
        <w:tabs>
          <w:tab w:val="left" w:pos="420"/>
        </w:tabs>
        <w:ind w:left="425" w:hanging="425"/>
      </w:pPr>
      <w:rPr>
        <w:rFonts w:hint="default"/>
      </w:rPr>
    </w:lvl>
  </w:abstractNum>
  <w:abstractNum w:abstractNumId="19">
    <w:nsid w:val="E5AF259A"/>
    <w:multiLevelType w:val="singleLevel"/>
    <w:tmpl w:val="E5AF259A"/>
    <w:lvl w:ilvl="0" w:tentative="0">
      <w:start w:val="1"/>
      <w:numFmt w:val="decimal"/>
      <w:lvlText w:val="4.2.3.%1"/>
      <w:lvlJc w:val="left"/>
      <w:pPr>
        <w:tabs>
          <w:tab w:val="left" w:pos="420"/>
        </w:tabs>
        <w:ind w:left="425" w:hanging="425"/>
      </w:pPr>
      <w:rPr>
        <w:rFonts w:hint="default"/>
      </w:rPr>
    </w:lvl>
  </w:abstractNum>
  <w:abstractNum w:abstractNumId="20">
    <w:nsid w:val="E608F56A"/>
    <w:multiLevelType w:val="singleLevel"/>
    <w:tmpl w:val="E608F56A"/>
    <w:lvl w:ilvl="0" w:tentative="0">
      <w:start w:val="1"/>
      <w:numFmt w:val="decimal"/>
      <w:lvlText w:val="3.5.1.%1"/>
      <w:lvlJc w:val="left"/>
      <w:pPr>
        <w:tabs>
          <w:tab w:val="left" w:pos="420"/>
        </w:tabs>
        <w:ind w:left="425" w:hanging="425"/>
      </w:pPr>
      <w:rPr>
        <w:rFonts w:hint="default"/>
      </w:rPr>
    </w:lvl>
  </w:abstractNum>
  <w:abstractNum w:abstractNumId="21">
    <w:nsid w:val="E941D7B9"/>
    <w:multiLevelType w:val="singleLevel"/>
    <w:tmpl w:val="E941D7B9"/>
    <w:lvl w:ilvl="0" w:tentative="0">
      <w:start w:val="1"/>
      <w:numFmt w:val="decimal"/>
      <w:lvlText w:val="2.%1"/>
      <w:lvlJc w:val="left"/>
      <w:pPr>
        <w:tabs>
          <w:tab w:val="left" w:pos="420"/>
        </w:tabs>
        <w:ind w:left="425" w:hanging="425"/>
      </w:pPr>
      <w:rPr>
        <w:rFonts w:hint="default"/>
      </w:rPr>
    </w:lvl>
  </w:abstractNum>
  <w:abstractNum w:abstractNumId="22">
    <w:nsid w:val="F0FEAE6B"/>
    <w:multiLevelType w:val="singleLevel"/>
    <w:tmpl w:val="F0FEAE6B"/>
    <w:lvl w:ilvl="0" w:tentative="0">
      <w:start w:val="1"/>
      <w:numFmt w:val="decimalEnclosedCircleChinese"/>
      <w:suff w:val="nothing"/>
      <w:lvlText w:val="%1　"/>
      <w:lvlJc w:val="left"/>
      <w:pPr>
        <w:ind w:left="0" w:firstLine="400"/>
      </w:pPr>
      <w:rPr>
        <w:rFonts w:hint="eastAsia"/>
      </w:rPr>
    </w:lvl>
  </w:abstractNum>
  <w:abstractNum w:abstractNumId="23">
    <w:nsid w:val="F439D03E"/>
    <w:multiLevelType w:val="singleLevel"/>
    <w:tmpl w:val="F439D03E"/>
    <w:lvl w:ilvl="0" w:tentative="0">
      <w:start w:val="1"/>
      <w:numFmt w:val="decimal"/>
      <w:lvlText w:val="11.2.%1"/>
      <w:lvlJc w:val="left"/>
      <w:pPr>
        <w:tabs>
          <w:tab w:val="left" w:pos="420"/>
        </w:tabs>
        <w:ind w:left="425" w:hanging="425"/>
      </w:pPr>
      <w:rPr>
        <w:rFonts w:hint="default"/>
      </w:rPr>
    </w:lvl>
  </w:abstractNum>
  <w:abstractNum w:abstractNumId="24">
    <w:nsid w:val="F6BB9D7A"/>
    <w:multiLevelType w:val="singleLevel"/>
    <w:tmpl w:val="F6BB9D7A"/>
    <w:lvl w:ilvl="0" w:tentative="0">
      <w:start w:val="1"/>
      <w:numFmt w:val="decimal"/>
      <w:lvlText w:val="4.6.%1"/>
      <w:lvlJc w:val="left"/>
      <w:pPr>
        <w:tabs>
          <w:tab w:val="left" w:pos="420"/>
        </w:tabs>
        <w:ind w:left="425" w:hanging="425"/>
      </w:pPr>
      <w:rPr>
        <w:rFonts w:hint="default"/>
      </w:rPr>
    </w:lvl>
  </w:abstractNum>
  <w:abstractNum w:abstractNumId="25">
    <w:nsid w:val="F7DCCFD1"/>
    <w:multiLevelType w:val="singleLevel"/>
    <w:tmpl w:val="F7DCCFD1"/>
    <w:lvl w:ilvl="0" w:tentative="0">
      <w:start w:val="3"/>
      <w:numFmt w:val="decimal"/>
      <w:suff w:val="nothing"/>
      <w:lvlText w:val="（%1）"/>
      <w:lvlJc w:val="left"/>
    </w:lvl>
  </w:abstractNum>
  <w:abstractNum w:abstractNumId="26">
    <w:nsid w:val="F908E092"/>
    <w:multiLevelType w:val="singleLevel"/>
    <w:tmpl w:val="F908E092"/>
    <w:lvl w:ilvl="0" w:tentative="0">
      <w:start w:val="1"/>
      <w:numFmt w:val="lowerLetter"/>
      <w:lvlText w:val="%1."/>
      <w:lvlJc w:val="left"/>
      <w:pPr>
        <w:ind w:left="425" w:hanging="425"/>
      </w:pPr>
      <w:rPr>
        <w:rFonts w:hint="default"/>
      </w:rPr>
    </w:lvl>
  </w:abstractNum>
  <w:abstractNum w:abstractNumId="27">
    <w:nsid w:val="00000019"/>
    <w:multiLevelType w:val="multilevel"/>
    <w:tmpl w:val="00000019"/>
    <w:lvl w:ilvl="0" w:tentative="0">
      <w:start w:val="1"/>
      <w:numFmt w:val="decimal"/>
      <w:lvlText w:val="%1."/>
      <w:lvlJc w:val="left"/>
      <w:pPr>
        <w:tabs>
          <w:tab w:val="left" w:pos="851"/>
        </w:tabs>
        <w:ind w:left="851" w:hanging="851"/>
      </w:pPr>
      <w:rPr>
        <w:rFonts w:hint="default" w:ascii="Arial" w:hAnsi="Arial" w:eastAsia="宋体"/>
        <w:b/>
        <w:i w:val="0"/>
        <w:sz w:val="24"/>
      </w:rPr>
    </w:lvl>
    <w:lvl w:ilvl="1" w:tentative="0">
      <w:start w:val="1"/>
      <w:numFmt w:val="decimal"/>
      <w:lvlText w:val="%1.%2"/>
      <w:lvlJc w:val="left"/>
      <w:pPr>
        <w:tabs>
          <w:tab w:val="left" w:pos="851"/>
        </w:tabs>
        <w:ind w:left="851" w:hanging="851"/>
      </w:pPr>
      <w:rPr>
        <w:rFonts w:hint="default" w:ascii="Arial" w:hAnsi="Arial" w:eastAsia="宋体"/>
        <w:b w:val="0"/>
        <w:i w:val="0"/>
        <w:sz w:val="21"/>
      </w:rPr>
    </w:lvl>
    <w:lvl w:ilvl="2" w:tentative="0">
      <w:start w:val="1"/>
      <w:numFmt w:val="decimal"/>
      <w:lvlText w:val="%1.%2.%3"/>
      <w:lvlJc w:val="left"/>
      <w:pPr>
        <w:tabs>
          <w:tab w:val="left" w:pos="720"/>
        </w:tabs>
        <w:ind w:left="420" w:hanging="420"/>
      </w:pPr>
      <w:rPr>
        <w:rFonts w:hint="eastAsia"/>
      </w:rPr>
    </w:lvl>
    <w:lvl w:ilvl="3" w:tentative="0">
      <w:start w:val="1"/>
      <w:numFmt w:val="decimal"/>
      <w:lvlText w:val="%1.%2.%3.%4"/>
      <w:lvlJc w:val="left"/>
      <w:pPr>
        <w:tabs>
          <w:tab w:val="left" w:pos="1080"/>
        </w:tabs>
        <w:ind w:left="420" w:hanging="420"/>
      </w:pPr>
      <w:rPr>
        <w:rFonts w:hint="eastAsia"/>
      </w:rPr>
    </w:lvl>
    <w:lvl w:ilvl="4" w:tentative="0">
      <w:start w:val="1"/>
      <w:numFmt w:val="decimal"/>
      <w:lvlText w:val="%1.%2.%3.%4.%5"/>
      <w:lvlJc w:val="left"/>
      <w:pPr>
        <w:tabs>
          <w:tab w:val="left" w:pos="420"/>
        </w:tabs>
        <w:ind w:left="420" w:hanging="420"/>
      </w:pPr>
      <w:rPr>
        <w:rFonts w:hint="eastAsia"/>
      </w:rPr>
    </w:lvl>
    <w:lvl w:ilvl="5" w:tentative="0">
      <w:start w:val="1"/>
      <w:numFmt w:val="decimal"/>
      <w:lvlText w:val="%1.%2.%3.%4.%5.%6"/>
      <w:lvlJc w:val="left"/>
      <w:pPr>
        <w:tabs>
          <w:tab w:val="left" w:pos="420"/>
        </w:tabs>
        <w:ind w:left="420" w:hanging="420"/>
      </w:pPr>
      <w:rPr>
        <w:rFonts w:hint="eastAsia"/>
      </w:rPr>
    </w:lvl>
    <w:lvl w:ilvl="6" w:tentative="0">
      <w:start w:val="1"/>
      <w:numFmt w:val="decimal"/>
      <w:lvlText w:val="%1.%2.%3.%4.%5.%6.%7"/>
      <w:lvlJc w:val="left"/>
      <w:pPr>
        <w:tabs>
          <w:tab w:val="left" w:pos="420"/>
        </w:tabs>
        <w:ind w:left="420" w:hanging="420"/>
      </w:pPr>
      <w:rPr>
        <w:rFonts w:hint="eastAsia"/>
      </w:rPr>
    </w:lvl>
    <w:lvl w:ilvl="7" w:tentative="0">
      <w:start w:val="1"/>
      <w:numFmt w:val="decimal"/>
      <w:lvlText w:val="%1.%2.%3.%4.%5.%6.%7.%8"/>
      <w:lvlJc w:val="left"/>
      <w:pPr>
        <w:tabs>
          <w:tab w:val="left" w:pos="420"/>
        </w:tabs>
        <w:ind w:left="420" w:hanging="420"/>
      </w:pPr>
      <w:rPr>
        <w:rFonts w:hint="eastAsia"/>
      </w:rPr>
    </w:lvl>
    <w:lvl w:ilvl="8" w:tentative="0">
      <w:start w:val="1"/>
      <w:numFmt w:val="decimal"/>
      <w:lvlText w:val="%1.%2.%3.%4.%5.%6.%7.%8.%9"/>
      <w:lvlJc w:val="left"/>
      <w:pPr>
        <w:tabs>
          <w:tab w:val="left" w:pos="420"/>
        </w:tabs>
        <w:ind w:left="420" w:hanging="420"/>
      </w:pPr>
      <w:rPr>
        <w:rFonts w:hint="eastAsia"/>
      </w:rPr>
    </w:lvl>
  </w:abstractNum>
  <w:abstractNum w:abstractNumId="28">
    <w:nsid w:val="02F6A68B"/>
    <w:multiLevelType w:val="singleLevel"/>
    <w:tmpl w:val="02F6A68B"/>
    <w:lvl w:ilvl="0" w:tentative="0">
      <w:start w:val="1"/>
      <w:numFmt w:val="decimal"/>
      <w:lvlText w:val="4.3.%1"/>
      <w:lvlJc w:val="left"/>
      <w:pPr>
        <w:tabs>
          <w:tab w:val="left" w:pos="420"/>
        </w:tabs>
        <w:ind w:left="425" w:hanging="425"/>
      </w:pPr>
      <w:rPr>
        <w:rFonts w:hint="default"/>
      </w:rPr>
    </w:lvl>
  </w:abstractNum>
  <w:abstractNum w:abstractNumId="29">
    <w:nsid w:val="051D5875"/>
    <w:multiLevelType w:val="singleLevel"/>
    <w:tmpl w:val="051D5875"/>
    <w:lvl w:ilvl="0" w:tentative="0">
      <w:start w:val="1"/>
      <w:numFmt w:val="decimal"/>
      <w:lvlText w:val="2.%1"/>
      <w:lvlJc w:val="left"/>
      <w:pPr>
        <w:tabs>
          <w:tab w:val="left" w:pos="420"/>
        </w:tabs>
        <w:ind w:left="425" w:hanging="425"/>
      </w:pPr>
      <w:rPr>
        <w:rFonts w:hint="default"/>
      </w:rPr>
    </w:lvl>
  </w:abstractNum>
  <w:abstractNum w:abstractNumId="30">
    <w:nsid w:val="0BF641E8"/>
    <w:multiLevelType w:val="singleLevel"/>
    <w:tmpl w:val="0BF641E8"/>
    <w:lvl w:ilvl="0" w:tentative="0">
      <w:start w:val="1"/>
      <w:numFmt w:val="decimal"/>
      <w:lvlText w:val="2.2.%1"/>
      <w:lvlJc w:val="left"/>
      <w:pPr>
        <w:tabs>
          <w:tab w:val="left" w:pos="420"/>
        </w:tabs>
        <w:ind w:left="425" w:hanging="425"/>
      </w:pPr>
      <w:rPr>
        <w:rFonts w:hint="default"/>
      </w:rPr>
    </w:lvl>
  </w:abstractNum>
  <w:abstractNum w:abstractNumId="31">
    <w:nsid w:val="0E020800"/>
    <w:multiLevelType w:val="singleLevel"/>
    <w:tmpl w:val="0E020800"/>
    <w:lvl w:ilvl="0" w:tentative="0">
      <w:start w:val="1"/>
      <w:numFmt w:val="decimal"/>
      <w:lvlText w:val="3.5.%1"/>
      <w:lvlJc w:val="left"/>
      <w:pPr>
        <w:tabs>
          <w:tab w:val="left" w:pos="420"/>
        </w:tabs>
        <w:ind w:left="425" w:hanging="425"/>
      </w:pPr>
      <w:rPr>
        <w:rFonts w:hint="default"/>
      </w:rPr>
    </w:lvl>
  </w:abstractNum>
  <w:abstractNum w:abstractNumId="32">
    <w:nsid w:val="14C4A4F7"/>
    <w:multiLevelType w:val="singleLevel"/>
    <w:tmpl w:val="14C4A4F7"/>
    <w:lvl w:ilvl="0" w:tentative="0">
      <w:start w:val="1"/>
      <w:numFmt w:val="decimal"/>
      <w:lvlText w:val="3.3.2.%1"/>
      <w:lvlJc w:val="left"/>
      <w:pPr>
        <w:tabs>
          <w:tab w:val="left" w:pos="420"/>
        </w:tabs>
        <w:ind w:left="425" w:hanging="425"/>
      </w:pPr>
      <w:rPr>
        <w:rFonts w:hint="default"/>
      </w:rPr>
    </w:lvl>
  </w:abstractNum>
  <w:abstractNum w:abstractNumId="33">
    <w:nsid w:val="1A4F9EB4"/>
    <w:multiLevelType w:val="singleLevel"/>
    <w:tmpl w:val="1A4F9EB4"/>
    <w:lvl w:ilvl="0" w:tentative="0">
      <w:start w:val="1"/>
      <w:numFmt w:val="chineseCounting"/>
      <w:suff w:val="space"/>
      <w:lvlText w:val="第%1部分"/>
      <w:lvlJc w:val="left"/>
      <w:rPr>
        <w:rFonts w:hint="eastAsia"/>
      </w:rPr>
    </w:lvl>
  </w:abstractNum>
  <w:abstractNum w:abstractNumId="34">
    <w:nsid w:val="1B6BACF0"/>
    <w:multiLevelType w:val="singleLevel"/>
    <w:tmpl w:val="1B6BACF0"/>
    <w:lvl w:ilvl="0" w:tentative="0">
      <w:start w:val="1"/>
      <w:numFmt w:val="decimal"/>
      <w:lvlText w:val="4.%1"/>
      <w:lvlJc w:val="left"/>
      <w:pPr>
        <w:tabs>
          <w:tab w:val="left" w:pos="420"/>
        </w:tabs>
        <w:ind w:left="425" w:hanging="425"/>
      </w:pPr>
      <w:rPr>
        <w:rFonts w:hint="default"/>
      </w:rPr>
    </w:lvl>
  </w:abstractNum>
  <w:abstractNum w:abstractNumId="35">
    <w:nsid w:val="25C666DC"/>
    <w:multiLevelType w:val="singleLevel"/>
    <w:tmpl w:val="25C666DC"/>
    <w:lvl w:ilvl="0" w:tentative="0">
      <w:start w:val="1"/>
      <w:numFmt w:val="chineseCounting"/>
      <w:suff w:val="nothing"/>
      <w:lvlText w:val="%1、"/>
      <w:lvlJc w:val="left"/>
      <w:pPr>
        <w:ind w:left="0" w:firstLine="420"/>
      </w:pPr>
      <w:rPr>
        <w:rFonts w:hint="eastAsia"/>
      </w:rPr>
    </w:lvl>
  </w:abstractNum>
  <w:abstractNum w:abstractNumId="36">
    <w:nsid w:val="25DB3981"/>
    <w:multiLevelType w:val="singleLevel"/>
    <w:tmpl w:val="25DB3981"/>
    <w:lvl w:ilvl="0" w:tentative="0">
      <w:start w:val="1"/>
      <w:numFmt w:val="decimal"/>
      <w:lvlText w:val="11.3.%1"/>
      <w:lvlJc w:val="left"/>
      <w:pPr>
        <w:tabs>
          <w:tab w:val="left" w:pos="420"/>
        </w:tabs>
        <w:ind w:left="425" w:hanging="425"/>
      </w:pPr>
      <w:rPr>
        <w:rFonts w:hint="default"/>
      </w:rPr>
    </w:lvl>
  </w:abstractNum>
  <w:abstractNum w:abstractNumId="37">
    <w:nsid w:val="32D3926A"/>
    <w:multiLevelType w:val="singleLevel"/>
    <w:tmpl w:val="32D3926A"/>
    <w:lvl w:ilvl="0" w:tentative="0">
      <w:start w:val="1"/>
      <w:numFmt w:val="decimal"/>
      <w:lvlText w:val="%1."/>
      <w:lvlJc w:val="left"/>
      <w:pPr>
        <w:ind w:left="425" w:hanging="425"/>
      </w:pPr>
      <w:rPr>
        <w:rFonts w:hint="default"/>
      </w:rPr>
    </w:lvl>
  </w:abstractNum>
  <w:abstractNum w:abstractNumId="38">
    <w:nsid w:val="3A569838"/>
    <w:multiLevelType w:val="singleLevel"/>
    <w:tmpl w:val="3A569838"/>
    <w:lvl w:ilvl="0" w:tentative="0">
      <w:start w:val="1"/>
      <w:numFmt w:val="decimal"/>
      <w:lvlText w:val="%1."/>
      <w:lvlJc w:val="left"/>
      <w:pPr>
        <w:ind w:left="425" w:hanging="425"/>
      </w:pPr>
      <w:rPr>
        <w:rFonts w:hint="default"/>
      </w:rPr>
    </w:lvl>
  </w:abstractNum>
  <w:abstractNum w:abstractNumId="39">
    <w:nsid w:val="4205C944"/>
    <w:multiLevelType w:val="singleLevel"/>
    <w:tmpl w:val="4205C944"/>
    <w:lvl w:ilvl="0" w:tentative="0">
      <w:start w:val="1"/>
      <w:numFmt w:val="decimal"/>
      <w:lvlText w:val="%1."/>
      <w:lvlJc w:val="left"/>
      <w:pPr>
        <w:ind w:left="425" w:hanging="425"/>
      </w:pPr>
      <w:rPr>
        <w:rFonts w:hint="default"/>
      </w:rPr>
    </w:lvl>
  </w:abstractNum>
  <w:abstractNum w:abstractNumId="40">
    <w:nsid w:val="425683E9"/>
    <w:multiLevelType w:val="singleLevel"/>
    <w:tmpl w:val="425683E9"/>
    <w:lvl w:ilvl="0" w:tentative="0">
      <w:start w:val="1"/>
      <w:numFmt w:val="decimal"/>
      <w:lvlText w:val="11.1.%1"/>
      <w:lvlJc w:val="left"/>
      <w:pPr>
        <w:tabs>
          <w:tab w:val="left" w:pos="420"/>
        </w:tabs>
        <w:ind w:left="425" w:hanging="425"/>
      </w:pPr>
      <w:rPr>
        <w:rFonts w:hint="default"/>
      </w:rPr>
    </w:lvl>
  </w:abstractNum>
  <w:abstractNum w:abstractNumId="41">
    <w:nsid w:val="4A2D90AE"/>
    <w:multiLevelType w:val="singleLevel"/>
    <w:tmpl w:val="4A2D90AE"/>
    <w:lvl w:ilvl="0" w:tentative="0">
      <w:start w:val="1"/>
      <w:numFmt w:val="decimal"/>
      <w:lvlText w:val="%1."/>
      <w:lvlJc w:val="left"/>
      <w:pPr>
        <w:ind w:left="425" w:hanging="425"/>
      </w:pPr>
      <w:rPr>
        <w:rFonts w:hint="default"/>
      </w:rPr>
    </w:lvl>
  </w:abstractNum>
  <w:abstractNum w:abstractNumId="42">
    <w:nsid w:val="4D4B1FF6"/>
    <w:multiLevelType w:val="singleLevel"/>
    <w:tmpl w:val="4D4B1FF6"/>
    <w:lvl w:ilvl="0" w:tentative="0">
      <w:start w:val="1"/>
      <w:numFmt w:val="decimal"/>
      <w:lvlText w:val="%1)"/>
      <w:lvlJc w:val="left"/>
      <w:pPr>
        <w:ind w:left="425" w:hanging="425"/>
      </w:pPr>
      <w:rPr>
        <w:rFonts w:hint="default"/>
      </w:rPr>
    </w:lvl>
  </w:abstractNum>
  <w:abstractNum w:abstractNumId="43">
    <w:nsid w:val="4FD3C106"/>
    <w:multiLevelType w:val="singleLevel"/>
    <w:tmpl w:val="4FD3C106"/>
    <w:lvl w:ilvl="0" w:tentative="0">
      <w:start w:val="1"/>
      <w:numFmt w:val="chineseCounting"/>
      <w:suff w:val="nothing"/>
      <w:lvlText w:val="%1、"/>
      <w:lvlJc w:val="left"/>
      <w:pPr>
        <w:ind w:left="0" w:firstLine="420"/>
      </w:pPr>
      <w:rPr>
        <w:rFonts w:hint="eastAsia"/>
      </w:rPr>
    </w:lvl>
  </w:abstractNum>
  <w:abstractNum w:abstractNumId="44">
    <w:nsid w:val="57070658"/>
    <w:multiLevelType w:val="singleLevel"/>
    <w:tmpl w:val="57070658"/>
    <w:lvl w:ilvl="0" w:tentative="0">
      <w:start w:val="1"/>
      <w:numFmt w:val="decimal"/>
      <w:lvlText w:val="3.4.%1"/>
      <w:lvlJc w:val="left"/>
      <w:pPr>
        <w:tabs>
          <w:tab w:val="left" w:pos="420"/>
        </w:tabs>
        <w:ind w:left="425" w:hanging="425"/>
      </w:pPr>
      <w:rPr>
        <w:rFonts w:hint="default"/>
      </w:rPr>
    </w:lvl>
  </w:abstractNum>
  <w:abstractNum w:abstractNumId="45">
    <w:nsid w:val="59829D09"/>
    <w:multiLevelType w:val="singleLevel"/>
    <w:tmpl w:val="59829D09"/>
    <w:lvl w:ilvl="0" w:tentative="0">
      <w:start w:val="1"/>
      <w:numFmt w:val="decimal"/>
      <w:lvlText w:val="2.%1."/>
      <w:lvlJc w:val="left"/>
      <w:pPr>
        <w:tabs>
          <w:tab w:val="left" w:pos="420"/>
        </w:tabs>
        <w:ind w:left="425" w:hanging="425"/>
      </w:pPr>
      <w:rPr>
        <w:rFonts w:hint="default"/>
      </w:rPr>
    </w:lvl>
  </w:abstractNum>
  <w:abstractNum w:abstractNumId="46">
    <w:nsid w:val="5EC8F174"/>
    <w:multiLevelType w:val="singleLevel"/>
    <w:tmpl w:val="5EC8F174"/>
    <w:lvl w:ilvl="0" w:tentative="0">
      <w:start w:val="1"/>
      <w:numFmt w:val="decimal"/>
      <w:lvlText w:val="%1."/>
      <w:lvlJc w:val="left"/>
      <w:pPr>
        <w:ind w:left="425" w:hanging="425"/>
      </w:pPr>
      <w:rPr>
        <w:rFonts w:hint="default"/>
      </w:rPr>
    </w:lvl>
  </w:abstractNum>
  <w:abstractNum w:abstractNumId="47">
    <w:nsid w:val="60C2848E"/>
    <w:multiLevelType w:val="singleLevel"/>
    <w:tmpl w:val="60C2848E"/>
    <w:lvl w:ilvl="0" w:tentative="0">
      <w:start w:val="1"/>
      <w:numFmt w:val="decimal"/>
      <w:lvlText w:val="%1."/>
      <w:lvlJc w:val="left"/>
      <w:pPr>
        <w:ind w:left="425" w:hanging="425"/>
      </w:pPr>
      <w:rPr>
        <w:rFonts w:hint="default"/>
      </w:rPr>
    </w:lvl>
  </w:abstractNum>
  <w:abstractNum w:abstractNumId="48">
    <w:nsid w:val="61F9886E"/>
    <w:multiLevelType w:val="singleLevel"/>
    <w:tmpl w:val="61F9886E"/>
    <w:lvl w:ilvl="0" w:tentative="0">
      <w:start w:val="1"/>
      <w:numFmt w:val="decimal"/>
      <w:lvlText w:val="%1."/>
      <w:lvlJc w:val="left"/>
      <w:pPr>
        <w:ind w:left="425" w:hanging="425"/>
      </w:pPr>
      <w:rPr>
        <w:rFonts w:hint="default"/>
      </w:rPr>
    </w:lvl>
  </w:abstractNum>
  <w:abstractNum w:abstractNumId="49">
    <w:nsid w:val="6F548AB4"/>
    <w:multiLevelType w:val="singleLevel"/>
    <w:tmpl w:val="6F548AB4"/>
    <w:lvl w:ilvl="0" w:tentative="0">
      <w:start w:val="1"/>
      <w:numFmt w:val="decimal"/>
      <w:lvlText w:val="4.1.%1"/>
      <w:lvlJc w:val="left"/>
      <w:pPr>
        <w:tabs>
          <w:tab w:val="left" w:pos="420"/>
        </w:tabs>
        <w:ind w:left="425" w:hanging="425"/>
      </w:pPr>
      <w:rPr>
        <w:rFonts w:hint="default"/>
      </w:rPr>
    </w:lvl>
  </w:abstractNum>
  <w:abstractNum w:abstractNumId="50">
    <w:nsid w:val="7B28F8E5"/>
    <w:multiLevelType w:val="singleLevel"/>
    <w:tmpl w:val="7B28F8E5"/>
    <w:lvl w:ilvl="0" w:tentative="0">
      <w:start w:val="1"/>
      <w:numFmt w:val="decimal"/>
      <w:lvlText w:val="(%1)"/>
      <w:lvlJc w:val="left"/>
      <w:pPr>
        <w:ind w:left="425" w:hanging="425"/>
      </w:pPr>
      <w:rPr>
        <w:rFonts w:hint="default"/>
      </w:rPr>
    </w:lvl>
  </w:abstractNum>
  <w:abstractNum w:abstractNumId="51">
    <w:nsid w:val="7B46BBCE"/>
    <w:multiLevelType w:val="singleLevel"/>
    <w:tmpl w:val="7B46BBCE"/>
    <w:lvl w:ilvl="0" w:tentative="0">
      <w:start w:val="1"/>
      <w:numFmt w:val="decimal"/>
      <w:lvlText w:val="1.%1"/>
      <w:lvlJc w:val="left"/>
      <w:pPr>
        <w:tabs>
          <w:tab w:val="left" w:pos="420"/>
        </w:tabs>
        <w:ind w:left="425" w:hanging="425"/>
      </w:pPr>
      <w:rPr>
        <w:rFonts w:hint="default"/>
      </w:rPr>
    </w:lvl>
  </w:abstractNum>
  <w:num w:numId="1">
    <w:abstractNumId w:val="33"/>
  </w:num>
  <w:num w:numId="2">
    <w:abstractNumId w:val="25"/>
  </w:num>
  <w:num w:numId="3">
    <w:abstractNumId w:val="27"/>
  </w:num>
  <w:num w:numId="4">
    <w:abstractNumId w:val="11"/>
  </w:num>
  <w:num w:numId="5">
    <w:abstractNumId w:val="17"/>
  </w:num>
  <w:num w:numId="6">
    <w:abstractNumId w:val="32"/>
  </w:num>
  <w:num w:numId="7">
    <w:abstractNumId w:val="44"/>
  </w:num>
  <w:num w:numId="8">
    <w:abstractNumId w:val="18"/>
  </w:num>
  <w:num w:numId="9">
    <w:abstractNumId w:val="7"/>
  </w:num>
  <w:num w:numId="10">
    <w:abstractNumId w:val="19"/>
  </w:num>
  <w:num w:numId="11">
    <w:abstractNumId w:val="28"/>
  </w:num>
  <w:num w:numId="12">
    <w:abstractNumId w:val="3"/>
  </w:num>
  <w:num w:numId="13">
    <w:abstractNumId w:val="40"/>
  </w:num>
  <w:num w:numId="14">
    <w:abstractNumId w:val="23"/>
  </w:num>
  <w:num w:numId="15">
    <w:abstractNumId w:val="36"/>
  </w:num>
  <w:num w:numId="16">
    <w:abstractNumId w:val="12"/>
  </w:num>
  <w:num w:numId="17">
    <w:abstractNumId w:val="22"/>
  </w:num>
  <w:num w:numId="18">
    <w:abstractNumId w:val="26"/>
  </w:num>
  <w:num w:numId="19">
    <w:abstractNumId w:val="50"/>
  </w:num>
  <w:num w:numId="20">
    <w:abstractNumId w:val="10"/>
  </w:num>
  <w:num w:numId="21">
    <w:abstractNumId w:val="37"/>
  </w:num>
  <w:num w:numId="22">
    <w:abstractNumId w:val="43"/>
  </w:num>
  <w:num w:numId="23">
    <w:abstractNumId w:val="38"/>
  </w:num>
  <w:num w:numId="24">
    <w:abstractNumId w:val="48"/>
  </w:num>
  <w:num w:numId="25">
    <w:abstractNumId w:val="41"/>
  </w:num>
  <w:num w:numId="26">
    <w:abstractNumId w:val="42"/>
  </w:num>
  <w:num w:numId="27">
    <w:abstractNumId w:val="8"/>
  </w:num>
  <w:num w:numId="28">
    <w:abstractNumId w:val="14"/>
  </w:num>
  <w:num w:numId="29">
    <w:abstractNumId w:val="45"/>
  </w:num>
  <w:num w:numId="30">
    <w:abstractNumId w:val="47"/>
  </w:num>
  <w:num w:numId="31">
    <w:abstractNumId w:val="39"/>
  </w:num>
  <w:num w:numId="32">
    <w:abstractNumId w:val="35"/>
  </w:num>
  <w:num w:numId="33">
    <w:abstractNumId w:val="1"/>
  </w:num>
  <w:num w:numId="34">
    <w:abstractNumId w:val="15"/>
  </w:num>
  <w:num w:numId="35">
    <w:abstractNumId w:val="31"/>
  </w:num>
  <w:num w:numId="36">
    <w:abstractNumId w:val="20"/>
  </w:num>
  <w:num w:numId="37">
    <w:abstractNumId w:val="34"/>
  </w:num>
  <w:num w:numId="38">
    <w:abstractNumId w:val="49"/>
  </w:num>
  <w:num w:numId="39">
    <w:abstractNumId w:val="6"/>
  </w:num>
  <w:num w:numId="40">
    <w:abstractNumId w:val="0"/>
  </w:num>
  <w:num w:numId="41">
    <w:abstractNumId w:val="5"/>
  </w:num>
  <w:num w:numId="42">
    <w:abstractNumId w:val="24"/>
  </w:num>
  <w:num w:numId="43">
    <w:abstractNumId w:val="21"/>
  </w:num>
  <w:num w:numId="44">
    <w:abstractNumId w:val="9"/>
  </w:num>
  <w:num w:numId="45">
    <w:abstractNumId w:val="30"/>
  </w:num>
  <w:num w:numId="46">
    <w:abstractNumId w:val="16"/>
  </w:num>
  <w:num w:numId="47">
    <w:abstractNumId w:val="4"/>
  </w:num>
  <w:num w:numId="48">
    <w:abstractNumId w:val="2"/>
  </w:num>
  <w:num w:numId="49">
    <w:abstractNumId w:val="13"/>
  </w:num>
  <w:num w:numId="50">
    <w:abstractNumId w:val="46"/>
  </w:num>
  <w:num w:numId="51">
    <w:abstractNumId w:val="51"/>
  </w:num>
  <w:num w:numId="5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1MTY0YjUxM2YxMTNkNjliNWU3NzEzNDBiMDMxZDcifQ=="/>
  </w:docVars>
  <w:rsids>
    <w:rsidRoot w:val="00000000"/>
    <w:rsid w:val="011C6D8E"/>
    <w:rsid w:val="029D58DD"/>
    <w:rsid w:val="05616943"/>
    <w:rsid w:val="0650515A"/>
    <w:rsid w:val="068E6EBA"/>
    <w:rsid w:val="0C71552C"/>
    <w:rsid w:val="0EB0063D"/>
    <w:rsid w:val="0F583699"/>
    <w:rsid w:val="11875983"/>
    <w:rsid w:val="11AA749C"/>
    <w:rsid w:val="12380F42"/>
    <w:rsid w:val="145F35CE"/>
    <w:rsid w:val="15715D3D"/>
    <w:rsid w:val="16C00010"/>
    <w:rsid w:val="174009BB"/>
    <w:rsid w:val="17AF1790"/>
    <w:rsid w:val="206F5C18"/>
    <w:rsid w:val="23594C43"/>
    <w:rsid w:val="2A063491"/>
    <w:rsid w:val="2B4F2235"/>
    <w:rsid w:val="2C412EA7"/>
    <w:rsid w:val="30BD720A"/>
    <w:rsid w:val="31B24F42"/>
    <w:rsid w:val="32F67874"/>
    <w:rsid w:val="38B63628"/>
    <w:rsid w:val="39B36A66"/>
    <w:rsid w:val="418C7C5C"/>
    <w:rsid w:val="41B54256"/>
    <w:rsid w:val="45F60406"/>
    <w:rsid w:val="46F678E4"/>
    <w:rsid w:val="474D04FA"/>
    <w:rsid w:val="4BFF6C06"/>
    <w:rsid w:val="4D111FCA"/>
    <w:rsid w:val="4DBE3EFF"/>
    <w:rsid w:val="5CB97A1F"/>
    <w:rsid w:val="5EDA2748"/>
    <w:rsid w:val="6301323B"/>
    <w:rsid w:val="64322AF9"/>
    <w:rsid w:val="6A497EA3"/>
    <w:rsid w:val="6BFF59B7"/>
    <w:rsid w:val="737A34D9"/>
    <w:rsid w:val="76FA1255"/>
    <w:rsid w:val="79450781"/>
    <w:rsid w:val="7BB068F6"/>
    <w:rsid w:val="7BE51CD3"/>
    <w:rsid w:val="7CD9190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1"/>
    <w:qFormat/>
    <w:uiPriority w:val="0"/>
    <w:pPr>
      <w:keepNext/>
      <w:keepLines/>
      <w:spacing w:before="260" w:after="260" w:line="416" w:lineRule="auto"/>
      <w:outlineLvl w:val="2"/>
    </w:pPr>
    <w:rPr>
      <w:b/>
      <w:bCs/>
      <w:sz w:val="32"/>
      <w:szCs w:val="32"/>
    </w:rPr>
  </w:style>
  <w:style w:type="paragraph" w:styleId="8">
    <w:name w:val="heading 4"/>
    <w:basedOn w:val="1"/>
    <w:next w:val="1"/>
    <w:qFormat/>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1"/>
    <w:next w:val="4"/>
    <w:qFormat/>
    <w:uiPriority w:val="0"/>
    <w:pPr>
      <w:ind w:firstLine="420"/>
    </w:pPr>
    <w:rPr>
      <w:rFonts w:hAnsi="Calibri" w:cs="Times New Roman"/>
      <w:szCs w:val="20"/>
    </w:rPr>
  </w:style>
  <w:style w:type="paragraph" w:styleId="4">
    <w:name w:val="toc 6"/>
    <w:basedOn w:val="1"/>
    <w:next w:val="1"/>
    <w:qFormat/>
    <w:uiPriority w:val="39"/>
    <w:pPr>
      <w:wordWrap w:val="0"/>
      <w:ind w:left="1188"/>
      <w:jc w:val="both"/>
    </w:pPr>
    <w:rPr>
      <w:rFonts w:ascii="Times New Roman" w:hAnsi="Times New Roman" w:eastAsia="宋体" w:cs="Times New Roman"/>
      <w:lang w:val="en-US" w:eastAsia="zh-CN" w:bidi="ar-SA"/>
    </w:rPr>
  </w:style>
  <w:style w:type="paragraph" w:styleId="9">
    <w:name w:val="table of authorities"/>
    <w:basedOn w:val="1"/>
    <w:next w:val="1"/>
    <w:unhideWhenUsed/>
    <w:qFormat/>
    <w:uiPriority w:val="99"/>
    <w:pPr>
      <w:ind w:left="420" w:leftChars="200" w:firstLine="0"/>
    </w:pPr>
  </w:style>
  <w:style w:type="paragraph" w:styleId="10">
    <w:name w:val="Normal Indent"/>
    <w:basedOn w:val="1"/>
    <w:qFormat/>
    <w:uiPriority w:val="0"/>
    <w:pPr>
      <w:widowControl/>
      <w:snapToGrid w:val="0"/>
      <w:spacing w:line="480" w:lineRule="exact"/>
      <w:ind w:firstLine="567"/>
    </w:pPr>
    <w:rPr>
      <w:rFonts w:ascii="宋体"/>
      <w:snapToGrid w:val="0"/>
      <w:color w:val="000000"/>
      <w:kern w:val="28"/>
      <w:sz w:val="28"/>
      <w:szCs w:val="20"/>
    </w:rPr>
  </w:style>
  <w:style w:type="paragraph" w:styleId="11">
    <w:name w:val="annotation text"/>
    <w:basedOn w:val="1"/>
    <w:qFormat/>
    <w:uiPriority w:val="0"/>
    <w:pPr>
      <w:jc w:val="left"/>
    </w:pPr>
  </w:style>
  <w:style w:type="paragraph" w:styleId="12">
    <w:name w:val="Body Text Indent"/>
    <w:basedOn w:val="1"/>
    <w:next w:val="1"/>
    <w:qFormat/>
    <w:uiPriority w:val="0"/>
    <w:pPr>
      <w:spacing w:line="480" w:lineRule="exact"/>
      <w:ind w:firstLine="480" w:firstLineChars="200"/>
    </w:pPr>
    <w:rPr>
      <w:rFonts w:ascii="宋体" w:hAnsi="宋体"/>
      <w:sz w:val="24"/>
    </w:rPr>
  </w:style>
  <w:style w:type="paragraph" w:styleId="13">
    <w:name w:val="Block Text"/>
    <w:basedOn w:val="1"/>
    <w:unhideWhenUsed/>
    <w:qFormat/>
    <w:uiPriority w:val="99"/>
    <w:pPr>
      <w:adjustRightInd w:val="0"/>
      <w:spacing w:line="300" w:lineRule="auto"/>
      <w:ind w:left="958" w:right="-120" w:rightChars="-120"/>
      <w:jc w:val="left"/>
    </w:pPr>
    <w:rPr>
      <w:rFonts w:ascii="宋体" w:hAnsi="宋体"/>
      <w:sz w:val="28"/>
    </w:rPr>
  </w:style>
  <w:style w:type="paragraph" w:styleId="14">
    <w:name w:val="Plain Text"/>
    <w:basedOn w:val="1"/>
    <w:next w:val="1"/>
    <w:qFormat/>
    <w:uiPriority w:val="0"/>
    <w:rPr>
      <w:rFonts w:ascii="宋体" w:hAnsi="Courier New" w:cs="Arial"/>
      <w:snapToGrid w:val="0"/>
      <w:szCs w:val="21"/>
    </w:rPr>
  </w:style>
  <w:style w:type="paragraph" w:styleId="15">
    <w:name w:val="footer"/>
    <w:basedOn w:val="1"/>
    <w:qFormat/>
    <w:uiPriority w:val="99"/>
    <w:pPr>
      <w:tabs>
        <w:tab w:val="center" w:pos="4153"/>
        <w:tab w:val="right" w:pos="8306"/>
      </w:tabs>
      <w:snapToGrid w:val="0"/>
      <w:jc w:val="left"/>
    </w:pPr>
    <w:rPr>
      <w:sz w:val="18"/>
      <w:szCs w:val="18"/>
    </w:rPr>
  </w:style>
  <w:style w:type="paragraph" w:styleId="1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right" w:leader="middleDot" w:pos="8948"/>
      </w:tabs>
    </w:pPr>
    <w:rPr>
      <w:rFonts w:ascii="宋体" w:hAnsi="宋体"/>
      <w:b/>
      <w:bCs/>
      <w:caps/>
      <w:szCs w:val="21"/>
    </w:rPr>
  </w:style>
  <w:style w:type="paragraph" w:styleId="18">
    <w:name w:val="toc 2"/>
    <w:basedOn w:val="1"/>
    <w:next w:val="1"/>
    <w:qFormat/>
    <w:uiPriority w:val="39"/>
    <w:pPr>
      <w:tabs>
        <w:tab w:val="right" w:leader="middleDot" w:pos="8948"/>
      </w:tabs>
      <w:spacing w:before="60" w:after="60"/>
      <w:ind w:left="210"/>
    </w:pPr>
    <w:rPr>
      <w:smallCaps/>
    </w:rPr>
  </w:style>
  <w:style w:type="paragraph" w:styleId="19">
    <w:name w:val="Normal (Web)"/>
    <w:basedOn w:val="1"/>
    <w:qFormat/>
    <w:uiPriority w:val="0"/>
    <w:pPr>
      <w:spacing w:before="100" w:beforeAutospacing="1" w:after="100" w:afterAutospacing="1"/>
    </w:pPr>
    <w:rPr>
      <w:rFonts w:ascii="Arial Unicode MS" w:hAnsi="Arial Unicode MS" w:eastAsia="Times New Roman"/>
      <w:color w:val="000000"/>
      <w:sz w:val="24"/>
      <w:szCs w:val="24"/>
    </w:rPr>
  </w:style>
  <w:style w:type="paragraph" w:styleId="20">
    <w:name w:val="Title"/>
    <w:basedOn w:val="1"/>
    <w:qFormat/>
    <w:uiPriority w:val="10"/>
    <w:pPr>
      <w:widowControl/>
      <w:overflowPunct w:val="0"/>
      <w:autoSpaceDE w:val="0"/>
      <w:autoSpaceDN w:val="0"/>
      <w:jc w:val="center"/>
      <w:textAlignment w:val="baseline"/>
    </w:pPr>
    <w:rPr>
      <w:b/>
      <w:kern w:val="0"/>
      <w:sz w:val="24"/>
      <w:szCs w:val="20"/>
      <w:lang w:val="en-GB"/>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page number"/>
    <w:basedOn w:val="23"/>
    <w:qFormat/>
    <w:uiPriority w:val="0"/>
    <w:rPr>
      <w:rFonts w:ascii="Arial" w:hAnsi="Arial" w:eastAsia="黑体" w:cs="Arial"/>
      <w:snapToGrid w:val="0"/>
      <w:kern w:val="0"/>
      <w:szCs w:val="21"/>
    </w:rPr>
  </w:style>
  <w:style w:type="character" w:styleId="25">
    <w:name w:val="Hyperlink"/>
    <w:qFormat/>
    <w:uiPriority w:val="99"/>
    <w:rPr>
      <w:rFonts w:ascii="Arial" w:hAnsi="Arial" w:eastAsia="黑体" w:cs="Arial"/>
      <w:snapToGrid w:val="0"/>
      <w:color w:val="000000"/>
      <w:kern w:val="0"/>
      <w:sz w:val="18"/>
      <w:szCs w:val="18"/>
      <w:u w:val="none"/>
    </w:rPr>
  </w:style>
  <w:style w:type="paragraph" w:customStyle="1" w:styleId="26">
    <w:name w:val="表格文字"/>
    <w:basedOn w:val="14"/>
    <w:next w:val="2"/>
    <w:qFormat/>
    <w:uiPriority w:val="0"/>
    <w:pPr>
      <w:adjustRightInd w:val="0"/>
      <w:spacing w:line="420" w:lineRule="atLeast"/>
      <w:textAlignment w:val="baseline"/>
    </w:pPr>
    <w:rPr>
      <w:szCs w:val="24"/>
    </w:rPr>
  </w:style>
  <w:style w:type="character" w:customStyle="1" w:styleId="27">
    <w:name w:val="NormalCharacter"/>
    <w:qFormat/>
    <w:uiPriority w:val="99"/>
  </w:style>
  <w:style w:type="paragraph" w:customStyle="1" w:styleId="2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9">
    <w:name w:val="正文2"/>
    <w:basedOn w:val="1"/>
    <w:qFormat/>
    <w:uiPriority w:val="0"/>
    <w:pPr>
      <w:spacing w:before="156" w:line="360" w:lineRule="auto"/>
      <w:ind w:firstLine="510" w:firstLineChars="200"/>
    </w:pPr>
    <w:rPr>
      <w:sz w:val="24"/>
      <w:szCs w:val="20"/>
    </w:rPr>
  </w:style>
  <w:style w:type="paragraph" w:customStyle="1" w:styleId="3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l正文"/>
    <w:basedOn w:val="1"/>
    <w:qFormat/>
    <w:uiPriority w:val="0"/>
    <w:pPr>
      <w:spacing w:line="300" w:lineRule="auto"/>
      <w:ind w:firstLine="200" w:firstLineChars="200"/>
      <w:jc w:val="left"/>
    </w:pPr>
    <w:rPr>
      <w:rFonts w:ascii="楷体_GB2312" w:hAnsi="Times" w:eastAsia="楷体_GB2312" w:cs="等线"/>
      <w:sz w:val="24"/>
      <w:szCs w:val="24"/>
    </w:rPr>
  </w:style>
  <w:style w:type="paragraph" w:customStyle="1" w:styleId="32">
    <w:name w:val="索引 11"/>
    <w:basedOn w:val="1"/>
    <w:next w:val="1"/>
    <w:qFormat/>
    <w:uiPriority w:val="99"/>
    <w:pPr>
      <w:adjustRightInd/>
      <w:spacing w:line="360" w:lineRule="auto"/>
    </w:pPr>
    <w:rPr>
      <w:rFonts w:ascii="仿宋_GB2312" w:eastAsia="仿宋_GB2312"/>
      <w:sz w:val="24"/>
      <w:szCs w:val="20"/>
    </w:rPr>
  </w:style>
  <w:style w:type="paragraph" w:customStyle="1" w:styleId="33">
    <w:name w:val="纯文本1"/>
    <w:basedOn w:val="1"/>
    <w:qFormat/>
    <w:uiPriority w:val="0"/>
    <w:pPr>
      <w:adjustRightInd/>
    </w:pPr>
    <w:rPr>
      <w:rFonts w:ascii="宋体" w:hAnsi="Courier New"/>
      <w:kern w:val="0"/>
      <w:sz w:val="20"/>
      <w:szCs w:val="20"/>
    </w:rPr>
  </w:style>
  <w:style w:type="paragraph" w:customStyle="1" w:styleId="34">
    <w:name w:val="表格正文"/>
    <w:basedOn w:val="1"/>
    <w:qFormat/>
    <w:uiPriority w:val="0"/>
    <w:pPr>
      <w:widowControl w:val="0"/>
      <w:spacing w:line="400" w:lineRule="exact"/>
      <w:ind w:firstLine="100" w:firstLineChars="100"/>
      <w:jc w:val="both"/>
    </w:pPr>
    <w:rPr>
      <w:rFonts w:ascii="宋体" w:hAnsi="宋体"/>
      <w:kern w:val="2"/>
      <w:szCs w:val="24"/>
    </w:rPr>
  </w:style>
  <w:style w:type="paragraph" w:customStyle="1" w:styleId="3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6">
    <w:name w:val="正文缩进1"/>
    <w:basedOn w:val="1"/>
    <w:next w:val="1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7">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38">
    <w:name w:val="Table Paragraph"/>
    <w:basedOn w:val="1"/>
    <w:autoRedefine/>
    <w:qFormat/>
    <w:uiPriority w:val="1"/>
    <w:pPr>
      <w:widowControl w:val="0"/>
      <w:autoSpaceDE w:val="0"/>
      <w:autoSpaceDN w:val="0"/>
    </w:pPr>
    <w:rPr>
      <w:rFonts w:ascii="宋体" w:hAnsi="宋体" w:cs="宋体"/>
      <w:sz w:val="22"/>
      <w:szCs w:val="22"/>
      <w:lang w:eastAsia="en-US"/>
    </w:rPr>
  </w:style>
  <w:style w:type="paragraph" w:customStyle="1" w:styleId="39">
    <w:name w:val="纯文本_0_0"/>
    <w:basedOn w:val="30"/>
    <w:qFormat/>
    <w:uiPriority w:val="0"/>
    <w:rPr>
      <w:rFonts w:ascii="宋体" w:hAnsi="Courier New"/>
      <w:szCs w:val="21"/>
    </w:rPr>
  </w:style>
  <w:style w:type="paragraph" w:customStyle="1" w:styleId="40">
    <w:name w:val="Normal"/>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4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
    <w:name w:val="Plain Text"/>
    <w:basedOn w:val="40"/>
    <w:qFormat/>
    <w:uiPriority w:val="0"/>
    <w:pPr>
      <w:widowControl/>
      <w:jc w:val="left"/>
    </w:pPr>
    <w:rPr>
      <w:rFonts w:hint="eastAsia" w:ascii="宋体" w:hAnsi="Courier New"/>
    </w:rPr>
  </w:style>
  <w:style w:type="paragraph" w:customStyle="1" w:styleId="43">
    <w:name w:val="正文1"/>
    <w:autoRedefine/>
    <w:qFormat/>
    <w:uiPriority w:val="0"/>
    <w:pPr>
      <w:widowControl w:val="0"/>
      <w:jc w:val="both"/>
    </w:pPr>
    <w:rPr>
      <w:rFonts w:hint="eastAsia"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102</Pages>
  <Words>55142</Words>
  <Characters>57387</Characters>
  <Lines>0</Lines>
  <Paragraphs>0</Paragraphs>
  <TotalTime>0</TotalTime>
  <ScaleCrop>false</ScaleCrop>
  <LinksUpToDate>false</LinksUpToDate>
  <CharactersWithSpaces>65825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2023-08-30T16:29:00Z</dcterms:created>
  <dc:creator>Root</dc:creator>
  <cp:lastModifiedBy>Administrator</cp:lastModifiedBy>
  <cp:lastPrinted>2024-07-15T05:15:00Z</cp:lastPrinted>
  <dcterms:modified xsi:type="dcterms:W3CDTF">2024-07-16T07:31:14Z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94522250E6004BC1B2492B927DD80C59_13</vt:lpwstr>
  </property>
</Properties>
</file>