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jc w:val="center"/>
        <w:rPr>
          <w:rFonts w:ascii="楷体" w:hAnsi="楷体" w:eastAsia="楷体" w:cs="Times New Roman"/>
          <w:b/>
          <w:spacing w:val="-6"/>
          <w:sz w:val="48"/>
          <w:szCs w:val="48"/>
        </w:rPr>
      </w:pPr>
      <w:r>
        <w:rPr>
          <w:rFonts w:hint="eastAsia" w:ascii="楷体" w:hAnsi="楷体" w:eastAsia="楷体" w:cs="Times New Roman"/>
          <w:b/>
          <w:spacing w:val="-6"/>
          <w:sz w:val="48"/>
          <w:szCs w:val="48"/>
        </w:rPr>
        <w:t>浙江财经大学</w:t>
      </w:r>
    </w:p>
    <w:p>
      <w:pPr>
        <w:adjustRightInd w:val="0"/>
        <w:snapToGrid w:val="0"/>
        <w:spacing w:line="288" w:lineRule="auto"/>
        <w:jc w:val="center"/>
        <w:rPr>
          <w:rFonts w:hint="eastAsia" w:ascii="楷体" w:hAnsi="楷体" w:eastAsia="楷体" w:cs="Times New Roman"/>
          <w:b/>
          <w:spacing w:val="-6"/>
          <w:sz w:val="48"/>
          <w:szCs w:val="48"/>
          <w:lang w:eastAsia="zh-CN"/>
        </w:rPr>
      </w:pPr>
      <w:r>
        <w:rPr>
          <w:rFonts w:hint="eastAsia" w:ascii="楷体" w:hAnsi="楷体" w:eastAsia="楷体" w:cs="Times New Roman"/>
          <w:b/>
          <w:spacing w:val="-6"/>
          <w:sz w:val="48"/>
          <w:szCs w:val="48"/>
          <w:lang w:eastAsia="zh-CN"/>
        </w:rPr>
        <w:t>智慧教室多媒体改造</w:t>
      </w:r>
    </w:p>
    <w:p>
      <w:pPr>
        <w:adjustRightInd w:val="0"/>
        <w:snapToGrid w:val="0"/>
        <w:spacing w:line="288" w:lineRule="auto"/>
        <w:jc w:val="center"/>
        <w:rPr>
          <w:rFonts w:ascii="楷体" w:hAnsi="楷体" w:eastAsia="楷体" w:cs="Times New Roman"/>
          <w:b/>
          <w:spacing w:val="-6"/>
          <w:sz w:val="48"/>
          <w:szCs w:val="48"/>
        </w:rPr>
      </w:pPr>
    </w:p>
    <w:p>
      <w:pPr>
        <w:adjustRightInd w:val="0"/>
        <w:snapToGrid w:val="0"/>
        <w:spacing w:line="288" w:lineRule="auto"/>
        <w:jc w:val="center"/>
        <w:rPr>
          <w:rFonts w:ascii="楷体" w:hAnsi="楷体" w:eastAsia="楷体" w:cs="Times New Roman"/>
          <w:b/>
          <w:spacing w:val="-6"/>
          <w:sz w:val="48"/>
          <w:szCs w:val="48"/>
        </w:rPr>
      </w:pPr>
    </w:p>
    <w:p>
      <w:pPr>
        <w:adjustRightInd w:val="0"/>
        <w:snapToGrid w:val="0"/>
        <w:spacing w:line="288" w:lineRule="auto"/>
        <w:jc w:val="center"/>
        <w:rPr>
          <w:rFonts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pPr>
        <w:widowControl/>
        <w:adjustRightInd w:val="0"/>
        <w:snapToGrid w:val="0"/>
        <w:spacing w:line="288" w:lineRule="auto"/>
        <w:ind w:right="-2"/>
        <w:jc w:val="center"/>
        <w:rPr>
          <w:rFonts w:ascii="楷体" w:hAnsi="楷体" w:eastAsia="楷体" w:cs="Times New Roman"/>
          <w:b/>
          <w:sz w:val="36"/>
          <w:szCs w:val="24"/>
        </w:rPr>
      </w:pPr>
      <w:r>
        <w:rPr>
          <w:rFonts w:hint="eastAsia" w:ascii="楷体" w:hAnsi="楷体" w:eastAsia="楷体" w:cs="Times New Roman"/>
          <w:b/>
          <w:sz w:val="36"/>
          <w:szCs w:val="24"/>
        </w:rPr>
        <w:t>（线上电子招投标）</w:t>
      </w:r>
    </w:p>
    <w:p>
      <w:pPr>
        <w:adjustRightInd w:val="0"/>
        <w:snapToGrid w:val="0"/>
        <w:spacing w:line="288" w:lineRule="auto"/>
        <w:jc w:val="center"/>
        <w:rPr>
          <w:rFonts w:ascii="楷体" w:hAnsi="楷体" w:eastAsia="楷体" w:cs="Times New Roman"/>
          <w:sz w:val="44"/>
          <w:szCs w:val="44"/>
        </w:rPr>
      </w:pPr>
    </w:p>
    <w:p>
      <w:pPr>
        <w:adjustRightInd w:val="0"/>
        <w:snapToGrid w:val="0"/>
        <w:spacing w:line="288" w:lineRule="auto"/>
        <w:jc w:val="center"/>
        <w:rPr>
          <w:rFonts w:ascii="楷体" w:hAnsi="楷体" w:eastAsia="楷体" w:cs="Times New Roman"/>
          <w:sz w:val="44"/>
          <w:szCs w:val="44"/>
        </w:rPr>
      </w:pPr>
    </w:p>
    <w:p>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项目名称：</w:t>
      </w:r>
      <w:r>
        <w:rPr>
          <w:rFonts w:hint="eastAsia" w:ascii="楷体" w:hAnsi="楷体" w:eastAsia="楷体" w:cs="Times New Roman"/>
          <w:b/>
          <w:spacing w:val="-6"/>
          <w:sz w:val="30"/>
          <w:szCs w:val="30"/>
          <w:lang w:eastAsia="zh-CN"/>
        </w:rPr>
        <w:t>浙江财经大学智慧教室多媒体改造</w:t>
      </w:r>
    </w:p>
    <w:p>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项目编号：</w:t>
      </w:r>
      <w:r>
        <w:rPr>
          <w:rFonts w:hint="eastAsia" w:ascii="楷体" w:hAnsi="楷体" w:eastAsia="楷体" w:cs="Times New Roman"/>
          <w:b/>
          <w:spacing w:val="-6"/>
          <w:sz w:val="30"/>
          <w:szCs w:val="30"/>
          <w:lang w:eastAsia="zh-CN"/>
        </w:rPr>
        <w:t>QSZB-Z(H)-E24167(GK)</w:t>
      </w:r>
    </w:p>
    <w:p>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 购 人：浙江财经大学</w:t>
      </w:r>
    </w:p>
    <w:p>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pPr>
        <w:adjustRightInd w:val="0"/>
        <w:snapToGrid w:val="0"/>
        <w:spacing w:line="288" w:lineRule="auto"/>
        <w:rPr>
          <w:rFonts w:hint="eastAsia" w:ascii="楷体" w:hAnsi="楷体" w:eastAsia="楷体" w:cs="Times New Roman"/>
          <w:b/>
          <w:spacing w:val="-6"/>
          <w:sz w:val="30"/>
          <w:szCs w:val="30"/>
          <w:lang w:eastAsia="zh-CN"/>
        </w:rPr>
      </w:pPr>
      <w:r>
        <w:rPr>
          <w:rFonts w:ascii="楷体" w:hAnsi="楷体" w:eastAsia="楷体" w:cs="Times New Roman"/>
          <w:b/>
          <w:spacing w:val="-6"/>
          <w:sz w:val="30"/>
          <w:szCs w:val="30"/>
        </w:rPr>
        <w:t>采购计划文号：</w:t>
      </w:r>
      <w:r>
        <w:rPr>
          <w:rFonts w:hint="eastAsia" w:ascii="楷体" w:hAnsi="楷体" w:eastAsia="楷体" w:cs="Times New Roman"/>
          <w:b/>
          <w:spacing w:val="-6"/>
          <w:sz w:val="30"/>
          <w:szCs w:val="30"/>
        </w:rPr>
        <w:t>[2024]41233号</w:t>
      </w:r>
      <w:r>
        <w:rPr>
          <w:rFonts w:hint="eastAsia" w:ascii="楷体" w:hAnsi="楷体" w:eastAsia="楷体" w:cs="Times New Roman"/>
          <w:b/>
          <w:spacing w:val="-6"/>
          <w:sz w:val="30"/>
          <w:szCs w:val="30"/>
          <w:lang w:eastAsia="zh-CN"/>
        </w:rPr>
        <w:t>、[2024]41231号、[2024]41232号</w:t>
      </w:r>
    </w:p>
    <w:p>
      <w:pPr>
        <w:adjustRightInd w:val="0"/>
        <w:snapToGrid w:val="0"/>
        <w:spacing w:line="288" w:lineRule="auto"/>
        <w:rPr>
          <w:rFonts w:ascii="楷体" w:hAnsi="楷体" w:eastAsia="楷体" w:cs="Times New Roman"/>
          <w:b/>
          <w:szCs w:val="21"/>
        </w:rPr>
      </w:pPr>
    </w:p>
    <w:p>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pPr>
        <w:widowControl/>
        <w:adjustRightInd w:val="0"/>
        <w:snapToGrid w:val="0"/>
        <w:spacing w:line="288" w:lineRule="auto"/>
        <w:jc w:val="left"/>
        <w:rPr>
          <w:rFonts w:ascii="宋体" w:hAnsi="宋体" w:eastAsia="宋体" w:cs="Times New Roman"/>
          <w:szCs w:val="21"/>
        </w:rPr>
      </w:pPr>
    </w:p>
    <w:p>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浙江财经大学智慧教室多媒体改造</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获取（下载）招标文件，并于</w:t>
      </w:r>
      <w:r>
        <w:rPr>
          <w:rFonts w:hint="eastAsia" w:ascii="宋体" w:hAnsi="宋体" w:eastAsia="宋体" w:cs="Times New Roman"/>
          <w:b/>
          <w:szCs w:val="21"/>
          <w:u w:val="single"/>
          <w:lang w:eastAsia="zh-CN"/>
        </w:rPr>
        <w:t>2024年7月29日9:30:00</w:t>
      </w:r>
      <w:r>
        <w:rPr>
          <w:rFonts w:hint="eastAsia" w:ascii="宋体" w:hAnsi="宋体" w:eastAsia="宋体" w:cs="Times New Roman"/>
          <w:b/>
          <w:szCs w:val="21"/>
          <w:u w:val="single"/>
        </w:rPr>
        <w:t>（北京时间）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pPr>
        <w:adjustRightInd w:val="0"/>
        <w:snapToGrid w:val="0"/>
        <w:spacing w:line="288" w:lineRule="auto"/>
        <w:rPr>
          <w:rFonts w:ascii="宋体" w:hAnsi="宋体" w:eastAsia="宋体" w:cs="宋体"/>
          <w:b/>
          <w:szCs w:val="21"/>
        </w:rPr>
      </w:pPr>
      <w:bookmarkStart w:id="0" w:name="_Toc35393621"/>
      <w:bookmarkStart w:id="1" w:name="_Toc28359079"/>
      <w:bookmarkStart w:id="2" w:name="_Toc35393790"/>
      <w:bookmarkStart w:id="3" w:name="_Toc28359002"/>
      <w:bookmarkStart w:id="4" w:name="_Hlk24379207"/>
      <w:r>
        <w:rPr>
          <w:rFonts w:hint="eastAsia" w:ascii="宋体" w:hAnsi="宋体" w:eastAsia="宋体" w:cs="宋体"/>
          <w:b/>
          <w:szCs w:val="21"/>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1.项目编号：</w:t>
      </w:r>
      <w:r>
        <w:rPr>
          <w:rFonts w:hint="eastAsia" w:ascii="宋体" w:hAnsi="宋体" w:eastAsia="宋体" w:cs="Times New Roman"/>
          <w:szCs w:val="21"/>
          <w:lang w:eastAsia="zh-CN"/>
        </w:rPr>
        <w:t>QSZB-Z(H)-E24167(GK)</w:t>
      </w:r>
    </w:p>
    <w:p>
      <w:pPr>
        <w:adjustRightInd w:val="0"/>
        <w:snapToGrid w:val="0"/>
        <w:spacing w:line="288" w:lineRule="auto"/>
        <w:ind w:firstLine="420" w:firstLineChars="200"/>
        <w:rPr>
          <w:rFonts w:hint="eastAsia" w:ascii="宋体" w:hAnsi="宋体" w:eastAsia="宋体" w:cs="Times New Roman"/>
          <w:szCs w:val="21"/>
          <w:lang w:eastAsia="zh-CN"/>
        </w:rPr>
      </w:pPr>
      <w:r>
        <w:rPr>
          <w:rFonts w:ascii="宋体" w:hAnsi="宋体" w:eastAsia="宋体" w:cs="Times New Roman"/>
          <w:szCs w:val="21"/>
        </w:rPr>
        <w:t>2</w:t>
      </w:r>
      <w:r>
        <w:rPr>
          <w:rFonts w:hint="eastAsia" w:ascii="宋体" w:hAnsi="宋体" w:eastAsia="宋体" w:cs="Times New Roman"/>
          <w:szCs w:val="21"/>
        </w:rPr>
        <w:t>.项目名称：</w:t>
      </w:r>
      <w:r>
        <w:rPr>
          <w:rFonts w:hint="eastAsia" w:ascii="宋体" w:hAnsi="宋体" w:eastAsia="宋体" w:cs="Times New Roman"/>
          <w:szCs w:val="21"/>
          <w:lang w:eastAsia="zh-CN"/>
        </w:rPr>
        <w:t>浙江财经大学智慧教室多媒体改造</w:t>
      </w:r>
    </w:p>
    <w:bookmarkEnd w:id="4"/>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.预算金额：</w:t>
      </w:r>
      <w:r>
        <w:rPr>
          <w:rFonts w:hint="eastAsia" w:ascii="宋体" w:hAnsi="宋体" w:eastAsia="宋体" w:cs="Times New Roman"/>
          <w:szCs w:val="21"/>
          <w:lang w:val="en-US" w:eastAsia="zh-CN"/>
        </w:rPr>
        <w:t>80</w:t>
      </w:r>
      <w:r>
        <w:rPr>
          <w:rFonts w:hint="eastAsia" w:ascii="宋体" w:hAnsi="宋体" w:eastAsia="宋体" w:cs="Times New Roman"/>
          <w:szCs w:val="21"/>
        </w:rPr>
        <w:t>0000元</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.最高限价：</w:t>
      </w:r>
      <w:r>
        <w:rPr>
          <w:rFonts w:hint="eastAsia" w:ascii="宋体" w:hAnsi="宋体" w:eastAsia="宋体" w:cs="Times New Roman"/>
          <w:szCs w:val="21"/>
          <w:lang w:val="en-US" w:eastAsia="zh-CN"/>
        </w:rPr>
        <w:t>80</w:t>
      </w:r>
      <w:r>
        <w:rPr>
          <w:rFonts w:hint="eastAsia" w:ascii="宋体" w:hAnsi="宋体" w:eastAsia="宋体" w:cs="Times New Roman"/>
          <w:szCs w:val="21"/>
        </w:rPr>
        <w:t>0000元</w:t>
      </w:r>
    </w:p>
    <w:p>
      <w:pPr>
        <w:adjustRightInd w:val="0"/>
        <w:snapToGrid w:val="0"/>
        <w:spacing w:line="288" w:lineRule="auto"/>
        <w:ind w:firstLine="420" w:firstLineChars="200"/>
        <w:rPr>
          <w:rFonts w:ascii="宋体" w:hAnsi="宋体" w:eastAsia="宋体" w:cs="Times New Roman"/>
          <w:szCs w:val="21"/>
          <w:u w:val="single"/>
        </w:rPr>
      </w:pPr>
      <w:r>
        <w:rPr>
          <w:rFonts w:ascii="宋体" w:hAnsi="宋体" w:eastAsia="宋体" w:cs="Times New Roman"/>
          <w:szCs w:val="21"/>
        </w:rPr>
        <w:t>5</w:t>
      </w:r>
      <w:r>
        <w:rPr>
          <w:rFonts w:hint="eastAsia" w:ascii="宋体" w:hAnsi="宋体" w:eastAsia="宋体" w:cs="Times New Roman"/>
          <w:szCs w:val="21"/>
        </w:rPr>
        <w:t>.合同履约期限：合同签订后30日内</w:t>
      </w:r>
    </w:p>
    <w:p>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6</w:t>
      </w:r>
      <w:r>
        <w:rPr>
          <w:rFonts w:hint="eastAsia" w:ascii="宋体" w:hAnsi="宋体" w:eastAsia="宋体" w:cs="Times New Roman"/>
          <w:bCs/>
          <w:szCs w:val="21"/>
        </w:rPr>
        <w:t>.本项目（是）接受联合体投标。</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708" w:type="dxa"/>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709" w:type="dxa"/>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单位</w:t>
            </w:r>
          </w:p>
        </w:tc>
        <w:tc>
          <w:tcPr>
            <w:tcW w:w="3119"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简要技术需求或服务要求</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szCs w:val="21"/>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一</w:t>
            </w:r>
          </w:p>
        </w:tc>
        <w:tc>
          <w:tcPr>
            <w:tcW w:w="3006" w:type="dxa"/>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bCs/>
                <w:szCs w:val="21"/>
                <w:lang w:eastAsia="zh-CN"/>
              </w:rPr>
            </w:pPr>
            <w:r>
              <w:rPr>
                <w:rFonts w:hint="eastAsia" w:ascii="宋体" w:hAnsi="宋体" w:eastAsia="宋体" w:cs="Times New Roman"/>
                <w:szCs w:val="21"/>
                <w:lang w:eastAsia="zh-CN"/>
              </w:rPr>
              <w:t>浙江财经大学智慧教室多媒体改造</w:t>
            </w:r>
          </w:p>
        </w:tc>
        <w:tc>
          <w:tcPr>
            <w:tcW w:w="708" w:type="dxa"/>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1</w:t>
            </w:r>
          </w:p>
        </w:tc>
        <w:tc>
          <w:tcPr>
            <w:tcW w:w="709" w:type="dxa"/>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批</w:t>
            </w:r>
          </w:p>
        </w:tc>
        <w:tc>
          <w:tcPr>
            <w:tcW w:w="3119"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详见采购需求</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否</w:t>
            </w:r>
          </w:p>
        </w:tc>
      </w:tr>
    </w:tbl>
    <w:p>
      <w:pPr>
        <w:adjustRightInd w:val="0"/>
        <w:snapToGrid w:val="0"/>
        <w:spacing w:line="288" w:lineRule="auto"/>
        <w:rPr>
          <w:rFonts w:ascii="宋体" w:hAnsi="宋体" w:eastAsia="宋体" w:cs="宋体"/>
          <w:b/>
          <w:szCs w:val="21"/>
        </w:rPr>
      </w:pPr>
      <w:bookmarkStart w:id="5" w:name="_Toc28359080"/>
      <w:bookmarkStart w:id="6" w:name="_Toc35393622"/>
      <w:bookmarkStart w:id="7" w:name="_Toc28359003"/>
      <w:bookmarkStart w:id="8" w:name="_Toc35393791"/>
      <w:r>
        <w:rPr>
          <w:rFonts w:hint="eastAsia" w:ascii="宋体" w:hAnsi="宋体" w:eastAsia="宋体" w:cs="宋体"/>
          <w:b/>
          <w:szCs w:val="21"/>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pPr>
        <w:adjustRightInd w:val="0"/>
        <w:snapToGrid w:val="0"/>
        <w:spacing w:line="288" w:lineRule="auto"/>
        <w:ind w:firstLine="420" w:firstLineChars="200"/>
        <w:rPr>
          <w:rFonts w:ascii="宋体" w:hAnsi="宋体" w:eastAsia="宋体" w:cs="Times New Roman"/>
          <w:szCs w:val="21"/>
        </w:rPr>
      </w:pPr>
      <w:bookmarkStart w:id="9" w:name="_Toc28359004"/>
      <w:bookmarkStart w:id="10" w:name="_Toc28359081"/>
      <w:r>
        <w:rPr>
          <w:rFonts w:hint="eastAsia" w:ascii="宋体" w:hAnsi="宋体" w:eastAsia="宋体" w:cs="Times New Roman"/>
          <w:szCs w:val="21"/>
        </w:rPr>
        <w:t>2.落实政府采购政策需满足的资格要求：无</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3.本项目的特定资格要求：无</w:t>
      </w:r>
    </w:p>
    <w:p>
      <w:pPr>
        <w:adjustRightInd w:val="0"/>
        <w:snapToGrid w:val="0"/>
        <w:spacing w:line="288" w:lineRule="auto"/>
        <w:rPr>
          <w:rFonts w:ascii="宋体" w:hAnsi="宋体" w:eastAsia="宋体" w:cs="宋体"/>
          <w:b/>
          <w:szCs w:val="21"/>
        </w:rPr>
      </w:pPr>
      <w:bookmarkStart w:id="11" w:name="_Toc35393623"/>
      <w:bookmarkStart w:id="12" w:name="_Toc35393792"/>
      <w:r>
        <w:rPr>
          <w:rFonts w:hint="eastAsia" w:ascii="宋体" w:hAnsi="宋体" w:eastAsia="宋体" w:cs="宋体"/>
          <w:b/>
          <w:szCs w:val="21"/>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szCs w:val="21"/>
        </w:rPr>
      </w:pPr>
      <w:bookmarkStart w:id="13" w:name="_Toc28359082"/>
      <w:bookmarkStart w:id="14" w:name="_Toc28359005"/>
      <w:bookmarkStart w:id="15" w:name="_Toc35393624"/>
      <w:bookmarkStart w:id="16" w:name="_Toc35393793"/>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时间：</w:t>
      </w:r>
      <w:r>
        <w:rPr>
          <w:rFonts w:hint="eastAsia" w:ascii="宋体" w:hAnsi="宋体" w:eastAsia="宋体" w:cs="Times New Roman"/>
          <w:szCs w:val="21"/>
          <w:lang w:val="en-US" w:eastAsia="zh-CN"/>
        </w:rPr>
        <w:t>/</w:t>
      </w:r>
      <w:r>
        <w:rPr>
          <w:rFonts w:hint="eastAsia" w:ascii="宋体" w:hAnsi="宋体" w:eastAsia="宋体" w:cs="Times New Roman"/>
          <w:szCs w:val="21"/>
        </w:rPr>
        <w:t>至2024年</w:t>
      </w:r>
      <w:r>
        <w:rPr>
          <w:rFonts w:hint="eastAsia" w:ascii="宋体" w:hAnsi="宋体" w:eastAsia="宋体" w:cs="Times New Roman"/>
          <w:szCs w:val="21"/>
          <w:lang w:val="en-US" w:eastAsia="zh-CN"/>
        </w:rPr>
        <w:t>7</w:t>
      </w:r>
      <w:r>
        <w:rPr>
          <w:rFonts w:hint="eastAsia" w:ascii="宋体" w:hAnsi="宋体" w:eastAsia="宋体" w:cs="Times New Roman"/>
          <w:szCs w:val="21"/>
        </w:rPr>
        <w:t>月</w:t>
      </w:r>
      <w:r>
        <w:rPr>
          <w:rFonts w:hint="eastAsia" w:ascii="宋体" w:hAnsi="宋体" w:eastAsia="宋体" w:cs="Times New Roman"/>
          <w:szCs w:val="21"/>
          <w:lang w:val="en-US" w:eastAsia="zh-CN"/>
        </w:rPr>
        <w:t>29</w:t>
      </w:r>
      <w:r>
        <w:rPr>
          <w:rFonts w:hint="eastAsia" w:ascii="宋体" w:hAnsi="宋体" w:eastAsia="宋体" w:cs="Times New Roman"/>
          <w:szCs w:val="21"/>
        </w:rPr>
        <w:t>日，上午</w:t>
      </w:r>
      <w:r>
        <w:rPr>
          <w:rFonts w:hint="eastAsia" w:ascii="宋体" w:hAnsi="宋体" w:eastAsia="宋体" w:cs="Times New Roman"/>
          <w:bCs/>
          <w:szCs w:val="21"/>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pPr>
        <w:adjustRightInd w:val="0"/>
        <w:snapToGrid w:val="0"/>
        <w:spacing w:line="288" w:lineRule="auto"/>
        <w:rPr>
          <w:rFonts w:ascii="宋体" w:hAnsi="宋体" w:eastAsia="宋体" w:cs="宋体"/>
          <w:b/>
          <w:szCs w:val="21"/>
        </w:rPr>
      </w:pPr>
      <w:r>
        <w:rPr>
          <w:rFonts w:hint="eastAsia" w:ascii="宋体" w:hAnsi="宋体" w:eastAsia="宋体" w:cs="宋体"/>
          <w:b/>
          <w:szCs w:val="21"/>
        </w:rPr>
        <w:t>四、提交（上传）投标文件</w:t>
      </w:r>
      <w:bookmarkEnd w:id="13"/>
      <w:bookmarkEnd w:id="14"/>
      <w:r>
        <w:rPr>
          <w:rFonts w:hint="eastAsia" w:ascii="宋体" w:hAnsi="宋体" w:eastAsia="宋体" w:cs="宋体"/>
          <w:b/>
          <w:szCs w:val="21"/>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szCs w:val="21"/>
        </w:rPr>
      </w:pPr>
      <w:bookmarkStart w:id="17" w:name="_Hlk81212057"/>
      <w:r>
        <w:rPr>
          <w:rFonts w:hint="eastAsia" w:ascii="宋体" w:hAnsi="宋体" w:eastAsia="宋体" w:cs="Times New Roman"/>
          <w:bCs/>
          <w:szCs w:val="21"/>
        </w:rPr>
        <w:t>提交投标文件截止时间：</w:t>
      </w:r>
      <w:r>
        <w:rPr>
          <w:rFonts w:hint="eastAsia" w:ascii="宋体" w:hAnsi="宋体" w:eastAsia="宋体" w:cs="Times New Roman"/>
          <w:bCs/>
          <w:szCs w:val="21"/>
          <w:lang w:eastAsia="zh-CN"/>
        </w:rPr>
        <w:t>2024年7月29日9:30:00</w:t>
      </w:r>
      <w:r>
        <w:rPr>
          <w:rFonts w:hint="eastAsia" w:ascii="宋体" w:hAnsi="宋体" w:eastAsia="宋体" w:cs="Times New Roman"/>
          <w:bCs/>
          <w:szCs w:val="21"/>
        </w:rPr>
        <w:t>（北京时间）</w:t>
      </w:r>
    </w:p>
    <w:p>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投标地点（网址）：</w:t>
      </w:r>
      <w:r>
        <w:rPr>
          <w:rFonts w:hint="eastAsia" w:ascii="宋体" w:hAnsi="宋体" w:eastAsia="宋体" w:cs="Times New Roman"/>
          <w:szCs w:val="21"/>
        </w:rPr>
        <w:t>政府采购云平台（https://www.zcygov.cn）</w:t>
      </w:r>
    </w:p>
    <w:p>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开标时间：</w:t>
      </w:r>
      <w:r>
        <w:rPr>
          <w:rFonts w:hint="eastAsia" w:ascii="宋体" w:hAnsi="宋体" w:eastAsia="宋体" w:cs="Times New Roman"/>
          <w:bCs/>
          <w:szCs w:val="21"/>
          <w:lang w:eastAsia="zh-CN"/>
        </w:rPr>
        <w:t>2024年7月29日9:30:00</w:t>
      </w:r>
      <w:r>
        <w:rPr>
          <w:rFonts w:hint="eastAsia" w:ascii="宋体" w:hAnsi="宋体" w:eastAsia="宋体" w:cs="Times New Roman"/>
          <w:bCs/>
          <w:szCs w:val="21"/>
        </w:rPr>
        <w:t>（北京时间）</w:t>
      </w:r>
    </w:p>
    <w:p>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开标地点（网址）：</w:t>
      </w:r>
      <w:r>
        <w:rPr>
          <w:rFonts w:hint="eastAsia" w:ascii="宋体" w:hAnsi="宋体" w:eastAsia="宋体" w:cs="Times New Roman"/>
          <w:szCs w:val="21"/>
        </w:rPr>
        <w:t>政府采购云平台（https://www.zcygov.cn）</w:t>
      </w:r>
      <w:bookmarkStart w:id="18" w:name="_Hlk81212131"/>
      <w:r>
        <w:rPr>
          <w:rFonts w:hint="eastAsia" w:ascii="宋体" w:hAnsi="宋体" w:eastAsia="宋体" w:cs="Times New Roman"/>
          <w:szCs w:val="21"/>
        </w:rPr>
        <w:t>/杭州市西湖区玉古路173号中田大厦21楼（求是招标会议室</w:t>
      </w:r>
      <w:r>
        <w:rPr>
          <w:rFonts w:ascii="宋体" w:hAnsi="宋体" w:eastAsia="宋体" w:cs="Times New Roman"/>
          <w:szCs w:val="21"/>
        </w:rPr>
        <w:t>4</w:t>
      </w:r>
      <w:r>
        <w:rPr>
          <w:rFonts w:hint="eastAsia" w:ascii="宋体" w:hAnsi="宋体" w:eastAsia="宋体" w:cs="Times New Roman"/>
          <w:szCs w:val="21"/>
        </w:rPr>
        <w:t>）</w:t>
      </w:r>
      <w:bookmarkEnd w:id="18"/>
    </w:p>
    <w:bookmarkEnd w:id="17"/>
    <w:p>
      <w:pPr>
        <w:adjustRightInd w:val="0"/>
        <w:snapToGrid w:val="0"/>
        <w:spacing w:line="288" w:lineRule="auto"/>
        <w:rPr>
          <w:rFonts w:ascii="宋体" w:hAnsi="宋体" w:eastAsia="宋体" w:cs="宋体"/>
          <w:b/>
          <w:szCs w:val="21"/>
        </w:rPr>
      </w:pPr>
      <w:bookmarkStart w:id="19" w:name="_Toc28359007"/>
      <w:bookmarkStart w:id="20" w:name="_Toc28359084"/>
      <w:bookmarkStart w:id="21" w:name="_Toc35393794"/>
      <w:bookmarkStart w:id="22" w:name="_Toc35393625"/>
      <w:r>
        <w:rPr>
          <w:rFonts w:hint="eastAsia" w:ascii="宋体" w:hAnsi="宋体" w:eastAsia="宋体" w:cs="宋体"/>
          <w:b/>
          <w:szCs w:val="21"/>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pPr>
        <w:adjustRightInd w:val="0"/>
        <w:snapToGrid w:val="0"/>
        <w:spacing w:line="288" w:lineRule="auto"/>
        <w:rPr>
          <w:rFonts w:ascii="宋体" w:hAnsi="宋体" w:eastAsia="宋体" w:cs="宋体"/>
          <w:b/>
          <w:szCs w:val="21"/>
        </w:rPr>
      </w:pPr>
      <w:bookmarkStart w:id="23" w:name="_Toc35393626"/>
      <w:bookmarkStart w:id="24" w:name="_Toc35393795"/>
      <w:r>
        <w:rPr>
          <w:rFonts w:hint="eastAsia" w:ascii="宋体" w:hAnsi="宋体" w:eastAsia="宋体" w:cs="宋体"/>
          <w:b/>
          <w:szCs w:val="21"/>
        </w:rPr>
        <w:t>六、其他补充事宜</w:t>
      </w:r>
      <w:bookmarkEnd w:id="23"/>
      <w:bookmarkEnd w:id="24"/>
    </w:p>
    <w:p>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pPr>
        <w:adjustRightInd w:val="0"/>
        <w:snapToGrid w:val="0"/>
        <w:spacing w:line="288" w:lineRule="auto"/>
        <w:rPr>
          <w:rFonts w:ascii="宋体" w:hAnsi="宋体" w:eastAsia="宋体" w:cs="Times New Roman"/>
          <w:b/>
          <w:szCs w:val="21"/>
        </w:rPr>
      </w:pPr>
      <w:bookmarkStart w:id="29" w:name="_Toc28359085"/>
      <w:bookmarkStart w:id="30" w:name="_Toc28359008"/>
      <w:bookmarkStart w:id="31" w:name="_Toc35393627"/>
      <w:bookmarkStart w:id="32" w:name="_Toc35393796"/>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名称：浙江财经大学</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地址：浙江省杭州市下沙高教园区学源街18号</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项目联系人（询问）：都老师</w:t>
      </w:r>
    </w:p>
    <w:p>
      <w:pPr>
        <w:adjustRightInd w:val="0"/>
        <w:snapToGrid w:val="0"/>
        <w:spacing w:line="288" w:lineRule="auto"/>
        <w:ind w:firstLine="424" w:firstLineChars="202"/>
      </w:pPr>
      <w:r>
        <w:rPr>
          <w:rFonts w:hint="eastAsia" w:ascii="宋体" w:hAnsi="宋体" w:eastAsia="宋体" w:cs="Times New Roman"/>
          <w:szCs w:val="21"/>
        </w:rPr>
        <w:t>项目联系方式（询问）：0571-87557121</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质疑联系人：周老师</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质疑联系方式：0571-86731939</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投诉联系人：王老师</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投诉联系方式：0571-86732909</w:t>
      </w:r>
    </w:p>
    <w:p>
      <w:pPr>
        <w:adjustRightInd w:val="0"/>
        <w:snapToGrid w:val="0"/>
        <w:spacing w:line="288" w:lineRule="auto"/>
        <w:ind w:firstLine="424" w:firstLineChars="202"/>
        <w:rPr>
          <w:rFonts w:ascii="宋体" w:hAnsi="宋体" w:eastAsia="宋体" w:cs="Times New Roman"/>
          <w:szCs w:val="21"/>
        </w:rPr>
      </w:pP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地址：杭州市西湖区玉古路173号中田大厦21楼</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424" w:firstLineChars="202"/>
        <w:rPr>
          <w:rFonts w:hint="default" w:ascii="宋体" w:hAnsi="宋体" w:eastAsia="宋体" w:cs="Times New Roman"/>
          <w:szCs w:val="21"/>
          <w:lang w:val="en-US" w:eastAsia="zh-CN"/>
        </w:rPr>
      </w:pPr>
      <w:r>
        <w:rPr>
          <w:rFonts w:hint="eastAsia" w:ascii="宋体" w:hAnsi="宋体" w:eastAsia="宋体" w:cs="Times New Roman"/>
          <w:szCs w:val="21"/>
        </w:rPr>
        <w:t>项目联系人（询问）：</w:t>
      </w:r>
      <w:r>
        <w:rPr>
          <w:rFonts w:hint="eastAsia" w:ascii="宋体" w:hAnsi="宋体" w:eastAsia="宋体" w:cs="Times New Roman"/>
          <w:bCs/>
          <w:spacing w:val="-6"/>
          <w:szCs w:val="21"/>
        </w:rPr>
        <w:t>叶鲁茂</w:t>
      </w:r>
      <w:r>
        <w:rPr>
          <w:rFonts w:hint="eastAsia" w:ascii="宋体" w:hAnsi="宋体" w:eastAsia="宋体" w:cs="Times New Roman"/>
          <w:bCs/>
          <w:spacing w:val="-6"/>
          <w:szCs w:val="21"/>
          <w:lang w:eastAsia="zh-CN"/>
        </w:rPr>
        <w:t>、</w:t>
      </w:r>
      <w:r>
        <w:rPr>
          <w:rFonts w:hint="eastAsia" w:ascii="宋体" w:hAnsi="宋体" w:eastAsia="宋体" w:cs="Times New Roman"/>
          <w:bCs/>
          <w:spacing w:val="-6"/>
          <w:szCs w:val="21"/>
          <w:lang w:val="en-US" w:eastAsia="zh-CN"/>
        </w:rPr>
        <w:t>刘冰冰、王鑫涛</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项目联系方式（询问）：0571-87666117</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质疑联系人：周安琪</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pPr>
        <w:adjustRightInd w:val="0"/>
        <w:snapToGrid w:val="0"/>
        <w:spacing w:line="288" w:lineRule="auto"/>
        <w:ind w:firstLine="424" w:firstLineChars="202"/>
        <w:rPr>
          <w:rFonts w:ascii="宋体" w:hAnsi="宋体" w:eastAsia="宋体" w:cs="Times New Roman"/>
          <w:szCs w:val="21"/>
        </w:rPr>
      </w:pPr>
      <w:bookmarkStart w:id="33" w:name="_Hlk124147873"/>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rPr>
        <w:t>3.</w:t>
      </w:r>
      <w:r>
        <w:rPr>
          <w:rFonts w:ascii="宋体" w:hAnsi="宋体" w:eastAsia="宋体" w:cs="Times New Roman"/>
          <w:spacing w:val="-6"/>
          <w:szCs w:val="21"/>
          <w:highlight w:val="none"/>
        </w:rPr>
        <w:t>政策咨询：何一平、冯华，0571-87058424、87055741</w:t>
      </w:r>
    </w:p>
    <w:p>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预算金额未达100万元的采购项目，由采购人处理采购争议。</w:t>
      </w:r>
    </w:p>
    <w:p>
      <w:pPr>
        <w:adjustRightInd w:val="0"/>
        <w:snapToGrid w:val="0"/>
        <w:spacing w:line="288" w:lineRule="auto"/>
        <w:ind w:firstLine="370"/>
        <w:rPr>
          <w:rFonts w:ascii="宋体" w:hAnsi="宋体" w:eastAsia="宋体" w:cs="Times New Roman"/>
          <w:spacing w:val="-6"/>
          <w:szCs w:val="21"/>
        </w:rPr>
      </w:pPr>
    </w:p>
    <w:p>
      <w:pPr>
        <w:adjustRightInd w:val="0"/>
        <w:snapToGrid w:val="0"/>
        <w:spacing w:line="288" w:lineRule="auto"/>
        <w:ind w:firstLine="420" w:firstLineChars="200"/>
        <w:rPr>
          <w:rFonts w:ascii="宋体" w:hAnsi="宋体" w:eastAsia="宋体" w:cs="Times New Roman"/>
          <w:szCs w:val="21"/>
        </w:rPr>
      </w:pPr>
      <w:bookmarkStart w:id="34" w:name="_Hlk143604927"/>
      <w:r>
        <w:rPr>
          <w:rFonts w:hint="eastAsia" w:ascii="宋体" w:hAnsi="宋体" w:eastAsia="宋体" w:cs="Times New Roman"/>
          <w:szCs w:val="21"/>
        </w:rPr>
        <w:t>若对项目采购电子交易系统操作有疑问，可登录政采云（</w:t>
      </w:r>
      <w:r>
        <w:rPr>
          <w:rFonts w:ascii="宋体" w:hAnsi="宋体" w:eastAsia="宋体" w:cs="Times New Roman"/>
          <w:szCs w:val="21"/>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CA问题联系电话（人工）：汇信CA 400-888-4636；天谷CA 400-087-8198。</w:t>
      </w:r>
    </w:p>
    <w:bookmarkEnd w:id="33"/>
    <w:bookmarkEnd w:id="34"/>
    <w:p>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提供材料详见招标文件第六章“报价文件”</w:t>
            </w:r>
          </w:p>
          <w:p>
            <w:pPr>
              <w:pStyle w:val="2"/>
              <w:keepNext w:val="0"/>
              <w:keepLines w:val="0"/>
              <w:pageBreakBefore w:val="0"/>
              <w:widowControl w:val="0"/>
              <w:tabs>
                <w:tab w:val="left" w:pos="432"/>
              </w:tabs>
              <w:kinsoku/>
              <w:wordWrap/>
              <w:overflowPunct/>
              <w:topLinePunct w:val="0"/>
              <w:autoSpaceDE/>
              <w:autoSpaceDN/>
              <w:bidi w:val="0"/>
              <w:adjustRightInd w:val="0"/>
              <w:snapToGrid w:val="0"/>
              <w:spacing w:before="0" w:after="0" w:line="288" w:lineRule="auto"/>
              <w:ind w:left="0" w:firstLine="0"/>
              <w:jc w:val="both"/>
              <w:textAlignment w:val="auto"/>
              <w:rPr>
                <w:rFonts w:hint="eastAsia" w:ascii="宋体" w:hAnsi="宋体" w:eastAsia="宋体" w:cs="宋体"/>
                <w:b w:val="0"/>
                <w:bCs w:val="0"/>
                <w:sz w:val="21"/>
                <w:szCs w:val="21"/>
                <w:highlight w:val="none"/>
                <w:lang w:val="en-US"/>
              </w:rPr>
            </w:pP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lang w:val="en-US"/>
              </w:rPr>
              <w:t>标的名称：</w:t>
            </w:r>
            <w:r>
              <w:rPr>
                <w:rFonts w:hint="eastAsia" w:ascii="宋体" w:hAnsi="宋体" w:eastAsia="宋体" w:cs="宋体"/>
                <w:b w:val="0"/>
                <w:bCs w:val="0"/>
                <w:sz w:val="21"/>
                <w:szCs w:val="21"/>
                <w:highlight w:val="none"/>
                <w:u w:val="single"/>
                <w:lang w:val="en-US"/>
              </w:rPr>
              <w:t xml:space="preserve"> 一体教学控制终端</w:t>
            </w:r>
            <w:r>
              <w:rPr>
                <w:rFonts w:hint="eastAsia" w:ascii="宋体" w:hAnsi="宋体" w:eastAsia="宋体" w:cs="宋体"/>
                <w:b w:val="0"/>
                <w:bCs w:val="0"/>
                <w:sz w:val="21"/>
                <w:szCs w:val="21"/>
                <w:highlight w:val="none"/>
                <w:u w:val="single"/>
                <w:lang w:val="en-US" w:eastAsia="zh-CN"/>
              </w:rPr>
              <w:t>、</w:t>
            </w:r>
            <w:r>
              <w:rPr>
                <w:rFonts w:hint="eastAsia" w:ascii="宋体" w:hAnsi="宋体" w:eastAsia="宋体" w:cs="宋体"/>
                <w:b w:val="0"/>
                <w:bCs w:val="0"/>
                <w:sz w:val="21"/>
                <w:szCs w:val="21"/>
                <w:highlight w:val="none"/>
                <w:u w:val="single"/>
                <w:lang w:val="en-US"/>
              </w:rPr>
              <w:t>智能显示终端</w:t>
            </w:r>
            <w:r>
              <w:rPr>
                <w:rFonts w:hint="eastAsia" w:ascii="宋体" w:hAnsi="宋体" w:eastAsia="宋体" w:cs="宋体"/>
                <w:b w:val="0"/>
                <w:bCs w:val="0"/>
                <w:sz w:val="21"/>
                <w:szCs w:val="21"/>
                <w:highlight w:val="none"/>
                <w:u w:val="single"/>
                <w:lang w:val="en-US" w:eastAsia="zh-CN"/>
              </w:rPr>
              <w:t>、</w:t>
            </w:r>
            <w:r>
              <w:rPr>
                <w:rFonts w:hint="eastAsia" w:ascii="宋体" w:hAnsi="宋体" w:eastAsia="宋体" w:cs="宋体"/>
                <w:b w:val="0"/>
                <w:bCs w:val="0"/>
                <w:sz w:val="21"/>
                <w:szCs w:val="21"/>
                <w:highlight w:val="none"/>
                <w:u w:val="single"/>
                <w:lang w:val="en-US"/>
              </w:rPr>
              <w:t>书写白板（一体教学控制终端）（含整体框）</w:t>
            </w:r>
            <w:r>
              <w:rPr>
                <w:rFonts w:hint="eastAsia" w:ascii="宋体" w:hAnsi="宋体" w:eastAsia="宋体" w:cs="宋体"/>
                <w:b w:val="0"/>
                <w:bCs w:val="0"/>
                <w:sz w:val="21"/>
                <w:szCs w:val="21"/>
                <w:highlight w:val="none"/>
                <w:u w:val="single"/>
                <w:lang w:val="en-US" w:eastAsia="zh-CN"/>
              </w:rPr>
              <w:t>、</w:t>
            </w:r>
            <w:r>
              <w:rPr>
                <w:rFonts w:hint="eastAsia" w:ascii="宋体" w:hAnsi="宋体" w:eastAsia="宋体" w:cs="宋体"/>
                <w:b w:val="0"/>
                <w:bCs w:val="0"/>
                <w:sz w:val="21"/>
                <w:szCs w:val="21"/>
                <w:highlight w:val="none"/>
                <w:u w:val="single"/>
                <w:lang w:val="en-US"/>
              </w:rPr>
              <w:t>书写白板（智能显示终端）（含整体框）</w:t>
            </w:r>
            <w:r>
              <w:rPr>
                <w:rFonts w:hint="eastAsia" w:ascii="宋体" w:hAnsi="宋体" w:eastAsia="宋体" w:cs="宋体"/>
                <w:b w:val="0"/>
                <w:bCs w:val="0"/>
                <w:sz w:val="21"/>
                <w:szCs w:val="21"/>
                <w:highlight w:val="none"/>
                <w:u w:val="single"/>
                <w:lang w:val="en-US" w:eastAsia="zh-CN"/>
              </w:rPr>
              <w:t>、</w:t>
            </w:r>
            <w:r>
              <w:rPr>
                <w:rFonts w:hint="eastAsia" w:ascii="宋体" w:hAnsi="宋体" w:eastAsia="宋体" w:cs="宋体"/>
                <w:b w:val="0"/>
                <w:bCs w:val="0"/>
                <w:sz w:val="21"/>
                <w:szCs w:val="21"/>
                <w:highlight w:val="none"/>
                <w:u w:val="single"/>
                <w:lang w:val="en-US"/>
              </w:rPr>
              <w:t>云终端</w:t>
            </w:r>
            <w:r>
              <w:rPr>
                <w:rFonts w:hint="eastAsia" w:ascii="宋体" w:hAnsi="宋体" w:eastAsia="宋体" w:cs="宋体"/>
                <w:b w:val="0"/>
                <w:bCs w:val="0"/>
                <w:sz w:val="21"/>
                <w:szCs w:val="21"/>
                <w:highlight w:val="none"/>
                <w:u w:val="single"/>
                <w:lang w:val="en-US" w:eastAsia="zh-CN"/>
              </w:rPr>
              <w:t>、</w:t>
            </w:r>
            <w:r>
              <w:rPr>
                <w:rFonts w:hint="eastAsia" w:ascii="宋体" w:hAnsi="宋体" w:eastAsia="宋体" w:cs="宋体"/>
                <w:b w:val="0"/>
                <w:bCs w:val="0"/>
                <w:sz w:val="21"/>
                <w:szCs w:val="21"/>
                <w:highlight w:val="none"/>
                <w:u w:val="single"/>
                <w:lang w:val="en-US"/>
              </w:rPr>
              <w:t>电动升降讲台</w:t>
            </w:r>
            <w:r>
              <w:rPr>
                <w:rFonts w:hint="eastAsia" w:ascii="宋体" w:hAnsi="宋体" w:eastAsia="宋体" w:cs="宋体"/>
                <w:b w:val="0"/>
                <w:bCs w:val="0"/>
                <w:sz w:val="21"/>
                <w:szCs w:val="21"/>
                <w:highlight w:val="none"/>
                <w:u w:val="single"/>
                <w:lang w:val="en-US" w:eastAsia="zh-CN"/>
              </w:rPr>
              <w:t>、</w:t>
            </w:r>
            <w:r>
              <w:rPr>
                <w:rFonts w:hint="eastAsia" w:ascii="宋体" w:hAnsi="宋体" w:eastAsia="宋体" w:cs="宋体"/>
                <w:b w:val="0"/>
                <w:bCs w:val="0"/>
                <w:sz w:val="21"/>
                <w:szCs w:val="21"/>
                <w:highlight w:val="none"/>
                <w:u w:val="single"/>
                <w:lang w:val="en-US"/>
              </w:rPr>
              <w:t>功放（含音箱、无线话筒）</w:t>
            </w:r>
            <w:r>
              <w:rPr>
                <w:rFonts w:hint="eastAsia" w:ascii="宋体" w:hAnsi="宋体" w:eastAsia="宋体" w:cs="宋体"/>
                <w:b w:val="0"/>
                <w:bCs w:val="0"/>
                <w:sz w:val="21"/>
                <w:szCs w:val="21"/>
                <w:highlight w:val="none"/>
                <w:u w:val="single"/>
                <w:lang w:val="en-US" w:eastAsia="zh-CN"/>
              </w:rPr>
              <w:t>、</w:t>
            </w:r>
            <w:r>
              <w:rPr>
                <w:rFonts w:hint="eastAsia" w:ascii="宋体" w:hAnsi="宋体" w:eastAsia="宋体" w:cs="宋体"/>
                <w:b w:val="0"/>
                <w:bCs w:val="0"/>
                <w:sz w:val="21"/>
                <w:szCs w:val="21"/>
                <w:highlight w:val="none"/>
                <w:u w:val="single"/>
                <w:lang w:val="en-US"/>
              </w:rPr>
              <w:t>交换机</w:t>
            </w:r>
            <w:r>
              <w:rPr>
                <w:rFonts w:hint="eastAsia" w:ascii="宋体" w:hAnsi="宋体" w:eastAsia="宋体" w:cs="宋体"/>
                <w:b w:val="0"/>
                <w:bCs w:val="0"/>
                <w:sz w:val="21"/>
                <w:szCs w:val="21"/>
                <w:highlight w:val="none"/>
                <w:u w:val="single"/>
                <w:lang w:val="en-US" w:eastAsia="zh-CN"/>
              </w:rPr>
              <w:t>、</w:t>
            </w:r>
            <w:r>
              <w:rPr>
                <w:rFonts w:hint="eastAsia" w:ascii="宋体" w:hAnsi="宋体" w:eastAsia="宋体" w:cs="宋体"/>
                <w:b w:val="0"/>
                <w:bCs w:val="0"/>
                <w:sz w:val="21"/>
                <w:szCs w:val="21"/>
                <w:highlight w:val="none"/>
                <w:u w:val="single"/>
                <w:lang w:val="en-US"/>
              </w:rPr>
              <w:t>辅助屏</w:t>
            </w:r>
            <w:r>
              <w:rPr>
                <w:rFonts w:hint="eastAsia" w:ascii="宋体" w:hAnsi="宋体" w:eastAsia="宋体" w:cs="宋体"/>
                <w:b w:val="0"/>
                <w:bCs w:val="0"/>
                <w:sz w:val="21"/>
                <w:szCs w:val="21"/>
                <w:highlight w:val="none"/>
                <w:u w:val="single"/>
                <w:lang w:val="en-US" w:eastAsia="zh-CN"/>
              </w:rPr>
              <w:t>、</w:t>
            </w:r>
            <w:r>
              <w:rPr>
                <w:rFonts w:hint="eastAsia" w:ascii="宋体" w:hAnsi="宋体" w:eastAsia="宋体" w:cs="宋体"/>
                <w:b w:val="0"/>
                <w:bCs w:val="0"/>
                <w:sz w:val="21"/>
                <w:szCs w:val="21"/>
                <w:highlight w:val="none"/>
                <w:u w:val="single"/>
                <w:lang w:val="en-US"/>
              </w:rPr>
              <w:t>教师椅</w:t>
            </w:r>
            <w:r>
              <w:rPr>
                <w:rFonts w:hint="eastAsia" w:ascii="宋体" w:hAnsi="宋体" w:eastAsia="宋体" w:cs="宋体"/>
                <w:b w:val="0"/>
                <w:bCs w:val="0"/>
                <w:sz w:val="21"/>
                <w:szCs w:val="21"/>
                <w:highlight w:val="none"/>
                <w:u w:val="single"/>
                <w:lang w:val="en-US" w:eastAsia="zh-CN"/>
              </w:rPr>
              <w:t>、</w:t>
            </w:r>
            <w:r>
              <w:rPr>
                <w:rFonts w:hint="eastAsia" w:ascii="宋体" w:hAnsi="宋体" w:eastAsia="宋体" w:cs="宋体"/>
                <w:b w:val="0"/>
                <w:bCs w:val="0"/>
                <w:sz w:val="21"/>
                <w:szCs w:val="21"/>
                <w:highlight w:val="none"/>
                <w:u w:val="single"/>
                <w:lang w:val="en-US"/>
              </w:rPr>
              <w:t xml:space="preserve">学生桌椅 </w:t>
            </w:r>
            <w:r>
              <w:rPr>
                <w:rFonts w:hint="eastAsia" w:ascii="宋体" w:hAnsi="宋体" w:eastAsia="宋体" w:cs="宋体"/>
                <w:b w:val="0"/>
                <w:bCs w:val="0"/>
                <w:sz w:val="21"/>
                <w:szCs w:val="21"/>
                <w:highlight w:val="none"/>
                <w:lang w:val="en-US"/>
              </w:rPr>
              <w:t>，属于</w:t>
            </w:r>
            <w:r>
              <w:rPr>
                <w:rFonts w:hint="eastAsia" w:ascii="宋体" w:hAnsi="宋体" w:eastAsia="宋体" w:cs="宋体"/>
                <w:b w:val="0"/>
                <w:bCs w:val="0"/>
                <w:sz w:val="21"/>
                <w:szCs w:val="21"/>
                <w:highlight w:val="none"/>
                <w:u w:val="single"/>
                <w:lang w:val="en-US"/>
              </w:rPr>
              <w:t xml:space="preserve"> 工业</w:t>
            </w:r>
            <w:r>
              <w:rPr>
                <w:rFonts w:hint="eastAsia" w:ascii="宋体" w:hAnsi="宋体" w:eastAsia="宋体" w:cs="宋体"/>
                <w:b w:val="0"/>
                <w:bCs w:val="0"/>
                <w:sz w:val="21"/>
                <w:szCs w:val="21"/>
                <w:highlight w:val="none"/>
                <w:u w:val="single"/>
                <w:lang w:val="en-US" w:eastAsia="zh-CN"/>
              </w:rPr>
              <w:t xml:space="preserve"> </w:t>
            </w:r>
            <w:r>
              <w:rPr>
                <w:rFonts w:hint="eastAsia" w:ascii="宋体" w:hAnsi="宋体" w:eastAsia="宋体" w:cs="宋体"/>
                <w:b w:val="0"/>
                <w:bCs w:val="0"/>
                <w:sz w:val="21"/>
                <w:szCs w:val="21"/>
                <w:highlight w:val="none"/>
                <w:lang w:val="en-US"/>
              </w:rPr>
              <w:t>行业；</w:t>
            </w:r>
          </w:p>
          <w:p>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本项目属性为：货物</w:t>
            </w:r>
          </w:p>
          <w:p>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采购标的对应的中小企业划分标准所属行业：工业</w:t>
            </w:r>
          </w:p>
          <w:p>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Times New Roman"/>
                <w:b/>
                <w:bCs/>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288" w:lineRule="auto"/>
              <w:jc w:val="left"/>
            </w:pP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rPr>
              <w:t>标的名称：</w:t>
            </w:r>
            <w:r>
              <w:rPr>
                <w:rFonts w:hint="eastAsia" w:ascii="宋体" w:hAnsi="宋体" w:eastAsia="宋体" w:cs="宋体"/>
                <w:b w:val="0"/>
                <w:bCs w:val="0"/>
                <w:sz w:val="21"/>
                <w:szCs w:val="21"/>
                <w:highlight w:val="none"/>
                <w:u w:val="single"/>
                <w:lang w:val="en-US"/>
              </w:rPr>
              <w:t xml:space="preserve"> 电子教学软件 </w:t>
            </w:r>
            <w:r>
              <w:rPr>
                <w:rFonts w:hint="eastAsia" w:ascii="宋体" w:hAnsi="宋体" w:eastAsia="宋体" w:cs="宋体"/>
                <w:b w:val="0"/>
                <w:bCs w:val="0"/>
                <w:sz w:val="21"/>
                <w:szCs w:val="21"/>
                <w:highlight w:val="none"/>
                <w:lang w:val="en-US"/>
              </w:rPr>
              <w:t>，属于</w:t>
            </w:r>
            <w:r>
              <w:rPr>
                <w:rFonts w:hint="eastAsia" w:ascii="宋体" w:hAnsi="宋体" w:eastAsia="宋体" w:cs="宋体"/>
                <w:b w:val="0"/>
                <w:bCs w:val="0"/>
                <w:sz w:val="21"/>
                <w:szCs w:val="21"/>
                <w:highlight w:val="none"/>
                <w:u w:val="single"/>
                <w:lang w:val="en-US"/>
              </w:rPr>
              <w:t xml:space="preserve"> 软件和信息技术服务业</w:t>
            </w:r>
            <w:r>
              <w:rPr>
                <w:rFonts w:hint="eastAsia" w:ascii="宋体" w:hAnsi="宋体" w:eastAsia="宋体" w:cs="宋体"/>
                <w:b w:val="0"/>
                <w:bCs w:val="0"/>
                <w:sz w:val="21"/>
                <w:szCs w:val="21"/>
                <w:highlight w:val="none"/>
                <w:u w:val="single"/>
                <w:lang w:val="en-US" w:eastAsia="zh-CN"/>
              </w:rPr>
              <w:t xml:space="preserve"> </w:t>
            </w:r>
            <w:r>
              <w:rPr>
                <w:rFonts w:hint="eastAsia" w:ascii="宋体" w:hAnsi="宋体" w:eastAsia="宋体" w:cs="宋体"/>
                <w:b w:val="0"/>
                <w:bCs w:val="0"/>
                <w:sz w:val="21"/>
                <w:szCs w:val="21"/>
                <w:highlight w:val="none"/>
                <w:lang w:val="en-US"/>
              </w:rPr>
              <w:t>行业；</w:t>
            </w:r>
          </w:p>
          <w:p>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本项目属性为：货物</w:t>
            </w:r>
          </w:p>
          <w:p>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采购标的对应的中小企业划分标准所属行业：软件和信息技术服务业</w:t>
            </w:r>
          </w:p>
          <w:p>
            <w:pPr>
              <w:adjustRightInd w:val="0"/>
              <w:snapToGrid w:val="0"/>
              <w:spacing w:line="288" w:lineRule="auto"/>
              <w:jc w:val="left"/>
              <w:rPr>
                <w:rFonts w:hint="eastAsia" w:ascii="宋体" w:hAnsi="宋体" w:eastAsia="宋体" w:cs="宋体"/>
                <w:b/>
                <w:bCs/>
                <w:color w:val="FF0000"/>
                <w:szCs w:val="21"/>
                <w:lang w:val="en-US" w:eastAsia="zh-CN"/>
              </w:rPr>
            </w:pPr>
            <w:r>
              <w:rPr>
                <w:rFonts w:hint="eastAsia" w:ascii="宋体" w:hAnsi="宋体" w:eastAsia="宋体" w:cs="Times New Roman"/>
                <w:b/>
                <w:bCs/>
                <w:szCs w:val="21"/>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pPr>
              <w:adjustRightInd w:val="0"/>
              <w:snapToGrid w:val="0"/>
              <w:spacing w:line="288" w:lineRule="auto"/>
              <w:jc w:val="left"/>
              <w:rPr>
                <w:rFonts w:ascii="宋体" w:hAnsi="宋体" w:eastAsia="宋体" w:cs="Times New Roman"/>
                <w:b/>
                <w:bCs/>
                <w:szCs w:val="21"/>
              </w:rPr>
            </w:pPr>
            <w:r>
              <w:rPr>
                <w:rFonts w:hint="eastAsia" w:ascii="宋体" w:hAnsi="宋体" w:eastAsia="宋体" w:cs="宋体"/>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提供材料详见招标文件第六章“报价文件”</w:t>
            </w:r>
          </w:p>
        </w:tc>
      </w:tr>
      <w:bookmarkEnd w:id="35"/>
    </w:tbl>
    <w:p>
      <w:pPr>
        <w:adjustRightInd w:val="0"/>
        <w:snapToGrid w:val="0"/>
        <w:spacing w:line="288" w:lineRule="auto"/>
        <w:rPr>
          <w:rFonts w:ascii="宋体" w:hAnsi="宋体" w:eastAsia="宋体" w:cs="Times New Roman"/>
          <w:b/>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rPr>
            </w:pPr>
            <w:bookmarkStart w:id="36" w:name="_Hlk45005608"/>
            <w:r>
              <w:rPr>
                <w:rFonts w:hint="eastAsia" w:ascii="宋体" w:hAnsi="宋体" w:eastAsia="宋体" w:cs="Times New Roman"/>
                <w:b/>
                <w:spacing w:val="-6"/>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pacing w:val="-6"/>
                <w:kern w:val="0"/>
                <w:szCs w:val="21"/>
              </w:rPr>
            </w:pPr>
            <w:r>
              <w:rPr>
                <w:rFonts w:hint="eastAsia" w:ascii="宋体" w:hAnsi="宋体" w:eastAsia="宋体" w:cs="宋体"/>
                <w:spacing w:val="-6"/>
                <w:kern w:val="0"/>
                <w:szCs w:val="21"/>
              </w:rPr>
              <w:t>1.合同签订后一周内，中标人向采购人提交合同总价</w:t>
            </w:r>
            <w:r>
              <w:rPr>
                <w:rFonts w:ascii="宋体" w:hAnsi="宋体" w:eastAsia="宋体" w:cs="宋体"/>
                <w:spacing w:val="-6"/>
                <w:kern w:val="0"/>
                <w:szCs w:val="21"/>
              </w:rPr>
              <w:t>1</w:t>
            </w:r>
            <w:r>
              <w:rPr>
                <w:rFonts w:hint="eastAsia" w:ascii="宋体" w:hAnsi="宋体" w:eastAsia="宋体" w:cs="宋体"/>
                <w:spacing w:val="-6"/>
                <w:kern w:val="0"/>
                <w:szCs w:val="21"/>
              </w:rPr>
              <w:t>%的履约保证金，履约保证金在合同履约期间无违约情形的，项目验收结束后，于一周内退还（不计息）；</w:t>
            </w:r>
          </w:p>
          <w:p>
            <w:pPr>
              <w:adjustRightInd w:val="0"/>
              <w:snapToGrid w:val="0"/>
              <w:spacing w:line="288" w:lineRule="auto"/>
              <w:rPr>
                <w:rFonts w:ascii="宋体" w:hAnsi="宋体" w:eastAsia="宋体" w:cs="宋体"/>
                <w:spacing w:val="-6"/>
                <w:kern w:val="0"/>
                <w:szCs w:val="21"/>
                <w:highlight w:val="yellow"/>
              </w:rPr>
            </w:pPr>
            <w:r>
              <w:rPr>
                <w:rFonts w:hint="eastAsia" w:ascii="宋体" w:hAnsi="宋体" w:eastAsia="宋体" w:cs="宋体"/>
                <w:spacing w:val="-6"/>
                <w:kern w:val="0"/>
                <w:szCs w:val="21"/>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rPr>
              <w:t>合同生效以及具备实施条件后</w:t>
            </w:r>
            <w:r>
              <w:rPr>
                <w:rFonts w:ascii="宋体" w:hAnsi="宋体" w:eastAsia="宋体" w:cs="宋体"/>
                <w:spacing w:val="-6"/>
                <w:kern w:val="0"/>
                <w:szCs w:val="21"/>
              </w:rPr>
              <w:t>7个工作日内</w:t>
            </w:r>
            <w:r>
              <w:rPr>
                <w:rFonts w:hint="eastAsia" w:ascii="宋体" w:hAnsi="宋体" w:eastAsia="宋体" w:cs="宋体"/>
                <w:spacing w:val="-6"/>
                <w:kern w:val="0"/>
                <w:szCs w:val="21"/>
              </w:rPr>
              <w:t>，且中标人</w:t>
            </w:r>
            <w:r>
              <w:rPr>
                <w:rFonts w:hint="eastAsia" w:ascii="宋体" w:hAnsi="宋体" w:eastAsia="宋体" w:cs="Arial"/>
                <w:color w:val="000000"/>
                <w:kern w:val="0"/>
                <w:szCs w:val="21"/>
              </w:rPr>
              <w:t>已向采购人提交银行、保险公司等金融</w:t>
            </w:r>
            <w:r>
              <w:rPr>
                <w:rFonts w:hint="eastAsia" w:ascii="宋体" w:hAnsi="宋体" w:eastAsia="宋体" w:cs="Arial"/>
                <w:color w:val="000000"/>
                <w:kern w:val="0"/>
                <w:szCs w:val="21"/>
                <w:highlight w:val="none"/>
              </w:rPr>
              <w:t>机构出具的(等额）预付款保函的，</w:t>
            </w:r>
            <w:r>
              <w:rPr>
                <w:rFonts w:hint="eastAsia" w:ascii="宋体" w:hAnsi="宋体" w:eastAsia="宋体" w:cs="宋体"/>
                <w:spacing w:val="-6"/>
                <w:kern w:val="0"/>
                <w:szCs w:val="21"/>
                <w:highlight w:val="none"/>
              </w:rPr>
              <w:t>采购人</w:t>
            </w:r>
            <w:r>
              <w:rPr>
                <w:rFonts w:hint="eastAsia" w:ascii="宋体" w:hAnsi="宋体" w:eastAsia="宋体" w:cs="宋体"/>
                <w:color w:val="000000"/>
                <w:spacing w:val="-6"/>
                <w:kern w:val="0"/>
                <w:szCs w:val="21"/>
                <w:highlight w:val="none"/>
              </w:rPr>
              <w:t>向</w:t>
            </w:r>
            <w:r>
              <w:rPr>
                <w:rFonts w:hint="eastAsia" w:ascii="宋体" w:hAnsi="宋体" w:eastAsia="宋体" w:cs="宋体"/>
                <w:spacing w:val="-6"/>
                <w:kern w:val="0"/>
                <w:szCs w:val="21"/>
              </w:rPr>
              <w:t>中标人</w:t>
            </w:r>
            <w:r>
              <w:rPr>
                <w:rFonts w:hint="eastAsia" w:ascii="宋体" w:hAnsi="宋体" w:eastAsia="宋体" w:cs="宋体"/>
                <w:color w:val="000000"/>
                <w:spacing w:val="-6"/>
                <w:kern w:val="0"/>
                <w:szCs w:val="21"/>
                <w:highlight w:val="none"/>
              </w:rPr>
              <w:t>支付合同总价的4</w:t>
            </w:r>
            <w:r>
              <w:rPr>
                <w:rFonts w:ascii="宋体" w:hAnsi="宋体" w:eastAsia="宋体" w:cs="宋体"/>
                <w:color w:val="000000"/>
                <w:spacing w:val="-6"/>
                <w:kern w:val="0"/>
                <w:szCs w:val="21"/>
                <w:highlight w:val="none"/>
              </w:rPr>
              <w:t>0</w:t>
            </w:r>
            <w:r>
              <w:rPr>
                <w:rFonts w:hint="eastAsia" w:ascii="宋体" w:hAnsi="宋体" w:eastAsia="宋体" w:cs="宋体"/>
                <w:color w:val="000000"/>
                <w:spacing w:val="-6"/>
                <w:kern w:val="0"/>
                <w:szCs w:val="21"/>
                <w:highlight w:val="none"/>
              </w:rPr>
              <w:t>%；项目履约完成，经采购人验收合格后，</w:t>
            </w:r>
            <w:r>
              <w:rPr>
                <w:rFonts w:hint="eastAsia" w:ascii="宋体" w:hAnsi="宋体" w:eastAsia="宋体" w:cs="宋体"/>
                <w:spacing w:val="-6"/>
                <w:kern w:val="0"/>
                <w:szCs w:val="21"/>
                <w:highlight w:val="none"/>
              </w:rPr>
              <w:t>收到发票后</w:t>
            </w:r>
            <w:r>
              <w:rPr>
                <w:rFonts w:ascii="宋体" w:hAnsi="宋体" w:eastAsia="宋体" w:cs="宋体"/>
                <w:spacing w:val="-6"/>
                <w:kern w:val="0"/>
                <w:szCs w:val="21"/>
                <w:highlight w:val="none"/>
              </w:rPr>
              <w:t>7个工作日内</w:t>
            </w:r>
            <w:r>
              <w:rPr>
                <w:rFonts w:hint="eastAsia" w:ascii="宋体" w:hAnsi="宋体" w:eastAsia="宋体" w:cs="宋体"/>
                <w:spacing w:val="-6"/>
                <w:kern w:val="0"/>
                <w:szCs w:val="21"/>
                <w:highlight w:val="none"/>
              </w:rPr>
              <w:t>，</w:t>
            </w:r>
            <w:r>
              <w:rPr>
                <w:rFonts w:hint="eastAsia" w:ascii="宋体" w:hAnsi="宋体" w:eastAsia="宋体" w:cs="宋体"/>
                <w:color w:val="000000"/>
                <w:spacing w:val="-6"/>
                <w:kern w:val="0"/>
                <w:szCs w:val="21"/>
                <w:highlight w:val="none"/>
              </w:rPr>
              <w:t>采购人向</w:t>
            </w:r>
            <w:r>
              <w:rPr>
                <w:rFonts w:hint="eastAsia" w:ascii="宋体" w:hAnsi="宋体" w:eastAsia="宋体" w:cs="宋体"/>
                <w:spacing w:val="-6"/>
                <w:kern w:val="0"/>
                <w:szCs w:val="21"/>
              </w:rPr>
              <w:t>中标人</w:t>
            </w:r>
            <w:r>
              <w:rPr>
                <w:rFonts w:hint="eastAsia" w:ascii="宋体" w:hAnsi="宋体" w:eastAsia="宋体" w:cs="宋体"/>
                <w:color w:val="000000"/>
                <w:spacing w:val="-6"/>
                <w:kern w:val="0"/>
                <w:szCs w:val="21"/>
                <w:highlight w:val="none"/>
              </w:rPr>
              <w:t>支付合同总价的6</w:t>
            </w:r>
            <w:r>
              <w:rPr>
                <w:rFonts w:ascii="宋体" w:hAnsi="宋体" w:eastAsia="宋体" w:cs="宋体"/>
                <w:color w:val="000000"/>
                <w:spacing w:val="-6"/>
                <w:kern w:val="0"/>
                <w:szCs w:val="21"/>
                <w:highlight w:val="none"/>
              </w:rPr>
              <w:t>0</w:t>
            </w:r>
            <w:r>
              <w:rPr>
                <w:rFonts w:hint="eastAsia" w:ascii="宋体" w:hAnsi="宋体" w:eastAsia="宋体" w:cs="宋体"/>
                <w:color w:val="000000"/>
                <w:spacing w:val="-6"/>
                <w:kern w:val="0"/>
                <w:szCs w:val="21"/>
                <w:highlight w:val="none"/>
              </w:rPr>
              <w:t>%</w:t>
            </w:r>
            <w:r>
              <w:rPr>
                <w:rFonts w:hint="eastAsia" w:ascii="宋体" w:hAnsi="宋体" w:eastAsia="宋体" w:cs="宋体"/>
                <w:spacing w:val="-6"/>
                <w:kern w:val="0"/>
                <w:szCs w:val="21"/>
                <w:highlight w:val="none"/>
              </w:rPr>
              <w:t>。</w:t>
            </w:r>
          </w:p>
          <w:p>
            <w:pPr>
              <w:autoSpaceDE w:val="0"/>
              <w:autoSpaceDN w:val="0"/>
              <w:adjustRightInd w:val="0"/>
              <w:snapToGrid w:val="0"/>
              <w:spacing w:line="288" w:lineRule="auto"/>
              <w:jc w:val="left"/>
              <w:rPr>
                <w:rFonts w:ascii="宋体" w:hAnsi="宋体" w:eastAsia="宋体" w:cs="宋体"/>
                <w:spacing w:val="-6"/>
                <w:kern w:val="0"/>
                <w:szCs w:val="21"/>
              </w:rPr>
            </w:pPr>
            <w:r>
              <w:rPr>
                <w:rFonts w:hint="eastAsia" w:ascii="宋体" w:hAnsi="宋体" w:eastAsia="宋体" w:cs="宋体"/>
                <w:spacing w:val="-6"/>
                <w:kern w:val="0"/>
                <w:szCs w:val="21"/>
                <w:highlight w:val="none"/>
              </w:rPr>
              <w:t>在签订合同时，</w:t>
            </w:r>
            <w:r>
              <w:rPr>
                <w:rFonts w:hint="eastAsia" w:ascii="宋体" w:hAnsi="宋体" w:eastAsia="宋体" w:cs="宋体"/>
                <w:spacing w:val="-6"/>
                <w:kern w:val="0"/>
                <w:szCs w:val="21"/>
              </w:rPr>
              <w:t>中标人</w:t>
            </w:r>
            <w:r>
              <w:rPr>
                <w:rFonts w:hint="eastAsia" w:ascii="宋体" w:hAnsi="宋体" w:eastAsia="宋体" w:cs="宋体"/>
                <w:spacing w:val="-6"/>
                <w:kern w:val="0"/>
                <w:szCs w:val="21"/>
                <w:highlight w:val="none"/>
              </w:rPr>
              <w:t>明确表示无需预付款或</w:t>
            </w:r>
            <w:r>
              <w:rPr>
                <w:rFonts w:hint="eastAsia" w:ascii="宋体" w:hAnsi="宋体" w:eastAsia="宋体" w:cs="宋体"/>
                <w:spacing w:val="-6"/>
                <w:kern w:val="0"/>
                <w:szCs w:val="21"/>
              </w:rPr>
              <w:t>者主动要求降低预付款比例的，可降低预付款比例（预付款保函同步调整）。</w:t>
            </w:r>
          </w:p>
        </w:tc>
      </w:tr>
      <w:bookmarkEnd w:id="36"/>
    </w:tbl>
    <w:p>
      <w:pPr>
        <w:adjustRightInd w:val="0"/>
        <w:snapToGrid w:val="0"/>
        <w:spacing w:line="288" w:lineRule="auto"/>
        <w:rPr>
          <w:rFonts w:ascii="宋体" w:hAnsi="宋体" w:eastAsia="宋体" w:cs="Times New Roman"/>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合同签订后30日内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w:t>
            </w:r>
            <w:r>
              <w:rPr>
                <w:rFonts w:hint="eastAsia" w:ascii="宋体" w:hAnsi="宋体" w:eastAsia="宋体" w:cs="宋体"/>
                <w:b/>
                <w:bCs/>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3年，项目验收合格后开始计算。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.在质保期内，供应商应对货物出现的质量及安全问题负责处理解决并承担一切费用。</w:t>
            </w:r>
          </w:p>
          <w:p>
            <w:pPr>
              <w:adjustRightInd w:val="0"/>
              <w:snapToGrid w:val="0"/>
              <w:spacing w:line="288"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质保期内出现无法排除的故障，供应商需无条件更换同型号产品。</w:t>
            </w:r>
          </w:p>
          <w:p>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质保期满后，供应商继续为采购人服务，仅收取零配件成本费。</w:t>
            </w:r>
          </w:p>
          <w:p>
            <w:pPr>
              <w:adjustRightInd w:val="0"/>
              <w:snapToGrid w:val="0"/>
              <w:spacing w:line="288" w:lineRule="auto"/>
              <w:rPr>
                <w:rFonts w:ascii="宋体" w:hAnsi="宋体" w:eastAsia="宋体" w:cs="宋体"/>
                <w:szCs w:val="21"/>
              </w:rPr>
            </w:pPr>
            <w:r>
              <w:rPr>
                <w:rFonts w:ascii="宋体" w:hAnsi="宋体" w:eastAsia="宋体" w:cs="宋体"/>
                <w:szCs w:val="21"/>
              </w:rPr>
              <w:t>4.</w:t>
            </w:r>
            <w:r>
              <w:rPr>
                <w:rFonts w:hint="eastAsia" w:ascii="宋体" w:hAnsi="宋体" w:eastAsia="宋体" w:cs="宋体"/>
                <w:szCs w:val="21"/>
              </w:rPr>
              <w:t>因人为因素出现的故障不在免费保修范围内。</w:t>
            </w:r>
          </w:p>
          <w:p>
            <w:pPr>
              <w:adjustRightInd w:val="0"/>
              <w:snapToGrid w:val="0"/>
              <w:spacing w:line="288" w:lineRule="auto"/>
              <w:rPr>
                <w:rFonts w:ascii="宋体" w:hAnsi="宋体" w:eastAsia="宋体" w:cs="宋体"/>
                <w:szCs w:val="21"/>
                <w:u w:val="single"/>
              </w:rPr>
            </w:pPr>
            <w:r>
              <w:rPr>
                <w:rFonts w:ascii="宋体" w:hAnsi="宋体" w:eastAsia="宋体" w:cs="宋体"/>
                <w:szCs w:val="21"/>
              </w:rPr>
              <w:t>5</w:t>
            </w:r>
            <w:r>
              <w:rPr>
                <w:rFonts w:hint="eastAsia" w:ascii="宋体" w:hAnsi="宋体" w:eastAsia="宋体" w:cs="宋体"/>
                <w:szCs w:val="21"/>
              </w:rPr>
              <w:t>.</w:t>
            </w:r>
            <w:r>
              <w:rPr>
                <w:rFonts w:hint="eastAsia" w:ascii="宋体" w:hAnsi="宋体" w:eastAsia="宋体" w:cs="宋体"/>
                <w:szCs w:val="21"/>
                <w:u w:val="single"/>
              </w:rPr>
              <w:t>如在使用过程中发生质量问题，供应商维修响应时间：</w:t>
            </w:r>
            <w:r>
              <w:rPr>
                <w:rFonts w:ascii="宋体" w:hAnsi="宋体" w:eastAsia="宋体" w:cs="宋体"/>
                <w:szCs w:val="21"/>
                <w:u w:val="single"/>
              </w:rPr>
              <w:t>2</w:t>
            </w:r>
            <w:r>
              <w:rPr>
                <w:rFonts w:hint="eastAsia" w:ascii="宋体" w:hAnsi="宋体" w:eastAsia="宋体" w:cs="宋体"/>
                <w:szCs w:val="21"/>
                <w:u w:val="single"/>
              </w:rPr>
              <w:t>小时以内；</w:t>
            </w:r>
          </w:p>
          <w:p>
            <w:pPr>
              <w:adjustRightInd w:val="0"/>
              <w:snapToGrid w:val="0"/>
              <w:spacing w:line="288" w:lineRule="auto"/>
              <w:rPr>
                <w:rFonts w:ascii="宋体" w:hAnsi="宋体" w:eastAsia="宋体" w:cs="宋体"/>
                <w:szCs w:val="21"/>
                <w:u w:val="single"/>
              </w:rPr>
            </w:pPr>
            <w:r>
              <w:rPr>
                <w:rFonts w:hint="eastAsia" w:ascii="宋体" w:hAnsi="宋体" w:eastAsia="宋体" w:cs="宋体"/>
                <w:szCs w:val="21"/>
                <w:u w:val="single"/>
              </w:rPr>
              <w:t>电话技术支持时间：</w:t>
            </w:r>
            <w:r>
              <w:rPr>
                <w:rFonts w:ascii="宋体" w:hAnsi="宋体" w:eastAsia="宋体" w:cs="宋体"/>
                <w:szCs w:val="21"/>
                <w:u w:val="single"/>
              </w:rPr>
              <w:t>1</w:t>
            </w:r>
            <w:r>
              <w:rPr>
                <w:rFonts w:hint="eastAsia" w:ascii="宋体" w:hAnsi="宋体" w:eastAsia="宋体" w:cs="宋体"/>
                <w:szCs w:val="21"/>
                <w:u w:val="single"/>
              </w:rPr>
              <w:t>小时以内；</w:t>
            </w:r>
          </w:p>
          <w:p>
            <w:pPr>
              <w:adjustRightInd w:val="0"/>
              <w:snapToGrid w:val="0"/>
              <w:spacing w:line="288" w:lineRule="auto"/>
              <w:rPr>
                <w:rFonts w:ascii="宋体" w:hAnsi="宋体" w:eastAsia="宋体" w:cs="宋体"/>
                <w:szCs w:val="21"/>
                <w:u w:val="single"/>
              </w:rPr>
            </w:pPr>
            <w:r>
              <w:rPr>
                <w:rFonts w:hint="eastAsia" w:ascii="宋体" w:hAnsi="宋体" w:eastAsia="宋体" w:cs="宋体"/>
                <w:szCs w:val="21"/>
                <w:u w:val="single"/>
              </w:rPr>
              <w:t>若需上门维修，则在：</w:t>
            </w:r>
            <w:r>
              <w:rPr>
                <w:rFonts w:ascii="宋体" w:hAnsi="宋体" w:eastAsia="宋体" w:cs="宋体"/>
                <w:szCs w:val="21"/>
                <w:u w:val="single"/>
              </w:rPr>
              <w:t>8</w:t>
            </w:r>
            <w:r>
              <w:rPr>
                <w:rFonts w:hint="eastAsia" w:ascii="宋体" w:hAnsi="宋体" w:eastAsia="宋体" w:cs="宋体"/>
                <w:szCs w:val="21"/>
                <w:u w:val="single"/>
              </w:rPr>
              <w:t>小时内到达现场并进行维修；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1.验收由采购人负责实施；</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2.验收依据：</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2.1合同、招标文件、投标文件；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2.2供应商提供的技术规格、经采购人认可的合同货物的有效检验文件；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4.验收合格的条件：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4.1所供货物符合产品标准和合同的要求；</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4.2在进行测试和验收过程中发现的问题已被解决并得到采购人的认可；</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4.3合同中规定的所有货物和材料均已交付；</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4.4所供货物已通过使用单位组织的验收；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4.5所有相关的技术文件及资料均已提交并得到接受。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w:t>
            </w:r>
            <w:r>
              <w:rPr>
                <w:rFonts w:hint="eastAsia" w:ascii="宋体" w:hAnsi="宋体" w:eastAsia="宋体" w:cs="宋体"/>
                <w:szCs w:val="21"/>
              </w:rPr>
              <w:t>供应商应按招标文件规定的货物性能、技术要求、质量标准向采购人提供未经使用的全新产品，符合国家法律法规规定和技术规格、质量标准的出厂原装合格产品。</w:t>
            </w:r>
          </w:p>
          <w:p>
            <w:pPr>
              <w:adjustRightInd w:val="0"/>
              <w:snapToGrid w:val="0"/>
              <w:spacing w:line="288"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.技术支持：</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供应商应及时免费提供合同货物软件的升级，免费提供合同货物新功能和应用的资料。</w:t>
            </w:r>
          </w:p>
          <w:p>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.安装调试：</w:t>
            </w:r>
          </w:p>
          <w:p>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.1安装地点：采购人指定地点；</w:t>
            </w:r>
          </w:p>
          <w:p>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.4安装标准：符合我国国家有关技术规范要求和技术标准，所有的软件和硬件必须保证同时安装到位；</w:t>
            </w:r>
          </w:p>
          <w:p>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.5供应商免费提供合同货物的安装服务；</w:t>
            </w:r>
          </w:p>
          <w:p>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.6供应商在投标文件中应提供安装调试计划、对安装场地和环境的要求。</w:t>
            </w:r>
          </w:p>
          <w:p>
            <w:pPr>
              <w:adjustRightInd w:val="0"/>
              <w:snapToGrid w:val="0"/>
              <w:spacing w:line="288" w:lineRule="auto"/>
              <w:rPr>
                <w:rFonts w:ascii="宋体" w:hAnsi="宋体" w:eastAsia="宋体" w:cs="宋体"/>
                <w:szCs w:val="21"/>
              </w:rPr>
            </w:pPr>
            <w:r>
              <w:rPr>
                <w:rFonts w:ascii="宋体" w:hAnsi="宋体" w:eastAsia="宋体" w:cs="宋体"/>
                <w:szCs w:val="21"/>
              </w:rPr>
              <w:t>4</w:t>
            </w:r>
            <w:r>
              <w:rPr>
                <w:rFonts w:hint="eastAsia" w:ascii="宋体" w:hAnsi="宋体" w:eastAsia="宋体" w:cs="宋体"/>
                <w:szCs w:val="21"/>
              </w:rPr>
              <w:t>.供应商应提供质保期满后主要零部件报价单、质保期满后维护费、软件升级及其相关服务内容；</w:t>
            </w:r>
          </w:p>
          <w:p>
            <w:pPr>
              <w:adjustRightInd w:val="0"/>
              <w:snapToGrid w:val="0"/>
              <w:spacing w:line="288" w:lineRule="auto"/>
              <w:rPr>
                <w:rFonts w:ascii="宋体" w:hAnsi="宋体" w:eastAsia="宋体" w:cs="宋体"/>
                <w:szCs w:val="21"/>
              </w:rPr>
            </w:pPr>
            <w:r>
              <w:rPr>
                <w:rFonts w:ascii="宋体" w:hAnsi="宋体" w:eastAsia="宋体" w:cs="宋体"/>
                <w:szCs w:val="21"/>
              </w:rPr>
              <w:t>5</w:t>
            </w:r>
            <w:r>
              <w:rPr>
                <w:rFonts w:hint="eastAsia" w:ascii="宋体" w:hAnsi="宋体" w:eastAsia="宋体" w:cs="宋体"/>
                <w:szCs w:val="21"/>
              </w:rPr>
              <w:t>.供货时提供有关的全套技术文件。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6</w:t>
            </w:r>
            <w:r>
              <w:rPr>
                <w:rFonts w:ascii="宋体" w:hAnsi="宋体" w:eastAsia="宋体" w:cs="宋体"/>
                <w:szCs w:val="21"/>
              </w:rPr>
              <w:t>.</w:t>
            </w:r>
            <w:r>
              <w:rPr>
                <w:rFonts w:hint="eastAsia" w:ascii="宋体" w:hAnsi="宋体" w:eastAsia="宋体" w:cs="Times New Roman"/>
                <w:spacing w:val="-6"/>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供应商应对采购人的操作人员、维修人员免费进行培训；</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供应商应提供相应的培训计划；</w:t>
            </w:r>
          </w:p>
          <w:p>
            <w:pPr>
              <w:adjustRightInd w:val="0"/>
              <w:snapToGrid w:val="0"/>
              <w:spacing w:line="288" w:lineRule="auto"/>
              <w:rPr>
                <w:rFonts w:ascii="宋体" w:hAnsi="宋体" w:eastAsia="宋体" w:cs="宋体"/>
                <w:b/>
                <w:bCs/>
                <w:szCs w:val="21"/>
              </w:rPr>
            </w:pPr>
            <w:r>
              <w:rPr>
                <w:rFonts w:hint="eastAsia" w:ascii="宋体" w:hAnsi="宋体" w:eastAsia="宋体" w:cs="宋体"/>
                <w:szCs w:val="21"/>
              </w:rPr>
              <w:t>上述内容的实现方式、时间、地点、人数应在投标文件中详细说明。</w:t>
            </w:r>
          </w:p>
        </w:tc>
      </w:tr>
    </w:tbl>
    <w:p>
      <w:pPr>
        <w:adjustRightInd w:val="0"/>
        <w:snapToGrid w:val="0"/>
        <w:spacing w:line="288" w:lineRule="auto"/>
        <w:rPr>
          <w:rFonts w:ascii="宋体" w:hAnsi="宋体" w:eastAsia="宋体" w:cs="Times New Roman"/>
          <w:b/>
          <w:szCs w:val="21"/>
        </w:rPr>
      </w:pPr>
    </w:p>
    <w:p>
      <w:pPr>
        <w:adjustRightInd w:val="0"/>
        <w:snapToGrid w:val="0"/>
        <w:spacing w:line="288" w:lineRule="auto"/>
        <w:outlineLvl w:val="1"/>
        <w:rPr>
          <w:rFonts w:ascii="宋体" w:hAnsi="宋体" w:eastAsia="宋体" w:cs="Times New Roman"/>
          <w:szCs w:val="21"/>
        </w:rPr>
      </w:pPr>
      <w:r>
        <w:rPr>
          <w:rFonts w:hint="eastAsia" w:ascii="宋体" w:hAnsi="宋体" w:eastAsia="宋体" w:cs="Times New Roman"/>
          <w:b/>
          <w:szCs w:val="21"/>
        </w:rPr>
        <w:t>四、技术要求</w:t>
      </w:r>
      <w:bookmarkStart w:id="37" w:name="_Hlk45005556"/>
    </w:p>
    <w:bookmarkEnd w:id="37"/>
    <w:p>
      <w:pPr>
        <w:adjustRightInd w:val="0"/>
        <w:snapToGrid w:val="0"/>
        <w:spacing w:line="288" w:lineRule="auto"/>
        <w:rPr>
          <w:rFonts w:ascii="宋体" w:hAnsi="宋体" w:eastAsia="宋体" w:cs="宋体"/>
          <w:b/>
          <w:bCs/>
          <w:szCs w:val="21"/>
        </w:rPr>
      </w:pPr>
      <w:bookmarkStart w:id="38"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需执行的国家相关标准、行业标准、地方标准或者其他标准、规范：</w:t>
      </w:r>
      <w:bookmarkStart w:id="39" w:name="_Hlk94018176"/>
      <w:r>
        <w:rPr>
          <w:rFonts w:hint="eastAsia" w:ascii="宋体" w:hAnsi="宋体" w:eastAsia="宋体" w:cs="宋体"/>
          <w:szCs w:val="21"/>
        </w:rPr>
        <w:t>如技术要求中未注明需执行的国家相关标准、行业标准、地方标准或者其他标准、规范的，执行最新标准、规范。</w:t>
      </w:r>
      <w:bookmarkEnd w:id="39"/>
    </w:p>
    <w:bookmarkEnd w:id="38"/>
    <w:p>
      <w:pPr>
        <w:adjustRightInd w:val="0"/>
        <w:snapToGrid w:val="0"/>
        <w:spacing w:line="288" w:lineRule="auto"/>
        <w:rPr>
          <w:rFonts w:hint="eastAsia" w:ascii="宋体" w:hAnsi="宋体" w:eastAsia="宋体" w:cs="宋体"/>
          <w:b/>
          <w:bCs/>
          <w:szCs w:val="21"/>
          <w:lang w:eastAsia="zh-CN"/>
        </w:rPr>
      </w:pPr>
      <w:r>
        <w:rPr>
          <w:rFonts w:ascii="宋体" w:hAnsi="宋体" w:eastAsia="宋体" w:cs="宋体"/>
          <w:b/>
          <w:bCs/>
          <w:szCs w:val="21"/>
        </w:rPr>
        <w:t>2</w:t>
      </w:r>
      <w:r>
        <w:rPr>
          <w:rFonts w:hint="eastAsia" w:ascii="宋体" w:hAnsi="宋体" w:eastAsia="宋体" w:cs="宋体"/>
          <w:b/>
          <w:bCs/>
          <w:szCs w:val="21"/>
        </w:rPr>
        <w:t>.需实现的功能或者目标：满足采购人需求</w:t>
      </w:r>
      <w:r>
        <w:rPr>
          <w:rFonts w:hint="eastAsia" w:ascii="宋体" w:hAnsi="宋体" w:eastAsia="宋体" w:cs="宋体"/>
          <w:b/>
          <w:bCs/>
          <w:szCs w:val="21"/>
          <w:lang w:eastAsia="zh-CN"/>
        </w:rPr>
        <w:t>。</w:t>
      </w:r>
    </w:p>
    <w:p>
      <w:pPr>
        <w:adjustRightInd w:val="0"/>
        <w:snapToGrid w:val="0"/>
        <w:spacing w:line="288" w:lineRule="auto"/>
        <w:rPr>
          <w:rFonts w:ascii="宋体" w:hAnsi="宋体" w:eastAsia="宋体" w:cs="Times New Roman"/>
          <w:b/>
          <w:bCs/>
          <w:spacing w:val="-4"/>
          <w:szCs w:val="21"/>
        </w:rPr>
      </w:pPr>
      <w:r>
        <w:rPr>
          <w:rFonts w:ascii="宋体" w:hAnsi="宋体" w:eastAsia="宋体" w:cs="Times New Roman"/>
          <w:b/>
          <w:bCs/>
          <w:spacing w:val="-4"/>
          <w:szCs w:val="21"/>
        </w:rPr>
        <w:t>3.</w:t>
      </w:r>
      <w:r>
        <w:rPr>
          <w:rFonts w:hint="eastAsia" w:ascii="宋体" w:hAnsi="宋体" w:eastAsia="宋体" w:cs="Times New Roman"/>
          <w:b/>
          <w:bCs/>
          <w:spacing w:val="-4"/>
          <w:szCs w:val="21"/>
        </w:rPr>
        <w:t>需满足的质量、安全、技术规格、物理特性等要求：</w:t>
      </w:r>
    </w:p>
    <w:tbl>
      <w:tblPr>
        <w:tblStyle w:val="23"/>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noWrap w:val="0"/>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10" w:type="dxa"/>
            <w:noWrap w:val="0"/>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661" w:type="dxa"/>
            <w:noWrap w:val="0"/>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661" w:type="dxa"/>
            <w:noWrap w:val="0"/>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单位</w:t>
            </w:r>
          </w:p>
        </w:tc>
        <w:tc>
          <w:tcPr>
            <w:tcW w:w="6164" w:type="dxa"/>
            <w:noWrap w:val="0"/>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（功能或者目标）、质量、安全、技术规格、物理特性等要求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noWrap w:val="0"/>
            <w:vAlign w:val="center"/>
          </w:tcPr>
          <w:p>
            <w:pPr>
              <w:widowControl/>
              <w:jc w:val="center"/>
              <w:textAlignment w:val="center"/>
              <w:rPr>
                <w:rFonts w:ascii="宋体" w:hAnsi="宋体" w:eastAsia="宋体" w:cs="宋体"/>
                <w:b/>
                <w:bCs/>
                <w:szCs w:val="21"/>
              </w:rPr>
            </w:pPr>
            <w:r>
              <w:rPr>
                <w:rFonts w:hint="eastAsia" w:ascii="宋体" w:hAnsi="宋体" w:eastAsia="宋体" w:cs="宋体"/>
                <w:b/>
                <w:bCs/>
                <w:color w:val="000000"/>
                <w:kern w:val="0"/>
                <w:szCs w:val="21"/>
                <w:lang w:bidi="ar"/>
              </w:rPr>
              <w:t>1</w:t>
            </w:r>
          </w:p>
        </w:tc>
        <w:tc>
          <w:tcPr>
            <w:tcW w:w="1810" w:type="dxa"/>
            <w:noWrap w:val="0"/>
            <w:vAlign w:val="center"/>
          </w:tcPr>
          <w:p>
            <w:pPr>
              <w:widowControl/>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一体教学控制终端</w:t>
            </w:r>
          </w:p>
          <w:p>
            <w:pPr>
              <w:widowControl/>
              <w:jc w:val="center"/>
              <w:textAlignment w:val="center"/>
              <w:rPr>
                <w:rFonts w:hint="eastAsia" w:ascii="宋体" w:hAnsi="宋体" w:eastAsia="宋体" w:cs="Times New Roman"/>
                <w:b/>
                <w:bCs/>
                <w:szCs w:val="21"/>
                <w:lang w:eastAsia="zh-CN"/>
              </w:rPr>
            </w:pPr>
            <w:r>
              <w:rPr>
                <w:rFonts w:hint="eastAsia" w:ascii="宋体" w:hAnsi="宋体" w:eastAsia="宋体" w:cs="宋体"/>
                <w:b/>
                <w:bCs/>
                <w:color w:val="000000"/>
                <w:kern w:val="0"/>
                <w:szCs w:val="21"/>
                <w:lang w:eastAsia="zh-CN" w:bidi="ar"/>
              </w:rPr>
              <w:t>（</w:t>
            </w:r>
            <w:r>
              <w:rPr>
                <w:rFonts w:hint="eastAsia" w:ascii="宋体" w:hAnsi="宋体" w:eastAsia="宋体" w:cs="宋体"/>
                <w:b/>
                <w:bCs/>
                <w:color w:val="000000"/>
                <w:kern w:val="0"/>
                <w:szCs w:val="21"/>
                <w:lang w:val="en-US" w:eastAsia="zh-CN" w:bidi="ar"/>
              </w:rPr>
              <w:t>核心产品</w:t>
            </w:r>
            <w:r>
              <w:rPr>
                <w:rFonts w:hint="eastAsia" w:ascii="宋体" w:hAnsi="宋体" w:eastAsia="宋体" w:cs="宋体"/>
                <w:b/>
                <w:bCs/>
                <w:color w:val="000000"/>
                <w:kern w:val="0"/>
                <w:szCs w:val="21"/>
                <w:lang w:eastAsia="zh-CN" w:bidi="ar"/>
              </w:rPr>
              <w:t>）</w:t>
            </w:r>
          </w:p>
        </w:tc>
        <w:tc>
          <w:tcPr>
            <w:tcW w:w="661" w:type="dxa"/>
            <w:noWrap w:val="0"/>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4</w:t>
            </w:r>
          </w:p>
        </w:tc>
        <w:tc>
          <w:tcPr>
            <w:tcW w:w="661" w:type="dxa"/>
            <w:noWrap w:val="0"/>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台</w:t>
            </w:r>
          </w:p>
        </w:tc>
        <w:tc>
          <w:tcPr>
            <w:tcW w:w="6164" w:type="dxa"/>
            <w:noWrap w:val="0"/>
            <w:vAlign w:val="bottom"/>
          </w:tcPr>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一、整体设计</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1.整机采用一体设计，外部无任何可见内部功能模块连接线。整机采用全金属外壳设计，边角采用弧形设计，表面无尖锐边缘或凸起。</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2.整机采用≥86英寸超高清LED液晶屏，显示比例16:9，分辨率：≥3840×2160。</w:t>
            </w:r>
          </w:p>
          <w:p>
            <w:pPr>
              <w:widowControl/>
              <w:spacing w:line="288" w:lineRule="auto"/>
              <w:jc w:val="left"/>
              <w:textAlignment w:val="bottom"/>
              <w:rPr>
                <w:rFonts w:hint="eastAsia" w:ascii="宋体" w:hAnsi="宋体" w:eastAsia="宋体" w:cs="宋体"/>
                <w:b/>
                <w:bCs/>
                <w:color w:val="000000"/>
                <w:kern w:val="0"/>
                <w:szCs w:val="21"/>
                <w:lang w:eastAsia="zh-CN" w:bidi="ar"/>
              </w:rPr>
            </w:pPr>
            <w:r>
              <w:rPr>
                <w:rFonts w:hint="eastAsia" w:ascii="宋体" w:hAnsi="宋体" w:eastAsia="宋体" w:cs="宋体"/>
                <w:color w:val="000000"/>
                <w:kern w:val="0"/>
                <w:szCs w:val="21"/>
                <w:lang w:bidi="ar"/>
              </w:rPr>
              <w:t>★3.整机支持双路可插拔模块，一个槽位支持OPS模块插拔，另一个槽位支持AI模块插拔，用于设备能力提升。</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4.整机采用全物理钢化玻璃，钢化玻璃表面硬度≥9H，支持防眩光功能，玻璃表面采用纳米材料镀膜环保工艺，书写顺滑，防眩光。</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二、护眼显示</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整机背光系统支持DC调光方式，多级亮度调节，支持白颜色背景下最暗亮度≤100nit，用于提升显示对比度。2.整机采用硬件低蓝光背光技术，在源头减少有害蓝光波段能量，蓝光占比（有害蓝光415～455nm能量综合）/（整体蓝光400～500能量综合）＜50%，低蓝光保护显示不偏色、不泛黄。</w:t>
            </w:r>
          </w:p>
          <w:p>
            <w:pPr>
              <w:widowControl/>
              <w:spacing w:line="288" w:lineRule="auto"/>
              <w:jc w:val="left"/>
              <w:textAlignment w:val="bottom"/>
              <w:rPr>
                <w:rFonts w:hint="eastAsia" w:ascii="宋体" w:hAnsi="宋体" w:eastAsia="宋体" w:cs="宋体"/>
                <w:b/>
                <w:bCs/>
                <w:color w:val="000000"/>
                <w:kern w:val="0"/>
                <w:szCs w:val="21"/>
                <w:lang w:eastAsia="zh-CN" w:bidi="ar"/>
              </w:rPr>
            </w:pPr>
            <w:r>
              <w:rPr>
                <w:rFonts w:hint="eastAsia" w:ascii="宋体" w:hAnsi="宋体" w:eastAsia="宋体" w:cs="宋体"/>
                <w:color w:val="000000"/>
                <w:kern w:val="0"/>
                <w:szCs w:val="21"/>
                <w:lang w:bidi="ar"/>
              </w:rPr>
              <w:t>★3.整机支持色彩空间可选，包含标准模式和sRGB模式，在sRGB模式下可做到高色准△E≤1.0。</w:t>
            </w:r>
          </w:p>
          <w:p>
            <w:pPr>
              <w:widowControl/>
              <w:spacing w:line="288" w:lineRule="auto"/>
              <w:jc w:val="left"/>
              <w:textAlignment w:val="bottom"/>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整机系统支持手势上滑调出人工智能画质调节模式（AI-PQ），在安卓通道下可根据屏幕内容自动调节画质参数，当屏幕出现人物、建筑、夜景等元素时，自动调整对比度、饱和度、锐利度、色调色相值、高光/阴影。</w:t>
            </w:r>
          </w:p>
          <w:p>
            <w:pPr>
              <w:widowControl/>
              <w:spacing w:line="288" w:lineRule="auto"/>
              <w:jc w:val="left"/>
              <w:textAlignment w:val="bottom"/>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整机全通道支持纸质护眼模式，可实现画面纹理的实时调整；支持纸质纹理：牛皮纸、素描纸、宣纸、水彩纸、水纹纸；支持透明度调节；支持色温调节；纸质护眼模式下，显示画面各像素点灰度不规则，减少背景干扰。</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6.整机能感应并自动调节屏幕亮度来达到在不同光照环境下的不同亮度显示效果，此功能可自行开启或关闭。</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三、教学音频</w:t>
            </w:r>
          </w:p>
          <w:p>
            <w:pPr>
              <w:widowControl/>
              <w:spacing w:line="288" w:lineRule="auto"/>
              <w:jc w:val="left"/>
              <w:textAlignment w:val="bottom"/>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1.整机内置2.2声道扬声器，位于设备上边框，顶置朝前发声，前朝向≥10W高音扬声器2个，上朝向≥20W中低音扬声器2个，额定总功率≥60W。</w:t>
            </w:r>
          </w:p>
          <w:p>
            <w:pPr>
              <w:widowControl/>
              <w:spacing w:line="288" w:lineRule="auto"/>
              <w:jc w:val="left"/>
              <w:textAlignment w:val="bottom"/>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2.整机内置扬声器采用缝隙发声技术，喇叭采用槽式开口设计，不大于5.8mm。</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3.整机内置非独立外扩展的8阵列麦克风，拾音角度≥180°，可用于对教室环境音频进行采集，拾音距离≥12m。</w:t>
            </w:r>
          </w:p>
          <w:p>
            <w:pPr>
              <w:widowControl/>
              <w:spacing w:line="288" w:lineRule="auto"/>
              <w:jc w:val="left"/>
              <w:textAlignment w:val="bottom"/>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4.整机内置音频输入接口，支持低延迟本地扩音，扩音延迟≤35ms。</w:t>
            </w:r>
          </w:p>
          <w:p>
            <w:pPr>
              <w:widowControl/>
              <w:spacing w:line="288" w:lineRule="auto"/>
              <w:jc w:val="left"/>
              <w:textAlignment w:val="bottom"/>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5.整机内置独立音频CPU处理器，支持麦克风3A算法（自动增益控制（AGC）、自动抑制噪声（ANC）、自动回声消除（AEC），提升麦克风拾音效果。</w:t>
            </w:r>
          </w:p>
          <w:p>
            <w:pPr>
              <w:widowControl/>
              <w:spacing w:line="288" w:lineRule="auto"/>
              <w:jc w:val="left"/>
              <w:textAlignment w:val="bottom"/>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6.整机内置独立的4核音频CPU处理器，至少支持8路麦克风数据处理，采样率支持≥192K，同时不占用整机系统的CPU能力。</w:t>
            </w:r>
          </w:p>
          <w:p>
            <w:pPr>
              <w:widowControl/>
              <w:spacing w:line="288" w:lineRule="auto"/>
              <w:jc w:val="left"/>
              <w:textAlignment w:val="bottom"/>
              <w:rPr>
                <w:rFonts w:hint="eastAsia" w:ascii="Calibri" w:hAnsi="Calibri" w:eastAsia="宋体" w:cs="Times New Roman"/>
                <w:lang w:val="en-US" w:eastAsia="zh-CN"/>
              </w:rPr>
            </w:pPr>
            <w:r>
              <w:rPr>
                <w:rFonts w:hint="eastAsia" w:ascii="宋体" w:hAnsi="宋体" w:eastAsia="宋体" w:cs="宋体"/>
                <w:color w:val="000000"/>
                <w:kern w:val="0"/>
                <w:szCs w:val="21"/>
                <w:lang w:bidi="ar"/>
              </w:rPr>
              <w:t>7.支持标准、听力、观影和AI空间感知音效模式，AI空间感知音效模式可通过内置麦克风采集教室物理环境声音，自动生成符合当前教室物理环境的频段、音量、音效。</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四、画面采集</w:t>
            </w:r>
          </w:p>
          <w:p>
            <w:pPr>
              <w:widowControl/>
              <w:spacing w:line="288" w:lineRule="auto"/>
              <w:jc w:val="left"/>
              <w:textAlignment w:val="bottom"/>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1.整机上边框内置非独立式摄像头，采用一体化集成设计，摄像头数量≥4个。</w:t>
            </w:r>
          </w:p>
          <w:p>
            <w:pPr>
              <w:widowControl/>
              <w:spacing w:line="288" w:lineRule="auto"/>
              <w:jc w:val="left"/>
              <w:textAlignment w:val="bottom"/>
              <w:rPr>
                <w:rFonts w:hint="eastAsia" w:ascii="宋体" w:hAnsi="宋体" w:eastAsia="宋体" w:cs="宋体"/>
                <w:b/>
                <w:bCs/>
                <w:color w:val="000000"/>
                <w:kern w:val="0"/>
                <w:szCs w:val="21"/>
                <w:lang w:eastAsia="zh-CN" w:bidi="ar"/>
              </w:rPr>
            </w:pPr>
            <w:r>
              <w:rPr>
                <w:rFonts w:hint="eastAsia" w:ascii="宋体" w:hAnsi="宋体" w:eastAsia="宋体" w:cs="宋体"/>
                <w:color w:val="000000"/>
                <w:kern w:val="0"/>
                <w:szCs w:val="21"/>
                <w:lang w:bidi="ar"/>
              </w:rPr>
              <w:t>★2.智能拼接摄像头部分：整机上边框内置非独立式≥3个智能拼接摄像头，支持清晰度TV lines≥1600 lines。视场角≥141度且水平视场角≥139度，可拍摄≥1600万像素的照片，支持输出≥8192×2048分辨率的照片和视频，支持画面畸变矫正功能。</w:t>
            </w:r>
          </w:p>
          <w:p>
            <w:pPr>
              <w:widowControl/>
              <w:spacing w:line="288" w:lineRule="auto"/>
              <w:jc w:val="left"/>
              <w:textAlignment w:val="bottom"/>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3.广角摄像头部分：整机上边框内置非独立式广角高清摄像头，视场角≥151度且水平视场角≥135度，支持输出4:3、16:9比例的图片和视频；在清晰度为3840×2160分辨率下，支持30帧的视频输出或优于。</w:t>
            </w:r>
          </w:p>
          <w:p>
            <w:pPr>
              <w:widowControl/>
              <w:spacing w:line="288" w:lineRule="auto"/>
              <w:jc w:val="left"/>
              <w:textAlignment w:val="bottom"/>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4.摄像头功能：整机上边框内置非独式广角摄像头和智能拼接摄像头，均支持3D降噪算法和数字宽动态范围成像WDR技术，支持包括但不限于输出MJPG、H.264视频格式。</w:t>
            </w:r>
          </w:p>
          <w:p>
            <w:pPr>
              <w:widowControl/>
              <w:spacing w:line="288" w:lineRule="auto"/>
              <w:jc w:val="left"/>
              <w:textAlignment w:val="bottom"/>
              <w:rPr>
                <w:rFonts w:hint="eastAsia" w:ascii="宋体" w:hAnsi="宋体" w:eastAsia="宋体" w:cs="宋体"/>
                <w:b/>
                <w:bCs/>
                <w:color w:val="000000"/>
                <w:kern w:val="0"/>
                <w:szCs w:val="21"/>
                <w:lang w:eastAsia="zh-CN" w:bidi="ar"/>
              </w:rPr>
            </w:pPr>
            <w:r>
              <w:rPr>
                <w:rFonts w:hint="eastAsia" w:ascii="宋体" w:hAnsi="宋体" w:eastAsia="宋体" w:cs="宋体"/>
                <w:color w:val="000000"/>
                <w:kern w:val="0"/>
                <w:szCs w:val="21"/>
                <w:lang w:bidi="ar"/>
              </w:rPr>
              <w:t>★5.整机支持上边框内置非独立摄像头模组，同时输出至少3路视频流，同时支持课堂远程巡课、课堂教学数据采集、本地画面预览（拍照或视频录制）。</w:t>
            </w:r>
          </w:p>
          <w:p>
            <w:pPr>
              <w:widowControl/>
              <w:spacing w:line="288" w:lineRule="auto"/>
              <w:jc w:val="left"/>
              <w:textAlignment w:val="bottom"/>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6.整机支持通过人脸识别进行登录账号。</w:t>
            </w:r>
          </w:p>
          <w:p>
            <w:pPr>
              <w:widowControl/>
              <w:spacing w:line="288" w:lineRule="auto"/>
              <w:jc w:val="left"/>
              <w:textAlignment w:val="bottom"/>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7.整机摄像头支持环境色温判断，根据环境调节合适的显示图像效果。</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五、无线互联</w:t>
            </w:r>
          </w:p>
          <w:p>
            <w:pPr>
              <w:widowControl/>
              <w:spacing w:line="288" w:lineRule="auto"/>
              <w:jc w:val="left"/>
              <w:textAlignment w:val="bottom"/>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1.整机内置双WiFi6无线网卡（不接受外接），在Android和Windows系统下，可实现Wi-Fi无线上网连接、AP无线热点发射，在Android下支持无线设备同时连接数量≥32个，在Windows系统下支持无线设备同时连接≥8个。</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2.Wi-Fi及AP热点支持频段2.4GHz/5GHz；Wi-Fi制式支持IEEE 802.11 a/b/g/n/ac/ax；支持版本Wi-Fi6；Wi-Fi和AP热点工作距离≥12m。</w:t>
            </w:r>
          </w:p>
          <w:p>
            <w:pPr>
              <w:widowControl/>
              <w:spacing w:line="288" w:lineRule="auto"/>
              <w:jc w:val="left"/>
              <w:textAlignment w:val="bottom"/>
              <w:rPr>
                <w:rFonts w:hint="eastAsia" w:ascii="宋体" w:hAnsi="宋体" w:eastAsia="宋体" w:cs="宋体"/>
                <w:b/>
                <w:bCs/>
                <w:color w:val="000000"/>
                <w:kern w:val="0"/>
                <w:szCs w:val="21"/>
                <w:lang w:eastAsia="zh-CN" w:bidi="ar"/>
              </w:rPr>
            </w:pPr>
            <w:r>
              <w:rPr>
                <w:rFonts w:hint="eastAsia" w:ascii="宋体" w:hAnsi="宋体" w:eastAsia="宋体" w:cs="宋体"/>
                <w:color w:val="000000"/>
                <w:kern w:val="0"/>
                <w:szCs w:val="21"/>
                <w:lang w:bidi="ar"/>
              </w:rPr>
              <w:t>★3.整机支持蓝牙Bluetooth 5.4标准，PC端支持主动发现蓝牙外设从而连接（无需整机进入发现模式），支持连接外部蓝牙音箱播放音频。</w:t>
            </w:r>
          </w:p>
          <w:p>
            <w:pPr>
              <w:widowControl/>
              <w:spacing w:line="288" w:lineRule="auto"/>
              <w:jc w:val="left"/>
              <w:textAlignment w:val="bottom"/>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4.整机内置NFC读卡模块，可配合应用实现刷卡解锁，刷卡登录账号功能。</w:t>
            </w:r>
          </w:p>
          <w:p>
            <w:pPr>
              <w:widowControl/>
              <w:spacing w:line="288" w:lineRule="auto"/>
              <w:jc w:val="left"/>
              <w:textAlignment w:val="bottom"/>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p>
          <w:p>
            <w:pPr>
              <w:widowControl/>
              <w:spacing w:line="288" w:lineRule="auto"/>
              <w:jc w:val="left"/>
              <w:textAlignment w:val="bottom"/>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6.整机支持发出频率为18kHz-22kHz超声波信号，智能手机通过麦克风接收后，智能手机与整机无需在同一局域网内，可实现配对，一键投屏，用户无需手动输入投屏码或扫码获取投屏码。</w:t>
            </w:r>
          </w:p>
          <w:p>
            <w:pPr>
              <w:widowControl/>
              <w:spacing w:line="288" w:lineRule="auto"/>
              <w:jc w:val="left"/>
              <w:textAlignment w:val="bottom"/>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7.整机内置独立千兆网络交换机模块，满足整机内PC模块、算力模块单元之间实现数据通信。</w:t>
            </w:r>
          </w:p>
          <w:p>
            <w:pPr>
              <w:widowControl/>
              <w:spacing w:line="288" w:lineRule="auto"/>
              <w:jc w:val="left"/>
              <w:textAlignment w:val="bottom"/>
              <w:rPr>
                <w:rFonts w:hint="eastAsia" w:ascii="宋体" w:hAnsi="宋体" w:eastAsia="宋体" w:cs="宋体"/>
                <w:b/>
                <w:bCs/>
                <w:color w:val="000000"/>
                <w:kern w:val="0"/>
                <w:szCs w:val="21"/>
                <w:lang w:eastAsia="zh-CN" w:bidi="ar"/>
              </w:rPr>
            </w:pPr>
            <w:r>
              <w:rPr>
                <w:rFonts w:hint="eastAsia" w:ascii="宋体" w:hAnsi="宋体" w:eastAsia="宋体" w:cs="宋体"/>
                <w:color w:val="000000"/>
                <w:kern w:val="0"/>
                <w:szCs w:val="21"/>
                <w:lang w:bidi="ar"/>
              </w:rPr>
              <w:t>★8.整机Windows通道支持文件传输应用，支持多人同时将手机文件传输到整机上；支持通过扫码、wifi直联、超声三种方式与手机进行握手连接，实现文件传输功能，传输方式支持公网传输、局域网传输、WiFi 直连传输。</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六、物理按键及接口</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1.整机具备至少6个前置按键，可实现开关机、调出中控菜单、音量+/-、护眼、录屏操作。</w:t>
            </w:r>
          </w:p>
          <w:p>
            <w:pPr>
              <w:widowControl/>
              <w:spacing w:line="288" w:lineRule="auto"/>
              <w:jc w:val="left"/>
              <w:textAlignment w:val="bottom"/>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2.整机设备支持通过前置面板物理按键一键启动AI课堂数据分析及反馈功能，可将屏幕中显示的课件、音频内容与人声同时录制。</w:t>
            </w:r>
          </w:p>
          <w:p>
            <w:pPr>
              <w:widowControl/>
              <w:spacing w:line="288" w:lineRule="auto"/>
              <w:jc w:val="left"/>
              <w:textAlignment w:val="bottom"/>
              <w:rPr>
                <w:rFonts w:hint="eastAsia" w:ascii="宋体" w:hAnsi="宋体" w:eastAsia="宋体" w:cs="宋体"/>
                <w:b/>
                <w:bCs/>
                <w:color w:val="000000"/>
                <w:kern w:val="0"/>
                <w:szCs w:val="21"/>
                <w:lang w:eastAsia="zh-CN" w:bidi="ar"/>
              </w:rPr>
            </w:pPr>
            <w:r>
              <w:rPr>
                <w:rFonts w:hint="eastAsia" w:ascii="宋体" w:hAnsi="宋体" w:eastAsia="宋体" w:cs="宋体"/>
                <w:color w:val="000000"/>
                <w:kern w:val="0"/>
                <w:szCs w:val="21"/>
                <w:lang w:bidi="ar"/>
              </w:rPr>
              <w:t>★3.设备支持≥5个自定义前置按键，包括但不限于“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4.整机接口：侧置输入接口具备≥2路HDMI、≥1路RS232、≥1路USB接口，≥1路3.5mm audio in 音频输入接口；侧置输出接口具备≥1路3.5mm audio out音频输出、≥1路触控USB输出；侧置输出接口具备≥1路HDMI out接口；前置输入接口≥3路USB接口（包含1路Type-C、2路USB）。</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七、系统功能</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1.整机支持全通道支持4K UI界面显示，包括安卓通道、PC通道、HDMI通道、Type-C通道。2.整机内置触摸中控菜单，在整机全信号源通道下通过手势在屏幕上调取该触摸菜单，支持信号源通道切换、护眼、声音调节功能。</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3.整机内置全通道侧边栏快捷菜单，小工具、应用软件、快捷设置、亮度/音量调节、教室物联入口；支持展示学校名称、设备班级、场地信息。</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4.整机设备开机启动后，自动进入教学桌面，支持账号登录、退出，自动获取个人云端教学课件列表，并可进入全部课件列表。</w:t>
            </w:r>
          </w:p>
          <w:p>
            <w:pPr>
              <w:widowControl/>
              <w:spacing w:line="288" w:lineRule="auto"/>
              <w:jc w:val="left"/>
              <w:textAlignment w:val="bottom"/>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5.整机设备自带地震预警软件。支持在地震预警页面中获取位置，可以手动进行位置校准。支持在地震预警页面中选择提醒阈值。支持在地震预警界面中开启和关闭地震预警服务。</w:t>
            </w:r>
          </w:p>
          <w:p>
            <w:pPr>
              <w:widowControl/>
              <w:spacing w:line="288" w:lineRule="auto"/>
              <w:jc w:val="left"/>
              <w:textAlignment w:val="bottom"/>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整机具备智能手势识别功能，在整机全信号源通道下均可识别五指上、下、左、右方向手势，五指画~、左右晃动、缩/放方向手势滑动并调用相应功能。支持将各手势滑动方向自定义设置为无操作、熄屏、批注、桌面、半屏模式。</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7.整机关机状态下，通过长按电源键进入设置界面后，可点击屏幕选择恢复Android系统及Windows操作系统到出厂默认状态，无需额外工具辅助。</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8.整机内置专业硬件自检维护工具（非第三方工具），支持对整机内部的板卡及部件模块进行故障检测、系统还原功能。</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八、嵌入式系统</w:t>
            </w:r>
          </w:p>
          <w:p>
            <w:pPr>
              <w:widowControl/>
              <w:spacing w:line="288" w:lineRule="auto"/>
              <w:jc w:val="left"/>
              <w:textAlignment w:val="bottom"/>
              <w:rPr>
                <w:rFonts w:hint="eastAsia" w:ascii="宋体" w:hAnsi="宋体" w:eastAsia="宋体" w:cs="宋体"/>
                <w:b/>
                <w:bCs/>
                <w:color w:val="000000"/>
                <w:kern w:val="0"/>
                <w:szCs w:val="21"/>
                <w:lang w:eastAsia="zh-CN" w:bidi="ar"/>
              </w:rPr>
            </w:pPr>
            <w:r>
              <w:rPr>
                <w:rFonts w:hint="eastAsia" w:ascii="宋体" w:hAnsi="宋体" w:eastAsia="宋体" w:cs="宋体"/>
                <w:color w:val="000000"/>
                <w:kern w:val="0"/>
                <w:szCs w:val="21"/>
                <w:lang w:bidi="ar"/>
              </w:rPr>
              <w:t>★1.嵌入式系统版本不低于Android 13，内存≥4GB，存储空间≥32GB。</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2.无PC状态下，嵌入式Android操作系统下可使用白板书写、WPS软件和网页浏览。</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九、触摸系统</w:t>
            </w:r>
          </w:p>
          <w:p>
            <w:pPr>
              <w:widowControl/>
              <w:spacing w:line="288" w:lineRule="auto"/>
              <w:jc w:val="left"/>
              <w:textAlignment w:val="bottom"/>
              <w:rPr>
                <w:rFonts w:hint="eastAsia" w:ascii="宋体" w:hAnsi="宋体" w:eastAsia="宋体" w:cs="宋体"/>
                <w:b/>
                <w:bCs/>
                <w:color w:val="000000"/>
                <w:kern w:val="0"/>
                <w:szCs w:val="21"/>
                <w:lang w:eastAsia="zh-CN" w:bidi="ar"/>
              </w:rPr>
            </w:pPr>
            <w:r>
              <w:rPr>
                <w:rFonts w:hint="eastAsia" w:ascii="宋体" w:hAnsi="宋体" w:eastAsia="宋体" w:cs="宋体"/>
                <w:color w:val="000000"/>
                <w:kern w:val="0"/>
                <w:szCs w:val="21"/>
                <w:lang w:bidi="ar"/>
              </w:rPr>
              <w:t>★1.采用红外触控方式，支持Windows系统中进行50点或以上触控，支持在Android系统中进行40点或以上触控。</w:t>
            </w:r>
          </w:p>
          <w:p>
            <w:pPr>
              <w:widowControl/>
              <w:spacing w:line="288" w:lineRule="auto"/>
              <w:jc w:val="left"/>
              <w:textAlignment w:val="bottom"/>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2.触摸分辨率≥32768×32768，触摸响应时间≤2.5ms，触摸最小识别物≤1.5mm。</w:t>
            </w:r>
          </w:p>
          <w:p>
            <w:pPr>
              <w:widowControl/>
              <w:spacing w:line="288" w:lineRule="auto"/>
              <w:jc w:val="left"/>
              <w:textAlignment w:val="bottom"/>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3.整机屏幕触摸有效识别高度不超过1.5mm，即触摸物体距离玻璃外表面高度不超过1.5mm时，触摸屏识别为点击操作。</w:t>
            </w:r>
          </w:p>
          <w:p>
            <w:pPr>
              <w:widowControl/>
              <w:spacing w:line="288" w:lineRule="auto"/>
              <w:jc w:val="left"/>
              <w:textAlignment w:val="bottom"/>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4.整机系统支持书写触控延迟≤15ms，触控书写功能集成预测算法，在书写速度≥50cm/s，支持笔迹距离笔的距离小于20mm。</w:t>
            </w:r>
          </w:p>
          <w:p>
            <w:pPr>
              <w:widowControl/>
              <w:spacing w:line="288" w:lineRule="auto"/>
              <w:jc w:val="left"/>
              <w:textAlignment w:val="bottom"/>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5.整机支持提笔书写，在Windows系统下可实现无需点击任意功能入口，当检测到红外笔笔尖接触屏幕时，自动进入书写模式。</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6.整机触摸支持动态压力感应，支持无任何电子功能的普通书写笔在整机上书写或点压时，整机能感应压力变化，书写或点压过程笔迹呈现不同粗细。</w:t>
            </w:r>
          </w:p>
          <w:p>
            <w:pPr>
              <w:widowControl/>
              <w:spacing w:line="288" w:lineRule="auto"/>
              <w:jc w:val="left"/>
              <w:textAlignment w:val="bottom"/>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7.整机支持手笔分离，通过提笔即写唤醒批注功能后，可进行手笔分离功能，使用笔正常书写，使用手指可以操作应用，进行点击操作。</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8.触摸屏具有防遮挡功能，触摸接收器在单点或多点遮挡后仍能正常书写。</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9.触摸屏在照度100K LUX（勒克司）环境下仍能正常工作。</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10.支持Windows 7、Windows 8、Windows 10、Windows 11、Linux、Mac Os、UOS和麒麟系统外置电脑操作系统接入时，无需安装触摸驱动。</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十、软件功能</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1.系统支持：采用跨平台开放式设计，满足BYOD场景，支持Android 5.0、iOS 8.0、Windows7及以上、Mac OS 10.10及以上版本系统，便于学生使用多平台终端参与教学互动。教师端一体机和小组端一体机支持在同一个有线局域网内实现广播和投屏的功能，小组端和教师端在同一个局域网内的有线网络。</w:t>
            </w:r>
          </w:p>
          <w:p>
            <w:pPr>
              <w:widowControl/>
              <w:spacing w:line="288" w:lineRule="auto"/>
              <w:jc w:val="left"/>
              <w:textAlignment w:val="bottom"/>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2.教师端广播：不需借助任何外接设备，在可ping通的局域网内学生端手机、平板与电脑的屏幕画面在教师端或小组端上进行显示。</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3.动态密码配对：支持小组端输入教师端的动态连接密码进行配对，初次配对成功后，后续可开机联网自动进行小组端和教师端间的连接。</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4.发现设备：支持小组端和教师端之间连接时自动发现设备，无需输入连接码，只用点选设备名称即可完成连接。5.学生手机投屏：支持学生端手机投屏，可通过该软件将手机屏幕画面实时投影到小组端上。</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6.学生PC投屏：支持学生端电脑传屏，可通过该软件将电脑屏幕画面实时投影到小组端上，同时可将电脑系统音频信号传输至小组端，并且可将交互智能平板上的触摸信号回传至电脑中，实现反向操作。</w:t>
            </w:r>
          </w:p>
          <w:p>
            <w:pPr>
              <w:widowControl/>
              <w:spacing w:line="288" w:lineRule="auto"/>
              <w:jc w:val="left"/>
              <w:textAlignment w:val="bottom"/>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7.互动反馈系统：具备公网互动反馈功能，可将所有学生端和教师端连接在一起构建成为一套互动反馈系统，方便老师在授课过程中发布问题让所有同学实时参与互动并形成数据沉淀统计，在系统中教师可以设置：主观观点收集互动，单选/多选/判断等可观答题互动，同时支持文件下发、批注下发功能。</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8.随堂评价：课程结束后可发布随堂评价问卷，及时收集学生课程反馈。</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9.直播授课：支持课堂快速开启直播，无需切换其他设备及操作界面，老师利用教学软件一键开启直播，声音、影像实时同步；学生可通过网页端或者移动端APP实时加入课堂，课后支持学生在课堂报告查看直播回放，可复制链接或点击直接播放回看。</w:t>
            </w:r>
          </w:p>
          <w:p>
            <w:pPr>
              <w:widowControl/>
              <w:spacing w:line="288" w:lineRule="auto"/>
              <w:jc w:val="left"/>
              <w:textAlignment w:val="bottom"/>
              <w:rPr>
                <w:rFonts w:ascii="宋体" w:hAnsi="宋体" w:eastAsia="宋体" w:cs="宋体"/>
                <w:szCs w:val="21"/>
              </w:rPr>
            </w:pPr>
            <w:r>
              <w:rPr>
                <w:rFonts w:hint="eastAsia" w:ascii="宋体" w:hAnsi="宋体" w:eastAsia="宋体" w:cs="宋体"/>
                <w:color w:val="000000"/>
                <w:kern w:val="0"/>
                <w:szCs w:val="21"/>
                <w:lang w:bidi="ar"/>
              </w:rPr>
              <w:t>10.文件接收：支持教师端一键下发多种文件格式（PPT、MP3、MP4、PNG、JPG等）到小组端，小组端获取后，可直接打开进行使用。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noWrap w:val="0"/>
            <w:vAlign w:val="center"/>
          </w:tcPr>
          <w:p>
            <w:pPr>
              <w:widowControl/>
              <w:jc w:val="center"/>
              <w:textAlignment w:val="center"/>
              <w:rPr>
                <w:rFonts w:ascii="宋体" w:hAnsi="宋体" w:eastAsia="宋体" w:cs="宋体"/>
                <w:b/>
                <w:bCs/>
                <w:szCs w:val="21"/>
              </w:rPr>
            </w:pPr>
            <w:r>
              <w:rPr>
                <w:rFonts w:hint="eastAsia" w:ascii="宋体" w:hAnsi="宋体" w:eastAsia="宋体" w:cs="宋体"/>
                <w:b/>
                <w:bCs/>
                <w:color w:val="000000"/>
                <w:kern w:val="0"/>
                <w:szCs w:val="21"/>
                <w:lang w:bidi="ar"/>
              </w:rPr>
              <w:t>2</w:t>
            </w:r>
          </w:p>
        </w:tc>
        <w:tc>
          <w:tcPr>
            <w:tcW w:w="1810" w:type="dxa"/>
            <w:noWrap w:val="0"/>
            <w:vAlign w:val="center"/>
          </w:tcPr>
          <w:p>
            <w:pPr>
              <w:widowControl/>
              <w:jc w:val="center"/>
              <w:textAlignment w:val="center"/>
              <w:rPr>
                <w:rFonts w:ascii="宋体" w:hAnsi="宋体" w:eastAsia="宋体" w:cs="Times New Roman"/>
                <w:b/>
                <w:bCs/>
                <w:szCs w:val="21"/>
              </w:rPr>
            </w:pPr>
            <w:r>
              <w:rPr>
                <w:rFonts w:hint="eastAsia" w:ascii="宋体" w:hAnsi="宋体" w:eastAsia="宋体" w:cs="宋体"/>
                <w:b/>
                <w:bCs/>
                <w:kern w:val="0"/>
                <w:szCs w:val="21"/>
                <w:lang w:bidi="ar"/>
              </w:rPr>
              <w:t>智能显示终端</w:t>
            </w:r>
          </w:p>
        </w:tc>
        <w:tc>
          <w:tcPr>
            <w:tcW w:w="661" w:type="dxa"/>
            <w:noWrap w:val="0"/>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1</w:t>
            </w:r>
          </w:p>
        </w:tc>
        <w:tc>
          <w:tcPr>
            <w:tcW w:w="661" w:type="dxa"/>
            <w:noWrap w:val="0"/>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台</w:t>
            </w:r>
          </w:p>
        </w:tc>
        <w:tc>
          <w:tcPr>
            <w:tcW w:w="6164" w:type="dxa"/>
            <w:noWrap w:val="0"/>
            <w:vAlign w:val="bottom"/>
          </w:tcPr>
          <w:p>
            <w:pPr>
              <w:widowControl/>
              <w:spacing w:line="288" w:lineRule="auto"/>
              <w:jc w:val="left"/>
              <w:textAlignment w:val="bottom"/>
              <w:rPr>
                <w:rFonts w:hint="eastAsia" w:ascii="宋体" w:hAnsi="宋体" w:eastAsia="宋体" w:cs="宋体"/>
                <w:b/>
                <w:bCs/>
                <w:color w:val="000000"/>
                <w:kern w:val="0"/>
                <w:szCs w:val="21"/>
                <w:lang w:eastAsia="zh-CN" w:bidi="ar"/>
              </w:rPr>
            </w:pPr>
            <w:r>
              <w:rPr>
                <w:rFonts w:hint="eastAsia" w:ascii="宋体" w:hAnsi="宋体" w:eastAsia="宋体" w:cs="宋体"/>
                <w:b/>
                <w:bCs/>
                <w:color w:val="000000"/>
                <w:kern w:val="0"/>
                <w:szCs w:val="21"/>
                <w:lang w:bidi="ar"/>
              </w:rPr>
              <w:t>一、整机设计：</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1.采用超窄边框设计，整机屏占比≥92%以上，整机最薄处≤25mm；</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2.整机采用Android 11.0系统或优于，内置CPU性能≥四核A55，内置GPU性能≥双核Mali G52，RAM≥4G，ROM≥32G；</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3.采用2.0声道，内置扬声器功率≥20W；</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4.无线模块支持802.11 a/b/g/n/ac/ax，工作频率2.4GHz/5GHz；</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5.I/O接口：≥2路HDMI IN，≥4路 USB接口（前置≥2路，后置≥2路，至少包含1路USB3.0），≥1路Line in，≥1路AUDIO OUT，≥1路RJ45 IN，≥1路RS232；</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6.整机采用金属外壳；</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7.整机符合盐雾试验、GB/T 2423.1-2008低温试验、GB/T 2423.2-2008高温试验，确保整机存储、使用安全。</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8.整机具备抗振动、防跌落特性，保证整机运输或使用过程中不易受损。</w:t>
            </w:r>
          </w:p>
          <w:p>
            <w:pPr>
              <w:widowControl/>
              <w:spacing w:line="288" w:lineRule="auto"/>
              <w:jc w:val="left"/>
              <w:textAlignment w:val="bottom"/>
              <w:rPr>
                <w:rFonts w:hint="eastAsia" w:ascii="宋体" w:hAnsi="宋体" w:eastAsia="宋体" w:cs="宋体"/>
                <w:b/>
                <w:bCs/>
                <w:color w:val="000000"/>
                <w:kern w:val="0"/>
                <w:szCs w:val="21"/>
                <w:lang w:eastAsia="zh-CN" w:bidi="ar"/>
              </w:rPr>
            </w:pPr>
            <w:r>
              <w:rPr>
                <w:rFonts w:hint="eastAsia" w:ascii="宋体" w:hAnsi="宋体" w:eastAsia="宋体" w:cs="宋体"/>
                <w:b/>
                <w:bCs/>
                <w:color w:val="000000"/>
                <w:kern w:val="0"/>
                <w:szCs w:val="21"/>
                <w:lang w:bidi="ar"/>
              </w:rPr>
              <w:t>二、显示参数：</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1.为保证显示效果，要求整机屏幕采用</w:t>
            </w:r>
            <w:r>
              <w:rPr>
                <w:rFonts w:ascii="宋体" w:hAnsi="宋体" w:eastAsia="宋体" w:cs="宋体"/>
                <w:color w:val="000000"/>
                <w:kern w:val="0"/>
                <w:szCs w:val="21"/>
                <w:lang w:bidi="ar"/>
              </w:rPr>
              <w:t>100</w:t>
            </w:r>
            <w:r>
              <w:rPr>
                <w:rFonts w:hint="eastAsia" w:ascii="宋体" w:hAnsi="宋体" w:eastAsia="宋体" w:cs="宋体"/>
                <w:color w:val="000000"/>
                <w:kern w:val="0"/>
                <w:szCs w:val="21"/>
                <w:lang w:bidi="ar"/>
              </w:rPr>
              <w:t>英寸VA液晶屏，显示比例16:9，屏幕分辨率≥3840*2160，屏亮度≥300cd/㎡，对比度≥4000:1；</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2.为保证显示色彩的丰富程度，色域≥90%DCI-P3(Typ)；</w:t>
            </w:r>
          </w:p>
          <w:p>
            <w:pPr>
              <w:widowControl/>
              <w:spacing w:line="288" w:lineRule="auto"/>
              <w:jc w:val="left"/>
              <w:textAlignment w:val="bottom"/>
              <w:rPr>
                <w:rFonts w:hint="eastAsia" w:ascii="宋体" w:hAnsi="宋体" w:eastAsia="宋体" w:cs="宋体"/>
                <w:b/>
                <w:bCs/>
                <w:color w:val="000000"/>
                <w:kern w:val="0"/>
                <w:szCs w:val="21"/>
                <w:lang w:eastAsia="zh-CN" w:bidi="ar"/>
              </w:rPr>
            </w:pPr>
            <w:r>
              <w:rPr>
                <w:rFonts w:hint="eastAsia" w:ascii="宋体" w:hAnsi="宋体" w:eastAsia="宋体" w:cs="宋体"/>
                <w:b/>
                <w:bCs/>
                <w:color w:val="000000"/>
                <w:kern w:val="0"/>
                <w:szCs w:val="21"/>
                <w:lang w:bidi="ar"/>
              </w:rPr>
              <w:t>三、无线传屏：</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1.最多支持搭配≥8个无线传屏器，画面分别投屏到同一个整机，可通过按键切换传输不同外部电脑的画面及声音；</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2.支持手机投屏软件操控大屏，小屏控大屏满足近端操控需求；</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3.手机和电脑支持混合投屏展示，可支持4个画面同屏展示；</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4.无线传屏软硬件均支持win10系统/MAC系统扩展屏显示；</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5.应用窗口投屏时，电脑屏幕仍能打开别的应用处理其他事情，实现个人端隐私保护，能避免如微信弹窗；</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6.无线传屏视频数据加密，加密方式：AES（CBC模式），128 位，保障数据传输安全；</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7.在同一个局域网下，电脑或手机使用可通过连接码进行投屏；</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8.传屏之后，在电脑屏幕上部中间部分显示工具栏，可以进行基本的操作（具体包括勿扰模式，暂停投屏，传屏内容等）；</w:t>
            </w:r>
          </w:p>
          <w:p>
            <w:pPr>
              <w:widowControl/>
              <w:spacing w:line="288" w:lineRule="auto"/>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9.传屏开启勿扰模式之后，不允许其他人再进行传屏，沉浸模式，避免在使用过程中，用户经常被其他人传屏顶替掉，造成使用中断；</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10.可通过传屏工具栏暂停投屏功能进行画面冻结暂停，投屏电脑可自主进行其他操作，不影响整机的冻结画面内容显示；</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11.可通过传屏工具栏传屏模式，快速切换传屏方式；</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12.手机扫描整机传屏二维码即可完成连接整机热点，无需单独在手机上输入WIFI账号密码；</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13.手机和电脑可以向整机互传文件；</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14.可通过软件可自动发现近场可投屏的会议设备，选择即可投屏，无需手动配对；</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15.支持电脑通过无线方式调用整机外接摄像头、麦克风等；</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16.电脑投屏，支持不低于4k@30fps的分辨率投屏；</w:t>
            </w:r>
          </w:p>
          <w:p>
            <w:pPr>
              <w:widowControl/>
              <w:spacing w:line="288" w:lineRule="auto"/>
              <w:jc w:val="left"/>
              <w:textAlignment w:val="bottom"/>
              <w:rPr>
                <w:rFonts w:hint="eastAsia" w:ascii="宋体" w:hAnsi="宋体" w:eastAsia="宋体" w:cs="宋体"/>
                <w:b/>
                <w:bCs/>
                <w:color w:val="000000"/>
                <w:kern w:val="0"/>
                <w:szCs w:val="21"/>
                <w:lang w:eastAsia="zh-CN" w:bidi="ar"/>
              </w:rPr>
            </w:pPr>
            <w:r>
              <w:rPr>
                <w:rFonts w:hint="eastAsia" w:ascii="宋体" w:hAnsi="宋体" w:eastAsia="宋体" w:cs="宋体"/>
                <w:b/>
                <w:bCs/>
                <w:color w:val="000000"/>
                <w:kern w:val="0"/>
                <w:szCs w:val="21"/>
                <w:lang w:bidi="ar"/>
              </w:rPr>
              <w:t>四、软件功能：</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1.支持桌面自定义，客户可根据需求设置桌面样式，在桌面底部显示≥4个常用应用的图标；</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2.内置功能强大欢迎界面，标配多种模板，并支持手机编辑欢迎界面；</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3.支持通过系统设置开机显示的信号源，包含但不限于：Android、HDMI 1、HDMI 2；</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4.外接通道有信号输入时，支持自动识别并跳转至相应通道；</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5.支持个性化设置开机logo及开机动画；</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6.支持通过系统设置开机自启动系统预装的应用；</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7.支持通过系统设置滚动字幕，作为设备常驻上方的文字通知内容，设置的内容包含文字内容、显示方式（静态显示、向左滚动）、文字大小、文字颜色；</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8.设备支持无线热点隔离功能，当开启此功能后，连接热点的第三方设备只能无线投屏，无法通过热点网络访问互联网的视频网站、网页应用等；当关闭此功能后，连接热点的第三方设备除了可以正常投屏，还可以访问互联网的视频网站、网页应用等；</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9.支持通过系统平台，对设备做信息发布，包含但不限于图片、视频、文档等；</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10.支持对接集控管理平台，实现一键巡检所有设备，实时查看设备运行状态，必要时可通过远程桌面操控对应设备；</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11.支持对接集控管理平台，实现对设备进行立即关机、立即重启等便捷操作；</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12.支持对接集控管理平台，实现对设备进行休眠模式设置、USB接口禁用设置等便捷操作；</w:t>
            </w:r>
          </w:p>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13.支持对接集控管理平台，设定定时任务并推送至相关设备，定时向设备推送文字消息、壁纸等，并支持循环执行；</w:t>
            </w:r>
          </w:p>
          <w:p>
            <w:pPr>
              <w:widowControl/>
              <w:spacing w:line="288" w:lineRule="auto"/>
              <w:jc w:val="left"/>
              <w:textAlignment w:val="bottom"/>
              <w:rPr>
                <w:rFonts w:ascii="宋体" w:hAnsi="宋体" w:eastAsia="宋体" w:cs="宋体"/>
                <w:szCs w:val="21"/>
              </w:rPr>
            </w:pPr>
            <w:r>
              <w:rPr>
                <w:rFonts w:hint="eastAsia" w:ascii="宋体" w:hAnsi="宋体" w:eastAsia="宋体" w:cs="宋体"/>
                <w:color w:val="000000"/>
                <w:kern w:val="0"/>
                <w:szCs w:val="21"/>
                <w:lang w:bidi="ar"/>
              </w:rPr>
              <w:t>14.支持对接集控管理平台，通过平台上传应用并推送至对应设备进行安装，同时支持卸载已安装应用。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noWrap w:val="0"/>
            <w:vAlign w:val="center"/>
          </w:tcPr>
          <w:p>
            <w:pPr>
              <w:widowControl/>
              <w:jc w:val="center"/>
              <w:textAlignment w:val="center"/>
              <w:rPr>
                <w:rFonts w:ascii="宋体" w:hAnsi="宋体" w:eastAsia="宋体" w:cs="宋体"/>
                <w:b/>
                <w:bCs/>
                <w:szCs w:val="21"/>
              </w:rPr>
            </w:pPr>
            <w:r>
              <w:rPr>
                <w:rFonts w:hint="eastAsia" w:ascii="宋体" w:hAnsi="宋体" w:eastAsia="宋体" w:cs="宋体"/>
                <w:b/>
                <w:bCs/>
                <w:color w:val="000000"/>
                <w:kern w:val="0"/>
                <w:szCs w:val="21"/>
                <w:lang w:bidi="ar"/>
              </w:rPr>
              <w:t>3</w:t>
            </w:r>
          </w:p>
        </w:tc>
        <w:tc>
          <w:tcPr>
            <w:tcW w:w="1810" w:type="dxa"/>
            <w:noWrap w:val="0"/>
            <w:vAlign w:val="center"/>
          </w:tcPr>
          <w:p>
            <w:pPr>
              <w:widowControl/>
              <w:jc w:val="center"/>
              <w:textAlignment w:val="center"/>
              <w:rPr>
                <w:rFonts w:ascii="宋体" w:hAnsi="宋体" w:eastAsia="宋体" w:cs="Times New Roman"/>
                <w:b/>
                <w:bCs/>
                <w:szCs w:val="21"/>
              </w:rPr>
            </w:pPr>
            <w:r>
              <w:rPr>
                <w:rFonts w:hint="eastAsia" w:ascii="宋体" w:hAnsi="宋体" w:eastAsia="宋体" w:cs="宋体"/>
                <w:b/>
                <w:bCs/>
                <w:color w:val="000000"/>
                <w:kern w:val="0"/>
                <w:szCs w:val="21"/>
                <w:lang w:bidi="ar"/>
              </w:rPr>
              <w:t>书写白板（一体教学控制终端）（含整体框）</w:t>
            </w:r>
          </w:p>
        </w:tc>
        <w:tc>
          <w:tcPr>
            <w:tcW w:w="661" w:type="dxa"/>
            <w:noWrap w:val="0"/>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4</w:t>
            </w:r>
          </w:p>
        </w:tc>
        <w:tc>
          <w:tcPr>
            <w:tcW w:w="661" w:type="dxa"/>
            <w:noWrap w:val="0"/>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套</w:t>
            </w:r>
          </w:p>
        </w:tc>
        <w:tc>
          <w:tcPr>
            <w:tcW w:w="6164" w:type="dxa"/>
            <w:noWrap w:val="0"/>
            <w:vAlign w:val="center"/>
          </w:tcPr>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1.书写板夹心材料采用：高强度铝蜂窝板材，板材厚度≥15mm。</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2.板面材料：≥0.4mm搪瓷面材，颜色为白色；板面硬度＞4H。</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3.板面尺寸：≥86寸（画面比例16：10）。</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4.板体尺寸：长*高≥2174*1387(mm)</w:t>
            </w:r>
          </w:p>
          <w:p>
            <w:pPr>
              <w:widowControl/>
              <w:spacing w:line="288" w:lineRule="auto"/>
              <w:jc w:val="left"/>
              <w:textAlignment w:val="center"/>
              <w:rPr>
                <w:rFonts w:ascii="宋体" w:hAnsi="宋体" w:eastAsia="宋体" w:cs="宋体"/>
                <w:szCs w:val="21"/>
              </w:rPr>
            </w:pPr>
            <w:r>
              <w:rPr>
                <w:rFonts w:hint="eastAsia" w:ascii="宋体" w:hAnsi="宋体" w:eastAsia="宋体" w:cs="宋体"/>
                <w:color w:val="000000"/>
                <w:kern w:val="0"/>
                <w:szCs w:val="21"/>
                <w:lang w:bidi="ar"/>
              </w:rPr>
              <w:t>5.配套一体教学控制终端屏幕使用，与一体教学控制终端可做一体化铝合金包边处理。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noWrap w:val="0"/>
            <w:vAlign w:val="center"/>
          </w:tcPr>
          <w:p>
            <w:pPr>
              <w:widowControl/>
              <w:jc w:val="center"/>
              <w:textAlignment w:val="center"/>
              <w:rPr>
                <w:rFonts w:ascii="宋体" w:hAnsi="宋体" w:eastAsia="宋体" w:cs="宋体"/>
                <w:b/>
                <w:bCs/>
                <w:szCs w:val="21"/>
              </w:rPr>
            </w:pPr>
            <w:r>
              <w:rPr>
                <w:rFonts w:hint="eastAsia" w:ascii="宋体" w:hAnsi="宋体" w:eastAsia="宋体" w:cs="宋体"/>
                <w:b/>
                <w:bCs/>
                <w:color w:val="000000"/>
                <w:kern w:val="0"/>
                <w:szCs w:val="21"/>
                <w:lang w:bidi="ar"/>
              </w:rPr>
              <w:t>4</w:t>
            </w:r>
          </w:p>
        </w:tc>
        <w:tc>
          <w:tcPr>
            <w:tcW w:w="1810" w:type="dxa"/>
            <w:noWrap w:val="0"/>
            <w:vAlign w:val="center"/>
          </w:tcPr>
          <w:p>
            <w:pPr>
              <w:widowControl/>
              <w:jc w:val="center"/>
              <w:textAlignment w:val="center"/>
              <w:rPr>
                <w:rFonts w:ascii="宋体" w:hAnsi="宋体" w:eastAsia="宋体" w:cs="Times New Roman"/>
                <w:b/>
                <w:bCs/>
                <w:szCs w:val="21"/>
              </w:rPr>
            </w:pPr>
            <w:r>
              <w:rPr>
                <w:rFonts w:hint="eastAsia" w:ascii="宋体" w:hAnsi="宋体" w:eastAsia="宋体" w:cs="宋体"/>
                <w:b/>
                <w:bCs/>
                <w:color w:val="000000"/>
                <w:kern w:val="0"/>
                <w:szCs w:val="21"/>
                <w:lang w:bidi="ar"/>
              </w:rPr>
              <w:t>书写白板（</w:t>
            </w:r>
            <w:r>
              <w:rPr>
                <w:rFonts w:hint="eastAsia" w:ascii="宋体" w:hAnsi="宋体" w:eastAsia="宋体" w:cs="宋体"/>
                <w:b/>
                <w:bCs/>
                <w:kern w:val="0"/>
                <w:szCs w:val="21"/>
                <w:lang w:bidi="ar"/>
              </w:rPr>
              <w:t>智能显示终端</w:t>
            </w:r>
            <w:r>
              <w:rPr>
                <w:rFonts w:hint="eastAsia" w:ascii="宋体" w:hAnsi="宋体" w:eastAsia="宋体" w:cs="宋体"/>
                <w:b/>
                <w:bCs/>
                <w:color w:val="000000"/>
                <w:kern w:val="0"/>
                <w:szCs w:val="21"/>
                <w:lang w:bidi="ar"/>
              </w:rPr>
              <w:t>）（含整体框）</w:t>
            </w:r>
          </w:p>
        </w:tc>
        <w:tc>
          <w:tcPr>
            <w:tcW w:w="661" w:type="dxa"/>
            <w:noWrap w:val="0"/>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1</w:t>
            </w:r>
          </w:p>
        </w:tc>
        <w:tc>
          <w:tcPr>
            <w:tcW w:w="661" w:type="dxa"/>
            <w:noWrap w:val="0"/>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套</w:t>
            </w:r>
          </w:p>
        </w:tc>
        <w:tc>
          <w:tcPr>
            <w:tcW w:w="6164" w:type="dxa"/>
            <w:noWrap w:val="0"/>
            <w:vAlign w:val="center"/>
          </w:tcPr>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1.书写板夹心材料采用：高强度铝蜂窝板材，板材厚度≥15mm。</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2.板面材料：≥0.4mm搪瓷面材，颜色为白色；板面硬度＞4H。</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3.板面尺寸：≥</w:t>
            </w:r>
            <w:r>
              <w:rPr>
                <w:rFonts w:ascii="宋体" w:hAnsi="宋体" w:eastAsia="宋体" w:cs="宋体"/>
                <w:color w:val="000000"/>
                <w:kern w:val="0"/>
                <w:szCs w:val="21"/>
                <w:lang w:bidi="ar"/>
              </w:rPr>
              <w:t>100</w:t>
            </w:r>
            <w:r>
              <w:rPr>
                <w:rFonts w:hint="eastAsia" w:ascii="宋体" w:hAnsi="宋体" w:eastAsia="宋体" w:cs="宋体"/>
                <w:color w:val="000000"/>
                <w:kern w:val="0"/>
                <w:szCs w:val="21"/>
                <w:lang w:bidi="ar"/>
              </w:rPr>
              <w:t>寸（画面比例16：10）。</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4.板体尺寸：长*高≥</w:t>
            </w:r>
            <w:r>
              <w:rPr>
                <w:rFonts w:ascii="宋体" w:hAnsi="宋体" w:eastAsia="宋体" w:cs="宋体"/>
                <w:color w:val="000000"/>
                <w:kern w:val="0"/>
                <w:szCs w:val="21"/>
                <w:lang w:bidi="ar"/>
              </w:rPr>
              <w:t>2476</w:t>
            </w: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451</w:t>
            </w:r>
            <w:r>
              <w:rPr>
                <w:rFonts w:hint="eastAsia" w:ascii="宋体" w:hAnsi="宋体" w:eastAsia="宋体" w:cs="宋体"/>
                <w:color w:val="000000"/>
                <w:kern w:val="0"/>
                <w:szCs w:val="21"/>
                <w:lang w:bidi="ar"/>
              </w:rPr>
              <w:t>(mm)</w:t>
            </w:r>
          </w:p>
          <w:p>
            <w:pPr>
              <w:widowControl/>
              <w:spacing w:line="288" w:lineRule="auto"/>
              <w:jc w:val="left"/>
              <w:textAlignment w:val="center"/>
              <w:rPr>
                <w:rFonts w:ascii="宋体" w:hAnsi="宋体" w:eastAsia="宋体" w:cs="宋体"/>
                <w:szCs w:val="21"/>
              </w:rPr>
            </w:pPr>
            <w:r>
              <w:rPr>
                <w:rFonts w:hint="eastAsia" w:ascii="宋体" w:hAnsi="宋体" w:eastAsia="宋体" w:cs="宋体"/>
                <w:color w:val="000000"/>
                <w:kern w:val="0"/>
                <w:szCs w:val="21"/>
                <w:lang w:bidi="ar"/>
              </w:rPr>
              <w:t>5.配套智能显示终端屏幕使用，与</w:t>
            </w:r>
            <w:r>
              <w:rPr>
                <w:rFonts w:hint="eastAsia" w:ascii="宋体" w:hAnsi="宋体" w:eastAsia="宋体" w:cs="宋体"/>
                <w:kern w:val="0"/>
                <w:szCs w:val="21"/>
                <w:lang w:bidi="ar"/>
              </w:rPr>
              <w:t>智能显示终端</w:t>
            </w:r>
            <w:r>
              <w:rPr>
                <w:rFonts w:hint="eastAsia" w:ascii="宋体" w:hAnsi="宋体" w:eastAsia="宋体" w:cs="宋体"/>
                <w:color w:val="000000"/>
                <w:kern w:val="0"/>
                <w:szCs w:val="21"/>
                <w:lang w:bidi="ar"/>
              </w:rPr>
              <w:t>可做一体化铝合金包边处理。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noWrap w:val="0"/>
            <w:vAlign w:val="center"/>
          </w:tcPr>
          <w:p>
            <w:pPr>
              <w:widowControl/>
              <w:jc w:val="center"/>
              <w:textAlignment w:val="center"/>
              <w:rPr>
                <w:rFonts w:ascii="宋体" w:hAnsi="宋体" w:eastAsia="宋体" w:cs="宋体"/>
                <w:b/>
                <w:bCs/>
                <w:szCs w:val="21"/>
              </w:rPr>
            </w:pPr>
            <w:r>
              <w:rPr>
                <w:rFonts w:hint="eastAsia" w:ascii="宋体" w:hAnsi="宋体" w:eastAsia="宋体" w:cs="宋体"/>
                <w:b/>
                <w:bCs/>
                <w:color w:val="000000"/>
                <w:kern w:val="0"/>
                <w:szCs w:val="21"/>
                <w:lang w:bidi="ar"/>
              </w:rPr>
              <w:t>5</w:t>
            </w:r>
          </w:p>
        </w:tc>
        <w:tc>
          <w:tcPr>
            <w:tcW w:w="1810" w:type="dxa"/>
            <w:noWrap w:val="0"/>
            <w:vAlign w:val="center"/>
          </w:tcPr>
          <w:p>
            <w:pPr>
              <w:widowControl/>
              <w:jc w:val="center"/>
              <w:textAlignment w:val="center"/>
              <w:rPr>
                <w:rFonts w:ascii="宋体" w:hAnsi="宋体" w:eastAsia="宋体" w:cs="Times New Roman"/>
                <w:b/>
                <w:bCs/>
                <w:szCs w:val="21"/>
              </w:rPr>
            </w:pPr>
            <w:r>
              <w:rPr>
                <w:rFonts w:hint="eastAsia" w:ascii="宋体" w:hAnsi="宋体" w:eastAsia="宋体" w:cs="宋体"/>
                <w:b/>
                <w:bCs/>
                <w:color w:val="000000"/>
                <w:kern w:val="0"/>
                <w:szCs w:val="21"/>
                <w:lang w:bidi="ar"/>
              </w:rPr>
              <w:t>云终端</w:t>
            </w:r>
          </w:p>
        </w:tc>
        <w:tc>
          <w:tcPr>
            <w:tcW w:w="661" w:type="dxa"/>
            <w:noWrap w:val="0"/>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5</w:t>
            </w:r>
          </w:p>
        </w:tc>
        <w:tc>
          <w:tcPr>
            <w:tcW w:w="661" w:type="dxa"/>
            <w:noWrap w:val="0"/>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套</w:t>
            </w:r>
          </w:p>
        </w:tc>
        <w:tc>
          <w:tcPr>
            <w:tcW w:w="6164" w:type="dxa"/>
            <w:noWrap w:val="0"/>
            <w:vAlign w:val="center"/>
          </w:tcPr>
          <w:p>
            <w:pPr>
              <w:widowControl/>
              <w:spacing w:line="288" w:lineRule="auto"/>
              <w:jc w:val="left"/>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一、配置</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1.主板芯片：</w:t>
            </w:r>
            <w:r>
              <w:rPr>
                <w:rFonts w:hint="eastAsia" w:ascii="宋体" w:hAnsi="宋体" w:eastAsia="宋体" w:cs="宋体"/>
                <w:color w:val="000000"/>
                <w:kern w:val="0"/>
                <w:szCs w:val="21"/>
                <w:lang w:val="en-US" w:eastAsia="zh-CN" w:bidi="ar"/>
              </w:rPr>
              <w:t>性能不低于</w:t>
            </w:r>
            <w:r>
              <w:rPr>
                <w:rFonts w:hint="eastAsia" w:ascii="宋体" w:hAnsi="宋体" w:eastAsia="宋体" w:cs="宋体"/>
                <w:color w:val="000000"/>
                <w:kern w:val="0"/>
                <w:szCs w:val="21"/>
                <w:lang w:bidi="ar"/>
              </w:rPr>
              <w:t>H510芯片组；</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2.CPU：性能不低于I5 11400 六核 十二线程 2.6GHz主频，最高睿频≥4.4GHz；</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3.内存：16G DDR4或优于，支持双通道内存设计，可扩展至≥32GB，支持底面单独开盖即可更换升级内存；</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4.硬盘：≥512G SSD，支持M.2/mSATA多种存储方式；</w:t>
            </w:r>
          </w:p>
          <w:p>
            <w:pPr>
              <w:widowControl/>
              <w:spacing w:line="288" w:lineRule="auto"/>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5.接口（至少包含以下部分）：</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4*USB 2.0,4*USB 3.0,1*VGA,1*HDMI,1*COM（串口）1*IR红外，2*音频输入输出，1*千兆网口；</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6.集显：性能不低于Intel UHD Graphics 730；</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7.特性：支持上电自启动，支持远程唤醒；</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8.安装方式：支持背挂/立式</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9.散热方式：支持风扇+Smart铜管侧出风散热</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二、教育应用软件</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1.支持B/S管理架构，可通过移动设备通过网页方式对机房进行远程管理，包括远程开关机、时间同步、系统切换、消息广播等操作；</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2.支持电脑本地硬盘操作系统（xp\win7\win8\win10\linux）的立即还原和还原点瞬间创建；</w:t>
            </w:r>
          </w:p>
          <w:p>
            <w:pPr>
              <w:widowControl/>
              <w:spacing w:line="288" w:lineRule="auto"/>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3.支持对客户端内多块硬盘进行分区、系统装载、还原、还原方式设置，满足多硬盘系统还原和管理；</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4.支持从WINDOWS界面对1000台以上的电脑进行数据差异拷贝，非增量拷贝、变量拷贝、进度同步等上一代部署方式。根据网络状况可选择广播、组播、单播等方式；</w:t>
            </w:r>
          </w:p>
          <w:p>
            <w:pPr>
              <w:widowControl/>
              <w:spacing w:line="288" w:lineRule="auto"/>
              <w:jc w:val="left"/>
              <w:textAlignment w:val="center"/>
              <w:rPr>
                <w:rFonts w:hint="eastAsia" w:ascii="宋体" w:hAnsi="宋体" w:eastAsia="宋体" w:cs="宋体"/>
                <w:b/>
                <w:bCs/>
                <w:color w:val="000000"/>
                <w:kern w:val="0"/>
                <w:szCs w:val="21"/>
                <w:lang w:eastAsia="zh-CN" w:bidi="ar"/>
              </w:rPr>
            </w:pPr>
            <w:r>
              <w:rPr>
                <w:rFonts w:hint="eastAsia" w:ascii="宋体" w:hAnsi="宋体" w:eastAsia="宋体" w:cs="宋体"/>
                <w:color w:val="000000"/>
                <w:kern w:val="0"/>
                <w:szCs w:val="21"/>
                <w:lang w:bidi="ar"/>
              </w:rPr>
              <w:t>5.支持差异拷贝接收端网络环境检测，可检测接收端网卡连接速度，提前发现问题网点，排查处理影响差异拷贝的终端；</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6.支持操作系统分权管理，可分配不同的管理员管理不同的操作系统。</w:t>
            </w:r>
          </w:p>
          <w:p>
            <w:pPr>
              <w:widowControl/>
              <w:spacing w:line="288" w:lineRule="auto"/>
              <w:jc w:val="left"/>
              <w:textAlignment w:val="center"/>
              <w:rPr>
                <w:rFonts w:hint="eastAsia" w:ascii="宋体" w:hAnsi="宋体" w:eastAsia="宋体" w:cs="宋体"/>
                <w:b/>
                <w:bCs/>
                <w:color w:val="000000"/>
                <w:kern w:val="0"/>
                <w:szCs w:val="21"/>
                <w:lang w:eastAsia="zh-CN" w:bidi="ar"/>
              </w:rPr>
            </w:pPr>
            <w:r>
              <w:rPr>
                <w:rFonts w:hint="eastAsia" w:ascii="宋体" w:hAnsi="宋体" w:eastAsia="宋体" w:cs="宋体"/>
                <w:color w:val="000000"/>
                <w:kern w:val="0"/>
                <w:szCs w:val="21"/>
                <w:lang w:bidi="ar"/>
              </w:rPr>
              <w:t>7.支持学期课表的编辑，可设置学期开始和结束时间，按学期课表时间自动启动相应的操作系统，支持操作系统拖拽式导入学期课表；</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8.支持文件夹穿透，可在当前保护的分区下设定一个开放的文件夹,保存更新设置，重启分区还原其它数据还原，此文件夹中的数据不还原。</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9.支持批量修改Windows用户登录名、计算机名和IP地址；</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10.支持硬件虚拟化功能，针对硬件识别码的软件可实现软件统一注册，大幅度降低激活软件带来的工作量；</w:t>
            </w:r>
          </w:p>
          <w:p>
            <w:pPr>
              <w:widowControl/>
              <w:spacing w:line="288" w:lineRule="auto"/>
              <w:jc w:val="left"/>
              <w:textAlignment w:val="center"/>
              <w:rPr>
                <w:rFonts w:hint="eastAsia" w:ascii="宋体" w:hAnsi="宋体" w:eastAsia="宋体" w:cs="宋体"/>
                <w:b/>
                <w:bCs/>
                <w:color w:val="000000"/>
                <w:kern w:val="0"/>
                <w:szCs w:val="21"/>
                <w:lang w:eastAsia="zh-CN" w:bidi="ar"/>
              </w:rPr>
            </w:pPr>
            <w:r>
              <w:rPr>
                <w:rFonts w:hint="eastAsia" w:ascii="宋体" w:hAnsi="宋体" w:eastAsia="宋体" w:cs="宋体"/>
                <w:color w:val="000000"/>
                <w:kern w:val="0"/>
                <w:szCs w:val="21"/>
                <w:lang w:bidi="ar"/>
              </w:rPr>
              <w:t>11.支持流量限制策略，能够设定上行流量、下行流量，并可设置流量限制生效时间；</w:t>
            </w:r>
          </w:p>
          <w:p>
            <w:pPr>
              <w:widowControl/>
              <w:spacing w:line="288" w:lineRule="auto"/>
              <w:jc w:val="left"/>
              <w:textAlignment w:val="center"/>
              <w:rPr>
                <w:rFonts w:hint="eastAsia" w:ascii="宋体" w:hAnsi="宋体" w:eastAsia="宋体" w:cs="宋体"/>
                <w:b/>
                <w:bCs/>
                <w:color w:val="000000"/>
                <w:kern w:val="0"/>
                <w:szCs w:val="21"/>
                <w:lang w:eastAsia="zh-CN" w:bidi="ar"/>
              </w:rPr>
            </w:pPr>
            <w:r>
              <w:rPr>
                <w:rFonts w:hint="eastAsia" w:ascii="宋体" w:hAnsi="宋体" w:eastAsia="宋体" w:cs="宋体"/>
                <w:color w:val="000000"/>
                <w:kern w:val="0"/>
                <w:szCs w:val="21"/>
                <w:lang w:bidi="ar"/>
              </w:rPr>
              <w:t>12.支持网络限制策略，能够设定禁用外网或禁用全部网络，并支持设置例外，例外类型包括ip地址、网址、端口，并设置生效时间区间，能够精确到秒，支持按天执行、按周执行、按月执行；</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13.能够针对学生软件使用、上网操作进行记录，并支持按照应用、访问网址进行查询，能够根据时间段进行搜索，搜索时间精确到秒，针对上网操作，能够展示网址及网站标题信息，支持表格导出</w:t>
            </w:r>
          </w:p>
          <w:p>
            <w:pPr>
              <w:widowControl/>
              <w:spacing w:line="288" w:lineRule="auto"/>
              <w:jc w:val="left"/>
              <w:textAlignment w:val="center"/>
              <w:rPr>
                <w:rFonts w:hint="eastAsia" w:ascii="宋体" w:hAnsi="宋体" w:eastAsia="宋体" w:cs="宋体"/>
                <w:b/>
                <w:bCs/>
                <w:color w:val="000000"/>
                <w:kern w:val="0"/>
                <w:szCs w:val="21"/>
                <w:lang w:eastAsia="zh-CN" w:bidi="ar"/>
              </w:rPr>
            </w:pPr>
            <w:r>
              <w:rPr>
                <w:rFonts w:hint="eastAsia" w:ascii="宋体" w:hAnsi="宋体" w:eastAsia="宋体" w:cs="宋体"/>
                <w:color w:val="000000"/>
                <w:kern w:val="0"/>
                <w:szCs w:val="21"/>
                <w:lang w:bidi="ar"/>
              </w:rPr>
              <w:t>14.支持程序限制策略，支持黑名单、白名单两种模式，能够根据手动添加、游戏进程、应用进程、系统自带进程进行设置，并能够通过客户端实时识别操作系统进程进行控制，并设置生效时间区间，能够精确到秒，支持按天执行、按周执行、按月执行；</w:t>
            </w:r>
          </w:p>
          <w:p>
            <w:pPr>
              <w:widowControl/>
              <w:spacing w:line="288" w:lineRule="auto"/>
              <w:jc w:val="left"/>
              <w:textAlignment w:val="center"/>
              <w:rPr>
                <w:rFonts w:ascii="宋体" w:hAnsi="宋体" w:eastAsia="宋体" w:cs="宋体"/>
                <w:szCs w:val="21"/>
              </w:rPr>
            </w:pPr>
            <w:r>
              <w:rPr>
                <w:rFonts w:hint="eastAsia" w:ascii="宋体" w:hAnsi="宋体" w:eastAsia="宋体" w:cs="宋体"/>
                <w:color w:val="000000"/>
                <w:kern w:val="0"/>
                <w:szCs w:val="21"/>
                <w:lang w:bidi="ar"/>
              </w:rPr>
              <w:t>15.为保证系统兼容性和稳定性，要求所有功能相互兼容；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noWrap w:val="0"/>
            <w:vAlign w:val="center"/>
          </w:tcPr>
          <w:p>
            <w:pPr>
              <w:widowControl/>
              <w:jc w:val="center"/>
              <w:textAlignment w:val="center"/>
              <w:rPr>
                <w:rFonts w:ascii="宋体" w:hAnsi="宋体" w:eastAsia="宋体" w:cs="宋体"/>
                <w:b/>
                <w:bCs/>
                <w:szCs w:val="21"/>
              </w:rPr>
            </w:pPr>
            <w:r>
              <w:rPr>
                <w:rFonts w:hint="eastAsia" w:ascii="宋体" w:hAnsi="宋体" w:eastAsia="宋体" w:cs="宋体"/>
                <w:b/>
                <w:bCs/>
                <w:color w:val="000000"/>
                <w:kern w:val="0"/>
                <w:szCs w:val="21"/>
                <w:lang w:bidi="ar"/>
              </w:rPr>
              <w:t>6</w:t>
            </w:r>
          </w:p>
        </w:tc>
        <w:tc>
          <w:tcPr>
            <w:tcW w:w="1810" w:type="dxa"/>
            <w:noWrap w:val="0"/>
            <w:vAlign w:val="center"/>
          </w:tcPr>
          <w:p>
            <w:pPr>
              <w:widowControl/>
              <w:jc w:val="center"/>
              <w:textAlignment w:val="center"/>
              <w:rPr>
                <w:rFonts w:ascii="宋体" w:hAnsi="宋体" w:eastAsia="宋体" w:cs="Times New Roman"/>
                <w:b/>
                <w:bCs/>
                <w:szCs w:val="21"/>
              </w:rPr>
            </w:pPr>
            <w:r>
              <w:rPr>
                <w:rFonts w:hint="eastAsia" w:ascii="宋体" w:hAnsi="宋体" w:eastAsia="宋体" w:cs="宋体"/>
                <w:b/>
                <w:bCs/>
                <w:color w:val="000000"/>
                <w:kern w:val="0"/>
                <w:szCs w:val="21"/>
                <w:lang w:bidi="ar"/>
              </w:rPr>
              <w:t>电子教学软件</w:t>
            </w:r>
          </w:p>
        </w:tc>
        <w:tc>
          <w:tcPr>
            <w:tcW w:w="661" w:type="dxa"/>
            <w:noWrap w:val="0"/>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5</w:t>
            </w:r>
          </w:p>
        </w:tc>
        <w:tc>
          <w:tcPr>
            <w:tcW w:w="661" w:type="dxa"/>
            <w:noWrap w:val="0"/>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套</w:t>
            </w:r>
          </w:p>
        </w:tc>
        <w:tc>
          <w:tcPr>
            <w:tcW w:w="6164" w:type="dxa"/>
            <w:noWrap w:val="0"/>
            <w:vAlign w:val="center"/>
          </w:tcPr>
          <w:p>
            <w:pPr>
              <w:widowControl/>
              <w:spacing w:line="288" w:lineRule="auto"/>
              <w:jc w:val="left"/>
              <w:textAlignment w:val="center"/>
              <w:rPr>
                <w:rFonts w:hint="eastAsia" w:ascii="Calibri" w:hAnsi="Calibri" w:eastAsia="宋体" w:cs="Times New Roman"/>
                <w:sz w:val="21"/>
                <w:szCs w:val="21"/>
                <w:lang w:eastAsia="zh-CN" w:bidi="ar"/>
              </w:rPr>
            </w:pPr>
            <w:r>
              <w:rPr>
                <w:rFonts w:hint="default" w:ascii="宋体" w:hAnsi="宋体" w:eastAsia="宋体" w:cs="宋体"/>
                <w:color w:val="000000"/>
                <w:sz w:val="21"/>
                <w:szCs w:val="21"/>
                <w:u w:val="none"/>
                <w:lang w:bidi="ar"/>
              </w:rPr>
              <w:t>1.提供屏幕分享、示范转播、电子白板功能，屏幕分享具备时移功能。屏幕分享可同时分享摄像头画面。屏幕转播时提供选择客户端列表进行转播、转播时可以转播客户端电脑声音。</w:t>
            </w:r>
          </w:p>
          <w:p>
            <w:pPr>
              <w:widowControl/>
              <w:spacing w:line="288" w:lineRule="auto"/>
              <w:jc w:val="left"/>
              <w:textAlignment w:val="center"/>
              <w:rPr>
                <w:rFonts w:hint="eastAsia" w:ascii="Calibri" w:hAnsi="Calibri" w:eastAsia="宋体" w:cs="Times New Roman"/>
                <w:sz w:val="21"/>
                <w:szCs w:val="21"/>
                <w:lang w:eastAsia="zh-CN" w:bidi="ar"/>
              </w:rPr>
            </w:pPr>
            <w:r>
              <w:rPr>
                <w:rFonts w:hint="default" w:ascii="宋体" w:hAnsi="宋体" w:eastAsia="宋体" w:cs="宋体"/>
                <w:color w:val="000000"/>
                <w:sz w:val="21"/>
                <w:szCs w:val="21"/>
                <w:u w:val="none"/>
                <w:lang w:bidi="ar"/>
              </w:rPr>
              <w:t>2.录播课程，可录制电脑桌面和声音，录制格式为MP4格式，支持录制时打开摄像头、录制声音设备选择。</w:t>
            </w:r>
          </w:p>
          <w:p>
            <w:pPr>
              <w:widowControl/>
              <w:spacing w:line="288" w:lineRule="auto"/>
              <w:jc w:val="left"/>
              <w:textAlignment w:val="center"/>
              <w:rPr>
                <w:rFonts w:hint="eastAsia" w:ascii="Calibri" w:hAnsi="Calibri" w:eastAsia="宋体" w:cs="Times New Roman"/>
                <w:sz w:val="21"/>
                <w:szCs w:val="21"/>
                <w:lang w:eastAsia="zh-CN" w:bidi="ar"/>
              </w:rPr>
            </w:pPr>
            <w:r>
              <w:rPr>
                <w:rFonts w:hint="default" w:ascii="宋体" w:hAnsi="宋体" w:eastAsia="宋体" w:cs="宋体"/>
                <w:color w:val="000000"/>
                <w:sz w:val="21"/>
                <w:szCs w:val="21"/>
                <w:u w:val="none"/>
                <w:lang w:bidi="ar"/>
              </w:rPr>
              <w:t>3.提供视频分享、现场直播功能，视频分享将管理端视频播放分享到客户端电脑。现场直播可采集摄像头和电脑声音，提供摄像头分辨率设置、是否直播画面和声音设置。</w:t>
            </w:r>
          </w:p>
          <w:p>
            <w:pPr>
              <w:widowControl/>
              <w:spacing w:line="288" w:lineRule="auto"/>
              <w:jc w:val="left"/>
              <w:textAlignment w:val="center"/>
              <w:rPr>
                <w:rFonts w:hint="eastAsia" w:ascii="Calibri" w:hAnsi="Calibri" w:eastAsia="宋体" w:cs="Times New Roman"/>
                <w:sz w:val="21"/>
                <w:szCs w:val="21"/>
                <w:lang w:eastAsia="zh-CN" w:bidi="ar"/>
              </w:rPr>
            </w:pPr>
            <w:r>
              <w:rPr>
                <w:rFonts w:hint="default" w:ascii="宋体" w:hAnsi="宋体" w:eastAsia="宋体" w:cs="宋体"/>
                <w:color w:val="000000"/>
                <w:sz w:val="21"/>
                <w:szCs w:val="21"/>
                <w:u w:val="none"/>
                <w:lang w:bidi="ar"/>
              </w:rPr>
              <w:t>4.可同时监看多个客户端电脑画面，最大支持64个客户端同时监看。可进行远程遥控。支持全体遥控，可同时操作执行所有在线客户端电脑。</w:t>
            </w:r>
          </w:p>
          <w:p>
            <w:pPr>
              <w:widowControl/>
              <w:spacing w:line="288" w:lineRule="auto"/>
              <w:jc w:val="left"/>
              <w:textAlignment w:val="center"/>
              <w:rPr>
                <w:rFonts w:hint="eastAsia" w:ascii="Calibri" w:hAnsi="Calibri" w:eastAsia="宋体" w:cs="Times New Roman"/>
                <w:sz w:val="21"/>
                <w:szCs w:val="21"/>
                <w:lang w:eastAsia="zh-CN" w:bidi="ar"/>
              </w:rPr>
            </w:pPr>
            <w:r>
              <w:rPr>
                <w:rFonts w:hint="default" w:ascii="宋体" w:hAnsi="宋体" w:eastAsia="宋体" w:cs="宋体"/>
                <w:color w:val="000000"/>
                <w:sz w:val="21"/>
                <w:szCs w:val="21"/>
                <w:u w:val="none"/>
                <w:lang w:bidi="ar"/>
              </w:rPr>
              <w:t>5.语音教学可同时广播主控端麦克风和扬声器声音到客户端。管理端可同时监听客户端的麦克风和扬声器的声音。</w:t>
            </w:r>
          </w:p>
          <w:p>
            <w:pPr>
              <w:widowControl/>
              <w:spacing w:line="288" w:lineRule="auto"/>
              <w:jc w:val="left"/>
              <w:textAlignment w:val="center"/>
              <w:rPr>
                <w:rFonts w:hint="default" w:ascii="Calibri" w:hAnsi="Calibri" w:eastAsia="宋体" w:cs="Times New Roman"/>
                <w:sz w:val="21"/>
                <w:szCs w:val="21"/>
                <w:lang w:bidi="ar"/>
              </w:rPr>
            </w:pPr>
            <w:r>
              <w:rPr>
                <w:rFonts w:hint="default" w:ascii="宋体" w:hAnsi="宋体" w:eastAsia="宋体" w:cs="宋体"/>
                <w:color w:val="000000"/>
                <w:sz w:val="21"/>
                <w:szCs w:val="21"/>
                <w:u w:val="none"/>
                <w:lang w:bidi="ar"/>
              </w:rPr>
              <w:t>6.测评系统中包括随堂考试、学生抢答、作业管理。随堂考试支持图表统计考试结果。作业管理包括学科分类、查询作业提交记录、设置提交目录等。</w:t>
            </w:r>
          </w:p>
          <w:p>
            <w:pPr>
              <w:widowControl/>
              <w:spacing w:line="288" w:lineRule="auto"/>
              <w:jc w:val="left"/>
              <w:textAlignment w:val="center"/>
              <w:rPr>
                <w:rFonts w:hint="eastAsia" w:ascii="Calibri" w:hAnsi="Calibri" w:eastAsia="宋体" w:cs="Times New Roman"/>
                <w:sz w:val="21"/>
                <w:szCs w:val="21"/>
                <w:lang w:eastAsia="zh-CN" w:bidi="ar"/>
              </w:rPr>
            </w:pPr>
            <w:r>
              <w:rPr>
                <w:rFonts w:hint="default" w:ascii="宋体" w:hAnsi="宋体" w:eastAsia="宋体" w:cs="宋体"/>
                <w:color w:val="000000"/>
                <w:sz w:val="21"/>
                <w:szCs w:val="21"/>
                <w:u w:val="none"/>
                <w:lang w:bidi="ar"/>
              </w:rPr>
              <w:t>7.教学工具包括锁屏解锁、发布通知、群聊、移动投屏、公共资源。锁屏提供自定义锁屏窗口文字。发布通知可抖动窗口提醒客户端。分组教学支持教师将学生进行分组，组内每一个成员都可以对其他成员进行屏幕广播、语音广播、视频分享、直播、文件传输功能操作。</w:t>
            </w:r>
          </w:p>
          <w:p>
            <w:pPr>
              <w:widowControl/>
              <w:spacing w:line="288" w:lineRule="auto"/>
              <w:jc w:val="left"/>
              <w:textAlignment w:val="center"/>
              <w:rPr>
                <w:rFonts w:hint="eastAsia" w:ascii="Calibri" w:hAnsi="Calibri" w:eastAsia="宋体" w:cs="Times New Roman"/>
                <w:sz w:val="21"/>
                <w:szCs w:val="21"/>
                <w:lang w:eastAsia="zh-CN" w:bidi="ar"/>
              </w:rPr>
            </w:pPr>
            <w:r>
              <w:rPr>
                <w:rFonts w:hint="default" w:ascii="宋体" w:hAnsi="宋体" w:eastAsia="宋体" w:cs="宋体"/>
                <w:color w:val="000000"/>
                <w:sz w:val="21"/>
                <w:szCs w:val="21"/>
                <w:u w:val="none"/>
                <w:lang w:bidi="ar"/>
              </w:rPr>
              <w:t>9.公共资源功能可新建分组，可在分组下添加资源，并分享给客户端访问。</w:t>
            </w:r>
          </w:p>
          <w:p>
            <w:pPr>
              <w:widowControl/>
              <w:spacing w:line="288" w:lineRule="auto"/>
              <w:jc w:val="left"/>
              <w:textAlignment w:val="center"/>
              <w:rPr>
                <w:rFonts w:hint="eastAsia" w:ascii="Calibri" w:hAnsi="Calibri" w:eastAsia="宋体" w:cs="Times New Roman"/>
                <w:sz w:val="21"/>
                <w:szCs w:val="21"/>
                <w:lang w:eastAsia="zh-CN" w:bidi="ar"/>
              </w:rPr>
            </w:pPr>
            <w:r>
              <w:rPr>
                <w:rFonts w:hint="default" w:ascii="宋体" w:hAnsi="宋体" w:eastAsia="宋体" w:cs="宋体"/>
                <w:color w:val="000000"/>
                <w:sz w:val="21"/>
                <w:szCs w:val="21"/>
                <w:u w:val="none"/>
                <w:lang w:bidi="ar"/>
              </w:rPr>
              <w:t>10.视频点播模块支持同时添加10路音视频文件点播频道，学生可任意点播一路频道进行实时观看，支持循环播放。</w:t>
            </w:r>
          </w:p>
          <w:p>
            <w:pPr>
              <w:widowControl/>
              <w:spacing w:line="288" w:lineRule="auto"/>
              <w:jc w:val="left"/>
              <w:textAlignment w:val="center"/>
              <w:rPr>
                <w:rFonts w:hint="eastAsia" w:ascii="Calibri" w:hAnsi="Calibri" w:eastAsia="宋体" w:cs="Times New Roman"/>
                <w:sz w:val="21"/>
                <w:szCs w:val="21"/>
                <w:lang w:eastAsia="zh-CN" w:bidi="ar"/>
              </w:rPr>
            </w:pPr>
            <w:r>
              <w:rPr>
                <w:rFonts w:hint="default" w:ascii="宋体" w:hAnsi="宋体" w:eastAsia="宋体" w:cs="宋体"/>
                <w:color w:val="000000"/>
                <w:sz w:val="21"/>
                <w:szCs w:val="21"/>
                <w:u w:val="none"/>
                <w:lang w:bidi="ar"/>
              </w:rPr>
              <w:t>11.远程工具提供远程命令、电子点名、文件下发、消息发送。</w:t>
            </w:r>
          </w:p>
          <w:p>
            <w:pPr>
              <w:widowControl/>
              <w:spacing w:line="288" w:lineRule="auto"/>
              <w:jc w:val="left"/>
              <w:textAlignment w:val="center"/>
              <w:rPr>
                <w:rFonts w:hint="eastAsia" w:ascii="Calibri" w:hAnsi="Calibri" w:eastAsia="宋体" w:cs="Times New Roman"/>
                <w:sz w:val="21"/>
                <w:szCs w:val="21"/>
                <w:lang w:eastAsia="zh-CN" w:bidi="ar"/>
              </w:rPr>
            </w:pPr>
            <w:r>
              <w:rPr>
                <w:rFonts w:hint="default" w:ascii="宋体" w:hAnsi="宋体" w:eastAsia="宋体" w:cs="宋体"/>
                <w:color w:val="000000"/>
                <w:sz w:val="21"/>
                <w:szCs w:val="21"/>
                <w:u w:val="none"/>
                <w:lang w:bidi="ar"/>
              </w:rPr>
              <w:t>12.远程命令中包括远程启动和关闭程序、远程执行DOS命令、远程打开网站、远程打开目录、远程延迟关机和重启。</w:t>
            </w:r>
          </w:p>
          <w:p>
            <w:pPr>
              <w:widowControl/>
              <w:spacing w:line="288" w:lineRule="auto"/>
              <w:jc w:val="left"/>
              <w:textAlignment w:val="center"/>
              <w:rPr>
                <w:rFonts w:hint="eastAsia" w:ascii="Calibri" w:hAnsi="Calibri" w:eastAsia="宋体" w:cs="Times New Roman"/>
                <w:sz w:val="21"/>
                <w:szCs w:val="21"/>
                <w:lang w:eastAsia="zh-CN" w:bidi="ar"/>
              </w:rPr>
            </w:pPr>
            <w:r>
              <w:rPr>
                <w:rFonts w:hint="default" w:ascii="宋体" w:hAnsi="宋体" w:eastAsia="宋体" w:cs="宋体"/>
                <w:color w:val="000000"/>
                <w:sz w:val="21"/>
                <w:szCs w:val="21"/>
                <w:u w:val="none"/>
                <w:lang w:bidi="ar"/>
              </w:rPr>
              <w:t>13.行为记录功能可记录每个客户端所执行的程序信息、访问的网址信息，支持按日期查询和导出；</w:t>
            </w:r>
          </w:p>
          <w:p>
            <w:pPr>
              <w:widowControl/>
              <w:spacing w:line="288" w:lineRule="auto"/>
              <w:jc w:val="left"/>
              <w:textAlignment w:val="center"/>
              <w:rPr>
                <w:rFonts w:hint="eastAsia" w:ascii="Calibri" w:hAnsi="Calibri" w:eastAsia="宋体" w:cs="Times New Roman"/>
                <w:sz w:val="21"/>
                <w:szCs w:val="21"/>
                <w:lang w:eastAsia="zh-CN" w:bidi="ar"/>
              </w:rPr>
            </w:pPr>
            <w:r>
              <w:rPr>
                <w:rFonts w:hint="default" w:ascii="宋体" w:hAnsi="宋体" w:eastAsia="宋体" w:cs="宋体"/>
                <w:color w:val="000000"/>
                <w:sz w:val="21"/>
                <w:szCs w:val="21"/>
                <w:u w:val="none"/>
                <w:lang w:bidi="ar"/>
              </w:rPr>
              <w:t>14.电子点名功能可统计客户端登录时间、登录姓名、登录学号等，可导出保存到txt、html、excel三种格式。</w:t>
            </w:r>
          </w:p>
          <w:p>
            <w:pPr>
              <w:widowControl/>
              <w:spacing w:line="288" w:lineRule="auto"/>
              <w:jc w:val="left"/>
              <w:textAlignment w:val="center"/>
              <w:rPr>
                <w:rFonts w:hint="eastAsia" w:ascii="Calibri" w:hAnsi="Calibri" w:eastAsia="宋体" w:cs="Times New Roman"/>
                <w:sz w:val="21"/>
                <w:szCs w:val="21"/>
                <w:lang w:eastAsia="zh-CN" w:bidi="ar"/>
              </w:rPr>
            </w:pPr>
            <w:r>
              <w:rPr>
                <w:rFonts w:hint="default" w:ascii="宋体" w:hAnsi="宋体" w:eastAsia="宋体" w:cs="宋体"/>
                <w:color w:val="000000"/>
                <w:sz w:val="21"/>
                <w:szCs w:val="21"/>
                <w:u w:val="none"/>
                <w:lang w:bidi="ar"/>
              </w:rPr>
              <w:t>15.支持教师使用管理，选择管理模式，进入系统后显示登陆界面，学生需要输入账号和密码，认证通过后才能进入系统。</w:t>
            </w:r>
          </w:p>
          <w:p>
            <w:pPr>
              <w:widowControl/>
              <w:spacing w:line="288" w:lineRule="auto"/>
              <w:jc w:val="left"/>
              <w:textAlignment w:val="center"/>
              <w:rPr>
                <w:rFonts w:hint="eastAsia" w:ascii="Calibri" w:hAnsi="Calibri" w:eastAsia="宋体" w:cs="Times New Roman"/>
                <w:sz w:val="21"/>
                <w:szCs w:val="21"/>
                <w:lang w:eastAsia="zh-CN" w:bidi="ar"/>
              </w:rPr>
            </w:pPr>
            <w:r>
              <w:rPr>
                <w:rFonts w:hint="default" w:ascii="宋体" w:hAnsi="宋体" w:eastAsia="宋体" w:cs="宋体"/>
                <w:color w:val="000000"/>
                <w:sz w:val="21"/>
                <w:szCs w:val="21"/>
                <w:u w:val="none"/>
                <w:lang w:bidi="ar"/>
              </w:rPr>
              <w:t>16使用用户管理，支持单个增加和Excel用户导入，账户信息包括账号、密码、姓名、班级、电话和证件等。17.使用记录模块记录所有用户上机记录，提供筛选查询客户端登录记录，可导出以便统计考核，导出信息包括账号、姓名、电脑名、IP地址、网卡地址和日期时间。18.管理端可实时获取客户端的进程信息和窗口信息，可选择结束进程和窗口程序。</w:t>
            </w:r>
          </w:p>
          <w:p>
            <w:pPr>
              <w:widowControl/>
              <w:spacing w:line="288" w:lineRule="auto"/>
              <w:jc w:val="left"/>
              <w:textAlignment w:val="center"/>
              <w:rPr>
                <w:rFonts w:hint="eastAsia" w:ascii="Calibri" w:hAnsi="Calibri" w:eastAsia="宋体" w:cs="Times New Roman"/>
                <w:sz w:val="21"/>
                <w:szCs w:val="21"/>
                <w:lang w:eastAsia="zh-CN" w:bidi="ar"/>
              </w:rPr>
            </w:pPr>
            <w:r>
              <w:rPr>
                <w:rFonts w:hint="default" w:ascii="宋体" w:hAnsi="宋体" w:eastAsia="宋体" w:cs="宋体"/>
                <w:color w:val="000000"/>
                <w:sz w:val="21"/>
                <w:szCs w:val="21"/>
                <w:u w:val="none"/>
                <w:lang w:bidi="ar"/>
              </w:rPr>
              <w:t>19.资产信息模块可盘点所有终端设备的硬件信息和软件信息，硬件信息包括电脑型号、BIOS信息、CPU、内存、硬盘、网卡、声卡、显卡、显示器、键盘、鼠标、光驱、打印机、摄像头等，软件信息包括当前终端设备安装的所有软件名称。资产统计模块可统计软硬件安装的台数，提供资产变动记录有软硬件变化时会自动产生变动日志记录。提供资产导出功能，可导出Excel格式表格。</w:t>
            </w:r>
          </w:p>
          <w:p>
            <w:pPr>
              <w:widowControl/>
              <w:spacing w:line="288" w:lineRule="auto"/>
              <w:jc w:val="left"/>
              <w:textAlignment w:val="center"/>
              <w:rPr>
                <w:rFonts w:hint="eastAsia" w:ascii="Calibri" w:hAnsi="Calibri" w:eastAsia="宋体" w:cs="Times New Roman"/>
                <w:sz w:val="21"/>
                <w:szCs w:val="21"/>
                <w:lang w:eastAsia="zh-CN" w:bidi="ar"/>
              </w:rPr>
            </w:pPr>
            <w:r>
              <w:rPr>
                <w:rFonts w:hint="default" w:ascii="宋体" w:hAnsi="宋体" w:eastAsia="宋体" w:cs="宋体"/>
                <w:color w:val="000000"/>
                <w:sz w:val="21"/>
                <w:szCs w:val="21"/>
                <w:u w:val="none"/>
                <w:lang w:bidi="ar"/>
              </w:rPr>
              <w:t>20.设备管理包括外网控制、U盘控制、锁定键鼠、负载监控。外网控制可以设置客户端是否可以上Internet，U盘控制可设置允许、只读和禁用U盘设备。</w:t>
            </w:r>
          </w:p>
          <w:p>
            <w:pPr>
              <w:widowControl/>
              <w:spacing w:line="288" w:lineRule="auto"/>
              <w:jc w:val="left"/>
              <w:textAlignment w:val="center"/>
              <w:rPr>
                <w:rFonts w:hint="eastAsia" w:ascii="Calibri" w:hAnsi="Calibri" w:eastAsia="宋体" w:cs="Times New Roman"/>
                <w:sz w:val="21"/>
                <w:szCs w:val="21"/>
                <w:lang w:eastAsia="zh-CN" w:bidi="ar"/>
              </w:rPr>
            </w:pPr>
            <w:r>
              <w:rPr>
                <w:rFonts w:hint="default" w:ascii="宋体" w:hAnsi="宋体" w:eastAsia="宋体" w:cs="宋体"/>
                <w:color w:val="000000"/>
                <w:sz w:val="21"/>
                <w:szCs w:val="21"/>
                <w:u w:val="none"/>
                <w:lang w:bidi="ar"/>
              </w:rPr>
              <w:t>21.负载监控可实时更新所有在线客户端CPU占用率、内存占用率、带宽占用率、C盘占用率，以进度条百分比直观显示。</w:t>
            </w:r>
          </w:p>
          <w:p>
            <w:pPr>
              <w:widowControl/>
              <w:spacing w:line="288" w:lineRule="auto"/>
              <w:jc w:val="left"/>
              <w:textAlignment w:val="center"/>
              <w:rPr>
                <w:rFonts w:hint="eastAsia" w:ascii="Calibri" w:hAnsi="Calibri" w:eastAsia="宋体" w:cs="Times New Roman"/>
                <w:sz w:val="21"/>
                <w:szCs w:val="21"/>
                <w:lang w:eastAsia="zh-CN" w:bidi="ar"/>
              </w:rPr>
            </w:pPr>
            <w:r>
              <w:rPr>
                <w:rFonts w:hint="default" w:ascii="宋体" w:hAnsi="宋体" w:eastAsia="宋体" w:cs="宋体"/>
                <w:color w:val="000000"/>
                <w:sz w:val="21"/>
                <w:szCs w:val="21"/>
                <w:u w:val="none"/>
                <w:lang w:bidi="ar"/>
              </w:rPr>
              <w:t>22.电源控制包括远程开机、远程关机、远程重启、远程注销、定时任务。</w:t>
            </w:r>
          </w:p>
          <w:p>
            <w:pPr>
              <w:widowControl/>
              <w:spacing w:line="288" w:lineRule="auto"/>
              <w:jc w:val="left"/>
              <w:textAlignment w:val="center"/>
              <w:rPr>
                <w:rFonts w:hint="eastAsia" w:ascii="Calibri" w:hAnsi="Calibri" w:eastAsia="宋体" w:cs="Times New Roman"/>
                <w:sz w:val="21"/>
                <w:szCs w:val="21"/>
                <w:lang w:eastAsia="zh-CN" w:bidi="ar"/>
              </w:rPr>
            </w:pPr>
            <w:r>
              <w:rPr>
                <w:rFonts w:hint="default" w:ascii="宋体" w:hAnsi="宋体" w:eastAsia="宋体" w:cs="宋体"/>
                <w:color w:val="000000"/>
                <w:sz w:val="21"/>
                <w:szCs w:val="21"/>
                <w:u w:val="none"/>
                <w:lang w:bidi="ar"/>
              </w:rPr>
              <w:t>23.定时任务中包括定时开机、关机、重启、锁屏、解锁，定时时间包括单次、每天和每周。</w:t>
            </w:r>
          </w:p>
          <w:p>
            <w:pPr>
              <w:widowControl/>
              <w:spacing w:line="288" w:lineRule="auto"/>
              <w:jc w:val="left"/>
              <w:textAlignment w:val="center"/>
              <w:rPr>
                <w:rFonts w:hint="eastAsia" w:ascii="Calibri" w:hAnsi="Calibri" w:eastAsia="宋体" w:cs="Times New Roman"/>
                <w:sz w:val="21"/>
                <w:szCs w:val="21"/>
                <w:lang w:eastAsia="zh-CN" w:bidi="ar"/>
              </w:rPr>
            </w:pPr>
            <w:r>
              <w:rPr>
                <w:rFonts w:hint="default" w:ascii="宋体" w:hAnsi="宋体" w:eastAsia="宋体" w:cs="宋体"/>
                <w:color w:val="000000"/>
                <w:sz w:val="21"/>
                <w:szCs w:val="21"/>
                <w:u w:val="none"/>
                <w:lang w:bidi="ar"/>
              </w:rPr>
              <w:t>24.远程设置可设置客户端屏幕分辨率、屏幕显示比例、系统时间、音量大小、电脑名等。</w:t>
            </w:r>
          </w:p>
          <w:p>
            <w:pPr>
              <w:widowControl/>
              <w:spacing w:line="288" w:lineRule="auto"/>
              <w:jc w:val="left"/>
              <w:textAlignment w:val="center"/>
              <w:rPr>
                <w:rFonts w:hint="eastAsia" w:ascii="Calibri" w:hAnsi="Calibri" w:eastAsia="宋体" w:cs="Times New Roman"/>
                <w:sz w:val="21"/>
                <w:szCs w:val="21"/>
                <w:lang w:eastAsia="zh-CN" w:bidi="ar"/>
              </w:rPr>
            </w:pPr>
            <w:r>
              <w:rPr>
                <w:rFonts w:hint="default" w:ascii="宋体" w:hAnsi="宋体" w:eastAsia="宋体" w:cs="宋体"/>
                <w:color w:val="000000"/>
                <w:sz w:val="21"/>
                <w:szCs w:val="21"/>
                <w:u w:val="none"/>
                <w:lang w:bidi="ar"/>
              </w:rPr>
              <w:t>25.管理端支持分组功能，可对所有客户端划分成不同分组，再对分组执行教学功能。</w:t>
            </w:r>
          </w:p>
          <w:p>
            <w:pPr>
              <w:widowControl/>
              <w:spacing w:line="288" w:lineRule="auto"/>
              <w:jc w:val="left"/>
              <w:textAlignment w:val="center"/>
              <w:rPr>
                <w:rFonts w:hint="eastAsia" w:ascii="Calibri" w:hAnsi="Calibri" w:eastAsia="宋体" w:cs="Times New Roman"/>
                <w:sz w:val="21"/>
                <w:szCs w:val="21"/>
                <w:lang w:eastAsia="zh-CN" w:bidi="ar"/>
              </w:rPr>
            </w:pPr>
            <w:r>
              <w:rPr>
                <w:rFonts w:hint="default" w:ascii="宋体" w:hAnsi="宋体" w:eastAsia="宋体" w:cs="宋体"/>
                <w:color w:val="000000"/>
                <w:sz w:val="21"/>
                <w:szCs w:val="21"/>
                <w:u w:val="none"/>
                <w:lang w:bidi="ar"/>
              </w:rPr>
              <w:t>26.支持题库，题库支持学科分类、支持知识点分类，添加题库支持编辑题目添加和批量导入添加。</w:t>
            </w:r>
          </w:p>
          <w:p>
            <w:pPr>
              <w:widowControl/>
              <w:spacing w:line="288" w:lineRule="auto"/>
              <w:jc w:val="left"/>
              <w:textAlignment w:val="center"/>
              <w:rPr>
                <w:rFonts w:hint="eastAsia" w:ascii="Calibri" w:hAnsi="Calibri" w:eastAsia="宋体" w:cs="Times New Roman"/>
                <w:sz w:val="21"/>
                <w:szCs w:val="21"/>
                <w:lang w:eastAsia="zh-CN" w:bidi="ar"/>
              </w:rPr>
            </w:pPr>
            <w:r>
              <w:rPr>
                <w:rFonts w:hint="default" w:ascii="宋体" w:hAnsi="宋体" w:eastAsia="宋体" w:cs="宋体"/>
                <w:color w:val="000000"/>
                <w:sz w:val="21"/>
                <w:szCs w:val="21"/>
                <w:u w:val="none"/>
                <w:lang w:bidi="ar"/>
              </w:rPr>
              <w:t>27.试卷管理包括组卷、浏览试卷、删除试卷，组卷方式支持按策略随机抽题组卷和自选题目组卷，可设置试卷属性包括考试时间、总分、及格分、支持提前交卷、提交试卷后立即显示分数、提交试卷后可查看考生试卷评析等。</w:t>
            </w:r>
          </w:p>
          <w:p>
            <w:pPr>
              <w:widowControl/>
              <w:spacing w:line="288" w:lineRule="auto"/>
              <w:jc w:val="left"/>
              <w:textAlignment w:val="center"/>
              <w:rPr>
                <w:rFonts w:hint="eastAsia" w:ascii="Calibri" w:hAnsi="Calibri" w:eastAsia="宋体" w:cs="Times New Roman"/>
                <w:sz w:val="21"/>
                <w:szCs w:val="21"/>
                <w:lang w:eastAsia="zh-CN" w:bidi="ar"/>
              </w:rPr>
            </w:pPr>
            <w:r>
              <w:rPr>
                <w:rFonts w:hint="default" w:ascii="宋体" w:hAnsi="宋体" w:eastAsia="宋体" w:cs="宋体"/>
                <w:color w:val="000000"/>
                <w:sz w:val="21"/>
                <w:szCs w:val="21"/>
                <w:u w:val="none"/>
                <w:lang w:bidi="ar"/>
              </w:rPr>
              <w:t>28.每场考试都会有详细记录，包括考试时间、考试人数、考试平均分、通过人数等。</w:t>
            </w:r>
          </w:p>
          <w:p>
            <w:pPr>
              <w:widowControl/>
              <w:spacing w:line="288" w:lineRule="auto"/>
              <w:jc w:val="left"/>
              <w:textAlignment w:val="center"/>
              <w:rPr>
                <w:rFonts w:hint="eastAsia" w:ascii="Calibri" w:hAnsi="Calibri" w:eastAsia="宋体" w:cs="Times New Roman"/>
                <w:sz w:val="21"/>
                <w:szCs w:val="21"/>
                <w:lang w:eastAsia="zh-CN" w:bidi="ar"/>
              </w:rPr>
            </w:pPr>
            <w:r>
              <w:rPr>
                <w:rFonts w:hint="default" w:ascii="宋体" w:hAnsi="宋体" w:eastAsia="宋体" w:cs="宋体"/>
                <w:color w:val="000000"/>
                <w:sz w:val="21"/>
                <w:szCs w:val="21"/>
                <w:u w:val="none"/>
                <w:lang w:bidi="ar"/>
              </w:rPr>
              <w:t>29.成绩管理中可查看考生排名，包括考生账号、考生姓名、考生得分、考试结果，可查看每位考生的答卷。</w:t>
            </w:r>
          </w:p>
          <w:p>
            <w:pPr>
              <w:widowControl/>
              <w:spacing w:line="288" w:lineRule="auto"/>
              <w:jc w:val="left"/>
              <w:textAlignment w:val="center"/>
              <w:rPr>
                <w:rFonts w:hint="eastAsia" w:ascii="Calibri" w:hAnsi="Calibri" w:eastAsia="宋体" w:cs="Times New Roman"/>
                <w:sz w:val="21"/>
                <w:szCs w:val="21"/>
                <w:lang w:eastAsia="zh-CN" w:bidi="ar"/>
              </w:rPr>
            </w:pPr>
            <w:r>
              <w:rPr>
                <w:rFonts w:hint="default" w:ascii="宋体" w:hAnsi="宋体" w:eastAsia="宋体" w:cs="宋体"/>
                <w:color w:val="000000"/>
                <w:sz w:val="21"/>
                <w:szCs w:val="21"/>
                <w:u w:val="none"/>
                <w:lang w:bidi="ar"/>
              </w:rPr>
              <w:t>30.针对每场考试可详细查看试卷每题的统计分析，包括试题难度系数、试题内容、知识点、答对人数、答错人数及该题的正确率。</w:t>
            </w:r>
          </w:p>
          <w:p>
            <w:pPr>
              <w:widowControl/>
              <w:spacing w:line="288" w:lineRule="auto"/>
              <w:jc w:val="left"/>
              <w:textAlignment w:val="center"/>
              <w:rPr>
                <w:rFonts w:hint="eastAsia" w:ascii="Calibri" w:hAnsi="Calibri" w:eastAsia="宋体" w:cs="Times New Roman"/>
                <w:sz w:val="21"/>
                <w:szCs w:val="21"/>
                <w:lang w:eastAsia="zh-CN" w:bidi="ar"/>
              </w:rPr>
            </w:pPr>
            <w:r>
              <w:rPr>
                <w:rFonts w:hint="default" w:ascii="宋体" w:hAnsi="宋体" w:eastAsia="宋体" w:cs="宋体"/>
                <w:color w:val="000000"/>
                <w:sz w:val="21"/>
                <w:szCs w:val="21"/>
                <w:u w:val="none"/>
                <w:lang w:bidi="ar"/>
              </w:rPr>
              <w:t>31.所有考试的数据均可导出为Excel表格，提供给老师。</w:t>
            </w:r>
          </w:p>
          <w:p>
            <w:pPr>
              <w:widowControl/>
              <w:spacing w:line="288" w:lineRule="auto"/>
              <w:jc w:val="left"/>
              <w:textAlignment w:val="center"/>
              <w:rPr>
                <w:rFonts w:hint="eastAsia" w:ascii="Calibri" w:hAnsi="Calibri" w:eastAsia="宋体" w:cs="Times New Roman"/>
                <w:sz w:val="21"/>
                <w:szCs w:val="21"/>
                <w:lang w:eastAsia="zh-CN" w:bidi="ar"/>
              </w:rPr>
            </w:pPr>
            <w:r>
              <w:rPr>
                <w:rFonts w:hint="default" w:ascii="宋体" w:hAnsi="宋体" w:eastAsia="宋体" w:cs="宋体"/>
                <w:color w:val="000000"/>
                <w:sz w:val="21"/>
                <w:szCs w:val="21"/>
                <w:u w:val="none"/>
                <w:lang w:bidi="ar"/>
              </w:rPr>
              <w:t>32.管理端可以组织电子考试，所选电脑设备将进入用户登录界面，考生需要输入账号后进入考试。</w:t>
            </w:r>
          </w:p>
          <w:p>
            <w:pPr>
              <w:widowControl/>
              <w:spacing w:line="288" w:lineRule="auto"/>
              <w:jc w:val="left"/>
              <w:textAlignment w:val="center"/>
              <w:rPr>
                <w:rFonts w:hint="eastAsia" w:ascii="Calibri" w:hAnsi="Calibri" w:eastAsia="宋体" w:cs="Times New Roman"/>
                <w:sz w:val="21"/>
                <w:szCs w:val="21"/>
                <w:lang w:eastAsia="zh-CN" w:bidi="ar"/>
              </w:rPr>
            </w:pPr>
            <w:r>
              <w:rPr>
                <w:rFonts w:hint="default" w:ascii="宋体" w:hAnsi="宋体" w:eastAsia="宋体" w:cs="宋体"/>
                <w:color w:val="000000"/>
                <w:sz w:val="21"/>
                <w:szCs w:val="21"/>
                <w:u w:val="none"/>
                <w:lang w:bidi="ar"/>
              </w:rPr>
              <w:t>33.考试管理中包括选择试卷、浏览试卷、开始考试和结束考试。</w:t>
            </w:r>
          </w:p>
          <w:p>
            <w:pPr>
              <w:widowControl/>
              <w:spacing w:line="288" w:lineRule="auto"/>
              <w:jc w:val="left"/>
              <w:textAlignment w:val="center"/>
              <w:rPr>
                <w:rFonts w:hint="eastAsia" w:ascii="Calibri" w:hAnsi="Calibri" w:eastAsia="宋体" w:cs="Times New Roman"/>
                <w:sz w:val="21"/>
                <w:szCs w:val="21"/>
                <w:lang w:eastAsia="zh-CN" w:bidi="ar"/>
              </w:rPr>
            </w:pPr>
            <w:r>
              <w:rPr>
                <w:rFonts w:hint="default" w:ascii="宋体" w:hAnsi="宋体" w:eastAsia="宋体" w:cs="宋体"/>
                <w:color w:val="000000"/>
                <w:sz w:val="21"/>
                <w:szCs w:val="21"/>
                <w:u w:val="none"/>
                <w:lang w:bidi="ar"/>
              </w:rPr>
              <w:t>34.在考试过程中，管理端可以进行考试提醒，可发送给单个考生或多个考生。</w:t>
            </w:r>
          </w:p>
          <w:p>
            <w:pPr>
              <w:widowControl/>
              <w:spacing w:line="288" w:lineRule="auto"/>
              <w:jc w:val="left"/>
              <w:textAlignment w:val="center"/>
              <w:rPr>
                <w:rFonts w:hint="eastAsia" w:ascii="Calibri" w:hAnsi="Calibri" w:eastAsia="宋体" w:cs="Times New Roman"/>
                <w:sz w:val="21"/>
                <w:szCs w:val="21"/>
                <w:lang w:eastAsia="zh-CN" w:bidi="ar"/>
              </w:rPr>
            </w:pPr>
            <w:r>
              <w:rPr>
                <w:rFonts w:hint="default" w:ascii="宋体" w:hAnsi="宋体" w:eastAsia="宋体" w:cs="宋体"/>
                <w:color w:val="000000"/>
                <w:sz w:val="21"/>
                <w:szCs w:val="21"/>
                <w:u w:val="none"/>
                <w:lang w:bidi="ar"/>
              </w:rPr>
              <w:t>35.电子考试时，管理端和考生客户端都提供考试时间的倒计时，让管理员和考生及时了解考试时间。</w:t>
            </w:r>
          </w:p>
          <w:p>
            <w:pPr>
              <w:widowControl/>
              <w:spacing w:line="288" w:lineRule="auto"/>
              <w:jc w:val="left"/>
              <w:textAlignment w:val="center"/>
              <w:rPr>
                <w:rFonts w:hint="eastAsia" w:ascii="Calibri" w:hAnsi="Calibri" w:eastAsia="宋体" w:cs="Times New Roman"/>
                <w:sz w:val="21"/>
                <w:szCs w:val="21"/>
                <w:lang w:eastAsia="zh-CN" w:bidi="ar"/>
              </w:rPr>
            </w:pPr>
            <w:r>
              <w:rPr>
                <w:rFonts w:hint="default" w:ascii="宋体" w:hAnsi="宋体" w:eastAsia="宋体" w:cs="宋体"/>
                <w:color w:val="000000"/>
                <w:sz w:val="21"/>
                <w:szCs w:val="21"/>
                <w:u w:val="none"/>
                <w:lang w:bidi="ar"/>
              </w:rPr>
              <w:t>36.考生客户端电子答题全部采用答题卡模式，考生只需在电子答题卡上答题即可。</w:t>
            </w:r>
          </w:p>
          <w:p>
            <w:pPr>
              <w:widowControl/>
              <w:spacing w:line="288" w:lineRule="auto"/>
              <w:jc w:val="left"/>
              <w:textAlignment w:val="center"/>
              <w:rPr>
                <w:rFonts w:hint="eastAsia" w:ascii="Calibri" w:hAnsi="Calibri" w:eastAsia="宋体" w:cs="Times New Roman"/>
                <w:sz w:val="21"/>
                <w:szCs w:val="21"/>
                <w:lang w:eastAsia="zh-CN" w:bidi="ar"/>
              </w:rPr>
            </w:pPr>
            <w:r>
              <w:rPr>
                <w:rFonts w:hint="default" w:ascii="宋体" w:hAnsi="宋体" w:eastAsia="宋体" w:cs="宋体"/>
                <w:color w:val="000000"/>
                <w:sz w:val="21"/>
                <w:szCs w:val="21"/>
                <w:u w:val="none"/>
                <w:lang w:bidi="ar"/>
              </w:rPr>
              <w:t>37.考生答题结束后可立即显示考试结果分数及是否通过，点击查看试卷评析可以显示考试答卷情况。</w:t>
            </w:r>
          </w:p>
          <w:p>
            <w:pPr>
              <w:widowControl/>
              <w:spacing w:line="288" w:lineRule="auto"/>
              <w:jc w:val="left"/>
              <w:textAlignment w:val="center"/>
              <w:rPr>
                <w:rFonts w:hint="eastAsia" w:ascii="Calibri" w:hAnsi="Calibri" w:eastAsia="宋体" w:cs="Times New Roman"/>
                <w:b/>
                <w:bCs/>
                <w:color w:val="auto"/>
                <w:sz w:val="21"/>
                <w:szCs w:val="21"/>
                <w:lang w:eastAsia="zh-CN" w:bidi="ar"/>
              </w:rPr>
            </w:pPr>
            <w:r>
              <w:rPr>
                <w:rFonts w:hint="default" w:ascii="宋体" w:hAnsi="宋体" w:eastAsia="宋体" w:cs="宋体"/>
                <w:color w:val="auto"/>
                <w:sz w:val="21"/>
                <w:szCs w:val="21"/>
                <w:u w:val="none"/>
                <w:lang w:bidi="ar"/>
              </w:rPr>
              <w:t>38.支持教学视频任意时间点可插入测验题、图片、PPT，插入的图片与ppt可随时更改位置；插入的测试题支持单选题、多选题和对错题等题型；</w:t>
            </w:r>
          </w:p>
          <w:p>
            <w:pPr>
              <w:widowControl/>
              <w:spacing w:line="288" w:lineRule="auto"/>
              <w:jc w:val="left"/>
              <w:textAlignment w:val="center"/>
              <w:rPr>
                <w:rFonts w:hint="default" w:ascii="Calibri" w:hAnsi="Calibri" w:eastAsia="宋体" w:cs="Times New Roman"/>
                <w:color w:val="auto"/>
                <w:sz w:val="21"/>
                <w:szCs w:val="21"/>
                <w:lang w:bidi="ar"/>
              </w:rPr>
            </w:pPr>
            <w:r>
              <w:rPr>
                <w:rFonts w:hint="default" w:ascii="宋体" w:hAnsi="宋体" w:eastAsia="宋体" w:cs="宋体"/>
                <w:color w:val="auto"/>
                <w:sz w:val="21"/>
                <w:szCs w:val="21"/>
                <w:u w:val="none"/>
                <w:lang w:bidi="ar"/>
              </w:rPr>
              <w:t>39.云盘：为每个师生账号提供不少于100G云盘空间；智慧课堂系统可以随时调用云盘内容，支持云盘资源的在线查看、下载、发放等操作；支持将云盘中PPT文件直接点击上课使用；</w:t>
            </w:r>
          </w:p>
          <w:p>
            <w:pPr>
              <w:widowControl/>
              <w:spacing w:line="288" w:lineRule="auto"/>
              <w:jc w:val="left"/>
              <w:textAlignment w:val="center"/>
              <w:rPr>
                <w:rFonts w:hint="eastAsia" w:ascii="Calibri" w:hAnsi="Calibri" w:eastAsia="宋体" w:cs="Times New Roman"/>
                <w:b/>
                <w:bCs/>
                <w:color w:val="auto"/>
                <w:sz w:val="21"/>
                <w:szCs w:val="21"/>
                <w:lang w:eastAsia="zh-CN" w:bidi="ar"/>
              </w:rPr>
            </w:pPr>
            <w:r>
              <w:rPr>
                <w:rFonts w:hint="default" w:ascii="宋体" w:hAnsi="宋体" w:eastAsia="宋体" w:cs="宋体"/>
                <w:color w:val="auto"/>
                <w:sz w:val="21"/>
                <w:szCs w:val="21"/>
                <w:u w:val="none"/>
                <w:lang w:bidi="ar"/>
              </w:rPr>
              <w:t>40.同步课堂：PPT支持开启同步课堂功能，学生收到同步课堂通知可以远程通过移动端同步参与课堂，通过远程同步PPT及授课声音，实现双向或多向互动的同步课堂；</w:t>
            </w:r>
          </w:p>
          <w:p>
            <w:pPr>
              <w:widowControl/>
              <w:spacing w:line="288" w:lineRule="auto"/>
              <w:jc w:val="left"/>
              <w:textAlignment w:val="center"/>
              <w:rPr>
                <w:rFonts w:hint="default" w:ascii="Calibri" w:hAnsi="Calibri" w:eastAsia="宋体" w:cs="Times New Roman"/>
                <w:color w:val="auto"/>
                <w:sz w:val="21"/>
                <w:szCs w:val="21"/>
                <w:lang w:bidi="ar"/>
              </w:rPr>
            </w:pPr>
            <w:r>
              <w:rPr>
                <w:rFonts w:hint="default" w:ascii="宋体" w:hAnsi="宋体" w:eastAsia="宋体" w:cs="宋体"/>
                <w:color w:val="auto"/>
                <w:sz w:val="21"/>
                <w:szCs w:val="21"/>
                <w:u w:val="none"/>
                <w:lang w:bidi="ar"/>
              </w:rPr>
              <w:t>41.主题讨论：支持教师发起主题讨论，学生端收到讨论点击进行发表自己的看法，支持文字、图片等方式上传，并可在大屏展示讨论结果，生成词云分析。</w:t>
            </w:r>
          </w:p>
          <w:p>
            <w:pPr>
              <w:widowControl/>
              <w:spacing w:line="288" w:lineRule="auto"/>
              <w:jc w:val="left"/>
              <w:textAlignment w:val="center"/>
              <w:rPr>
                <w:rFonts w:hint="eastAsia" w:ascii="Calibri" w:hAnsi="Calibri" w:eastAsia="宋体" w:cs="Times New Roman"/>
                <w:color w:val="auto"/>
                <w:sz w:val="21"/>
                <w:szCs w:val="21"/>
                <w:lang w:bidi="ar"/>
              </w:rPr>
            </w:pPr>
            <w:r>
              <w:rPr>
                <w:rFonts w:hint="eastAsia" w:ascii="宋体" w:hAnsi="宋体" w:eastAsia="宋体" w:cs="宋体"/>
                <w:color w:val="auto"/>
                <w:sz w:val="21"/>
                <w:szCs w:val="21"/>
                <w:u w:val="none"/>
                <w:lang w:val="en-US" w:eastAsia="zh-CN" w:bidi="ar"/>
              </w:rPr>
              <w:t>42.</w:t>
            </w:r>
            <w:r>
              <w:rPr>
                <w:rFonts w:hint="eastAsia" w:ascii="宋体" w:hAnsi="宋体" w:eastAsia="宋体" w:cs="宋体"/>
                <w:color w:val="auto"/>
                <w:sz w:val="21"/>
                <w:szCs w:val="21"/>
                <w:u w:val="none"/>
                <w:lang w:bidi="ar"/>
              </w:rPr>
              <w:t>录制回放:支持云端录制，课堂内容一键存档至个人云盘，方便后续复习和分享，如对接学校网络教学平台，相关录制视频可在课程建设时进行一键调用。</w:t>
            </w:r>
          </w:p>
          <w:p>
            <w:pPr>
              <w:widowControl/>
              <w:spacing w:line="288" w:lineRule="auto"/>
              <w:jc w:val="left"/>
              <w:textAlignment w:val="center"/>
              <w:rPr>
                <w:rFonts w:hint="eastAsia" w:ascii="Calibri" w:hAnsi="Calibri" w:eastAsia="宋体" w:cs="Times New Roman"/>
                <w:color w:val="auto"/>
                <w:sz w:val="21"/>
                <w:szCs w:val="21"/>
                <w:lang w:bidi="ar"/>
              </w:rPr>
            </w:pPr>
            <w:r>
              <w:rPr>
                <w:rFonts w:hint="eastAsia" w:ascii="宋体" w:hAnsi="宋体" w:eastAsia="宋体" w:cs="宋体"/>
                <w:color w:val="auto"/>
                <w:sz w:val="21"/>
                <w:szCs w:val="21"/>
                <w:u w:val="none"/>
                <w:lang w:val="en-US" w:eastAsia="zh-CN" w:bidi="ar"/>
              </w:rPr>
              <w:t>43.</w:t>
            </w:r>
            <w:r>
              <w:rPr>
                <w:rFonts w:hint="eastAsia" w:ascii="宋体" w:hAnsi="宋体" w:eastAsia="宋体" w:cs="宋体"/>
                <w:color w:val="auto"/>
                <w:sz w:val="21"/>
                <w:szCs w:val="21"/>
                <w:u w:val="none"/>
                <w:lang w:bidi="ar"/>
              </w:rPr>
              <w:t>同声翻译:支持将教师授课语音识别并翻译成设置语种以字幕方式展示于教师屏幕;支持教师对字幕展示进行设置可自由切换翻译语种，支持中转英、英转中、中转法、中转西班牙中转日、中转德、中转俄、中转韩、中转阿拉伯、中转葡萄牙、中转印地、中转意大利等10种以上语言;支持设置字幕的背景样式不透明度，以及字幕文字大学显示颜色等。</w:t>
            </w:r>
          </w:p>
          <w:p>
            <w:pPr>
              <w:widowControl/>
              <w:spacing w:line="288" w:lineRule="auto"/>
              <w:jc w:val="left"/>
              <w:textAlignment w:val="center"/>
              <w:rPr>
                <w:rFonts w:hint="eastAsia" w:ascii="Calibri" w:hAnsi="Calibri" w:eastAsia="宋体" w:cs="Times New Roman"/>
                <w:color w:val="auto"/>
                <w:sz w:val="21"/>
                <w:szCs w:val="21"/>
                <w:lang w:bidi="ar"/>
              </w:rPr>
            </w:pPr>
            <w:r>
              <w:rPr>
                <w:rFonts w:hint="eastAsia" w:ascii="宋体" w:hAnsi="宋体" w:eastAsia="宋体" w:cs="宋体"/>
                <w:color w:val="auto"/>
                <w:sz w:val="21"/>
                <w:szCs w:val="21"/>
                <w:u w:val="none"/>
                <w:lang w:val="en-US" w:eastAsia="zh-CN" w:bidi="ar"/>
              </w:rPr>
              <w:t>44.</w:t>
            </w:r>
            <w:r>
              <w:rPr>
                <w:rFonts w:hint="eastAsia" w:ascii="宋体" w:hAnsi="宋体" w:eastAsia="宋体" w:cs="宋体"/>
                <w:color w:val="auto"/>
                <w:sz w:val="21"/>
                <w:szCs w:val="21"/>
                <w:u w:val="none"/>
                <w:lang w:bidi="ar"/>
              </w:rPr>
              <w:t>主题讨论:课堂中针对某一个主题让学生进行主题讨论。讨论内容支持文字、图片、视频等方式，系统支持按提交顺序以不同颜色--列举学生提交的内容，文本内容支持生成高频词组词云，快速总结观点。</w:t>
            </w:r>
          </w:p>
          <w:p>
            <w:pPr>
              <w:widowControl/>
              <w:spacing w:line="288" w:lineRule="auto"/>
              <w:jc w:val="left"/>
              <w:textAlignment w:val="center"/>
              <w:rPr>
                <w:rFonts w:ascii="Calibri" w:hAnsi="Calibri" w:eastAsia="宋体" w:cs="Times New Roman"/>
              </w:rPr>
            </w:pPr>
            <w:r>
              <w:rPr>
                <w:rFonts w:hint="eastAsia" w:ascii="宋体" w:hAnsi="宋体" w:eastAsia="宋体" w:cs="宋体"/>
                <w:color w:val="auto"/>
                <w:sz w:val="21"/>
                <w:szCs w:val="21"/>
                <w:u w:val="none"/>
                <w:lang w:val="en-US" w:eastAsia="zh-CN" w:bidi="ar"/>
              </w:rPr>
              <w:t>45.</w:t>
            </w:r>
            <w:r>
              <w:rPr>
                <w:rFonts w:hint="eastAsia" w:ascii="宋体" w:hAnsi="宋体" w:eastAsia="宋体" w:cs="宋体"/>
                <w:color w:val="auto"/>
                <w:sz w:val="21"/>
                <w:szCs w:val="21"/>
                <w:u w:val="none"/>
                <w:lang w:bidi="ar"/>
              </w:rPr>
              <w:t>分组讨论:支持学生成立小组进行分组在线讨论，成组方式包括固定分组、学生自选分组、随机分组等，教师可在线参与各组专属讨论区，讨论结束后学生自动回到主课堂进行分组发言展示。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noWrap w:val="0"/>
            <w:vAlign w:val="center"/>
          </w:tcPr>
          <w:p>
            <w:pPr>
              <w:widowControl/>
              <w:jc w:val="center"/>
              <w:textAlignment w:val="center"/>
              <w:rPr>
                <w:rFonts w:ascii="宋体" w:hAnsi="宋体" w:eastAsia="宋体" w:cs="宋体"/>
                <w:b/>
                <w:bCs/>
                <w:szCs w:val="21"/>
              </w:rPr>
            </w:pPr>
            <w:r>
              <w:rPr>
                <w:rFonts w:hint="eastAsia" w:ascii="宋体" w:hAnsi="宋体" w:eastAsia="宋体" w:cs="宋体"/>
                <w:b/>
                <w:bCs/>
                <w:color w:val="000000"/>
                <w:kern w:val="0"/>
                <w:szCs w:val="21"/>
                <w:lang w:bidi="ar"/>
              </w:rPr>
              <w:t>7</w:t>
            </w:r>
          </w:p>
        </w:tc>
        <w:tc>
          <w:tcPr>
            <w:tcW w:w="1810" w:type="dxa"/>
            <w:noWrap w:val="0"/>
            <w:vAlign w:val="center"/>
          </w:tcPr>
          <w:p>
            <w:pPr>
              <w:widowControl/>
              <w:jc w:val="center"/>
              <w:textAlignment w:val="center"/>
              <w:rPr>
                <w:rFonts w:ascii="宋体" w:hAnsi="宋体" w:eastAsia="宋体" w:cs="Times New Roman"/>
                <w:b/>
                <w:bCs/>
                <w:szCs w:val="21"/>
              </w:rPr>
            </w:pPr>
            <w:r>
              <w:rPr>
                <w:rFonts w:hint="eastAsia" w:ascii="宋体" w:hAnsi="宋体" w:eastAsia="宋体" w:cs="宋体"/>
                <w:b/>
                <w:bCs/>
                <w:color w:val="000000"/>
                <w:kern w:val="0"/>
                <w:szCs w:val="21"/>
                <w:lang w:bidi="ar"/>
              </w:rPr>
              <w:t>电动升降讲台</w:t>
            </w:r>
          </w:p>
        </w:tc>
        <w:tc>
          <w:tcPr>
            <w:tcW w:w="661" w:type="dxa"/>
            <w:noWrap w:val="0"/>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5</w:t>
            </w:r>
          </w:p>
        </w:tc>
        <w:tc>
          <w:tcPr>
            <w:tcW w:w="661" w:type="dxa"/>
            <w:noWrap w:val="0"/>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套</w:t>
            </w:r>
          </w:p>
        </w:tc>
        <w:tc>
          <w:tcPr>
            <w:tcW w:w="6164" w:type="dxa"/>
            <w:noWrap w:val="0"/>
            <w:vAlign w:val="center"/>
          </w:tcPr>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一、整机结构：</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1.桌面板材：采用E0级25mm厚度免漆板，颜色：白色；</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2.桌板前部具备多层板弯曲而成的木色高围挡设计，表面喷漆。高度≥100mm，可防止桌面物品滚落；桌面两侧前方具有和围挡同色的多层板凸台，用于放置控制设备和话筒等。</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3.桌板尺寸形状：≥1424mm×710mm，内侧环绕型设计，尺寸可根据教室环境调整；桌面封边：2mmPVC直封边，封边条颜色可与面板颜色不同，整体色彩需协调；</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4.电动升降立柱采用双电机两节，管子尺寸：管子尺寸≥75×45mm，桌架最大均布载荷：≥100Kg均布，最大速度：≥25mm/s，控制盒带遇阻回退功能；</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5.桌架型材：优质钢材，表面处理选用静电喷涂技术，颜色白色；</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6.桌面前部具备有完整平面的可拆卸前挡板设计，方便维护，可自由粘贴学校的校徽LOGO；</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★7.讲桌左右两侧具有尼龙坦克链拖链，内径≥20×57mm（可打开），保证强弱电线缆分开走线，升降过程中线缆两头不会被拉扯；</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8.桌面边缘具有塑料杯托，杯托内部直径≥80mm；</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9.讲桌下部具有储物空间，可供教师临时存放书本、书包等用品；</w:t>
            </w:r>
          </w:p>
          <w:p>
            <w:pPr>
              <w:widowControl/>
              <w:spacing w:line="288" w:lineRule="auto"/>
              <w:jc w:val="left"/>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color w:val="000000"/>
                <w:kern w:val="0"/>
                <w:szCs w:val="21"/>
                <w:lang w:bidi="ar"/>
              </w:rPr>
              <w:t>10.讲桌设计有机柜设备安装支架，安装数量≥8U（孔距470mm）。前后</w:t>
            </w:r>
            <w:r>
              <w:rPr>
                <w:rFonts w:hint="eastAsia" w:ascii="宋体" w:hAnsi="宋体" w:eastAsia="宋体" w:cs="宋体"/>
                <w:b w:val="0"/>
                <w:bCs w:val="0"/>
                <w:color w:val="000000"/>
                <w:kern w:val="0"/>
                <w:szCs w:val="21"/>
                <w:lang w:bidi="ar"/>
              </w:rPr>
              <w:t>门都可以打开方便维护，前后门都具有散热孔。前门带锁。</w:t>
            </w:r>
          </w:p>
          <w:p>
            <w:pPr>
              <w:widowControl/>
              <w:spacing w:line="288" w:lineRule="auto"/>
              <w:jc w:val="left"/>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11.第三方中控安装接入：讲桌预留第三方中控安装位置以及安装支架，支持第三方中控接入讲桌；</w:t>
            </w:r>
          </w:p>
          <w:p>
            <w:pPr>
              <w:widowControl/>
              <w:spacing w:line="288" w:lineRule="auto"/>
              <w:jc w:val="left"/>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二、整机功能：</w:t>
            </w:r>
          </w:p>
          <w:p>
            <w:pPr>
              <w:widowControl/>
              <w:spacing w:line="288" w:lineRule="auto"/>
              <w:jc w:val="left"/>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1.讲桌需具备电动升降结构，桌面的离地总高度升降范围：≥715mm~1215mm。</w:t>
            </w:r>
          </w:p>
          <w:p>
            <w:pPr>
              <w:widowControl/>
              <w:spacing w:line="288" w:lineRule="auto"/>
              <w:jc w:val="left"/>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★2.显示器支架调节：显示器支架具有轨道可整体抽出，方便教师操作屏幕。显示器支架可支持电动翻转，可翻转角度≥15°，同时显示器支架底座设计键鼠收纳空间，用于存放键鼠设备；</w:t>
            </w:r>
          </w:p>
          <w:p>
            <w:pPr>
              <w:widowControl/>
              <w:spacing w:line="288" w:lineRule="auto"/>
              <w:jc w:val="left"/>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3.讲桌需具备可控制桌面显示屏翻转的物理按键。</w:t>
            </w:r>
          </w:p>
          <w:p>
            <w:pPr>
              <w:widowControl/>
              <w:spacing w:line="288" w:lineRule="auto"/>
              <w:jc w:val="left"/>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4.桌面上至少需具备1个以上万能5孔220V电源插座、1个以上的USB接口，1路笔记本电脑的标准HDMI输入接口。</w:t>
            </w:r>
          </w:p>
          <w:p>
            <w:pPr>
              <w:widowControl/>
              <w:spacing w:line="288" w:lineRule="auto"/>
              <w:jc w:val="left"/>
              <w:textAlignment w:val="center"/>
              <w:rPr>
                <w:rFonts w:hint="eastAsia" w:ascii="宋体" w:hAnsi="宋体" w:eastAsia="宋体" w:cs="宋体"/>
                <w:b/>
                <w:bCs/>
                <w:color w:val="000000"/>
                <w:kern w:val="0"/>
                <w:szCs w:val="21"/>
                <w:lang w:eastAsia="zh-CN" w:bidi="ar"/>
              </w:rPr>
            </w:pPr>
            <w:r>
              <w:rPr>
                <w:rFonts w:hint="eastAsia" w:ascii="宋体" w:hAnsi="宋体" w:eastAsia="宋体" w:cs="宋体"/>
                <w:b w:val="0"/>
                <w:bCs w:val="0"/>
                <w:color w:val="000000"/>
                <w:kern w:val="0"/>
                <w:szCs w:val="21"/>
                <w:lang w:bidi="ar"/>
              </w:rPr>
              <w:t>三、交互式智能书写屏(单屏)</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1.显示屏的屏幕尺寸≥21.5寸，分辨率需≥1920*1080，边缘采用铝合金进行整体包边，屏幕表面需具备钢化玻璃。</w:t>
            </w:r>
          </w:p>
          <w:p>
            <w:pPr>
              <w:widowControl/>
              <w:spacing w:line="288" w:lineRule="auto"/>
              <w:jc w:val="left"/>
              <w:textAlignment w:val="center"/>
              <w:rPr>
                <w:rFonts w:ascii="宋体" w:hAnsi="宋体" w:eastAsia="宋体" w:cs="宋体"/>
                <w:szCs w:val="21"/>
              </w:rPr>
            </w:pPr>
            <w:r>
              <w:rPr>
                <w:rFonts w:hint="eastAsia" w:ascii="宋体" w:hAnsi="宋体" w:eastAsia="宋体" w:cs="宋体"/>
                <w:color w:val="000000"/>
                <w:kern w:val="0"/>
                <w:szCs w:val="21"/>
                <w:lang w:bidi="ar"/>
              </w:rPr>
              <w:t>★2.显示屏需支持电容触控，至少需支持在Windows系统内可通过手指实现触控操作。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noWrap w:val="0"/>
            <w:vAlign w:val="center"/>
          </w:tcPr>
          <w:p>
            <w:pPr>
              <w:widowControl/>
              <w:jc w:val="center"/>
              <w:textAlignment w:val="center"/>
              <w:rPr>
                <w:rFonts w:ascii="宋体" w:hAnsi="宋体" w:eastAsia="宋体" w:cs="宋体"/>
                <w:b/>
                <w:bCs/>
                <w:szCs w:val="21"/>
              </w:rPr>
            </w:pPr>
            <w:r>
              <w:rPr>
                <w:rFonts w:hint="eastAsia" w:ascii="宋体" w:hAnsi="宋体" w:eastAsia="宋体" w:cs="宋体"/>
                <w:b/>
                <w:bCs/>
                <w:color w:val="000000"/>
                <w:kern w:val="0"/>
                <w:szCs w:val="21"/>
                <w:lang w:bidi="ar"/>
              </w:rPr>
              <w:t>8</w:t>
            </w:r>
          </w:p>
        </w:tc>
        <w:tc>
          <w:tcPr>
            <w:tcW w:w="1810" w:type="dxa"/>
            <w:noWrap w:val="0"/>
            <w:vAlign w:val="center"/>
          </w:tcPr>
          <w:p>
            <w:pPr>
              <w:widowControl/>
              <w:jc w:val="center"/>
              <w:textAlignment w:val="center"/>
              <w:rPr>
                <w:rFonts w:ascii="宋体" w:hAnsi="宋体" w:eastAsia="宋体" w:cs="Times New Roman"/>
                <w:b/>
                <w:bCs/>
                <w:szCs w:val="21"/>
              </w:rPr>
            </w:pPr>
            <w:r>
              <w:rPr>
                <w:rFonts w:hint="eastAsia" w:ascii="宋体" w:hAnsi="宋体" w:eastAsia="宋体" w:cs="宋体"/>
                <w:b/>
                <w:bCs/>
                <w:color w:val="000000"/>
                <w:kern w:val="0"/>
                <w:szCs w:val="21"/>
                <w:lang w:bidi="ar"/>
              </w:rPr>
              <w:t>功放（含音箱、无线话筒）</w:t>
            </w:r>
          </w:p>
        </w:tc>
        <w:tc>
          <w:tcPr>
            <w:tcW w:w="661" w:type="dxa"/>
            <w:noWrap w:val="0"/>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5</w:t>
            </w:r>
          </w:p>
        </w:tc>
        <w:tc>
          <w:tcPr>
            <w:tcW w:w="661" w:type="dxa"/>
            <w:noWrap w:val="0"/>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套</w:t>
            </w:r>
          </w:p>
        </w:tc>
        <w:tc>
          <w:tcPr>
            <w:tcW w:w="6164" w:type="dxa"/>
            <w:noWrap w:val="0"/>
            <w:vAlign w:val="center"/>
          </w:tcPr>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1.可配合分布式无线话筒同时使用一支或者两支三模合一无线教学话筒</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2.具备2路MIC平衡信号专用输入凤凰接口；</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3.每路MIC信号接口独立提供6V供电；</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4.具备1组立体声LINE信号输入凤凰接口；</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5.具备1组立体声MUSIC信号输入凤凰接口；</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6.具备1组立体声录音信号输出RCA接口；</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7.所有输入输出接口均具备独立音量调节功能；</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8.LINE和MUSIC总音量前面板可调，且不能影响其他输入信号；</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10.前面板除总混合输出音量调节旋钮外，其他调节旋钮均为暗藏式旋钮，防止误触碰；</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11.具备录音输出电平高低调节功能；</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12.要求录音信号输出提供MIC信号和混合信号可选，可直接通过开关按钮来选择；</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13.具备连接分布式无线话筒系统的专用数字RJ45接口；</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14.具备开关机自动延时管理功能，保护设备受冲击损坏。</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15.前面板具备MIC信号3段音调调节；</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16.前面板具备LINE/MUSIC信号3段音调调节；</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17.具备远程开关机控制接口；具备接地选择开关；</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18.具备8通道电子音量调节并提供控制的RS232接口；</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19具备独立两通道≥2×100W 8Ω 额定功率输出；</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20.具备每通道功率输出大小可调；</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21.1.5U高19英寸标准机柜面板。</w:t>
            </w:r>
          </w:p>
          <w:p>
            <w:pPr>
              <w:widowControl/>
              <w:spacing w:line="288" w:lineRule="auto"/>
              <w:jc w:val="left"/>
              <w:textAlignment w:val="center"/>
              <w:rPr>
                <w:rFonts w:ascii="宋体" w:hAnsi="宋体" w:eastAsia="宋体" w:cs="宋体"/>
                <w:szCs w:val="21"/>
              </w:rPr>
            </w:pPr>
            <w:r>
              <w:rPr>
                <w:rFonts w:hint="eastAsia" w:ascii="宋体" w:hAnsi="宋体" w:eastAsia="宋体" w:cs="宋体"/>
                <w:color w:val="000000"/>
                <w:kern w:val="0"/>
                <w:szCs w:val="21"/>
                <w:lang w:bidi="ar"/>
              </w:rPr>
              <w:t>22.配备一对音箱，无线话筒。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noWrap w:val="0"/>
            <w:vAlign w:val="center"/>
          </w:tcPr>
          <w:p>
            <w:pPr>
              <w:widowControl/>
              <w:jc w:val="center"/>
              <w:textAlignment w:val="center"/>
              <w:rPr>
                <w:rFonts w:ascii="宋体" w:hAnsi="宋体" w:eastAsia="宋体" w:cs="宋体"/>
                <w:b/>
                <w:bCs/>
                <w:szCs w:val="21"/>
              </w:rPr>
            </w:pPr>
            <w:r>
              <w:rPr>
                <w:rFonts w:hint="eastAsia" w:ascii="宋体" w:hAnsi="宋体" w:eastAsia="宋体" w:cs="宋体"/>
                <w:b/>
                <w:bCs/>
                <w:color w:val="000000"/>
                <w:kern w:val="0"/>
                <w:szCs w:val="21"/>
                <w:lang w:bidi="ar"/>
              </w:rPr>
              <w:t>9</w:t>
            </w:r>
          </w:p>
        </w:tc>
        <w:tc>
          <w:tcPr>
            <w:tcW w:w="1810" w:type="dxa"/>
            <w:noWrap w:val="0"/>
            <w:vAlign w:val="center"/>
          </w:tcPr>
          <w:p>
            <w:pPr>
              <w:widowControl/>
              <w:jc w:val="center"/>
              <w:textAlignment w:val="center"/>
              <w:rPr>
                <w:rFonts w:ascii="宋体" w:hAnsi="宋体" w:eastAsia="宋体" w:cs="Times New Roman"/>
                <w:b/>
                <w:bCs/>
                <w:szCs w:val="21"/>
              </w:rPr>
            </w:pPr>
            <w:r>
              <w:rPr>
                <w:rFonts w:hint="eastAsia" w:ascii="宋体" w:hAnsi="宋体" w:eastAsia="宋体" w:cs="宋体"/>
                <w:b/>
                <w:bCs/>
                <w:color w:val="000000"/>
                <w:kern w:val="0"/>
                <w:szCs w:val="21"/>
                <w:lang w:bidi="ar"/>
              </w:rPr>
              <w:t>交换机</w:t>
            </w:r>
          </w:p>
        </w:tc>
        <w:tc>
          <w:tcPr>
            <w:tcW w:w="661" w:type="dxa"/>
            <w:noWrap w:val="0"/>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5</w:t>
            </w:r>
          </w:p>
        </w:tc>
        <w:tc>
          <w:tcPr>
            <w:tcW w:w="661" w:type="dxa"/>
            <w:noWrap w:val="0"/>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套</w:t>
            </w:r>
          </w:p>
        </w:tc>
        <w:tc>
          <w:tcPr>
            <w:tcW w:w="6164" w:type="dxa"/>
            <w:noWrap w:val="0"/>
            <w:vAlign w:val="center"/>
          </w:tcPr>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1.产品类型：千兆以太网交换机；</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2.固定端口：≥8个10/100/1000base-T电口；</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3.交换容量：≥16Gbps；</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4.MAC地址表：≥4K；</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5.包缓存：≥1.5Mbit；</w:t>
            </w:r>
          </w:p>
          <w:p>
            <w:pPr>
              <w:widowControl/>
              <w:spacing w:line="288" w:lineRule="auto"/>
              <w:jc w:val="left"/>
              <w:textAlignment w:val="center"/>
              <w:rPr>
                <w:rFonts w:hint="eastAsia" w:ascii="Calibri" w:hAnsi="Calibri" w:eastAsia="宋体" w:cs="Times New Roman"/>
                <w:lang w:eastAsia="zh-CN"/>
              </w:rPr>
            </w:pPr>
            <w:r>
              <w:rPr>
                <w:rFonts w:hint="eastAsia" w:ascii="宋体" w:hAnsi="宋体" w:eastAsia="宋体" w:cs="宋体"/>
                <w:color w:val="000000"/>
                <w:kern w:val="0"/>
                <w:szCs w:val="21"/>
                <w:lang w:bidi="ar"/>
              </w:rPr>
              <w:t>6.电源：≥12V/0.5A DC；</w:t>
            </w:r>
          </w:p>
          <w:p>
            <w:pPr>
              <w:widowControl/>
              <w:spacing w:line="288" w:lineRule="auto"/>
              <w:jc w:val="left"/>
              <w:textAlignment w:val="center"/>
              <w:rPr>
                <w:rFonts w:ascii="宋体" w:hAnsi="宋体" w:eastAsia="宋体" w:cs="宋体"/>
                <w:szCs w:val="21"/>
              </w:rPr>
            </w:pPr>
            <w:r>
              <w:rPr>
                <w:rFonts w:hint="eastAsia" w:ascii="宋体" w:hAnsi="宋体" w:eastAsia="宋体" w:cs="宋体"/>
                <w:color w:val="000000"/>
                <w:kern w:val="0"/>
                <w:szCs w:val="21"/>
                <w:lang w:bidi="ar"/>
              </w:rPr>
              <w:t>7.散热方式：自然散热。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noWrap w:val="0"/>
            <w:vAlign w:val="center"/>
          </w:tcPr>
          <w:p>
            <w:pPr>
              <w:widowControl/>
              <w:jc w:val="center"/>
              <w:textAlignment w:val="center"/>
              <w:rPr>
                <w:rFonts w:ascii="宋体" w:hAnsi="宋体" w:eastAsia="宋体" w:cs="宋体"/>
                <w:b/>
                <w:bCs/>
                <w:szCs w:val="21"/>
              </w:rPr>
            </w:pPr>
            <w:r>
              <w:rPr>
                <w:rFonts w:hint="eastAsia" w:ascii="宋体" w:hAnsi="宋体" w:eastAsia="宋体" w:cs="宋体"/>
                <w:b/>
                <w:bCs/>
                <w:color w:val="000000"/>
                <w:kern w:val="0"/>
                <w:szCs w:val="21"/>
                <w:lang w:bidi="ar"/>
              </w:rPr>
              <w:t>10</w:t>
            </w:r>
          </w:p>
        </w:tc>
        <w:tc>
          <w:tcPr>
            <w:tcW w:w="1810" w:type="dxa"/>
            <w:noWrap w:val="0"/>
            <w:vAlign w:val="center"/>
          </w:tcPr>
          <w:p>
            <w:pPr>
              <w:widowControl/>
              <w:jc w:val="center"/>
              <w:textAlignment w:val="center"/>
              <w:rPr>
                <w:rFonts w:ascii="宋体" w:hAnsi="宋体" w:eastAsia="宋体" w:cs="Times New Roman"/>
                <w:b/>
                <w:bCs/>
                <w:szCs w:val="21"/>
              </w:rPr>
            </w:pPr>
            <w:r>
              <w:rPr>
                <w:rFonts w:hint="eastAsia" w:ascii="宋体" w:hAnsi="宋体" w:eastAsia="宋体" w:cs="宋体"/>
                <w:b/>
                <w:bCs/>
                <w:color w:val="000000"/>
                <w:kern w:val="0"/>
                <w:szCs w:val="21"/>
                <w:lang w:bidi="ar"/>
              </w:rPr>
              <w:t>辅助屏</w:t>
            </w:r>
          </w:p>
        </w:tc>
        <w:tc>
          <w:tcPr>
            <w:tcW w:w="661" w:type="dxa"/>
            <w:noWrap w:val="0"/>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2</w:t>
            </w:r>
          </w:p>
        </w:tc>
        <w:tc>
          <w:tcPr>
            <w:tcW w:w="661" w:type="dxa"/>
            <w:noWrap w:val="0"/>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块</w:t>
            </w:r>
          </w:p>
        </w:tc>
        <w:tc>
          <w:tcPr>
            <w:tcW w:w="6164" w:type="dxa"/>
            <w:noWrap w:val="0"/>
            <w:vAlign w:val="center"/>
          </w:tcPr>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1.产品类型：智能辅助屏；</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2.显示参数：</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（1）屏幕尺寸：≥55英寸；</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（2）屏幕分辨率：≥3840×2160；</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（3）屏幕比例：16:9；</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 xml:space="preserve">（4）屏幕等级：≥A+ </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（5）背光源：LED；</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（6）背光方式：直下式；</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（7）对比度≥50000：1；</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（8）刷新频率：≥60Hz；</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（9）扫描方式：逐行扫描；</w:t>
            </w:r>
          </w:p>
          <w:p>
            <w:pPr>
              <w:widowControl/>
              <w:spacing w:line="288" w:lineRule="auto"/>
              <w:jc w:val="left"/>
              <w:textAlignment w:val="center"/>
              <w:rPr>
                <w:rFonts w:hint="eastAsia" w:ascii="Calibri" w:hAnsi="Calibri" w:eastAsia="宋体" w:cs="Times New Roman"/>
                <w:lang w:eastAsia="zh-CN"/>
              </w:rPr>
            </w:pPr>
            <w:r>
              <w:rPr>
                <w:rFonts w:hint="eastAsia" w:ascii="宋体" w:hAnsi="宋体" w:eastAsia="宋体" w:cs="宋体"/>
                <w:color w:val="000000"/>
                <w:kern w:val="0"/>
                <w:szCs w:val="21"/>
                <w:lang w:bidi="ar"/>
              </w:rPr>
              <w:t>（10）响应时间：≤8ms；</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（11）支持格式：包括但不限于2160p、1080p、1080i、720p；</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（12）支持HDR10解码.</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3.核心参数</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（1）操作系统：基于安卓9.0深度优化的操作系统；</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（2）CPU：性能不低于1.5GHz四核Cortex A53 CPU；</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（3）GPU：性能不低于双核Mali-G52；</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（4）运行内存：≥1.5GB；</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（5）内部存储空间：≥8GB；</w:t>
            </w:r>
          </w:p>
          <w:p>
            <w:pPr>
              <w:widowControl/>
              <w:spacing w:line="288" w:lineRule="auto"/>
              <w:jc w:val="left"/>
              <w:textAlignment w:val="center"/>
              <w:rPr>
                <w:rFonts w:hint="eastAsia" w:ascii="宋体" w:hAnsi="宋体" w:eastAsia="宋体" w:cs="宋体"/>
                <w:color w:val="000000"/>
                <w:kern w:val="0"/>
                <w:szCs w:val="21"/>
                <w:lang w:eastAsia="zh-CN" w:bidi="ar"/>
              </w:rPr>
            </w:pPr>
            <w:r>
              <w:rPr>
                <w:rFonts w:ascii="宋体" w:hAnsi="宋体" w:eastAsia="宋体" w:cs="宋体"/>
                <w:color w:val="000000"/>
                <w:kern w:val="0"/>
                <w:szCs w:val="21"/>
                <w:lang w:bidi="ar"/>
              </w:rPr>
              <w:t>4</w:t>
            </w:r>
            <w:r>
              <w:rPr>
                <w:rFonts w:hint="eastAsia" w:ascii="宋体" w:hAnsi="宋体" w:eastAsia="宋体" w:cs="宋体"/>
                <w:color w:val="000000"/>
                <w:kern w:val="0"/>
                <w:szCs w:val="21"/>
                <w:lang w:bidi="ar"/>
              </w:rPr>
              <w:t>.端口参数</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（1）USB2.0接口：≥2；</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（2）HDMI2.0接口：≥2（1路支持ARC）；</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（3）RF接口：≥1；</w:t>
            </w:r>
          </w:p>
          <w:p>
            <w:pPr>
              <w:widowControl/>
              <w:spacing w:line="288" w:lineRule="auto"/>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（4）音频输出：数字同轴；</w:t>
            </w:r>
          </w:p>
          <w:p>
            <w:pPr>
              <w:widowControl/>
              <w:spacing w:line="288" w:lineRule="auto"/>
              <w:jc w:val="left"/>
              <w:textAlignment w:val="center"/>
              <w:rPr>
                <w:rFonts w:ascii="宋体" w:hAnsi="宋体" w:eastAsia="宋体" w:cs="宋体"/>
                <w:szCs w:val="21"/>
              </w:rPr>
            </w:pPr>
            <w:r>
              <w:rPr>
                <w:rFonts w:ascii="宋体" w:hAnsi="宋体" w:eastAsia="宋体" w:cs="宋体"/>
                <w:color w:val="000000"/>
                <w:kern w:val="0"/>
                <w:szCs w:val="21"/>
                <w:lang w:bidi="ar"/>
              </w:rPr>
              <w:t>5</w:t>
            </w:r>
            <w:r>
              <w:rPr>
                <w:rFonts w:hint="eastAsia" w:ascii="宋体" w:hAnsi="宋体" w:eastAsia="宋体" w:cs="宋体"/>
                <w:color w:val="000000"/>
                <w:kern w:val="0"/>
                <w:szCs w:val="21"/>
                <w:lang w:bidi="ar"/>
              </w:rPr>
              <w:t>.含安装支架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noWrap w:val="0"/>
            <w:vAlign w:val="center"/>
          </w:tcPr>
          <w:p>
            <w:pPr>
              <w:widowControl/>
              <w:jc w:val="center"/>
              <w:textAlignment w:val="center"/>
              <w:rPr>
                <w:rFonts w:ascii="宋体" w:hAnsi="宋体" w:eastAsia="宋体" w:cs="宋体"/>
                <w:b/>
                <w:bCs/>
                <w:szCs w:val="21"/>
              </w:rPr>
            </w:pPr>
            <w:r>
              <w:rPr>
                <w:rFonts w:hint="eastAsia" w:ascii="宋体" w:hAnsi="宋体" w:eastAsia="宋体" w:cs="宋体"/>
                <w:b/>
                <w:bCs/>
                <w:color w:val="000000"/>
                <w:kern w:val="0"/>
                <w:szCs w:val="21"/>
                <w:lang w:bidi="ar"/>
              </w:rPr>
              <w:t>11</w:t>
            </w:r>
          </w:p>
        </w:tc>
        <w:tc>
          <w:tcPr>
            <w:tcW w:w="1810" w:type="dxa"/>
            <w:noWrap w:val="0"/>
            <w:vAlign w:val="center"/>
          </w:tcPr>
          <w:p>
            <w:pPr>
              <w:widowControl/>
              <w:jc w:val="center"/>
              <w:textAlignment w:val="center"/>
              <w:rPr>
                <w:rFonts w:ascii="宋体" w:hAnsi="宋体" w:eastAsia="宋体" w:cs="Times New Roman"/>
                <w:b/>
                <w:bCs/>
                <w:szCs w:val="21"/>
              </w:rPr>
            </w:pPr>
            <w:r>
              <w:rPr>
                <w:rFonts w:hint="eastAsia" w:ascii="宋体" w:hAnsi="宋体" w:eastAsia="宋体" w:cs="宋体"/>
                <w:b/>
                <w:bCs/>
                <w:color w:val="000000"/>
                <w:kern w:val="0"/>
                <w:szCs w:val="21"/>
                <w:lang w:bidi="ar"/>
              </w:rPr>
              <w:t>教师椅</w:t>
            </w:r>
          </w:p>
        </w:tc>
        <w:tc>
          <w:tcPr>
            <w:tcW w:w="661" w:type="dxa"/>
            <w:noWrap w:val="0"/>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5</w:t>
            </w:r>
          </w:p>
        </w:tc>
        <w:tc>
          <w:tcPr>
            <w:tcW w:w="661" w:type="dxa"/>
            <w:noWrap w:val="0"/>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位</w:t>
            </w:r>
          </w:p>
        </w:tc>
        <w:tc>
          <w:tcPr>
            <w:tcW w:w="6164" w:type="dxa"/>
            <w:noWrap w:val="0"/>
            <w:vAlign w:val="center"/>
          </w:tcPr>
          <w:p>
            <w:pPr>
              <w:widowControl/>
              <w:spacing w:line="288" w:lineRule="auto"/>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1.塑背材质：PA+GF材质为主；</w:t>
            </w:r>
          </w:p>
          <w:p>
            <w:pPr>
              <w:widowControl/>
              <w:spacing w:line="288" w:lineRule="auto"/>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2.扶手：由PA+GF30%+TPU面制成。</w:t>
            </w:r>
          </w:p>
          <w:p>
            <w:pPr>
              <w:widowControl/>
              <w:spacing w:line="288" w:lineRule="auto"/>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3.扶手垂直结构强度：≥169lbf（75kg）；</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4.扶手水平结构强度：≥100lbf(45kg)；</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5.座壳：使用加厚的PP，根据底盘配置注模成型；</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6.海绵：高密度（≥0.55）的PU棉。</w:t>
            </w:r>
          </w:p>
          <w:p>
            <w:pPr>
              <w:widowControl/>
              <w:spacing w:line="288" w:lineRule="auto"/>
              <w:jc w:val="left"/>
              <w:textAlignment w:val="center"/>
              <w:rPr>
                <w:rFonts w:ascii="宋体" w:hAnsi="宋体" w:eastAsia="宋体" w:cs="宋体"/>
                <w:szCs w:val="21"/>
              </w:rPr>
            </w:pPr>
            <w:r>
              <w:rPr>
                <w:rFonts w:hint="eastAsia" w:ascii="宋体" w:hAnsi="宋体" w:eastAsia="宋体" w:cs="宋体"/>
                <w:color w:val="000000"/>
                <w:kern w:val="0"/>
                <w:szCs w:val="21"/>
                <w:lang w:bidi="ar"/>
              </w:rPr>
              <w:t>7.具备静音PU万向轮。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noWrap w:val="0"/>
            <w:vAlign w:val="center"/>
          </w:tcPr>
          <w:p>
            <w:pPr>
              <w:widowControl/>
              <w:jc w:val="center"/>
              <w:textAlignment w:val="center"/>
              <w:rPr>
                <w:rFonts w:ascii="宋体" w:hAnsi="宋体" w:eastAsia="宋体" w:cs="宋体"/>
                <w:b/>
                <w:bCs/>
                <w:szCs w:val="21"/>
              </w:rPr>
            </w:pPr>
            <w:r>
              <w:rPr>
                <w:rFonts w:hint="eastAsia" w:ascii="宋体" w:hAnsi="宋体" w:eastAsia="宋体" w:cs="宋体"/>
                <w:b/>
                <w:bCs/>
                <w:color w:val="000000"/>
                <w:kern w:val="0"/>
                <w:szCs w:val="21"/>
                <w:lang w:bidi="ar"/>
              </w:rPr>
              <w:t>12</w:t>
            </w:r>
          </w:p>
        </w:tc>
        <w:tc>
          <w:tcPr>
            <w:tcW w:w="1810" w:type="dxa"/>
            <w:noWrap w:val="0"/>
            <w:vAlign w:val="center"/>
          </w:tcPr>
          <w:p>
            <w:pPr>
              <w:widowControl/>
              <w:jc w:val="center"/>
              <w:textAlignment w:val="center"/>
              <w:rPr>
                <w:rFonts w:ascii="宋体" w:hAnsi="宋体" w:eastAsia="宋体" w:cs="Times New Roman"/>
                <w:b/>
                <w:bCs/>
                <w:szCs w:val="21"/>
              </w:rPr>
            </w:pPr>
            <w:r>
              <w:rPr>
                <w:rFonts w:hint="eastAsia" w:ascii="宋体" w:hAnsi="宋体" w:eastAsia="宋体" w:cs="宋体"/>
                <w:b/>
                <w:bCs/>
                <w:color w:val="000000"/>
                <w:kern w:val="0"/>
                <w:szCs w:val="21"/>
                <w:lang w:bidi="ar"/>
              </w:rPr>
              <w:t>学生桌椅</w:t>
            </w:r>
          </w:p>
        </w:tc>
        <w:tc>
          <w:tcPr>
            <w:tcW w:w="661" w:type="dxa"/>
            <w:noWrap w:val="0"/>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315</w:t>
            </w:r>
          </w:p>
        </w:tc>
        <w:tc>
          <w:tcPr>
            <w:tcW w:w="661" w:type="dxa"/>
            <w:noWrap w:val="0"/>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lang w:bidi="ar"/>
              </w:rPr>
              <w:t>位</w:t>
            </w:r>
          </w:p>
        </w:tc>
        <w:tc>
          <w:tcPr>
            <w:tcW w:w="6164" w:type="dxa"/>
            <w:noWrap w:val="0"/>
            <w:vAlign w:val="center"/>
          </w:tcPr>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一、桌子：</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1.外观尺寸：长1400mm×宽400mm×高750mm（注：尺寸可根据实际需求尺寸定制）</w:t>
            </w:r>
          </w:p>
          <w:p>
            <w:pPr>
              <w:widowControl/>
              <w:spacing w:line="288" w:lineRule="auto"/>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2.台面板：</w:t>
            </w:r>
          </w:p>
          <w:p>
            <w:pPr>
              <w:widowControl/>
              <w:spacing w:line="288" w:lineRule="auto"/>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（1）采用优质刨花板（三聚氰胺板），静曲强度≥11.0Mpa，弹性模量≥1600Mpa，内胶合强度≥0.35Mpa，表面胶合强度≥0.80Mpa，2h吸水厚度膨胀率≥8.0%；</w:t>
            </w:r>
          </w:p>
          <w:p>
            <w:pPr>
              <w:widowControl/>
              <w:spacing w:line="288" w:lineRule="auto"/>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r>
              <w:rPr>
                <w:rFonts w:ascii="宋体" w:hAnsi="宋体" w:eastAsia="宋体" w:cs="宋体"/>
                <w:color w:val="000000"/>
                <w:kern w:val="0"/>
                <w:szCs w:val="21"/>
                <w:lang w:bidi="ar"/>
              </w:rPr>
              <w:t>2</w:t>
            </w:r>
            <w:r>
              <w:rPr>
                <w:rFonts w:hint="eastAsia" w:ascii="宋体" w:hAnsi="宋体" w:eastAsia="宋体" w:cs="宋体"/>
                <w:color w:val="000000"/>
                <w:kern w:val="0"/>
                <w:szCs w:val="21"/>
                <w:lang w:bidi="ar"/>
              </w:rPr>
              <w:t>）符合GB/T 4897-2015相关标准。</w:t>
            </w:r>
          </w:p>
          <w:p>
            <w:pPr>
              <w:widowControl/>
              <w:spacing w:line="288" w:lineRule="auto"/>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长为1200mm*宽为550mm*厚度25mm，面粘三聚氰胺胶面，采用优质PVC封边条，厚度1.5mm，外观检测合格，耐干热性、耐磨性、耐开裂性、耐老化性、耐冷热循环性、耐光色牢度均合格，甲醛释放量未检出，邻苯二甲酸酯未检出，多溴联苯未检出，氯乙烯单台未检出，可迁移元素（铅、镉、铬、汞、砷、钡、锑、硒）含量均≤5mg/kg。</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（5）台面形状：长条形。（面板可封PU胶边封边，可加配笔槽、线盒）</w:t>
            </w:r>
          </w:p>
          <w:p>
            <w:pPr>
              <w:widowControl/>
              <w:spacing w:line="288" w:lineRule="auto"/>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2.前挡板：</w:t>
            </w:r>
          </w:p>
          <w:p>
            <w:pPr>
              <w:widowControl/>
              <w:spacing w:line="288" w:lineRule="auto"/>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（1）采用优质刨花板（三聚氰胺板）静曲强度≥11.0Mpa，弹性模量≥1600Mpa，内胶合强度≥0.35Mpa，表面胶合强度≥0.80Mpa，2h吸水厚度膨胀率≥8.0%；</w:t>
            </w:r>
          </w:p>
          <w:p>
            <w:pPr>
              <w:widowControl/>
              <w:spacing w:line="288" w:lineRule="auto"/>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r>
              <w:rPr>
                <w:rFonts w:ascii="宋体" w:hAnsi="宋体" w:eastAsia="宋体" w:cs="宋体"/>
                <w:color w:val="000000"/>
                <w:kern w:val="0"/>
                <w:szCs w:val="21"/>
                <w:lang w:bidi="ar"/>
              </w:rPr>
              <w:t>2</w:t>
            </w:r>
            <w:r>
              <w:rPr>
                <w:rFonts w:hint="eastAsia" w:ascii="宋体" w:hAnsi="宋体" w:eastAsia="宋体" w:cs="宋体"/>
                <w:color w:val="000000"/>
                <w:kern w:val="0"/>
                <w:szCs w:val="21"/>
                <w:lang w:bidi="ar"/>
              </w:rPr>
              <w:t>）符合GB/T 4897-2015相关标准；</w:t>
            </w:r>
          </w:p>
          <w:p>
            <w:pPr>
              <w:widowControl/>
              <w:spacing w:line="288" w:lineRule="auto"/>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r>
              <w:rPr>
                <w:rFonts w:ascii="宋体" w:hAnsi="宋体" w:eastAsia="宋体" w:cs="宋体"/>
                <w:color w:val="000000"/>
                <w:kern w:val="0"/>
                <w:szCs w:val="21"/>
                <w:lang w:bidi="ar"/>
              </w:rPr>
              <w:t>3</w:t>
            </w:r>
            <w:r>
              <w:rPr>
                <w:rFonts w:hint="eastAsia" w:ascii="宋体" w:hAnsi="宋体" w:eastAsia="宋体" w:cs="宋体"/>
                <w:color w:val="000000"/>
                <w:kern w:val="0"/>
                <w:szCs w:val="21"/>
                <w:lang w:bidi="ar"/>
              </w:rPr>
              <w:t>）挡板尺寸为长1030mm×宽340mm，厚度15mm，面粘面粘三聚氰胺胶板，采用优质PVC封边条，厚度1.0mm，外观检测合格，耐干热性、耐磨性、耐开裂性、耐老化性、耐冷热循环性、耐光色牢度均合格，甲醛释放量未检出，邻苯二甲酸酯未检出，多溴联苯未检出，氯乙烯单台未检出，可迁移元素（铅、镉、铬、汞、砷、钡、锑、硒）含量均≤5mg/kg 。</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（5）挡板形状：条形（注：挡板长度跟随定制尺寸变化，宽度不变）</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3.台面托架：采用优质冷轧钢板经冲压折弯工艺一体而成，长不低于280mm×宽30mm，材料壁厚不低于2.8mm；表面采用防锈静电喷涂处理,实用牢固，承受力大。</w:t>
            </w:r>
          </w:p>
          <w:p>
            <w:pPr>
              <w:widowControl/>
              <w:spacing w:line="288" w:lineRule="auto"/>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4.折叠机构：</w:t>
            </w:r>
          </w:p>
          <w:p>
            <w:pPr>
              <w:widowControl/>
              <w:spacing w:line="288" w:lineRule="auto"/>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（1）桌子两侧采用优质高精度冷轧60圆形钢管，材料壁厚：4.0mm，焊接在旦管立柱上，产品接头工艺更加牢固、耐用，不易断裂。</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（2）需安装舌芯+铝芯+弹簧折叠装置，中间配制六角管传动轴连接铝芯，外侧配置优质PP一体成型旋钮开关，任何一侧只需轻轻一扭便可折叠。</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5.侧脚底脚：采用优质高精度冷轧钢板经冲压折弯而成，脚跨为530mm，壁厚2.0mm，表面采用防锈静电喷涂处理，整体牢固耐用，抗变型。</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6.侧脚立柱：脚管采用高精度优质冷轧旦管（不低于30mm×60mm，壁厚1.2mm），表面采用防锈静电喷涂处理，牢固耐用，抗变型。</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7.横梁：采用优质φ50mm圆形冷轧钢管，长度为1035mm，壁厚1.2mm,表面再经防锈静电喷涂处理，实用牢固，承受力大。（横梁长度跟随定制尺寸变化）</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8.书网：采用优质φ14mm圆管，长度为940mm，厚度为0.8mm，经塑料件与圆管组合成型表面采用防锈静电喷涂处理。(书网长度跟随定制尺寸变化）</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9.外观设计：采用人体工程理念及个性化需求，整件产品拼接好，接缝齐整，整体颜色基本相符，过渡自然；台架有旋钮拆叠装置，脚轮采用φ50mmPVC万向脚轮带刹车。</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10.主要规格台面打开尺寸：总长为1200mm；宽为550mm；高度为750mm。（注：尺寸可根据实际需求尺寸定制）</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二、椅子：</w:t>
            </w:r>
          </w:p>
          <w:p>
            <w:pPr>
              <w:widowControl/>
              <w:spacing w:line="288" w:lineRule="auto"/>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1.饰面：椅背特斯林条纹网，椅座采用优质棉绒弹力面料</w:t>
            </w:r>
          </w:p>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2.海绵：优质高回弹密度发泡海绵</w:t>
            </w:r>
          </w:p>
          <w:p>
            <w:pPr>
              <w:widowControl/>
              <w:spacing w:line="288" w:lineRule="auto"/>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3.胶粘剂：采用水基型胶粘剂</w:t>
            </w:r>
          </w:p>
          <w:p>
            <w:pPr>
              <w:widowControl/>
              <w:spacing w:line="288" w:lineRule="auto"/>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4.成型胶合板：桉木夹板，高硬度强粘合力，1.2-1.5CM厚度。GB/T9846-2015普通胶合板技术规范要求和</w:t>
            </w:r>
          </w:p>
          <w:p>
            <w:pPr>
              <w:widowControl/>
              <w:spacing w:line="288" w:lineRule="auto"/>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5.椅架：采用19×32mm腰鼓管，壁厚≥1.5mm，采用高精密机械手臂自动焊接，经除油除锈静电220度高温喷塑处理。脚架子为4脚固定架，结构稳定。</w:t>
            </w:r>
          </w:p>
          <w:p>
            <w:pPr>
              <w:widowControl/>
              <w:spacing w:line="288" w:lineRule="auto"/>
              <w:jc w:val="left"/>
              <w:textAlignment w:val="center"/>
              <w:rPr>
                <w:rFonts w:ascii="宋体" w:hAnsi="宋体" w:eastAsia="宋体" w:cs="宋体"/>
                <w:szCs w:val="21"/>
              </w:rPr>
            </w:pPr>
            <w:r>
              <w:rPr>
                <w:rFonts w:hint="eastAsia" w:ascii="宋体" w:hAnsi="宋体" w:eastAsia="宋体" w:cs="宋体"/>
                <w:color w:val="000000"/>
                <w:kern w:val="0"/>
                <w:szCs w:val="21"/>
                <w:lang w:bidi="ar"/>
              </w:rPr>
              <w:t>6.靠背：采用全新PP+纤维加厚前嵌网结构，靠背受力位置更加厚重。环保可回收使用无污染。通过120K靠背拉力测试。靠背带内嵌弹簧式合金活动结构，受力稳定。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noWrap w:val="0"/>
            <w:vAlign w:val="center"/>
          </w:tcPr>
          <w:p>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13</w:t>
            </w:r>
          </w:p>
        </w:tc>
        <w:tc>
          <w:tcPr>
            <w:tcW w:w="1810" w:type="dxa"/>
            <w:noWrap w:val="0"/>
            <w:vAlign w:val="center"/>
          </w:tcPr>
          <w:p>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安装调试</w:t>
            </w:r>
          </w:p>
        </w:tc>
        <w:tc>
          <w:tcPr>
            <w:tcW w:w="661" w:type="dxa"/>
            <w:noWrap w:val="0"/>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w:t>
            </w:r>
          </w:p>
        </w:tc>
        <w:tc>
          <w:tcPr>
            <w:tcW w:w="661" w:type="dxa"/>
            <w:noWrap w:val="0"/>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项</w:t>
            </w:r>
          </w:p>
        </w:tc>
        <w:tc>
          <w:tcPr>
            <w:tcW w:w="6164" w:type="dxa"/>
            <w:noWrap w:val="0"/>
            <w:vAlign w:val="center"/>
          </w:tcPr>
          <w:p>
            <w:pPr>
              <w:widowControl/>
              <w:spacing w:line="288" w:lineRule="auto"/>
              <w:jc w:val="left"/>
              <w:textAlignment w:val="center"/>
              <w:rPr>
                <w:rFonts w:ascii="宋体" w:hAnsi="宋体" w:eastAsia="宋体" w:cs="宋体"/>
                <w:color w:val="000000"/>
                <w:kern w:val="0"/>
                <w:szCs w:val="21"/>
                <w:lang w:bidi="ar"/>
              </w:rPr>
            </w:pPr>
            <w:r>
              <w:rPr>
                <w:rFonts w:hint="eastAsia" w:ascii="宋体" w:hAnsi="宋体" w:eastAsia="宋体" w:cs="Times New Roman"/>
                <w:szCs w:val="21"/>
              </w:rPr>
              <w:t>1.投标人需准备好5间教室设备安装调试、7间教室墙面及地面所需线材、电源线、控制线等线材。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noWrap w:val="0"/>
            <w:vAlign w:val="center"/>
          </w:tcPr>
          <w:p>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14</w:t>
            </w:r>
          </w:p>
        </w:tc>
        <w:tc>
          <w:tcPr>
            <w:tcW w:w="1810" w:type="dxa"/>
            <w:noWrap w:val="0"/>
            <w:vAlign w:val="center"/>
          </w:tcPr>
          <w:p>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环境改造</w:t>
            </w:r>
          </w:p>
        </w:tc>
        <w:tc>
          <w:tcPr>
            <w:tcW w:w="661" w:type="dxa"/>
            <w:noWrap w:val="0"/>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w:t>
            </w:r>
          </w:p>
        </w:tc>
        <w:tc>
          <w:tcPr>
            <w:tcW w:w="661" w:type="dxa"/>
            <w:noWrap w:val="0"/>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项</w:t>
            </w:r>
          </w:p>
        </w:tc>
        <w:tc>
          <w:tcPr>
            <w:tcW w:w="6164" w:type="dxa"/>
            <w:noWrap w:val="0"/>
            <w:vAlign w:val="center"/>
          </w:tcPr>
          <w:p>
            <w:pPr>
              <w:widowControl/>
              <w:spacing w:line="288" w:lineRule="auto"/>
              <w:jc w:val="left"/>
              <w:textAlignment w:val="center"/>
              <w:rPr>
                <w:rFonts w:ascii="宋体" w:hAnsi="宋体" w:eastAsia="宋体" w:cs="Times New Roman"/>
                <w:szCs w:val="21"/>
              </w:rPr>
            </w:pPr>
            <w:r>
              <w:rPr>
                <w:rFonts w:hint="eastAsia" w:ascii="宋体" w:hAnsi="宋体" w:eastAsia="宋体" w:cs="Times New Roman"/>
                <w:szCs w:val="21"/>
              </w:rPr>
              <w:t>1.投标人需根据学校要求对7间教室旧设备、桌椅、灯具、突出窗台进行拆除并修补完整；</w:t>
            </w:r>
          </w:p>
          <w:p>
            <w:pPr>
              <w:widowControl/>
              <w:spacing w:line="288" w:lineRule="auto"/>
              <w:jc w:val="left"/>
              <w:textAlignment w:val="center"/>
              <w:rPr>
                <w:rFonts w:ascii="宋体" w:hAnsi="宋体" w:eastAsia="宋体" w:cs="Times New Roman"/>
                <w:szCs w:val="21"/>
              </w:rPr>
            </w:pPr>
            <w:r>
              <w:rPr>
                <w:rFonts w:hint="eastAsia" w:ascii="宋体" w:hAnsi="宋体" w:eastAsia="宋体" w:cs="Times New Roman"/>
                <w:szCs w:val="21"/>
              </w:rPr>
              <w:t>2.对老旧墙面油漆面进行铲除，一底两面乳胶漆滚涂修复进行粉刷；其中101、104、105、106A、107做讲台背景墙造型；104、105、107原有地板地砖进行修补更换；</w:t>
            </w:r>
          </w:p>
          <w:p>
            <w:pPr>
              <w:widowControl/>
              <w:spacing w:line="288" w:lineRule="auto"/>
              <w:jc w:val="left"/>
              <w:textAlignment w:val="center"/>
              <w:rPr>
                <w:rFonts w:ascii="宋体" w:hAnsi="宋体" w:eastAsia="宋体" w:cs="Times New Roman"/>
                <w:szCs w:val="21"/>
              </w:rPr>
            </w:pPr>
            <w:r>
              <w:rPr>
                <w:rFonts w:hint="eastAsia" w:ascii="宋体" w:hAnsi="宋体" w:eastAsia="宋体" w:cs="Times New Roman"/>
                <w:szCs w:val="21"/>
              </w:rPr>
              <w:t>3.101、106A、106B铺设厚度约2mmPVC地胶，环保等级不低于E0；106教室进行35平方轻钢龙骨隔墙；101、104、106A做吊顶；</w:t>
            </w:r>
          </w:p>
          <w:p>
            <w:pPr>
              <w:widowControl/>
              <w:spacing w:line="288" w:lineRule="auto"/>
              <w:jc w:val="left"/>
              <w:textAlignment w:val="center"/>
              <w:rPr>
                <w:rFonts w:ascii="宋体" w:hAnsi="宋体" w:eastAsia="宋体" w:cs="Times New Roman"/>
                <w:szCs w:val="21"/>
              </w:rPr>
            </w:pPr>
            <w:r>
              <w:rPr>
                <w:rFonts w:hint="eastAsia" w:ascii="宋体" w:hAnsi="宋体" w:eastAsia="宋体" w:cs="Times New Roman"/>
                <w:szCs w:val="21"/>
              </w:rPr>
              <w:t>4.101、104、106A 3间教室换新安装LED平板吊灯规格为600*600规格平板灯；</w:t>
            </w:r>
          </w:p>
          <w:p>
            <w:pPr>
              <w:widowControl/>
              <w:spacing w:line="288" w:lineRule="auto"/>
              <w:jc w:val="left"/>
              <w:textAlignment w:val="center"/>
              <w:rPr>
                <w:rFonts w:ascii="宋体" w:hAnsi="宋体" w:eastAsia="宋体" w:cs="Times New Roman"/>
                <w:szCs w:val="21"/>
              </w:rPr>
            </w:pPr>
            <w:r>
              <w:rPr>
                <w:rFonts w:hint="eastAsia" w:ascii="宋体" w:hAnsi="宋体" w:eastAsia="宋体" w:cs="Times New Roman"/>
                <w:szCs w:val="21"/>
              </w:rPr>
              <w:t>5.102、106B 2间教室安装LED平板灯规格为200*1200平板灯；</w:t>
            </w:r>
          </w:p>
          <w:p>
            <w:pPr>
              <w:widowControl/>
              <w:spacing w:line="288" w:lineRule="auto"/>
              <w:jc w:val="left"/>
              <w:textAlignment w:val="center"/>
              <w:rPr>
                <w:rFonts w:ascii="宋体" w:hAnsi="宋体" w:eastAsia="宋体" w:cs="Times New Roman"/>
                <w:szCs w:val="21"/>
              </w:rPr>
            </w:pPr>
            <w:r>
              <w:rPr>
                <w:rFonts w:hint="eastAsia" w:ascii="宋体" w:hAnsi="宋体" w:eastAsia="宋体" w:cs="Times New Roman"/>
                <w:szCs w:val="21"/>
              </w:rPr>
              <w:t>6.墙面插座增加，配电箱换新；</w:t>
            </w:r>
          </w:p>
          <w:p>
            <w:pPr>
              <w:widowControl/>
              <w:spacing w:line="288" w:lineRule="auto"/>
              <w:jc w:val="left"/>
              <w:textAlignment w:val="center"/>
              <w:rPr>
                <w:rFonts w:ascii="宋体" w:hAnsi="宋体" w:eastAsia="宋体" w:cs="宋体"/>
                <w:color w:val="000000"/>
                <w:kern w:val="0"/>
                <w:szCs w:val="21"/>
                <w:lang w:bidi="ar"/>
              </w:rPr>
            </w:pPr>
            <w:r>
              <w:rPr>
                <w:rFonts w:hint="eastAsia" w:ascii="宋体" w:hAnsi="宋体" w:eastAsia="宋体" w:cs="Times New Roman"/>
                <w:szCs w:val="21"/>
              </w:rPr>
              <w:t>7.走廊上安装30盏600*600规格平板灯。</w:t>
            </w:r>
          </w:p>
        </w:tc>
      </w:tr>
    </w:tbl>
    <w:p>
      <w:pPr>
        <w:spacing w:line="288" w:lineRule="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4.其他要求：</w:t>
      </w:r>
    </w:p>
    <w:p>
      <w:pPr>
        <w:spacing w:line="288" w:lineRule="auto"/>
        <w:rPr>
          <w:rFonts w:hint="default" w:ascii="宋体" w:hAnsi="宋体" w:eastAsia="宋体" w:cs="Times New Roman"/>
          <w:b/>
          <w:bCs/>
          <w:szCs w:val="21"/>
          <w:lang w:val="en-US" w:eastAsia="zh-CN"/>
        </w:rPr>
      </w:pPr>
      <w:r>
        <w:rPr>
          <w:rFonts w:hint="eastAsia" w:ascii="宋体" w:hAnsi="宋体" w:eastAsia="宋体" w:cs="Times New Roman"/>
          <w:b/>
          <w:bCs/>
          <w:szCs w:val="21"/>
          <w:lang w:val="en-US" w:eastAsia="zh-CN"/>
        </w:rPr>
        <w:t>4.1项目团队要求：需有成员具有人力资源和社会保障部颁发的网络工程师证书。</w:t>
      </w:r>
    </w:p>
    <w:p>
      <w:pPr>
        <w:spacing w:line="288" w:lineRule="auto"/>
        <w:rPr>
          <w:rFonts w:hint="eastAsia" w:ascii="宋体" w:hAnsi="宋体" w:eastAsia="宋体" w:cs="Times New Roman"/>
          <w:b/>
          <w:bCs/>
          <w:szCs w:val="21"/>
        </w:rPr>
      </w:pPr>
      <w:r>
        <w:rPr>
          <w:rFonts w:hint="eastAsia" w:ascii="宋体" w:hAnsi="宋体" w:eastAsia="宋体" w:cs="Times New Roman"/>
          <w:b/>
          <w:bCs/>
          <w:szCs w:val="21"/>
          <w:lang w:val="en-US" w:eastAsia="zh-CN"/>
        </w:rPr>
        <w:t>4.2</w:t>
      </w:r>
      <w:r>
        <w:rPr>
          <w:rFonts w:hint="eastAsia" w:ascii="宋体" w:hAnsi="宋体" w:eastAsia="宋体" w:cs="Times New Roman"/>
          <w:b/>
          <w:bCs/>
          <w:szCs w:val="21"/>
        </w:rPr>
        <w:t>投标人如有需要可自行踏勘，踏勘联系人：都老师；联系方式：</w:t>
      </w:r>
      <w:r>
        <w:rPr>
          <w:rFonts w:hint="eastAsia" w:ascii="宋体" w:hAnsi="宋体" w:eastAsia="宋体" w:cs="Times New Roman"/>
          <w:b/>
          <w:bCs/>
          <w:szCs w:val="21"/>
          <w:lang w:val="en-US" w:eastAsia="zh-CN"/>
        </w:rPr>
        <w:t>0571-</w:t>
      </w:r>
      <w:r>
        <w:rPr>
          <w:rFonts w:ascii="宋体" w:hAnsi="宋体" w:eastAsia="宋体" w:cs="Times New Roman"/>
          <w:b/>
          <w:bCs/>
          <w:szCs w:val="21"/>
        </w:rPr>
        <w:t>87557121</w:t>
      </w:r>
      <w:r>
        <w:rPr>
          <w:rFonts w:hint="eastAsia" w:ascii="宋体" w:hAnsi="宋体" w:eastAsia="宋体" w:cs="Times New Roman"/>
          <w:b/>
          <w:bCs/>
          <w:szCs w:val="21"/>
        </w:rPr>
        <w:t>。</w:t>
      </w:r>
    </w:p>
    <w:p>
      <w:pPr>
        <w:spacing w:line="288" w:lineRule="auto"/>
        <w:rPr>
          <w:rFonts w:ascii="宋体" w:hAnsi="宋体" w:eastAsia="宋体"/>
          <w:b/>
          <w:szCs w:val="21"/>
        </w:rPr>
      </w:pPr>
      <w:r>
        <w:rPr>
          <w:rFonts w:hint="eastAsia" w:ascii="宋体" w:hAnsi="宋体" w:eastAsia="宋体"/>
          <w:b/>
          <w:szCs w:val="21"/>
          <w:lang w:val="en-US" w:eastAsia="zh-CN"/>
        </w:rPr>
        <w:t>4.3</w:t>
      </w:r>
      <w:r>
        <w:rPr>
          <w:rFonts w:hint="eastAsia" w:ascii="宋体" w:hAnsi="宋体" w:eastAsia="宋体"/>
          <w:b/>
          <w:szCs w:val="21"/>
        </w:rPr>
        <w:t>演示要求：</w:t>
      </w:r>
    </w:p>
    <w:p>
      <w:pPr>
        <w:spacing w:line="288" w:lineRule="auto"/>
        <w:rPr>
          <w:rFonts w:ascii="宋体" w:hAnsi="宋体" w:eastAsia="宋体"/>
          <w:szCs w:val="21"/>
          <w:highlight w:val="none"/>
        </w:rPr>
      </w:pPr>
      <w:r>
        <w:rPr>
          <w:rFonts w:hint="eastAsia" w:ascii="宋体" w:hAnsi="宋体" w:eastAsia="宋体"/>
          <w:szCs w:val="21"/>
          <w:lang w:val="en-US" w:eastAsia="zh-CN"/>
        </w:rPr>
        <w:t>（1</w:t>
      </w:r>
      <w:r>
        <w:rPr>
          <w:rFonts w:hint="eastAsia" w:ascii="宋体" w:hAnsi="宋体" w:eastAsia="宋体"/>
          <w:szCs w:val="21"/>
          <w:highlight w:val="none"/>
          <w:lang w:val="en-US" w:eastAsia="zh-CN"/>
        </w:rPr>
        <w:t>）</w:t>
      </w:r>
      <w:r>
        <w:rPr>
          <w:rFonts w:hint="eastAsia" w:ascii="宋体" w:hAnsi="宋体" w:eastAsia="宋体"/>
          <w:szCs w:val="21"/>
          <w:highlight w:val="none"/>
        </w:rPr>
        <w:t>投标人需提供以往承建的与本项目类似的其他业主单位的实际环境（作必要的脱敏处理）或软件</w:t>
      </w:r>
      <w:r>
        <w:rPr>
          <w:rFonts w:ascii="宋体" w:hAnsi="宋体" w:eastAsia="宋体"/>
          <w:szCs w:val="21"/>
          <w:highlight w:val="none"/>
        </w:rPr>
        <w:t>demo</w:t>
      </w:r>
      <w:r>
        <w:rPr>
          <w:rFonts w:hint="eastAsia" w:ascii="宋体" w:hAnsi="宋体" w:eastAsia="宋体"/>
          <w:szCs w:val="21"/>
          <w:highlight w:val="none"/>
        </w:rPr>
        <w:t>演示。</w:t>
      </w:r>
    </w:p>
    <w:p>
      <w:pPr>
        <w:spacing w:line="288" w:lineRule="auto"/>
        <w:rPr>
          <w:rFonts w:ascii="宋体" w:hAnsi="宋体" w:eastAsia="宋体"/>
          <w:szCs w:val="21"/>
        </w:rPr>
      </w:pPr>
      <w:r>
        <w:rPr>
          <w:rFonts w:hint="eastAsia" w:ascii="宋体" w:hAnsi="宋体" w:eastAsia="宋体"/>
          <w:szCs w:val="21"/>
          <w:highlight w:val="none"/>
          <w:lang w:eastAsia="zh-CN"/>
        </w:rPr>
        <w:t>（</w:t>
      </w:r>
      <w:r>
        <w:rPr>
          <w:rFonts w:hint="eastAsia" w:ascii="宋体" w:hAnsi="宋体" w:eastAsia="宋体"/>
          <w:szCs w:val="21"/>
          <w:highlight w:val="none"/>
          <w:lang w:val="en-US" w:eastAsia="zh-CN"/>
        </w:rPr>
        <w:t>2</w:t>
      </w:r>
      <w:r>
        <w:rPr>
          <w:rFonts w:hint="eastAsia" w:ascii="宋体" w:hAnsi="宋体" w:eastAsia="宋体"/>
          <w:szCs w:val="21"/>
          <w:highlight w:val="none"/>
          <w:lang w:eastAsia="zh-CN"/>
        </w:rPr>
        <w:t>）</w:t>
      </w:r>
      <w:r>
        <w:rPr>
          <w:rFonts w:hint="eastAsia" w:ascii="宋体" w:hAnsi="宋体" w:eastAsia="宋体"/>
          <w:szCs w:val="21"/>
          <w:highlight w:val="none"/>
        </w:rPr>
        <w:t>演示以录制视</w:t>
      </w:r>
      <w:r>
        <w:rPr>
          <w:rFonts w:hint="eastAsia" w:ascii="宋体" w:hAnsi="宋体" w:eastAsia="宋体"/>
          <w:szCs w:val="21"/>
        </w:rPr>
        <w:t>频形式提供，投标人将演示的过程录制成视频，视频内须提供人员解说，内容应为真实操作过程的原始记录。</w:t>
      </w:r>
    </w:p>
    <w:p>
      <w:pPr>
        <w:spacing w:line="288" w:lineRule="auto"/>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lang w:val="en-US" w:eastAsia="zh-CN"/>
        </w:rPr>
        <w:t>3</w:t>
      </w:r>
      <w:r>
        <w:rPr>
          <w:rFonts w:hint="eastAsia" w:ascii="宋体" w:hAnsi="宋体" w:eastAsia="宋体"/>
          <w:szCs w:val="21"/>
          <w:lang w:eastAsia="zh-CN"/>
        </w:rPr>
        <w:t>）</w:t>
      </w:r>
      <w:r>
        <w:rPr>
          <w:rFonts w:hint="eastAsia" w:ascii="宋体" w:hAnsi="宋体" w:eastAsia="宋体"/>
          <w:szCs w:val="21"/>
        </w:rPr>
        <w:t>演示视频时长不超过</w:t>
      </w:r>
      <w:r>
        <w:rPr>
          <w:rFonts w:ascii="宋体" w:hAnsi="宋体" w:eastAsia="宋体"/>
          <w:szCs w:val="21"/>
        </w:rPr>
        <w:t>15</w:t>
      </w:r>
      <w:r>
        <w:rPr>
          <w:rFonts w:hint="eastAsia" w:ascii="宋体" w:hAnsi="宋体" w:eastAsia="宋体"/>
          <w:szCs w:val="21"/>
        </w:rPr>
        <w:t>分钟。</w:t>
      </w:r>
    </w:p>
    <w:tbl>
      <w:tblPr>
        <w:tblStyle w:val="24"/>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1183"/>
        <w:gridCol w:w="7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38" w:type="pct"/>
            <w:vAlign w:val="center"/>
          </w:tcPr>
          <w:p>
            <w:pPr>
              <w:adjustRightInd w:val="0"/>
              <w:snapToGrid w:val="0"/>
              <w:spacing w:line="276" w:lineRule="auto"/>
              <w:jc w:val="center"/>
              <w:rPr>
                <w:rFonts w:ascii="宋体" w:hAnsi="宋体" w:eastAsia="宋体" w:cstheme="minorEastAsia"/>
                <w:b/>
                <w:bCs/>
                <w:szCs w:val="21"/>
              </w:rPr>
            </w:pPr>
            <w:r>
              <w:rPr>
                <w:rFonts w:hint="eastAsia" w:ascii="宋体" w:hAnsi="宋体" w:eastAsia="宋体" w:cstheme="minorEastAsia"/>
                <w:b/>
                <w:bCs/>
                <w:szCs w:val="21"/>
              </w:rPr>
              <w:t>序号</w:t>
            </w:r>
          </w:p>
        </w:tc>
        <w:tc>
          <w:tcPr>
            <w:tcW w:w="615" w:type="pct"/>
            <w:vAlign w:val="center"/>
          </w:tcPr>
          <w:p>
            <w:pPr>
              <w:adjustRightInd w:val="0"/>
              <w:snapToGrid w:val="0"/>
              <w:spacing w:line="276" w:lineRule="auto"/>
              <w:jc w:val="center"/>
              <w:rPr>
                <w:rFonts w:hint="eastAsia" w:ascii="宋体" w:hAnsi="宋体" w:eastAsia="宋体" w:cstheme="minorEastAsia"/>
                <w:b/>
                <w:bCs/>
                <w:szCs w:val="21"/>
              </w:rPr>
            </w:pPr>
            <w:r>
              <w:rPr>
                <w:rFonts w:hint="eastAsia" w:ascii="宋体" w:hAnsi="宋体" w:eastAsia="宋体" w:cs="宋体"/>
                <w:b/>
                <w:sz w:val="21"/>
                <w:szCs w:val="21"/>
              </w:rPr>
              <w:t>名称</w:t>
            </w:r>
          </w:p>
        </w:tc>
        <w:tc>
          <w:tcPr>
            <w:tcW w:w="3946" w:type="pct"/>
            <w:vAlign w:val="center"/>
          </w:tcPr>
          <w:p>
            <w:pPr>
              <w:adjustRightInd w:val="0"/>
              <w:snapToGrid w:val="0"/>
              <w:spacing w:line="276" w:lineRule="auto"/>
              <w:jc w:val="center"/>
              <w:rPr>
                <w:rFonts w:ascii="宋体" w:hAnsi="宋体" w:eastAsia="宋体" w:cstheme="minorEastAsia"/>
                <w:b/>
                <w:bCs/>
                <w:szCs w:val="21"/>
              </w:rPr>
            </w:pPr>
            <w:r>
              <w:rPr>
                <w:rFonts w:hint="eastAsia" w:ascii="宋体" w:hAnsi="宋体" w:eastAsia="宋体" w:cstheme="minorEastAsia"/>
                <w:b/>
                <w:bCs/>
                <w:szCs w:val="21"/>
              </w:rPr>
              <w:t>演示内容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38" w:type="pct"/>
            <w:vAlign w:val="center"/>
          </w:tcPr>
          <w:p>
            <w:pPr>
              <w:widowControl/>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color w:val="000000"/>
                <w:kern w:val="0"/>
                <w:szCs w:val="21"/>
                <w:lang w:val="en-US" w:eastAsia="zh-CN" w:bidi="ar"/>
              </w:rPr>
              <w:t>1</w:t>
            </w:r>
          </w:p>
        </w:tc>
        <w:tc>
          <w:tcPr>
            <w:tcW w:w="615" w:type="pct"/>
            <w:vMerge w:val="restart"/>
            <w:vAlign w:val="center"/>
          </w:tcPr>
          <w:p>
            <w:pPr>
              <w:widowControl/>
              <w:jc w:val="center"/>
              <w:textAlignment w:val="center"/>
              <w:rPr>
                <w:rFonts w:hint="default" w:ascii="宋体" w:hAnsi="宋体" w:eastAsia="宋体" w:cs="Times New Roman"/>
                <w:b/>
                <w:bCs/>
                <w:kern w:val="2"/>
                <w:sz w:val="21"/>
                <w:szCs w:val="21"/>
                <w:lang w:val="en-US" w:eastAsia="zh-CN" w:bidi="ar-SA"/>
              </w:rPr>
            </w:pPr>
            <w:r>
              <w:rPr>
                <w:rFonts w:hint="eastAsia" w:ascii="宋体" w:hAnsi="宋体" w:eastAsia="宋体" w:cs="宋体"/>
                <w:b/>
                <w:bCs/>
                <w:color w:val="000000"/>
                <w:kern w:val="0"/>
                <w:szCs w:val="21"/>
                <w:lang w:bidi="ar"/>
              </w:rPr>
              <w:t>电子教学软件</w:t>
            </w:r>
          </w:p>
        </w:tc>
        <w:tc>
          <w:tcPr>
            <w:tcW w:w="3946" w:type="pct"/>
          </w:tcPr>
          <w:p>
            <w:pPr>
              <w:widowControl/>
              <w:spacing w:line="288" w:lineRule="auto"/>
              <w:jc w:val="left"/>
              <w:textAlignment w:val="center"/>
              <w:rPr>
                <w:rFonts w:hAnsi="宋体" w:eastAsia="宋体"/>
                <w:sz w:val="21"/>
                <w:szCs w:val="21"/>
              </w:rPr>
            </w:pPr>
            <w:r>
              <w:rPr>
                <w:rStyle w:val="109"/>
                <w:rFonts w:hint="default"/>
                <w:sz w:val="21"/>
                <w:szCs w:val="21"/>
                <w:lang w:bidi="ar"/>
              </w:rPr>
              <w:t>1.提供屏幕分享、示范转播、电子白板功能，屏幕分享具备时移功能。屏幕分享可同时分享摄像头画面。屏幕转播时提供选择客户端列表进行转播、转播时可以转播客户端电脑声音。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38" w:type="pct"/>
            <w:vAlign w:val="center"/>
          </w:tcPr>
          <w:p>
            <w:pPr>
              <w:adjustRightInd w:val="0"/>
              <w:snapToGrid w:val="0"/>
              <w:spacing w:line="276" w:lineRule="auto"/>
              <w:jc w:val="center"/>
              <w:rPr>
                <w:rFonts w:ascii="宋体" w:hAnsi="宋体" w:eastAsia="宋体" w:cstheme="minorEastAsia"/>
                <w:szCs w:val="21"/>
              </w:rPr>
            </w:pPr>
            <w:r>
              <w:rPr>
                <w:rFonts w:hint="eastAsia" w:ascii="宋体" w:hAnsi="宋体" w:eastAsia="宋体" w:cstheme="minorEastAsia"/>
                <w:szCs w:val="21"/>
              </w:rPr>
              <w:t>2</w:t>
            </w:r>
          </w:p>
        </w:tc>
        <w:tc>
          <w:tcPr>
            <w:tcW w:w="615" w:type="pct"/>
            <w:vMerge w:val="continue"/>
          </w:tcPr>
          <w:p>
            <w:pPr>
              <w:widowControl/>
              <w:spacing w:line="288" w:lineRule="auto"/>
              <w:jc w:val="left"/>
              <w:textAlignment w:val="center"/>
              <w:rPr>
                <w:rStyle w:val="111"/>
                <w:rFonts w:hint="default"/>
                <w:sz w:val="21"/>
                <w:szCs w:val="21"/>
                <w:lang w:bidi="ar"/>
              </w:rPr>
            </w:pPr>
          </w:p>
        </w:tc>
        <w:tc>
          <w:tcPr>
            <w:tcW w:w="3946" w:type="pct"/>
          </w:tcPr>
          <w:p>
            <w:pPr>
              <w:widowControl/>
              <w:spacing w:line="288" w:lineRule="auto"/>
              <w:jc w:val="left"/>
              <w:textAlignment w:val="center"/>
              <w:rPr>
                <w:rFonts w:ascii="宋体" w:hAnsi="宋体" w:eastAsia="宋体"/>
                <w:szCs w:val="21"/>
              </w:rPr>
            </w:pPr>
            <w:r>
              <w:rPr>
                <w:rStyle w:val="111"/>
                <w:rFonts w:hint="default"/>
                <w:sz w:val="21"/>
                <w:szCs w:val="21"/>
                <w:lang w:bidi="ar"/>
              </w:rPr>
              <w:t>6.测评系统中包括随堂考试、学生抢答、作业管理。随堂考试支持图表统计考试结果。作业管理包括学科分类、查询作业提交记录、设置提交目录等。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38" w:type="pct"/>
            <w:vAlign w:val="center"/>
          </w:tcPr>
          <w:p>
            <w:pPr>
              <w:adjustRightInd w:val="0"/>
              <w:snapToGrid w:val="0"/>
              <w:spacing w:line="276" w:lineRule="auto"/>
              <w:jc w:val="center"/>
              <w:rPr>
                <w:rFonts w:ascii="宋体" w:hAnsi="宋体" w:eastAsia="宋体" w:cstheme="minorEastAsia"/>
                <w:szCs w:val="21"/>
              </w:rPr>
            </w:pPr>
            <w:r>
              <w:rPr>
                <w:rFonts w:hint="eastAsia" w:ascii="宋体" w:hAnsi="宋体" w:eastAsia="宋体" w:cstheme="minorEastAsia"/>
                <w:szCs w:val="21"/>
              </w:rPr>
              <w:t>3</w:t>
            </w:r>
          </w:p>
        </w:tc>
        <w:tc>
          <w:tcPr>
            <w:tcW w:w="615" w:type="pct"/>
            <w:vMerge w:val="continue"/>
          </w:tcPr>
          <w:p>
            <w:pPr>
              <w:widowControl/>
              <w:spacing w:line="288" w:lineRule="auto"/>
              <w:jc w:val="left"/>
              <w:textAlignment w:val="center"/>
              <w:rPr>
                <w:rStyle w:val="111"/>
                <w:rFonts w:hint="default"/>
                <w:sz w:val="21"/>
                <w:szCs w:val="21"/>
                <w:lang w:bidi="ar"/>
              </w:rPr>
            </w:pPr>
          </w:p>
        </w:tc>
        <w:tc>
          <w:tcPr>
            <w:tcW w:w="3946" w:type="pct"/>
          </w:tcPr>
          <w:p>
            <w:pPr>
              <w:widowControl/>
              <w:spacing w:line="288" w:lineRule="auto"/>
              <w:jc w:val="left"/>
              <w:textAlignment w:val="center"/>
              <w:rPr>
                <w:rFonts w:ascii="宋体" w:hAnsi="宋体" w:eastAsia="宋体"/>
                <w:szCs w:val="21"/>
              </w:rPr>
            </w:pPr>
            <w:r>
              <w:rPr>
                <w:rStyle w:val="111"/>
                <w:rFonts w:hint="default"/>
                <w:sz w:val="21"/>
                <w:szCs w:val="21"/>
                <w:lang w:bidi="ar"/>
              </w:rPr>
              <w:t>13.行为记录功能可记录每个客户端所执行的程序信息、访问的网址信息，支持按日期查询和导出；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38" w:type="pct"/>
            <w:vAlign w:val="center"/>
          </w:tcPr>
          <w:p>
            <w:pPr>
              <w:adjustRightInd w:val="0"/>
              <w:snapToGrid w:val="0"/>
              <w:spacing w:line="276" w:lineRule="auto"/>
              <w:jc w:val="center"/>
              <w:rPr>
                <w:rFonts w:ascii="宋体" w:hAnsi="宋体" w:eastAsia="宋体" w:cstheme="minorEastAsia"/>
                <w:szCs w:val="21"/>
              </w:rPr>
            </w:pPr>
            <w:r>
              <w:rPr>
                <w:rFonts w:hint="eastAsia" w:ascii="宋体" w:hAnsi="宋体" w:eastAsia="宋体" w:cstheme="minorEastAsia"/>
                <w:szCs w:val="21"/>
              </w:rPr>
              <w:t>4</w:t>
            </w:r>
          </w:p>
        </w:tc>
        <w:tc>
          <w:tcPr>
            <w:tcW w:w="615" w:type="pct"/>
            <w:vMerge w:val="continue"/>
          </w:tcPr>
          <w:p>
            <w:pPr>
              <w:widowControl/>
              <w:spacing w:line="288" w:lineRule="auto"/>
              <w:jc w:val="left"/>
              <w:textAlignment w:val="center"/>
              <w:rPr>
                <w:rStyle w:val="111"/>
                <w:rFonts w:hint="default"/>
                <w:sz w:val="21"/>
                <w:szCs w:val="21"/>
                <w:lang w:bidi="ar"/>
              </w:rPr>
            </w:pPr>
          </w:p>
        </w:tc>
        <w:tc>
          <w:tcPr>
            <w:tcW w:w="3946" w:type="pct"/>
          </w:tcPr>
          <w:p>
            <w:pPr>
              <w:widowControl/>
              <w:spacing w:line="288" w:lineRule="auto"/>
              <w:jc w:val="left"/>
              <w:textAlignment w:val="center"/>
              <w:rPr>
                <w:rFonts w:ascii="宋体" w:hAnsi="宋体" w:eastAsia="宋体" w:cs="Segoe UI Symbol"/>
                <w:szCs w:val="21"/>
              </w:rPr>
            </w:pPr>
            <w:r>
              <w:rPr>
                <w:rStyle w:val="111"/>
                <w:rFonts w:hint="default"/>
                <w:sz w:val="21"/>
                <w:szCs w:val="21"/>
                <w:lang w:bidi="ar"/>
              </w:rPr>
              <w:t>19.资产信息模块可盘点所有终端设备的硬件信息和软件信息，硬件信息包括电脑型号、BIOS信息、CPU、内存、硬盘、网卡、声卡、显卡、显示器、键盘、鼠标、光驱、打印机、摄像头等，软件信息包括当前终端设备安装的所有软件名称。资产统计模块可统计软硬件安装的台数，提供资产变动记录有软硬件变化时会自动产生变动日志记录。提供资产导出功能，可导出Excel格式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38" w:type="pct"/>
            <w:vAlign w:val="center"/>
          </w:tcPr>
          <w:p>
            <w:pPr>
              <w:adjustRightInd w:val="0"/>
              <w:snapToGrid w:val="0"/>
              <w:spacing w:line="276" w:lineRule="auto"/>
              <w:jc w:val="center"/>
              <w:rPr>
                <w:rFonts w:ascii="宋体" w:hAnsi="宋体" w:eastAsia="宋体" w:cstheme="minorEastAsia"/>
                <w:szCs w:val="21"/>
              </w:rPr>
            </w:pPr>
            <w:r>
              <w:rPr>
                <w:rFonts w:hint="eastAsia" w:ascii="宋体" w:hAnsi="宋体" w:eastAsia="宋体" w:cstheme="minorEastAsia"/>
                <w:szCs w:val="21"/>
              </w:rPr>
              <w:t>5</w:t>
            </w:r>
          </w:p>
        </w:tc>
        <w:tc>
          <w:tcPr>
            <w:tcW w:w="615" w:type="pct"/>
            <w:vMerge w:val="continue"/>
          </w:tcPr>
          <w:p>
            <w:pPr>
              <w:widowControl/>
              <w:spacing w:line="288" w:lineRule="auto"/>
              <w:jc w:val="left"/>
              <w:textAlignment w:val="center"/>
              <w:rPr>
                <w:rStyle w:val="111"/>
                <w:rFonts w:hint="default"/>
                <w:sz w:val="21"/>
                <w:szCs w:val="21"/>
                <w:lang w:bidi="ar"/>
              </w:rPr>
            </w:pPr>
          </w:p>
        </w:tc>
        <w:tc>
          <w:tcPr>
            <w:tcW w:w="3946" w:type="pct"/>
          </w:tcPr>
          <w:p>
            <w:pPr>
              <w:widowControl/>
              <w:spacing w:line="288" w:lineRule="auto"/>
              <w:jc w:val="left"/>
              <w:textAlignment w:val="center"/>
              <w:rPr>
                <w:rFonts w:ascii="宋体" w:hAnsi="宋体" w:eastAsia="宋体" w:cs="Segoe UI Symbol"/>
                <w:szCs w:val="21"/>
              </w:rPr>
            </w:pPr>
            <w:r>
              <w:rPr>
                <w:rStyle w:val="111"/>
                <w:rFonts w:hint="default"/>
                <w:sz w:val="21"/>
                <w:szCs w:val="21"/>
                <w:lang w:bidi="ar"/>
              </w:rPr>
              <w:t>21.负载监控可实时更新所有在线客户端CPU占用率、内存占用率、带宽占用率、C盘占用率，以进度条百分比直观显示。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38" w:type="pct"/>
            <w:vAlign w:val="center"/>
          </w:tcPr>
          <w:p>
            <w:pPr>
              <w:adjustRightInd w:val="0"/>
              <w:snapToGrid w:val="0"/>
              <w:spacing w:line="276" w:lineRule="auto"/>
              <w:jc w:val="center"/>
              <w:rPr>
                <w:rFonts w:hint="eastAsia" w:ascii="宋体" w:hAnsi="宋体" w:eastAsia="宋体" w:cstheme="minorEastAsia"/>
                <w:szCs w:val="21"/>
                <w:lang w:val="en-US" w:eastAsia="zh-CN"/>
              </w:rPr>
            </w:pPr>
            <w:r>
              <w:rPr>
                <w:rFonts w:hint="eastAsia" w:ascii="宋体" w:hAnsi="宋体" w:eastAsia="宋体" w:cstheme="minorEastAsia"/>
                <w:szCs w:val="21"/>
                <w:lang w:val="en-US" w:eastAsia="zh-CN"/>
              </w:rPr>
              <w:t>6</w:t>
            </w:r>
          </w:p>
        </w:tc>
        <w:tc>
          <w:tcPr>
            <w:tcW w:w="615" w:type="pct"/>
            <w:vMerge w:val="continue"/>
          </w:tcPr>
          <w:p>
            <w:pPr>
              <w:widowControl/>
              <w:spacing w:line="288" w:lineRule="auto"/>
              <w:jc w:val="left"/>
              <w:textAlignment w:val="center"/>
              <w:rPr>
                <w:rStyle w:val="111"/>
                <w:rFonts w:hint="default"/>
                <w:sz w:val="21"/>
                <w:szCs w:val="21"/>
                <w:lang w:bidi="ar"/>
              </w:rPr>
            </w:pPr>
          </w:p>
        </w:tc>
        <w:tc>
          <w:tcPr>
            <w:tcW w:w="3946" w:type="pct"/>
          </w:tcPr>
          <w:p>
            <w:pPr>
              <w:widowControl/>
              <w:spacing w:line="288" w:lineRule="auto"/>
              <w:jc w:val="left"/>
              <w:textAlignment w:val="center"/>
              <w:rPr>
                <w:rStyle w:val="111"/>
                <w:rFonts w:hint="default"/>
                <w:sz w:val="21"/>
                <w:szCs w:val="21"/>
                <w:lang w:bidi="ar"/>
              </w:rPr>
            </w:pPr>
            <w:r>
              <w:rPr>
                <w:rStyle w:val="112"/>
                <w:rFonts w:hint="eastAsia"/>
                <w:color w:val="auto"/>
                <w:sz w:val="21"/>
                <w:szCs w:val="21"/>
                <w:lang w:val="en-US" w:eastAsia="zh-CN" w:bidi="ar"/>
              </w:rPr>
              <w:t>42.</w:t>
            </w:r>
            <w:r>
              <w:rPr>
                <w:rStyle w:val="112"/>
                <w:rFonts w:hint="eastAsia"/>
                <w:color w:val="auto"/>
                <w:sz w:val="21"/>
                <w:szCs w:val="21"/>
                <w:lang w:bidi="ar"/>
              </w:rPr>
              <w:t>录制回放:支持云端录制，课堂内容一键存档至个人云盘，方便后续复习和分享，如对接学校网络教学平台，相关录制视频可在课程建设时进行一键调用。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38" w:type="pct"/>
            <w:vAlign w:val="center"/>
          </w:tcPr>
          <w:p>
            <w:pPr>
              <w:adjustRightInd w:val="0"/>
              <w:snapToGrid w:val="0"/>
              <w:spacing w:line="276" w:lineRule="auto"/>
              <w:jc w:val="center"/>
              <w:rPr>
                <w:rFonts w:hint="eastAsia" w:ascii="宋体" w:hAnsi="宋体" w:eastAsia="宋体" w:cstheme="minorEastAsia"/>
                <w:szCs w:val="21"/>
                <w:lang w:val="en-US" w:eastAsia="zh-CN"/>
              </w:rPr>
            </w:pPr>
            <w:r>
              <w:rPr>
                <w:rFonts w:hint="eastAsia" w:ascii="宋体" w:hAnsi="宋体" w:eastAsia="宋体" w:cstheme="minorEastAsia"/>
                <w:szCs w:val="21"/>
                <w:lang w:val="en-US" w:eastAsia="zh-CN"/>
              </w:rPr>
              <w:t>7</w:t>
            </w:r>
          </w:p>
        </w:tc>
        <w:tc>
          <w:tcPr>
            <w:tcW w:w="615" w:type="pct"/>
            <w:vMerge w:val="continue"/>
          </w:tcPr>
          <w:p>
            <w:pPr>
              <w:widowControl/>
              <w:spacing w:line="288" w:lineRule="auto"/>
              <w:jc w:val="left"/>
              <w:textAlignment w:val="center"/>
              <w:rPr>
                <w:rStyle w:val="111"/>
                <w:rFonts w:hint="default"/>
                <w:sz w:val="21"/>
                <w:szCs w:val="21"/>
                <w:lang w:bidi="ar"/>
              </w:rPr>
            </w:pPr>
          </w:p>
        </w:tc>
        <w:tc>
          <w:tcPr>
            <w:tcW w:w="3946" w:type="pct"/>
          </w:tcPr>
          <w:p>
            <w:pPr>
              <w:widowControl/>
              <w:spacing w:line="288" w:lineRule="auto"/>
              <w:jc w:val="left"/>
              <w:textAlignment w:val="center"/>
              <w:rPr>
                <w:rStyle w:val="111"/>
                <w:rFonts w:hint="default"/>
                <w:sz w:val="21"/>
                <w:szCs w:val="21"/>
                <w:lang w:bidi="ar"/>
              </w:rPr>
            </w:pPr>
            <w:r>
              <w:rPr>
                <w:rStyle w:val="112"/>
                <w:rFonts w:hint="eastAsia"/>
                <w:color w:val="auto"/>
                <w:sz w:val="21"/>
                <w:szCs w:val="21"/>
                <w:lang w:val="en-US" w:eastAsia="zh-CN" w:bidi="ar"/>
              </w:rPr>
              <w:t>43.</w:t>
            </w:r>
            <w:r>
              <w:rPr>
                <w:rStyle w:val="112"/>
                <w:rFonts w:hint="eastAsia"/>
                <w:color w:val="auto"/>
                <w:sz w:val="21"/>
                <w:szCs w:val="21"/>
                <w:lang w:bidi="ar"/>
              </w:rPr>
              <w:t>同声翻译:支持将教师授课语音识别并翻译成设置语种以字幕方式展示于教师屏幕;支持教师对字幕展示进行设置可自由切换翻译语种，支持中转英、英转中、中转法、中转西班牙中转日、中转德、中转俄、中转韩、中转阿拉伯、中转葡萄牙、中转印地、中转意大利等10种以上语言;支持设置字幕的背景样式不透明度，以及字幕文字大学显示颜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38" w:type="pct"/>
            <w:vAlign w:val="center"/>
          </w:tcPr>
          <w:p>
            <w:pPr>
              <w:adjustRightInd w:val="0"/>
              <w:snapToGrid w:val="0"/>
              <w:spacing w:line="276" w:lineRule="auto"/>
              <w:jc w:val="center"/>
              <w:rPr>
                <w:rFonts w:hint="eastAsia" w:ascii="宋体" w:hAnsi="宋体" w:eastAsia="宋体" w:cstheme="minorEastAsia"/>
                <w:szCs w:val="21"/>
                <w:lang w:val="en-US" w:eastAsia="zh-CN"/>
              </w:rPr>
            </w:pPr>
            <w:r>
              <w:rPr>
                <w:rFonts w:hint="eastAsia" w:ascii="宋体" w:hAnsi="宋体" w:eastAsia="宋体" w:cstheme="minorEastAsia"/>
                <w:szCs w:val="21"/>
                <w:lang w:val="en-US" w:eastAsia="zh-CN"/>
              </w:rPr>
              <w:t>8</w:t>
            </w:r>
          </w:p>
        </w:tc>
        <w:tc>
          <w:tcPr>
            <w:tcW w:w="615" w:type="pct"/>
            <w:vMerge w:val="continue"/>
          </w:tcPr>
          <w:p>
            <w:pPr>
              <w:widowControl/>
              <w:spacing w:line="288" w:lineRule="auto"/>
              <w:jc w:val="left"/>
              <w:textAlignment w:val="center"/>
              <w:rPr>
                <w:rStyle w:val="111"/>
                <w:rFonts w:hint="default"/>
                <w:sz w:val="21"/>
                <w:szCs w:val="21"/>
                <w:lang w:bidi="ar"/>
              </w:rPr>
            </w:pPr>
          </w:p>
        </w:tc>
        <w:tc>
          <w:tcPr>
            <w:tcW w:w="3946" w:type="pct"/>
          </w:tcPr>
          <w:p>
            <w:pPr>
              <w:widowControl/>
              <w:spacing w:line="288" w:lineRule="auto"/>
              <w:jc w:val="left"/>
              <w:textAlignment w:val="center"/>
              <w:rPr>
                <w:rStyle w:val="111"/>
                <w:rFonts w:hint="default"/>
                <w:sz w:val="21"/>
                <w:szCs w:val="21"/>
                <w:lang w:bidi="ar"/>
              </w:rPr>
            </w:pPr>
            <w:r>
              <w:rPr>
                <w:rStyle w:val="112"/>
                <w:rFonts w:hint="eastAsia"/>
                <w:color w:val="auto"/>
                <w:sz w:val="21"/>
                <w:szCs w:val="21"/>
                <w:lang w:val="en-US" w:eastAsia="zh-CN" w:bidi="ar"/>
              </w:rPr>
              <w:t>44.</w:t>
            </w:r>
            <w:r>
              <w:rPr>
                <w:rStyle w:val="112"/>
                <w:rFonts w:hint="eastAsia"/>
                <w:color w:val="auto"/>
                <w:sz w:val="21"/>
                <w:szCs w:val="21"/>
                <w:lang w:bidi="ar"/>
              </w:rPr>
              <w:t>主题讨论:课堂中针对某一个主题让学生进行主题讨论。讨论内容支持文字、图片、视频等方式，系统支持按提交顺序以不同颜色--列举学生提交的内容，文本内容支持生成高频词组词云，快速总结观点。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38" w:type="pct"/>
            <w:vAlign w:val="center"/>
          </w:tcPr>
          <w:p>
            <w:pPr>
              <w:adjustRightInd w:val="0"/>
              <w:snapToGrid w:val="0"/>
              <w:spacing w:line="276" w:lineRule="auto"/>
              <w:jc w:val="center"/>
              <w:rPr>
                <w:rFonts w:hint="eastAsia" w:ascii="宋体" w:hAnsi="宋体" w:eastAsia="宋体" w:cstheme="minorEastAsia"/>
                <w:szCs w:val="21"/>
                <w:lang w:val="en-US" w:eastAsia="zh-CN"/>
              </w:rPr>
            </w:pPr>
            <w:r>
              <w:rPr>
                <w:rFonts w:hint="eastAsia" w:ascii="宋体" w:hAnsi="宋体" w:eastAsia="宋体" w:cstheme="minorEastAsia"/>
                <w:szCs w:val="21"/>
                <w:lang w:val="en-US" w:eastAsia="zh-CN"/>
              </w:rPr>
              <w:t>9</w:t>
            </w:r>
          </w:p>
        </w:tc>
        <w:tc>
          <w:tcPr>
            <w:tcW w:w="615" w:type="pct"/>
            <w:vMerge w:val="continue"/>
          </w:tcPr>
          <w:p>
            <w:pPr>
              <w:widowControl/>
              <w:spacing w:line="288" w:lineRule="auto"/>
              <w:jc w:val="left"/>
              <w:textAlignment w:val="center"/>
              <w:rPr>
                <w:rStyle w:val="111"/>
                <w:rFonts w:hint="default"/>
                <w:sz w:val="21"/>
                <w:szCs w:val="21"/>
                <w:lang w:bidi="ar"/>
              </w:rPr>
            </w:pPr>
          </w:p>
        </w:tc>
        <w:tc>
          <w:tcPr>
            <w:tcW w:w="3946" w:type="pct"/>
          </w:tcPr>
          <w:p>
            <w:pPr>
              <w:widowControl/>
              <w:spacing w:line="288" w:lineRule="auto"/>
              <w:jc w:val="left"/>
              <w:textAlignment w:val="center"/>
              <w:rPr>
                <w:rStyle w:val="111"/>
                <w:rFonts w:hint="default"/>
                <w:sz w:val="21"/>
                <w:szCs w:val="21"/>
                <w:lang w:bidi="ar"/>
              </w:rPr>
            </w:pPr>
            <w:r>
              <w:rPr>
                <w:rStyle w:val="112"/>
                <w:rFonts w:hint="eastAsia"/>
                <w:color w:val="auto"/>
                <w:sz w:val="21"/>
                <w:szCs w:val="21"/>
                <w:lang w:val="en-US" w:eastAsia="zh-CN" w:bidi="ar"/>
              </w:rPr>
              <w:t>45.</w:t>
            </w:r>
            <w:r>
              <w:rPr>
                <w:rStyle w:val="112"/>
                <w:rFonts w:hint="eastAsia"/>
                <w:color w:val="auto"/>
                <w:sz w:val="21"/>
                <w:szCs w:val="21"/>
                <w:lang w:bidi="ar"/>
              </w:rPr>
              <w:t>分组讨论:支持学生成立小组进行分组在线讨论，成组方式包括固定分组、学生自选分组、随机分组等，教师可在线参与各组专属讨论区，讨论结束后学生自动回到主课堂进行分组发言展示。</w:t>
            </w:r>
          </w:p>
        </w:tc>
      </w:tr>
    </w:tbl>
    <w:p>
      <w:pPr>
        <w:spacing w:line="288" w:lineRule="auto"/>
        <w:ind w:firstLine="420" w:firstLineChars="200"/>
        <w:rPr>
          <w:rFonts w:ascii="宋体" w:hAnsi="宋体" w:eastAsia="宋体"/>
          <w:szCs w:val="21"/>
        </w:rPr>
      </w:pPr>
      <w:r>
        <w:rPr>
          <w:rFonts w:hint="eastAsia" w:ascii="宋体" w:hAnsi="宋体" w:eastAsia="宋体"/>
          <w:szCs w:val="21"/>
        </w:rPr>
        <w:t>注：</w:t>
      </w:r>
      <w:r>
        <w:rPr>
          <w:rFonts w:ascii="宋体" w:hAnsi="宋体" w:eastAsia="宋体"/>
          <w:szCs w:val="21"/>
        </w:rPr>
        <w:t>演示U盘：</w:t>
      </w:r>
    </w:p>
    <w:p>
      <w:pPr>
        <w:spacing w:line="288" w:lineRule="auto"/>
        <w:ind w:firstLine="420" w:firstLineChars="200"/>
        <w:rPr>
          <w:rFonts w:ascii="宋体" w:hAnsi="宋体" w:eastAsia="宋体"/>
          <w:szCs w:val="21"/>
        </w:rPr>
      </w:pPr>
      <w:r>
        <w:rPr>
          <w:rFonts w:hint="eastAsia" w:ascii="宋体" w:hAnsi="宋体" w:eastAsia="宋体"/>
          <w:szCs w:val="21"/>
          <w:lang w:val="en-US" w:eastAsia="zh-CN"/>
        </w:rPr>
        <w:t>①</w:t>
      </w:r>
      <w:r>
        <w:rPr>
          <w:rFonts w:ascii="宋体" w:hAnsi="宋体" w:eastAsia="宋体"/>
          <w:szCs w:val="21"/>
        </w:rPr>
        <w:t>根据“电子交易/不见面开评标”原则，投标人需将以上演示及讲解过程录制视频，演示时长不超过15分钟以.mp4格式存储于U盘。投标人须自行核验U盘中的视频能正常播放，保证视频无需转码即可直接用主流播放器打开播放。</w:t>
      </w:r>
    </w:p>
    <w:p>
      <w:pPr>
        <w:spacing w:line="288" w:lineRule="auto"/>
        <w:ind w:firstLine="420" w:firstLineChars="200"/>
        <w:rPr>
          <w:rFonts w:ascii="宋体" w:hAnsi="宋体" w:eastAsia="宋体"/>
          <w:szCs w:val="21"/>
        </w:rPr>
      </w:pPr>
      <w:r>
        <w:rPr>
          <w:rFonts w:hint="eastAsia" w:ascii="宋体" w:hAnsi="宋体" w:eastAsia="宋体"/>
          <w:szCs w:val="21"/>
          <w:lang w:val="en-US" w:eastAsia="zh-CN"/>
        </w:rPr>
        <w:t>②</w:t>
      </w:r>
      <w:r>
        <w:rPr>
          <w:rFonts w:ascii="宋体" w:hAnsi="宋体" w:eastAsia="宋体"/>
          <w:szCs w:val="21"/>
        </w:rPr>
        <w:t>演示U盘以邮寄形式在响应文件提交截止时间前递交，演示U盘应当密封包装并在包装上标注演示U盘、项目名称、投标人名称并加盖公章</w:t>
      </w:r>
      <w:r>
        <w:rPr>
          <w:rFonts w:hint="eastAsia" w:ascii="宋体" w:hAnsi="宋体" w:eastAsia="宋体"/>
          <w:b/>
          <w:bCs/>
          <w:szCs w:val="21"/>
        </w:rPr>
        <w:t>（投标人也可提供演示备份文件，一同放于</w:t>
      </w:r>
      <w:r>
        <w:rPr>
          <w:rFonts w:ascii="宋体" w:hAnsi="宋体" w:eastAsia="宋体"/>
          <w:b/>
          <w:bCs/>
          <w:szCs w:val="21"/>
        </w:rPr>
        <w:t>密封包装</w:t>
      </w:r>
      <w:r>
        <w:rPr>
          <w:rFonts w:hint="eastAsia" w:ascii="宋体" w:hAnsi="宋体" w:eastAsia="宋体"/>
          <w:b/>
          <w:bCs/>
          <w:szCs w:val="21"/>
        </w:rPr>
        <w:t>内，并且</w:t>
      </w:r>
      <w:r>
        <w:rPr>
          <w:rFonts w:ascii="宋体" w:hAnsi="宋体" w:eastAsia="宋体"/>
          <w:b/>
          <w:bCs/>
          <w:szCs w:val="21"/>
        </w:rPr>
        <w:t>标注</w:t>
      </w:r>
      <w:r>
        <w:rPr>
          <w:rFonts w:hint="eastAsia" w:ascii="宋体" w:hAnsi="宋体" w:eastAsia="宋体"/>
          <w:b/>
          <w:bCs/>
          <w:szCs w:val="21"/>
        </w:rPr>
        <w:t>“演示备份”。如演示在打开过程中无法读取或者无法正常播放，可启用“演示备份”文件）</w:t>
      </w:r>
      <w:r>
        <w:rPr>
          <w:rFonts w:ascii="宋体" w:hAnsi="宋体" w:eastAsia="宋体"/>
          <w:szCs w:val="21"/>
        </w:rPr>
        <w:t>。（邮寄地址：杭州市西湖区玉古路173号中田大厦21楼H室，浙江求是招标代理有限公司（</w:t>
      </w:r>
      <w:r>
        <w:rPr>
          <w:rFonts w:hint="eastAsia" w:ascii="宋体" w:hAnsi="宋体" w:eastAsia="宋体"/>
          <w:szCs w:val="21"/>
          <w:lang w:val="en-US" w:eastAsia="zh-CN"/>
        </w:rPr>
        <w:t>叶鲁茂</w:t>
      </w:r>
      <w:r>
        <w:rPr>
          <w:rFonts w:ascii="宋体" w:hAnsi="宋体" w:eastAsia="宋体"/>
          <w:szCs w:val="21"/>
        </w:rPr>
        <w:t>）收，电话：0571-87666117，寄出后将（快递单号、项目名称、公司名称、联系方式等相关信息）发至：zb05@qszb.net，以便查收）。</w:t>
      </w:r>
    </w:p>
    <w:p>
      <w:pPr>
        <w:spacing w:line="288" w:lineRule="auto"/>
        <w:ind w:firstLine="420" w:firstLineChars="200"/>
        <w:rPr>
          <w:rFonts w:ascii="宋体" w:hAnsi="宋体" w:eastAsia="宋体"/>
          <w:szCs w:val="21"/>
        </w:rPr>
      </w:pPr>
      <w:r>
        <w:rPr>
          <w:rFonts w:hint="eastAsia" w:ascii="宋体" w:hAnsi="宋体" w:eastAsia="宋体"/>
          <w:szCs w:val="21"/>
          <w:lang w:val="en-US" w:eastAsia="zh-CN"/>
        </w:rPr>
        <w:t>③</w:t>
      </w:r>
      <w:r>
        <w:rPr>
          <w:rFonts w:ascii="宋体" w:hAnsi="宋体" w:eastAsia="宋体"/>
          <w:szCs w:val="21"/>
        </w:rPr>
        <w:t>未按</w:t>
      </w:r>
      <w:r>
        <w:rPr>
          <w:rFonts w:hint="eastAsia" w:ascii="宋体" w:hAnsi="宋体" w:eastAsia="宋体"/>
          <w:szCs w:val="21"/>
        </w:rPr>
        <w:t>招标</w:t>
      </w:r>
      <w:r>
        <w:rPr>
          <w:rFonts w:ascii="宋体" w:hAnsi="宋体" w:eastAsia="宋体"/>
          <w:szCs w:val="21"/>
        </w:rPr>
        <w:t>文件要求提供演示U盘造成评审专家无法正常评审的风险由投标人自行承担。</w:t>
      </w:r>
      <w:r>
        <w:rPr>
          <w:rFonts w:hint="eastAsia" w:ascii="宋体" w:hAnsi="宋体" w:eastAsia="宋体"/>
          <w:szCs w:val="21"/>
        </w:rPr>
        <w:t>因投标人自身原因导致无法演示或者演示效果不理想的，责任自负。</w:t>
      </w:r>
    </w:p>
    <w:p>
      <w:pPr>
        <w:spacing w:line="288" w:lineRule="auto"/>
        <w:ind w:firstLine="420" w:firstLineChars="200"/>
        <w:rPr>
          <w:rFonts w:ascii="宋体" w:hAnsi="宋体" w:eastAsia="宋体"/>
          <w:szCs w:val="21"/>
        </w:rPr>
      </w:pPr>
      <w:r>
        <w:rPr>
          <w:rFonts w:hint="eastAsia" w:ascii="宋体" w:hAnsi="宋体" w:eastAsia="宋体"/>
          <w:szCs w:val="21"/>
          <w:lang w:val="en-US" w:eastAsia="zh-CN"/>
        </w:rPr>
        <w:t>④</w:t>
      </w:r>
      <w:r>
        <w:rPr>
          <w:rFonts w:ascii="宋体" w:hAnsi="宋体" w:eastAsia="宋体"/>
          <w:szCs w:val="21"/>
        </w:rPr>
        <w:t>未提供演示的或提供ppt等其他形式演示的，演示分为0分。</w:t>
      </w:r>
    </w:p>
    <w:p>
      <w:pPr>
        <w:adjustRightInd w:val="0"/>
        <w:snapToGrid w:val="0"/>
        <w:spacing w:line="288" w:lineRule="auto"/>
        <w:rPr>
          <w:rFonts w:ascii="宋体" w:hAnsi="宋体" w:eastAsia="宋体" w:cs="Times New Roman"/>
          <w:b/>
          <w:bCs/>
          <w:szCs w:val="21"/>
        </w:rPr>
      </w:pPr>
    </w:p>
    <w:p>
      <w:pPr>
        <w:widowControl/>
        <w:adjustRightInd w:val="0"/>
        <w:snapToGrid w:val="0"/>
        <w:spacing w:line="288" w:lineRule="auto"/>
        <w:jc w:val="left"/>
        <w:rPr>
          <w:rFonts w:ascii="宋体" w:hAnsi="宋体" w:eastAsia="宋体" w:cs="Times New Roman"/>
          <w:szCs w:val="21"/>
        </w:rPr>
      </w:pPr>
      <w:r>
        <w:rPr>
          <w:rFonts w:ascii="宋体" w:hAnsi="宋体" w:eastAsia="宋体" w:cs="Times New Roman"/>
          <w:szCs w:val="21"/>
        </w:rPr>
        <w:br w:type="page"/>
      </w:r>
    </w:p>
    <w:p>
      <w:pPr>
        <w:adjustRightInd w:val="0"/>
        <w:snapToGrid w:val="0"/>
        <w:jc w:val="center"/>
        <w:rPr>
          <w:rFonts w:hint="eastAsia" w:ascii="宋体" w:hAnsi="宋体" w:eastAsia="宋体" w:cs="宋体"/>
          <w:b/>
          <w:bCs/>
          <w:sz w:val="21"/>
          <w:szCs w:val="21"/>
        </w:rPr>
      </w:pPr>
      <w:r>
        <w:rPr>
          <w:rFonts w:hint="eastAsia" w:ascii="宋体" w:hAnsi="宋体" w:eastAsia="宋体" w:cs="宋体"/>
          <w:b/>
          <w:bCs/>
          <w:sz w:val="21"/>
          <w:szCs w:val="21"/>
        </w:rPr>
        <w:t>需提供的证明材料</w:t>
      </w:r>
    </w:p>
    <w:p>
      <w:pPr>
        <w:adjustRightInd w:val="0"/>
        <w:snapToGrid w:val="0"/>
        <w:jc w:val="center"/>
        <w:rPr>
          <w:rFonts w:hint="eastAsia" w:ascii="宋体" w:hAnsi="宋体" w:eastAsia="宋体" w:cs="宋体"/>
          <w:b/>
          <w:bCs/>
          <w:sz w:val="21"/>
          <w:szCs w:val="21"/>
        </w:rPr>
      </w:pPr>
      <w:r>
        <w:rPr>
          <w:rFonts w:hint="eastAsia" w:ascii="宋体" w:hAnsi="宋体" w:eastAsia="宋体" w:cs="宋体"/>
          <w:b/>
          <w:bCs/>
          <w:sz w:val="21"/>
          <w:szCs w:val="21"/>
        </w:rPr>
        <w:t>（技术要求需提供的证明材料以此表为准，未提供证明材料或提供材料不符合技术要求均视为该指标负偏离）</w:t>
      </w:r>
    </w:p>
    <w:tbl>
      <w:tblPr>
        <w:tblStyle w:val="23"/>
        <w:tblW w:w="961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431"/>
        <w:gridCol w:w="2703"/>
        <w:gridCol w:w="395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9" w:type="dxa"/>
            <w:noWrap w:val="0"/>
            <w:vAlign w:val="center"/>
          </w:tcPr>
          <w:p>
            <w:pPr>
              <w:adjustRightInd w:val="0"/>
              <w:snapToGrid w:val="0"/>
              <w:spacing w:line="276" w:lineRule="auto"/>
              <w:jc w:val="center"/>
              <w:rPr>
                <w:rFonts w:hint="eastAsia" w:ascii="宋体" w:hAnsi="宋体" w:eastAsia="宋体" w:cs="宋体"/>
                <w:b/>
                <w:sz w:val="21"/>
                <w:szCs w:val="21"/>
              </w:rPr>
            </w:pPr>
            <w:r>
              <w:rPr>
                <w:rFonts w:hint="eastAsia" w:ascii="宋体" w:hAnsi="宋体" w:eastAsia="宋体" w:cs="宋体"/>
                <w:b/>
                <w:sz w:val="21"/>
                <w:szCs w:val="21"/>
                <w:lang w:val="en-US" w:eastAsia="zh-CN"/>
              </w:rPr>
              <w:t>清单</w:t>
            </w:r>
            <w:r>
              <w:rPr>
                <w:rFonts w:hint="eastAsia" w:ascii="宋体" w:hAnsi="宋体" w:eastAsia="宋体" w:cs="宋体"/>
                <w:b/>
                <w:sz w:val="21"/>
                <w:szCs w:val="21"/>
              </w:rPr>
              <w:t>序号</w:t>
            </w:r>
          </w:p>
        </w:tc>
        <w:tc>
          <w:tcPr>
            <w:tcW w:w="1431" w:type="dxa"/>
            <w:noWrap w:val="0"/>
            <w:vAlign w:val="center"/>
          </w:tcPr>
          <w:p>
            <w:pPr>
              <w:adjustRightInd w:val="0"/>
              <w:snapToGrid w:val="0"/>
              <w:spacing w:line="276" w:lineRule="auto"/>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2703" w:type="dxa"/>
            <w:noWrap w:val="0"/>
            <w:vAlign w:val="center"/>
          </w:tcPr>
          <w:p>
            <w:pPr>
              <w:adjustRightInd w:val="0"/>
              <w:snapToGrid w:val="0"/>
              <w:spacing w:line="276" w:lineRule="auto"/>
              <w:jc w:val="center"/>
              <w:rPr>
                <w:rFonts w:hint="eastAsia" w:ascii="宋体" w:hAnsi="宋体" w:eastAsia="宋体" w:cs="宋体"/>
                <w:b/>
                <w:sz w:val="21"/>
                <w:szCs w:val="21"/>
              </w:rPr>
            </w:pPr>
            <w:r>
              <w:rPr>
                <w:rFonts w:hint="eastAsia" w:ascii="宋体" w:hAnsi="宋体" w:eastAsia="宋体" w:cs="宋体"/>
                <w:b/>
                <w:sz w:val="21"/>
                <w:szCs w:val="21"/>
              </w:rPr>
              <w:t>证明材料名称</w:t>
            </w:r>
          </w:p>
        </w:tc>
        <w:tc>
          <w:tcPr>
            <w:tcW w:w="3959" w:type="dxa"/>
            <w:noWrap w:val="0"/>
            <w:vAlign w:val="center"/>
          </w:tcPr>
          <w:p>
            <w:pPr>
              <w:adjustRightInd w:val="0"/>
              <w:snapToGrid w:val="0"/>
              <w:spacing w:line="276" w:lineRule="auto"/>
              <w:jc w:val="center"/>
              <w:rPr>
                <w:rFonts w:hint="eastAsia" w:ascii="宋体" w:hAnsi="宋体" w:eastAsia="宋体" w:cs="宋体"/>
                <w:b/>
                <w:sz w:val="21"/>
                <w:szCs w:val="21"/>
              </w:rPr>
            </w:pPr>
            <w:r>
              <w:rPr>
                <w:rFonts w:hint="eastAsia" w:ascii="宋体" w:hAnsi="宋体" w:eastAsia="宋体" w:cs="宋体"/>
                <w:b/>
                <w:sz w:val="21"/>
                <w:szCs w:val="21"/>
              </w:rPr>
              <w:t>验证指标（每项为一指标项）</w:t>
            </w:r>
          </w:p>
        </w:tc>
        <w:tc>
          <w:tcPr>
            <w:tcW w:w="709" w:type="dxa"/>
            <w:noWrap w:val="0"/>
            <w:vAlign w:val="center"/>
          </w:tcPr>
          <w:p>
            <w:pPr>
              <w:adjustRightInd w:val="0"/>
              <w:snapToGrid w:val="0"/>
              <w:spacing w:line="276" w:lineRule="auto"/>
              <w:jc w:val="center"/>
              <w:rPr>
                <w:rFonts w:hint="eastAsia" w:ascii="宋体" w:hAnsi="宋体" w:eastAsia="宋体" w:cs="宋体"/>
                <w:b/>
                <w:sz w:val="21"/>
                <w:szCs w:val="21"/>
              </w:rPr>
            </w:pPr>
            <w:r>
              <w:rPr>
                <w:rFonts w:hint="eastAsia" w:ascii="宋体" w:hAnsi="宋体" w:eastAsia="宋体" w:cs="宋体"/>
                <w:b/>
                <w:sz w:val="21"/>
                <w:szCs w:val="21"/>
              </w:rPr>
              <w:t>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9" w:type="dxa"/>
            <w:vMerge w:val="restart"/>
            <w:noWrap w:val="0"/>
            <w:vAlign w:val="center"/>
          </w:tcPr>
          <w:p>
            <w:pPr>
              <w:adjustRightInd w:val="0"/>
              <w:snapToGrid w:val="0"/>
              <w:spacing w:line="276" w:lineRule="auto"/>
              <w:jc w:val="center"/>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1</w:t>
            </w:r>
          </w:p>
        </w:tc>
        <w:tc>
          <w:tcPr>
            <w:tcW w:w="1431" w:type="dxa"/>
            <w:vMerge w:val="restart"/>
            <w:noWrap w:val="0"/>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bCs/>
                <w:color w:val="000000"/>
                <w:kern w:val="0"/>
                <w:szCs w:val="21"/>
                <w:lang w:bidi="ar"/>
              </w:rPr>
              <w:t>一体教学控制终端</w:t>
            </w:r>
          </w:p>
        </w:tc>
        <w:tc>
          <w:tcPr>
            <w:tcW w:w="2703" w:type="dxa"/>
            <w:noWrap w:val="0"/>
            <w:vAlign w:val="center"/>
          </w:tcPr>
          <w:p>
            <w:pPr>
              <w:adjustRightInd w:val="0"/>
              <w:snapToGrid w:val="0"/>
              <w:spacing w:line="276" w:lineRule="auto"/>
              <w:jc w:val="center"/>
              <w:rPr>
                <w:rFonts w:hint="eastAsia" w:ascii="宋体" w:hAnsi="宋体" w:eastAsia="宋体" w:cs="宋体"/>
                <w:b/>
                <w:sz w:val="21"/>
                <w:szCs w:val="21"/>
              </w:rPr>
            </w:pPr>
            <w:r>
              <w:rPr>
                <w:rFonts w:hint="eastAsia" w:ascii="宋体" w:hAnsi="宋体" w:eastAsia="宋体" w:cs="宋体"/>
                <w:b/>
                <w:bCs/>
                <w:color w:val="000000"/>
                <w:kern w:val="0"/>
                <w:szCs w:val="21"/>
                <w:lang w:bidi="ar"/>
              </w:rPr>
              <w:t>（提供相关证明材料）</w:t>
            </w:r>
          </w:p>
        </w:tc>
        <w:tc>
          <w:tcPr>
            <w:tcW w:w="3959" w:type="dxa"/>
            <w:noWrap w:val="0"/>
            <w:vAlign w:val="center"/>
          </w:tcPr>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一、整体设计</w:t>
            </w:r>
          </w:p>
          <w:p>
            <w:pPr>
              <w:widowControl/>
              <w:spacing w:line="288" w:lineRule="auto"/>
              <w:jc w:val="left"/>
              <w:textAlignment w:val="bottom"/>
              <w:rPr>
                <w:rFonts w:hint="eastAsia" w:ascii="宋体" w:hAnsi="宋体" w:eastAsia="宋体" w:cs="宋体"/>
                <w:b/>
                <w:sz w:val="21"/>
                <w:szCs w:val="21"/>
              </w:rPr>
            </w:pPr>
            <w:r>
              <w:rPr>
                <w:rFonts w:hint="eastAsia" w:ascii="宋体" w:hAnsi="宋体" w:eastAsia="宋体" w:cs="宋体"/>
                <w:color w:val="000000"/>
                <w:kern w:val="0"/>
                <w:szCs w:val="21"/>
                <w:lang w:bidi="ar"/>
              </w:rPr>
              <w:t>★3.整机支持双路可插拔模块，一个槽位支持OPS模块插拔，另一个槽位支持AI模块插拔，用于设备能力提升。</w:t>
            </w:r>
          </w:p>
        </w:tc>
        <w:tc>
          <w:tcPr>
            <w:tcW w:w="709" w:type="dxa"/>
            <w:noWrap w:val="0"/>
            <w:vAlign w:val="center"/>
          </w:tcPr>
          <w:p>
            <w:pPr>
              <w:adjustRightInd w:val="0"/>
              <w:snapToGrid w:val="0"/>
              <w:spacing w:line="276" w:lineRule="auto"/>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9" w:type="dxa"/>
            <w:vMerge w:val="continue"/>
            <w:noWrap w:val="0"/>
            <w:vAlign w:val="center"/>
          </w:tcPr>
          <w:p>
            <w:pPr>
              <w:adjustRightInd w:val="0"/>
              <w:snapToGrid w:val="0"/>
              <w:spacing w:line="276" w:lineRule="auto"/>
              <w:jc w:val="center"/>
              <w:rPr>
                <w:rFonts w:hint="eastAsia" w:ascii="宋体" w:hAnsi="宋体" w:eastAsia="宋体" w:cs="宋体"/>
                <w:b/>
                <w:sz w:val="21"/>
                <w:szCs w:val="21"/>
                <w:lang w:val="en-US" w:eastAsia="zh-CN"/>
              </w:rPr>
            </w:pPr>
          </w:p>
        </w:tc>
        <w:tc>
          <w:tcPr>
            <w:tcW w:w="1431" w:type="dxa"/>
            <w:vMerge w:val="continue"/>
            <w:noWrap w:val="0"/>
            <w:vAlign w:val="center"/>
          </w:tcPr>
          <w:p>
            <w:pPr>
              <w:adjustRightInd w:val="0"/>
              <w:snapToGrid w:val="0"/>
              <w:spacing w:line="276" w:lineRule="auto"/>
              <w:jc w:val="center"/>
              <w:rPr>
                <w:rFonts w:hint="eastAsia" w:ascii="宋体" w:hAnsi="宋体" w:eastAsia="宋体" w:cs="宋体"/>
                <w:b/>
                <w:sz w:val="21"/>
                <w:szCs w:val="21"/>
              </w:rPr>
            </w:pPr>
          </w:p>
        </w:tc>
        <w:tc>
          <w:tcPr>
            <w:tcW w:w="2703" w:type="dxa"/>
            <w:noWrap w:val="0"/>
            <w:vAlign w:val="center"/>
          </w:tcPr>
          <w:p>
            <w:pPr>
              <w:adjustRightInd w:val="0"/>
              <w:snapToGrid w:val="0"/>
              <w:spacing w:line="276" w:lineRule="auto"/>
              <w:jc w:val="center"/>
              <w:rPr>
                <w:rFonts w:hint="eastAsia" w:ascii="宋体" w:hAnsi="宋体" w:eastAsia="宋体" w:cs="宋体"/>
                <w:b/>
                <w:sz w:val="21"/>
                <w:szCs w:val="21"/>
              </w:rPr>
            </w:pPr>
            <w:r>
              <w:rPr>
                <w:rFonts w:hint="eastAsia" w:ascii="宋体" w:hAnsi="宋体" w:eastAsia="宋体" w:cs="宋体"/>
                <w:b/>
                <w:bCs/>
                <w:color w:val="000000"/>
                <w:kern w:val="0"/>
                <w:szCs w:val="21"/>
                <w:lang w:bidi="ar"/>
              </w:rPr>
              <w:t>（提供具备CMA标识的第三方检测机构出具的检测报告复印件并加盖公章）</w:t>
            </w:r>
          </w:p>
        </w:tc>
        <w:tc>
          <w:tcPr>
            <w:tcW w:w="3959" w:type="dxa"/>
            <w:noWrap w:val="0"/>
            <w:vAlign w:val="center"/>
          </w:tcPr>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二、护眼显示</w:t>
            </w:r>
          </w:p>
          <w:p>
            <w:pPr>
              <w:widowControl/>
              <w:spacing w:line="288" w:lineRule="auto"/>
              <w:jc w:val="left"/>
              <w:textAlignment w:val="bottom"/>
              <w:rPr>
                <w:rFonts w:hint="eastAsia" w:ascii="宋体" w:hAnsi="宋体" w:eastAsia="宋体" w:cs="宋体"/>
                <w:b/>
                <w:sz w:val="21"/>
                <w:szCs w:val="21"/>
              </w:rPr>
            </w:pPr>
            <w:r>
              <w:rPr>
                <w:rFonts w:hint="eastAsia" w:ascii="宋体" w:hAnsi="宋体" w:eastAsia="宋体" w:cs="宋体"/>
                <w:color w:val="000000"/>
                <w:kern w:val="0"/>
                <w:szCs w:val="21"/>
                <w:lang w:bidi="ar"/>
              </w:rPr>
              <w:t>★3.整机支持色彩空间可选，包含标准模式和sRGB模式，在sRGB模式下可做到高色准△E≤1.0。</w:t>
            </w:r>
          </w:p>
        </w:tc>
        <w:tc>
          <w:tcPr>
            <w:tcW w:w="709" w:type="dxa"/>
            <w:noWrap w:val="0"/>
            <w:vAlign w:val="center"/>
          </w:tcPr>
          <w:p>
            <w:pPr>
              <w:adjustRightInd w:val="0"/>
              <w:snapToGrid w:val="0"/>
              <w:spacing w:line="276" w:lineRule="auto"/>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809" w:type="dxa"/>
            <w:vMerge w:val="continue"/>
            <w:noWrap w:val="0"/>
            <w:vAlign w:val="center"/>
          </w:tcPr>
          <w:p>
            <w:pPr>
              <w:adjustRightInd w:val="0"/>
              <w:snapToGrid w:val="0"/>
              <w:spacing w:line="276" w:lineRule="auto"/>
              <w:jc w:val="center"/>
              <w:rPr>
                <w:rFonts w:hint="eastAsia" w:ascii="宋体" w:hAnsi="宋体" w:eastAsia="宋体" w:cs="宋体"/>
                <w:b/>
                <w:sz w:val="21"/>
                <w:szCs w:val="21"/>
                <w:lang w:val="en-US" w:eastAsia="zh-CN"/>
              </w:rPr>
            </w:pPr>
          </w:p>
        </w:tc>
        <w:tc>
          <w:tcPr>
            <w:tcW w:w="1431" w:type="dxa"/>
            <w:vMerge w:val="continue"/>
            <w:noWrap w:val="0"/>
            <w:vAlign w:val="center"/>
          </w:tcPr>
          <w:p>
            <w:pPr>
              <w:adjustRightInd w:val="0"/>
              <w:snapToGrid w:val="0"/>
              <w:spacing w:line="276" w:lineRule="auto"/>
              <w:jc w:val="center"/>
              <w:rPr>
                <w:rFonts w:hint="eastAsia" w:ascii="宋体" w:hAnsi="宋体" w:eastAsia="宋体" w:cs="宋体"/>
                <w:b/>
                <w:sz w:val="21"/>
                <w:szCs w:val="21"/>
              </w:rPr>
            </w:pPr>
          </w:p>
        </w:tc>
        <w:tc>
          <w:tcPr>
            <w:tcW w:w="2703" w:type="dxa"/>
            <w:noWrap w:val="0"/>
            <w:vAlign w:val="center"/>
          </w:tcPr>
          <w:p>
            <w:pPr>
              <w:adjustRightInd w:val="0"/>
              <w:snapToGrid w:val="0"/>
              <w:spacing w:line="276" w:lineRule="auto"/>
              <w:jc w:val="center"/>
              <w:rPr>
                <w:rFonts w:hint="eastAsia" w:ascii="宋体" w:hAnsi="宋体" w:eastAsia="宋体" w:cs="宋体"/>
                <w:b/>
                <w:sz w:val="21"/>
                <w:szCs w:val="21"/>
              </w:rPr>
            </w:pPr>
            <w:r>
              <w:rPr>
                <w:rFonts w:hint="eastAsia" w:ascii="宋体" w:hAnsi="宋体" w:eastAsia="宋体" w:cs="宋体"/>
                <w:b/>
                <w:bCs/>
                <w:color w:val="000000"/>
                <w:kern w:val="0"/>
                <w:szCs w:val="21"/>
                <w:lang w:bidi="ar"/>
              </w:rPr>
              <w:t>（提供具备CMA标识的第三方检测机构出具的检测报告复印件并加盖公章）</w:t>
            </w:r>
          </w:p>
        </w:tc>
        <w:tc>
          <w:tcPr>
            <w:tcW w:w="3959" w:type="dxa"/>
            <w:noWrap w:val="0"/>
            <w:vAlign w:val="center"/>
          </w:tcPr>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四、画面采集</w:t>
            </w:r>
          </w:p>
          <w:p>
            <w:pPr>
              <w:widowControl/>
              <w:spacing w:line="288" w:lineRule="auto"/>
              <w:jc w:val="left"/>
              <w:textAlignment w:val="bottom"/>
              <w:rPr>
                <w:rFonts w:hint="eastAsia" w:ascii="宋体" w:hAnsi="宋体" w:eastAsia="宋体" w:cs="宋体"/>
                <w:b/>
                <w:sz w:val="21"/>
                <w:szCs w:val="21"/>
              </w:rPr>
            </w:pPr>
            <w:r>
              <w:rPr>
                <w:rFonts w:hint="eastAsia" w:ascii="宋体" w:hAnsi="宋体" w:eastAsia="宋体" w:cs="宋体"/>
                <w:color w:val="000000"/>
                <w:kern w:val="0"/>
                <w:szCs w:val="21"/>
                <w:lang w:bidi="ar"/>
              </w:rPr>
              <w:t>★2.智能拼接摄像头部分：整机上边框内置非独立式≥3个智能拼接摄像头，支持清晰度TV lines≥1600 lines。视场角≥141度且水平视场角≥139度，可拍摄≥1600万像素的照片，支持输出≥8192×2048分辨率的照片和视频，支持画面畸变矫正功能。</w:t>
            </w:r>
          </w:p>
        </w:tc>
        <w:tc>
          <w:tcPr>
            <w:tcW w:w="709" w:type="dxa"/>
            <w:noWrap w:val="0"/>
            <w:vAlign w:val="center"/>
          </w:tcPr>
          <w:p>
            <w:pPr>
              <w:adjustRightInd w:val="0"/>
              <w:snapToGrid w:val="0"/>
              <w:spacing w:line="276" w:lineRule="auto"/>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9" w:type="dxa"/>
            <w:vMerge w:val="continue"/>
            <w:noWrap w:val="0"/>
            <w:vAlign w:val="center"/>
          </w:tcPr>
          <w:p>
            <w:pPr>
              <w:adjustRightInd w:val="0"/>
              <w:snapToGrid w:val="0"/>
              <w:spacing w:line="276" w:lineRule="auto"/>
              <w:jc w:val="center"/>
              <w:rPr>
                <w:rFonts w:hint="eastAsia" w:ascii="宋体" w:hAnsi="宋体" w:eastAsia="宋体" w:cs="宋体"/>
                <w:b/>
                <w:sz w:val="21"/>
                <w:szCs w:val="21"/>
                <w:lang w:val="en-US" w:eastAsia="zh-CN"/>
              </w:rPr>
            </w:pPr>
          </w:p>
        </w:tc>
        <w:tc>
          <w:tcPr>
            <w:tcW w:w="1431" w:type="dxa"/>
            <w:vMerge w:val="continue"/>
            <w:noWrap w:val="0"/>
            <w:vAlign w:val="center"/>
          </w:tcPr>
          <w:p>
            <w:pPr>
              <w:adjustRightInd w:val="0"/>
              <w:snapToGrid w:val="0"/>
              <w:spacing w:line="276" w:lineRule="auto"/>
              <w:jc w:val="center"/>
              <w:rPr>
                <w:rFonts w:hint="eastAsia" w:ascii="宋体" w:hAnsi="宋体" w:eastAsia="宋体" w:cs="宋体"/>
                <w:b/>
                <w:sz w:val="21"/>
                <w:szCs w:val="21"/>
              </w:rPr>
            </w:pPr>
          </w:p>
        </w:tc>
        <w:tc>
          <w:tcPr>
            <w:tcW w:w="2703" w:type="dxa"/>
            <w:noWrap w:val="0"/>
            <w:vAlign w:val="center"/>
          </w:tcPr>
          <w:p>
            <w:pPr>
              <w:adjustRightInd w:val="0"/>
              <w:snapToGrid w:val="0"/>
              <w:spacing w:line="276" w:lineRule="auto"/>
              <w:jc w:val="center"/>
              <w:rPr>
                <w:rFonts w:hint="eastAsia" w:ascii="宋体" w:hAnsi="宋体" w:eastAsia="宋体" w:cs="宋体"/>
                <w:b/>
                <w:sz w:val="21"/>
                <w:szCs w:val="21"/>
              </w:rPr>
            </w:pPr>
            <w:r>
              <w:rPr>
                <w:rFonts w:hint="eastAsia" w:ascii="宋体" w:hAnsi="宋体" w:eastAsia="宋体" w:cs="宋体"/>
                <w:b/>
                <w:bCs/>
                <w:color w:val="000000"/>
                <w:kern w:val="0"/>
                <w:szCs w:val="21"/>
                <w:lang w:bidi="ar"/>
              </w:rPr>
              <w:t>（提供</w:t>
            </w:r>
            <w:r>
              <w:rPr>
                <w:rFonts w:hint="eastAsia" w:ascii="宋体" w:hAnsi="宋体" w:eastAsia="宋体" w:cs="宋体"/>
                <w:b/>
                <w:bCs/>
                <w:color w:val="000000"/>
                <w:kern w:val="0"/>
                <w:szCs w:val="21"/>
                <w:lang w:val="en-US" w:eastAsia="zh-CN" w:bidi="ar"/>
              </w:rPr>
              <w:t>相关证明材料</w:t>
            </w:r>
            <w:r>
              <w:rPr>
                <w:rFonts w:hint="eastAsia" w:ascii="宋体" w:hAnsi="宋体" w:eastAsia="宋体" w:cs="宋体"/>
                <w:b/>
                <w:bCs/>
                <w:color w:val="000000"/>
                <w:kern w:val="0"/>
                <w:szCs w:val="21"/>
                <w:lang w:bidi="ar"/>
              </w:rPr>
              <w:t>）</w:t>
            </w:r>
          </w:p>
        </w:tc>
        <w:tc>
          <w:tcPr>
            <w:tcW w:w="3959" w:type="dxa"/>
            <w:noWrap w:val="0"/>
            <w:vAlign w:val="center"/>
          </w:tcPr>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四、画面采集</w:t>
            </w:r>
          </w:p>
          <w:p>
            <w:pPr>
              <w:widowControl/>
              <w:spacing w:line="288" w:lineRule="auto"/>
              <w:jc w:val="left"/>
              <w:textAlignment w:val="bottom"/>
              <w:rPr>
                <w:rFonts w:hint="eastAsia" w:ascii="宋体" w:hAnsi="宋体" w:eastAsia="宋体" w:cs="宋体"/>
                <w:b/>
                <w:sz w:val="21"/>
                <w:szCs w:val="21"/>
              </w:rPr>
            </w:pPr>
            <w:r>
              <w:rPr>
                <w:rFonts w:hint="eastAsia" w:ascii="宋体" w:hAnsi="宋体" w:eastAsia="宋体" w:cs="宋体"/>
                <w:color w:val="000000"/>
                <w:kern w:val="0"/>
                <w:szCs w:val="21"/>
                <w:lang w:bidi="ar"/>
              </w:rPr>
              <w:t>★5.整机支持上边框内置非独立摄像头模组，同时输出至少3路视频流，同时支持课堂远程巡课、课堂教学数据采集、本地画面预览（拍照或视频录制）。</w:t>
            </w:r>
          </w:p>
        </w:tc>
        <w:tc>
          <w:tcPr>
            <w:tcW w:w="709" w:type="dxa"/>
            <w:noWrap w:val="0"/>
            <w:vAlign w:val="center"/>
          </w:tcPr>
          <w:p>
            <w:pPr>
              <w:adjustRightInd w:val="0"/>
              <w:snapToGrid w:val="0"/>
              <w:spacing w:line="276" w:lineRule="auto"/>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9" w:type="dxa"/>
            <w:vMerge w:val="continue"/>
            <w:noWrap w:val="0"/>
            <w:vAlign w:val="center"/>
          </w:tcPr>
          <w:p>
            <w:pPr>
              <w:adjustRightInd w:val="0"/>
              <w:snapToGrid w:val="0"/>
              <w:spacing w:line="276" w:lineRule="auto"/>
              <w:jc w:val="center"/>
              <w:rPr>
                <w:rFonts w:hint="eastAsia" w:ascii="宋体" w:hAnsi="宋体" w:eastAsia="宋体" w:cs="宋体"/>
                <w:b/>
                <w:sz w:val="21"/>
                <w:szCs w:val="21"/>
                <w:lang w:val="en-US" w:eastAsia="zh-CN"/>
              </w:rPr>
            </w:pPr>
          </w:p>
        </w:tc>
        <w:tc>
          <w:tcPr>
            <w:tcW w:w="1431" w:type="dxa"/>
            <w:vMerge w:val="continue"/>
            <w:noWrap w:val="0"/>
            <w:vAlign w:val="center"/>
          </w:tcPr>
          <w:p>
            <w:pPr>
              <w:adjustRightInd w:val="0"/>
              <w:snapToGrid w:val="0"/>
              <w:spacing w:line="276" w:lineRule="auto"/>
              <w:jc w:val="center"/>
              <w:rPr>
                <w:rFonts w:hint="eastAsia" w:ascii="宋体" w:hAnsi="宋体" w:eastAsia="宋体" w:cs="宋体"/>
                <w:b/>
                <w:sz w:val="21"/>
                <w:szCs w:val="21"/>
              </w:rPr>
            </w:pPr>
          </w:p>
        </w:tc>
        <w:tc>
          <w:tcPr>
            <w:tcW w:w="2703" w:type="dxa"/>
            <w:noWrap w:val="0"/>
            <w:vAlign w:val="center"/>
          </w:tcPr>
          <w:p>
            <w:pPr>
              <w:adjustRightInd w:val="0"/>
              <w:snapToGrid w:val="0"/>
              <w:spacing w:line="276" w:lineRule="auto"/>
              <w:jc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（提供</w:t>
            </w:r>
            <w:r>
              <w:rPr>
                <w:rFonts w:hint="eastAsia" w:ascii="宋体" w:hAnsi="宋体" w:eastAsia="宋体" w:cs="宋体"/>
                <w:b/>
                <w:bCs/>
                <w:color w:val="000000"/>
                <w:kern w:val="0"/>
                <w:szCs w:val="21"/>
                <w:lang w:val="en-US" w:eastAsia="zh-CN" w:bidi="ar"/>
              </w:rPr>
              <w:t>相关证明材料</w:t>
            </w:r>
            <w:r>
              <w:rPr>
                <w:rFonts w:hint="eastAsia" w:ascii="宋体" w:hAnsi="宋体" w:eastAsia="宋体" w:cs="宋体"/>
                <w:b/>
                <w:bCs/>
                <w:color w:val="000000"/>
                <w:kern w:val="0"/>
                <w:szCs w:val="21"/>
                <w:lang w:bidi="ar"/>
              </w:rPr>
              <w:t>）</w:t>
            </w:r>
          </w:p>
        </w:tc>
        <w:tc>
          <w:tcPr>
            <w:tcW w:w="3959" w:type="dxa"/>
            <w:noWrap w:val="0"/>
            <w:vAlign w:val="center"/>
          </w:tcPr>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五、无线互联</w:t>
            </w:r>
          </w:p>
          <w:p>
            <w:pPr>
              <w:widowControl/>
              <w:spacing w:line="288" w:lineRule="auto"/>
              <w:jc w:val="left"/>
              <w:textAlignment w:val="bottom"/>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★3.整机支持蓝牙Bluetooth 5.4标准，PC端支持主动发现蓝牙外设从而连接（无需整机进入发现模式），支持连接外部蓝牙音箱播放音频。</w:t>
            </w:r>
          </w:p>
        </w:tc>
        <w:tc>
          <w:tcPr>
            <w:tcW w:w="709" w:type="dxa"/>
            <w:noWrap w:val="0"/>
            <w:vAlign w:val="center"/>
          </w:tcPr>
          <w:p>
            <w:pPr>
              <w:adjustRightInd w:val="0"/>
              <w:snapToGrid w:val="0"/>
              <w:spacing w:line="276" w:lineRule="auto"/>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9" w:type="dxa"/>
            <w:vMerge w:val="continue"/>
            <w:noWrap w:val="0"/>
            <w:vAlign w:val="center"/>
          </w:tcPr>
          <w:p>
            <w:pPr>
              <w:adjustRightInd w:val="0"/>
              <w:snapToGrid w:val="0"/>
              <w:spacing w:line="276" w:lineRule="auto"/>
              <w:jc w:val="center"/>
              <w:rPr>
                <w:rFonts w:hint="eastAsia" w:ascii="宋体" w:hAnsi="宋体" w:eastAsia="宋体" w:cs="宋体"/>
                <w:b/>
                <w:sz w:val="21"/>
                <w:szCs w:val="21"/>
                <w:lang w:val="en-US" w:eastAsia="zh-CN"/>
              </w:rPr>
            </w:pPr>
          </w:p>
        </w:tc>
        <w:tc>
          <w:tcPr>
            <w:tcW w:w="1431" w:type="dxa"/>
            <w:vMerge w:val="continue"/>
            <w:noWrap w:val="0"/>
            <w:vAlign w:val="center"/>
          </w:tcPr>
          <w:p>
            <w:pPr>
              <w:adjustRightInd w:val="0"/>
              <w:snapToGrid w:val="0"/>
              <w:spacing w:line="276" w:lineRule="auto"/>
              <w:jc w:val="center"/>
              <w:rPr>
                <w:rFonts w:hint="eastAsia" w:ascii="宋体" w:hAnsi="宋体" w:eastAsia="宋体" w:cs="宋体"/>
                <w:b/>
                <w:sz w:val="21"/>
                <w:szCs w:val="21"/>
              </w:rPr>
            </w:pPr>
          </w:p>
        </w:tc>
        <w:tc>
          <w:tcPr>
            <w:tcW w:w="2703" w:type="dxa"/>
            <w:noWrap w:val="0"/>
            <w:vAlign w:val="center"/>
          </w:tcPr>
          <w:p>
            <w:pPr>
              <w:adjustRightInd w:val="0"/>
              <w:snapToGrid w:val="0"/>
              <w:spacing w:line="276" w:lineRule="auto"/>
              <w:jc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（提供</w:t>
            </w:r>
            <w:r>
              <w:rPr>
                <w:rFonts w:hint="eastAsia" w:ascii="宋体" w:hAnsi="宋体" w:eastAsia="宋体" w:cs="宋体"/>
                <w:b/>
                <w:bCs/>
                <w:color w:val="000000"/>
                <w:kern w:val="0"/>
                <w:szCs w:val="21"/>
                <w:lang w:val="en-US" w:eastAsia="zh-CN" w:bidi="ar"/>
              </w:rPr>
              <w:t>相关证明材料</w:t>
            </w:r>
            <w:r>
              <w:rPr>
                <w:rFonts w:hint="eastAsia" w:ascii="宋体" w:hAnsi="宋体" w:eastAsia="宋体" w:cs="宋体"/>
                <w:b/>
                <w:bCs/>
                <w:color w:val="000000"/>
                <w:kern w:val="0"/>
                <w:szCs w:val="21"/>
                <w:lang w:bidi="ar"/>
              </w:rPr>
              <w:t>）</w:t>
            </w:r>
          </w:p>
        </w:tc>
        <w:tc>
          <w:tcPr>
            <w:tcW w:w="3959" w:type="dxa"/>
            <w:noWrap w:val="0"/>
            <w:vAlign w:val="center"/>
          </w:tcPr>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五、无线互联</w:t>
            </w:r>
          </w:p>
          <w:p>
            <w:pPr>
              <w:widowControl/>
              <w:spacing w:line="288" w:lineRule="auto"/>
              <w:jc w:val="left"/>
              <w:textAlignment w:val="bottom"/>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★8.整机Windows通道支持文件传输应用，支持多人同时将手机文件传输到整机上；支持通过扫码、wifi直联、超声三种方式与手机进行握手连接，实现文件传输功能，传输方式支持公网传输、局域网传输、WiFi 直连传输。</w:t>
            </w:r>
          </w:p>
        </w:tc>
        <w:tc>
          <w:tcPr>
            <w:tcW w:w="709" w:type="dxa"/>
            <w:noWrap w:val="0"/>
            <w:vAlign w:val="center"/>
          </w:tcPr>
          <w:p>
            <w:pPr>
              <w:adjustRightInd w:val="0"/>
              <w:snapToGrid w:val="0"/>
              <w:spacing w:line="276" w:lineRule="auto"/>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9" w:type="dxa"/>
            <w:vMerge w:val="continue"/>
            <w:noWrap w:val="0"/>
            <w:vAlign w:val="center"/>
          </w:tcPr>
          <w:p>
            <w:pPr>
              <w:adjustRightInd w:val="0"/>
              <w:snapToGrid w:val="0"/>
              <w:spacing w:line="276" w:lineRule="auto"/>
              <w:jc w:val="center"/>
              <w:rPr>
                <w:rFonts w:hint="eastAsia" w:ascii="宋体" w:hAnsi="宋体" w:eastAsia="宋体" w:cs="宋体"/>
                <w:b/>
                <w:sz w:val="21"/>
                <w:szCs w:val="21"/>
                <w:lang w:val="en-US" w:eastAsia="zh-CN"/>
              </w:rPr>
            </w:pPr>
          </w:p>
        </w:tc>
        <w:tc>
          <w:tcPr>
            <w:tcW w:w="1431" w:type="dxa"/>
            <w:vMerge w:val="continue"/>
            <w:noWrap w:val="0"/>
            <w:vAlign w:val="center"/>
          </w:tcPr>
          <w:p>
            <w:pPr>
              <w:adjustRightInd w:val="0"/>
              <w:snapToGrid w:val="0"/>
              <w:spacing w:line="276" w:lineRule="auto"/>
              <w:jc w:val="center"/>
              <w:rPr>
                <w:rFonts w:hint="eastAsia" w:ascii="宋体" w:hAnsi="宋体" w:eastAsia="宋体" w:cs="宋体"/>
                <w:b/>
                <w:sz w:val="21"/>
                <w:szCs w:val="21"/>
              </w:rPr>
            </w:pPr>
          </w:p>
        </w:tc>
        <w:tc>
          <w:tcPr>
            <w:tcW w:w="2703" w:type="dxa"/>
            <w:noWrap w:val="0"/>
            <w:vAlign w:val="center"/>
          </w:tcPr>
          <w:p>
            <w:pPr>
              <w:adjustRightInd w:val="0"/>
              <w:snapToGrid w:val="0"/>
              <w:spacing w:line="276" w:lineRule="auto"/>
              <w:jc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（提供</w:t>
            </w:r>
            <w:r>
              <w:rPr>
                <w:rFonts w:hint="eastAsia" w:ascii="宋体" w:hAnsi="宋体" w:eastAsia="宋体" w:cs="宋体"/>
                <w:b/>
                <w:bCs/>
                <w:color w:val="000000"/>
                <w:kern w:val="0"/>
                <w:szCs w:val="21"/>
                <w:lang w:val="en-US" w:eastAsia="zh-CN" w:bidi="ar"/>
              </w:rPr>
              <w:t>相关证明材料</w:t>
            </w:r>
            <w:r>
              <w:rPr>
                <w:rFonts w:hint="eastAsia" w:ascii="宋体" w:hAnsi="宋体" w:eastAsia="宋体" w:cs="宋体"/>
                <w:b/>
                <w:bCs/>
                <w:color w:val="000000"/>
                <w:kern w:val="0"/>
                <w:szCs w:val="21"/>
                <w:lang w:bidi="ar"/>
              </w:rPr>
              <w:t>）</w:t>
            </w:r>
          </w:p>
        </w:tc>
        <w:tc>
          <w:tcPr>
            <w:tcW w:w="3959" w:type="dxa"/>
            <w:noWrap w:val="0"/>
            <w:vAlign w:val="center"/>
          </w:tcPr>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六、物理按键及接口</w:t>
            </w:r>
          </w:p>
          <w:p>
            <w:pPr>
              <w:widowControl/>
              <w:spacing w:line="288" w:lineRule="auto"/>
              <w:jc w:val="left"/>
              <w:textAlignment w:val="bottom"/>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设备支持≥5个自定义前置按键，包括但不限于“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tc>
        <w:tc>
          <w:tcPr>
            <w:tcW w:w="709" w:type="dxa"/>
            <w:noWrap w:val="0"/>
            <w:vAlign w:val="center"/>
          </w:tcPr>
          <w:p>
            <w:pPr>
              <w:adjustRightInd w:val="0"/>
              <w:snapToGrid w:val="0"/>
              <w:spacing w:line="276" w:lineRule="auto"/>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9" w:type="dxa"/>
            <w:vMerge w:val="continue"/>
            <w:noWrap w:val="0"/>
            <w:vAlign w:val="center"/>
          </w:tcPr>
          <w:p>
            <w:pPr>
              <w:adjustRightInd w:val="0"/>
              <w:snapToGrid w:val="0"/>
              <w:spacing w:line="276" w:lineRule="auto"/>
              <w:jc w:val="center"/>
              <w:rPr>
                <w:rFonts w:hint="eastAsia" w:ascii="宋体" w:hAnsi="宋体" w:eastAsia="宋体" w:cs="宋体"/>
                <w:b/>
                <w:sz w:val="21"/>
                <w:szCs w:val="21"/>
                <w:lang w:val="en-US" w:eastAsia="zh-CN"/>
              </w:rPr>
            </w:pPr>
          </w:p>
        </w:tc>
        <w:tc>
          <w:tcPr>
            <w:tcW w:w="1431" w:type="dxa"/>
            <w:vMerge w:val="continue"/>
            <w:noWrap w:val="0"/>
            <w:vAlign w:val="center"/>
          </w:tcPr>
          <w:p>
            <w:pPr>
              <w:adjustRightInd w:val="0"/>
              <w:snapToGrid w:val="0"/>
              <w:spacing w:line="276" w:lineRule="auto"/>
              <w:jc w:val="center"/>
              <w:rPr>
                <w:rFonts w:hint="eastAsia" w:ascii="宋体" w:hAnsi="宋体" w:eastAsia="宋体" w:cs="宋体"/>
                <w:b/>
                <w:sz w:val="21"/>
                <w:szCs w:val="21"/>
              </w:rPr>
            </w:pPr>
          </w:p>
        </w:tc>
        <w:tc>
          <w:tcPr>
            <w:tcW w:w="2703" w:type="dxa"/>
            <w:noWrap w:val="0"/>
            <w:vAlign w:val="center"/>
          </w:tcPr>
          <w:p>
            <w:pPr>
              <w:adjustRightInd w:val="0"/>
              <w:snapToGrid w:val="0"/>
              <w:spacing w:line="276" w:lineRule="auto"/>
              <w:jc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（提供具备CMA标识的第三方检测机构出具的检测报告复印件并加盖公章）</w:t>
            </w:r>
          </w:p>
        </w:tc>
        <w:tc>
          <w:tcPr>
            <w:tcW w:w="3959" w:type="dxa"/>
            <w:noWrap w:val="0"/>
            <w:vAlign w:val="center"/>
          </w:tcPr>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八、嵌入式系统</w:t>
            </w:r>
          </w:p>
          <w:p>
            <w:pPr>
              <w:widowControl/>
              <w:spacing w:line="288" w:lineRule="auto"/>
              <w:jc w:val="left"/>
              <w:textAlignment w:val="bottom"/>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★1.嵌入式系统版本不低于Android 13，内存≥4GB，存储空间≥32GB。</w:t>
            </w:r>
          </w:p>
        </w:tc>
        <w:tc>
          <w:tcPr>
            <w:tcW w:w="709" w:type="dxa"/>
            <w:noWrap w:val="0"/>
            <w:vAlign w:val="center"/>
          </w:tcPr>
          <w:p>
            <w:pPr>
              <w:adjustRightInd w:val="0"/>
              <w:snapToGrid w:val="0"/>
              <w:spacing w:line="276" w:lineRule="auto"/>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09" w:type="dxa"/>
            <w:vMerge w:val="continue"/>
            <w:noWrap w:val="0"/>
            <w:vAlign w:val="center"/>
          </w:tcPr>
          <w:p>
            <w:pPr>
              <w:adjustRightInd w:val="0"/>
              <w:snapToGrid w:val="0"/>
              <w:spacing w:line="276" w:lineRule="auto"/>
              <w:jc w:val="center"/>
              <w:rPr>
                <w:rFonts w:hint="eastAsia" w:ascii="宋体" w:hAnsi="宋体" w:eastAsia="宋体" w:cs="宋体"/>
                <w:b/>
                <w:sz w:val="21"/>
                <w:szCs w:val="21"/>
                <w:lang w:val="en-US" w:eastAsia="zh-CN"/>
              </w:rPr>
            </w:pPr>
          </w:p>
        </w:tc>
        <w:tc>
          <w:tcPr>
            <w:tcW w:w="1431" w:type="dxa"/>
            <w:vMerge w:val="continue"/>
            <w:noWrap w:val="0"/>
            <w:vAlign w:val="center"/>
          </w:tcPr>
          <w:p>
            <w:pPr>
              <w:adjustRightInd w:val="0"/>
              <w:snapToGrid w:val="0"/>
              <w:spacing w:line="276" w:lineRule="auto"/>
              <w:jc w:val="center"/>
              <w:rPr>
                <w:rFonts w:hint="eastAsia" w:ascii="宋体" w:hAnsi="宋体" w:eastAsia="宋体" w:cs="宋体"/>
                <w:b/>
                <w:sz w:val="21"/>
                <w:szCs w:val="21"/>
              </w:rPr>
            </w:pPr>
          </w:p>
        </w:tc>
        <w:tc>
          <w:tcPr>
            <w:tcW w:w="2703" w:type="dxa"/>
            <w:noWrap w:val="0"/>
            <w:vAlign w:val="center"/>
          </w:tcPr>
          <w:p>
            <w:pPr>
              <w:adjustRightInd w:val="0"/>
              <w:snapToGrid w:val="0"/>
              <w:spacing w:line="276" w:lineRule="auto"/>
              <w:jc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（提供具备CMA标识的第三方检测机构出具的检测报告复印件并加盖公章）</w:t>
            </w:r>
          </w:p>
        </w:tc>
        <w:tc>
          <w:tcPr>
            <w:tcW w:w="3959" w:type="dxa"/>
            <w:noWrap w:val="0"/>
            <w:vAlign w:val="center"/>
          </w:tcPr>
          <w:p>
            <w:pPr>
              <w:widowControl/>
              <w:spacing w:line="288" w:lineRule="auto"/>
              <w:jc w:val="left"/>
              <w:textAlignment w:val="bottom"/>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九、触摸系统</w:t>
            </w:r>
          </w:p>
          <w:p>
            <w:pPr>
              <w:widowControl/>
              <w:spacing w:line="288" w:lineRule="auto"/>
              <w:jc w:val="left"/>
              <w:textAlignment w:val="bottom"/>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★1.采用红外触控方式，支持Windows系统中进行50点或以上触控，支持在Android系统中进行40点或以上触控。</w:t>
            </w:r>
          </w:p>
        </w:tc>
        <w:tc>
          <w:tcPr>
            <w:tcW w:w="709" w:type="dxa"/>
            <w:noWrap w:val="0"/>
            <w:vAlign w:val="center"/>
          </w:tcPr>
          <w:p>
            <w:pPr>
              <w:adjustRightInd w:val="0"/>
              <w:snapToGrid w:val="0"/>
              <w:spacing w:line="276" w:lineRule="auto"/>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09" w:type="dxa"/>
            <w:vMerge w:val="restart"/>
            <w:noWrap w:val="0"/>
            <w:vAlign w:val="center"/>
          </w:tcPr>
          <w:p>
            <w:pPr>
              <w:widowControl/>
              <w:jc w:val="center"/>
              <w:textAlignment w:val="center"/>
              <w:rPr>
                <w:rFonts w:hint="eastAsia" w:ascii="宋体" w:hAnsi="宋体" w:eastAsia="宋体" w:cs="宋体"/>
                <w:b/>
                <w:sz w:val="21"/>
                <w:szCs w:val="21"/>
                <w:lang w:val="en-US" w:eastAsia="zh-CN"/>
              </w:rPr>
            </w:pPr>
            <w:r>
              <w:rPr>
                <w:rFonts w:hint="eastAsia" w:ascii="宋体" w:hAnsi="宋体" w:eastAsia="宋体" w:cs="宋体"/>
                <w:b/>
                <w:bCs/>
                <w:color w:val="000000"/>
                <w:kern w:val="0"/>
                <w:szCs w:val="21"/>
                <w:lang w:bidi="ar"/>
              </w:rPr>
              <w:t>5</w:t>
            </w:r>
          </w:p>
        </w:tc>
        <w:tc>
          <w:tcPr>
            <w:tcW w:w="1431" w:type="dxa"/>
            <w:vMerge w:val="restart"/>
            <w:noWrap w:val="0"/>
            <w:vAlign w:val="center"/>
          </w:tcPr>
          <w:p>
            <w:pPr>
              <w:widowControl/>
              <w:jc w:val="center"/>
              <w:textAlignment w:val="center"/>
              <w:rPr>
                <w:rFonts w:hint="eastAsia" w:ascii="宋体" w:hAnsi="宋体" w:eastAsia="宋体" w:cs="宋体"/>
                <w:b/>
                <w:sz w:val="21"/>
                <w:szCs w:val="21"/>
              </w:rPr>
            </w:pPr>
            <w:r>
              <w:rPr>
                <w:rFonts w:hint="eastAsia" w:ascii="宋体" w:hAnsi="宋体" w:eastAsia="宋体" w:cs="宋体"/>
                <w:b/>
                <w:bCs/>
                <w:color w:val="000000"/>
                <w:kern w:val="0"/>
                <w:szCs w:val="21"/>
                <w:lang w:bidi="ar"/>
              </w:rPr>
              <w:t>云终端</w:t>
            </w:r>
          </w:p>
        </w:tc>
        <w:tc>
          <w:tcPr>
            <w:tcW w:w="2703" w:type="dxa"/>
            <w:noWrap w:val="0"/>
            <w:vAlign w:val="center"/>
          </w:tcPr>
          <w:p>
            <w:pPr>
              <w:adjustRightInd w:val="0"/>
              <w:snapToGrid w:val="0"/>
              <w:spacing w:line="276" w:lineRule="auto"/>
              <w:jc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（提供可检测接收端连接速度的功能界面截图）</w:t>
            </w:r>
          </w:p>
        </w:tc>
        <w:tc>
          <w:tcPr>
            <w:tcW w:w="3959" w:type="dxa"/>
            <w:noWrap w:val="0"/>
            <w:vAlign w:val="center"/>
          </w:tcPr>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二、教育应用软件</w:t>
            </w:r>
          </w:p>
          <w:p>
            <w:pPr>
              <w:widowControl/>
              <w:spacing w:line="288" w:lineRule="auto"/>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5.支持差异拷贝接收端网络环境检测，可检测接收端网卡连接速度，提前发现问题网点，排查处理影响差异拷贝的终端；</w:t>
            </w:r>
          </w:p>
        </w:tc>
        <w:tc>
          <w:tcPr>
            <w:tcW w:w="709" w:type="dxa"/>
            <w:noWrap w:val="0"/>
            <w:vAlign w:val="center"/>
          </w:tcPr>
          <w:p>
            <w:pPr>
              <w:adjustRightInd w:val="0"/>
              <w:snapToGrid w:val="0"/>
              <w:spacing w:line="276" w:lineRule="auto"/>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09" w:type="dxa"/>
            <w:vMerge w:val="continue"/>
            <w:noWrap w:val="0"/>
            <w:vAlign w:val="center"/>
          </w:tcPr>
          <w:p>
            <w:pPr>
              <w:widowControl/>
              <w:jc w:val="center"/>
              <w:textAlignment w:val="center"/>
              <w:rPr>
                <w:rFonts w:hint="eastAsia" w:ascii="宋体" w:hAnsi="宋体" w:eastAsia="宋体" w:cs="宋体"/>
                <w:b/>
                <w:bCs/>
                <w:color w:val="000000"/>
                <w:kern w:val="0"/>
                <w:szCs w:val="21"/>
                <w:lang w:bidi="ar"/>
              </w:rPr>
            </w:pPr>
          </w:p>
        </w:tc>
        <w:tc>
          <w:tcPr>
            <w:tcW w:w="1431" w:type="dxa"/>
            <w:vMerge w:val="continue"/>
            <w:noWrap w:val="0"/>
            <w:vAlign w:val="center"/>
          </w:tcPr>
          <w:p>
            <w:pPr>
              <w:widowControl/>
              <w:jc w:val="center"/>
              <w:textAlignment w:val="center"/>
              <w:rPr>
                <w:rFonts w:hint="eastAsia" w:ascii="宋体" w:hAnsi="宋体" w:eastAsia="宋体" w:cs="宋体"/>
                <w:b/>
                <w:bCs/>
                <w:color w:val="000000"/>
                <w:kern w:val="0"/>
                <w:szCs w:val="21"/>
                <w:lang w:bidi="ar"/>
              </w:rPr>
            </w:pPr>
          </w:p>
        </w:tc>
        <w:tc>
          <w:tcPr>
            <w:tcW w:w="2703" w:type="dxa"/>
            <w:noWrap w:val="0"/>
            <w:vAlign w:val="center"/>
          </w:tcPr>
          <w:p>
            <w:pPr>
              <w:adjustRightInd w:val="0"/>
              <w:snapToGrid w:val="0"/>
              <w:spacing w:line="276" w:lineRule="auto"/>
              <w:jc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（提供功能界面截图）</w:t>
            </w:r>
          </w:p>
        </w:tc>
        <w:tc>
          <w:tcPr>
            <w:tcW w:w="3959" w:type="dxa"/>
            <w:noWrap w:val="0"/>
            <w:vAlign w:val="center"/>
          </w:tcPr>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二、教育应用软件</w:t>
            </w:r>
          </w:p>
          <w:p>
            <w:pPr>
              <w:widowControl/>
              <w:spacing w:line="288" w:lineRule="auto"/>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7.支持学期课表的编辑，可设置学期开始和结束时间，按学期课表时间自动启动相应的操作系统，支持操作系统拖拽式导入学期课表；</w:t>
            </w:r>
          </w:p>
        </w:tc>
        <w:tc>
          <w:tcPr>
            <w:tcW w:w="709" w:type="dxa"/>
            <w:noWrap w:val="0"/>
            <w:vAlign w:val="center"/>
          </w:tcPr>
          <w:p>
            <w:pPr>
              <w:adjustRightInd w:val="0"/>
              <w:snapToGrid w:val="0"/>
              <w:spacing w:line="276" w:lineRule="auto"/>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09" w:type="dxa"/>
            <w:vMerge w:val="continue"/>
            <w:noWrap w:val="0"/>
            <w:vAlign w:val="center"/>
          </w:tcPr>
          <w:p>
            <w:pPr>
              <w:widowControl/>
              <w:jc w:val="center"/>
              <w:textAlignment w:val="center"/>
              <w:rPr>
                <w:rFonts w:hint="eastAsia" w:ascii="宋体" w:hAnsi="宋体" w:eastAsia="宋体" w:cs="宋体"/>
                <w:b/>
                <w:bCs/>
                <w:color w:val="000000"/>
                <w:kern w:val="0"/>
                <w:szCs w:val="21"/>
                <w:lang w:bidi="ar"/>
              </w:rPr>
            </w:pPr>
          </w:p>
        </w:tc>
        <w:tc>
          <w:tcPr>
            <w:tcW w:w="1431" w:type="dxa"/>
            <w:vMerge w:val="continue"/>
            <w:noWrap w:val="0"/>
            <w:vAlign w:val="center"/>
          </w:tcPr>
          <w:p>
            <w:pPr>
              <w:widowControl/>
              <w:jc w:val="center"/>
              <w:textAlignment w:val="center"/>
              <w:rPr>
                <w:rFonts w:hint="eastAsia" w:ascii="宋体" w:hAnsi="宋体" w:eastAsia="宋体" w:cs="宋体"/>
                <w:b/>
                <w:bCs/>
                <w:color w:val="000000"/>
                <w:kern w:val="0"/>
                <w:szCs w:val="21"/>
                <w:lang w:bidi="ar"/>
              </w:rPr>
            </w:pPr>
          </w:p>
        </w:tc>
        <w:tc>
          <w:tcPr>
            <w:tcW w:w="2703" w:type="dxa"/>
            <w:noWrap w:val="0"/>
            <w:vAlign w:val="center"/>
          </w:tcPr>
          <w:p>
            <w:pPr>
              <w:adjustRightInd w:val="0"/>
              <w:snapToGrid w:val="0"/>
              <w:spacing w:line="276" w:lineRule="auto"/>
              <w:jc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（提供</w:t>
            </w:r>
            <w:r>
              <w:rPr>
                <w:rFonts w:hint="eastAsia" w:ascii="宋体" w:hAnsi="宋体" w:eastAsia="宋体" w:cs="宋体"/>
                <w:b/>
                <w:bCs/>
                <w:color w:val="000000"/>
                <w:kern w:val="0"/>
                <w:szCs w:val="21"/>
                <w:lang w:val="en-US" w:eastAsia="zh-CN" w:bidi="ar"/>
              </w:rPr>
              <w:t>相关证明材料</w:t>
            </w:r>
            <w:r>
              <w:rPr>
                <w:rFonts w:hint="eastAsia" w:ascii="宋体" w:hAnsi="宋体" w:eastAsia="宋体" w:cs="宋体"/>
                <w:b/>
                <w:bCs/>
                <w:color w:val="000000"/>
                <w:kern w:val="0"/>
                <w:szCs w:val="21"/>
                <w:lang w:bidi="ar"/>
              </w:rPr>
              <w:t>）</w:t>
            </w:r>
          </w:p>
        </w:tc>
        <w:tc>
          <w:tcPr>
            <w:tcW w:w="3959" w:type="dxa"/>
            <w:noWrap w:val="0"/>
            <w:vAlign w:val="center"/>
          </w:tcPr>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二、教育应用软件</w:t>
            </w:r>
          </w:p>
          <w:p>
            <w:pPr>
              <w:widowControl/>
              <w:spacing w:line="288" w:lineRule="auto"/>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11.支持流量限制策略，能够设定上行流量、下行流量，并可设置流量限制生效时间；</w:t>
            </w:r>
          </w:p>
        </w:tc>
        <w:tc>
          <w:tcPr>
            <w:tcW w:w="709" w:type="dxa"/>
            <w:noWrap w:val="0"/>
            <w:vAlign w:val="center"/>
          </w:tcPr>
          <w:p>
            <w:pPr>
              <w:adjustRightInd w:val="0"/>
              <w:snapToGrid w:val="0"/>
              <w:spacing w:line="276" w:lineRule="auto"/>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09" w:type="dxa"/>
            <w:vMerge w:val="continue"/>
            <w:noWrap w:val="0"/>
            <w:vAlign w:val="center"/>
          </w:tcPr>
          <w:p>
            <w:pPr>
              <w:widowControl/>
              <w:jc w:val="center"/>
              <w:textAlignment w:val="center"/>
              <w:rPr>
                <w:rFonts w:hint="eastAsia" w:ascii="宋体" w:hAnsi="宋体" w:eastAsia="宋体" w:cs="宋体"/>
                <w:b/>
                <w:bCs/>
                <w:color w:val="000000"/>
                <w:kern w:val="0"/>
                <w:szCs w:val="21"/>
                <w:lang w:bidi="ar"/>
              </w:rPr>
            </w:pPr>
          </w:p>
        </w:tc>
        <w:tc>
          <w:tcPr>
            <w:tcW w:w="1431" w:type="dxa"/>
            <w:vMerge w:val="continue"/>
            <w:noWrap w:val="0"/>
            <w:vAlign w:val="center"/>
          </w:tcPr>
          <w:p>
            <w:pPr>
              <w:widowControl/>
              <w:jc w:val="center"/>
              <w:textAlignment w:val="center"/>
              <w:rPr>
                <w:rFonts w:hint="eastAsia" w:ascii="宋体" w:hAnsi="宋体" w:eastAsia="宋体" w:cs="宋体"/>
                <w:b/>
                <w:bCs/>
                <w:color w:val="000000"/>
                <w:kern w:val="0"/>
                <w:szCs w:val="21"/>
                <w:lang w:bidi="ar"/>
              </w:rPr>
            </w:pPr>
          </w:p>
        </w:tc>
        <w:tc>
          <w:tcPr>
            <w:tcW w:w="2703" w:type="dxa"/>
            <w:noWrap w:val="0"/>
            <w:vAlign w:val="center"/>
          </w:tcPr>
          <w:p>
            <w:pPr>
              <w:adjustRightInd w:val="0"/>
              <w:snapToGrid w:val="0"/>
              <w:spacing w:line="276" w:lineRule="auto"/>
              <w:jc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（提供功能界面截图）</w:t>
            </w:r>
          </w:p>
        </w:tc>
        <w:tc>
          <w:tcPr>
            <w:tcW w:w="3959" w:type="dxa"/>
            <w:noWrap w:val="0"/>
            <w:vAlign w:val="center"/>
          </w:tcPr>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二、教育应用软件</w:t>
            </w:r>
          </w:p>
          <w:p>
            <w:pPr>
              <w:widowControl/>
              <w:spacing w:line="288" w:lineRule="auto"/>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12.支持网络限制策略，能够设定禁用外网或禁用全部网络，并支持设置例外，例外类型包括ip地址、网址、端口，并设置生效时间区间，能够精确到秒，支持按天执行、按周执行、按月执行；</w:t>
            </w:r>
          </w:p>
        </w:tc>
        <w:tc>
          <w:tcPr>
            <w:tcW w:w="709" w:type="dxa"/>
            <w:noWrap w:val="0"/>
            <w:vAlign w:val="center"/>
          </w:tcPr>
          <w:p>
            <w:pPr>
              <w:adjustRightInd w:val="0"/>
              <w:snapToGrid w:val="0"/>
              <w:spacing w:line="276" w:lineRule="auto"/>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09" w:type="dxa"/>
            <w:vMerge w:val="continue"/>
            <w:noWrap w:val="0"/>
            <w:vAlign w:val="center"/>
          </w:tcPr>
          <w:p>
            <w:pPr>
              <w:widowControl/>
              <w:jc w:val="center"/>
              <w:textAlignment w:val="center"/>
              <w:rPr>
                <w:rFonts w:hint="eastAsia" w:ascii="宋体" w:hAnsi="宋体" w:eastAsia="宋体" w:cs="宋体"/>
                <w:b/>
                <w:bCs/>
                <w:color w:val="000000"/>
                <w:kern w:val="0"/>
                <w:szCs w:val="21"/>
                <w:lang w:bidi="ar"/>
              </w:rPr>
            </w:pPr>
          </w:p>
        </w:tc>
        <w:tc>
          <w:tcPr>
            <w:tcW w:w="1431" w:type="dxa"/>
            <w:vMerge w:val="continue"/>
            <w:noWrap w:val="0"/>
            <w:vAlign w:val="center"/>
          </w:tcPr>
          <w:p>
            <w:pPr>
              <w:widowControl/>
              <w:jc w:val="center"/>
              <w:textAlignment w:val="center"/>
              <w:rPr>
                <w:rFonts w:hint="eastAsia" w:ascii="宋体" w:hAnsi="宋体" w:eastAsia="宋体" w:cs="宋体"/>
                <w:b/>
                <w:bCs/>
                <w:color w:val="000000"/>
                <w:kern w:val="0"/>
                <w:szCs w:val="21"/>
                <w:lang w:bidi="ar"/>
              </w:rPr>
            </w:pPr>
          </w:p>
        </w:tc>
        <w:tc>
          <w:tcPr>
            <w:tcW w:w="2703" w:type="dxa"/>
            <w:noWrap w:val="0"/>
            <w:vAlign w:val="center"/>
          </w:tcPr>
          <w:p>
            <w:pPr>
              <w:adjustRightInd w:val="0"/>
              <w:snapToGrid w:val="0"/>
              <w:spacing w:line="276" w:lineRule="auto"/>
              <w:jc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（提供功能界面截图）</w:t>
            </w:r>
          </w:p>
        </w:tc>
        <w:tc>
          <w:tcPr>
            <w:tcW w:w="3959" w:type="dxa"/>
            <w:noWrap w:val="0"/>
            <w:vAlign w:val="center"/>
          </w:tcPr>
          <w:p>
            <w:pPr>
              <w:widowControl/>
              <w:spacing w:line="288"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二、教育应用软件</w:t>
            </w:r>
          </w:p>
          <w:p>
            <w:pPr>
              <w:widowControl/>
              <w:spacing w:line="288" w:lineRule="auto"/>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14.支持程序限制策略，支持黑名单、白名单两种模式，能够根据手动添加、游戏进程、应用进程、系统自带进程进行设置，并能够通过客户端实时识别操作系统进程进行控制，并设置生效时间区间，能够精确到秒，支持按天执行、按周执行、按月执行；</w:t>
            </w:r>
          </w:p>
        </w:tc>
        <w:tc>
          <w:tcPr>
            <w:tcW w:w="709" w:type="dxa"/>
            <w:noWrap w:val="0"/>
            <w:vAlign w:val="center"/>
          </w:tcPr>
          <w:p>
            <w:pPr>
              <w:adjustRightInd w:val="0"/>
              <w:snapToGrid w:val="0"/>
              <w:spacing w:line="276" w:lineRule="auto"/>
              <w:jc w:val="center"/>
              <w:rPr>
                <w:rFonts w:hint="eastAsia" w:ascii="宋体" w:hAnsi="宋体" w:eastAsia="宋体" w:cs="宋体"/>
                <w:b/>
                <w:sz w:val="21"/>
                <w:szCs w:val="21"/>
              </w:rPr>
            </w:pPr>
          </w:p>
        </w:tc>
      </w:tr>
    </w:tbl>
    <w:p>
      <w:pPr>
        <w:rPr>
          <w:rFonts w:hint="eastAsia" w:ascii="宋体" w:hAnsi="宋体" w:eastAsia="宋体" w:cs="宋体"/>
          <w:b/>
          <w:sz w:val="21"/>
          <w:szCs w:val="21"/>
        </w:rPr>
      </w:pPr>
      <w:r>
        <w:rPr>
          <w:rFonts w:hint="eastAsia" w:ascii="宋体" w:hAnsi="宋体" w:eastAsia="宋体" w:cs="宋体"/>
          <w:b/>
          <w:sz w:val="21"/>
          <w:szCs w:val="21"/>
        </w:rPr>
        <w:br w:type="page"/>
      </w:r>
    </w:p>
    <w:p>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浙江财经大学智慧教室多媒体改造</w:t>
            </w:r>
            <w:r>
              <w:rPr>
                <w:rFonts w:hint="eastAsia" w:ascii="宋体" w:hAnsi="宋体" w:eastAsia="宋体"/>
                <w:szCs w:val="21"/>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（格式详见招标文件第六章）和授权代表社保缴纳证明（</w:t>
            </w:r>
            <w:r>
              <w:rPr>
                <w:rFonts w:hint="eastAsia" w:ascii="宋体" w:hAnsi="宋体" w:eastAsia="宋体"/>
                <w:szCs w:val="21"/>
                <w:lang w:eastAsia="zh-CN"/>
              </w:rPr>
              <w:t>2024年01月（含）以后任意一月</w:t>
            </w:r>
            <w:r>
              <w:rPr>
                <w:rFonts w:ascii="宋体" w:hAnsi="宋体" w:eastAsia="宋体"/>
                <w:szCs w:val="21"/>
              </w:rPr>
              <w:t>）</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1.05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621" w:type="dxa"/>
                  <w:gridSpan w:val="2"/>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不足2000元按2000元收取</w:t>
                  </w:r>
                </w:p>
              </w:tc>
            </w:tr>
          </w:tbl>
          <w:p>
            <w:pPr>
              <w:adjustRightInd w:val="0"/>
              <w:snapToGrid w:val="0"/>
              <w:spacing w:line="288"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pPr>
              <w:adjustRightInd w:val="0"/>
              <w:snapToGrid w:val="0"/>
              <w:spacing w:line="288" w:lineRule="auto"/>
              <w:rPr>
                <w:rFonts w:ascii="宋体" w:hAnsi="宋体" w:eastAsia="宋体"/>
                <w:color w:val="auto"/>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color w:val="auto"/>
                <w:szCs w:val="21"/>
              </w:rPr>
              <w:t>本项目不允许转包；</w:t>
            </w:r>
          </w:p>
          <w:p>
            <w:pPr>
              <w:adjustRightInd w:val="0"/>
              <w:snapToGrid w:val="0"/>
              <w:spacing w:line="288" w:lineRule="auto"/>
              <w:rPr>
                <w:rFonts w:ascii="宋体" w:hAnsi="宋体" w:eastAsia="宋体" w:cs="Times New Roman"/>
                <w:spacing w:val="-6"/>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不允许</w:t>
            </w:r>
            <w:r>
              <w:rPr>
                <w:rFonts w:hint="eastAsia" w:ascii="宋体" w:hAnsi="宋体" w:eastAsia="宋体"/>
                <w:color w:val="auto"/>
                <w:szCs w:val="21"/>
              </w:rPr>
              <w:t>分包，不适宜分包的理由是：</w:t>
            </w:r>
            <w:r>
              <w:rPr>
                <w:rFonts w:ascii="宋体" w:hAnsi="宋体" w:eastAsia="宋体"/>
                <w:color w:val="auto"/>
                <w:szCs w:val="21"/>
                <w:u w:val="single"/>
              </w:rPr>
              <w:t xml:space="preserve"> </w:t>
            </w:r>
            <w:r>
              <w:rPr>
                <w:rFonts w:hint="eastAsia" w:ascii="宋体" w:hAnsi="宋体" w:eastAsia="宋体"/>
                <w:color w:val="auto"/>
                <w:szCs w:val="21"/>
                <w:u w:val="single"/>
              </w:rPr>
              <w:t>本项目内容完整形式单一，需保证一致性，故不宜分包</w:t>
            </w:r>
            <w:r>
              <w:rPr>
                <w:rFonts w:ascii="宋体" w:hAnsi="宋体" w:eastAsia="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pPr>
              <w:adjustRightInd w:val="0"/>
              <w:snapToGrid w:val="0"/>
              <w:spacing w:line="288" w:lineRule="auto"/>
              <w:rPr>
                <w:rFonts w:ascii="宋体" w:hAnsi="宋体" w:eastAsia="宋体"/>
                <w:bCs/>
                <w:szCs w:val="21"/>
              </w:rPr>
            </w:pPr>
            <w:r>
              <w:rPr>
                <w:rFonts w:hint="eastAsia" w:ascii="宋体" w:hAnsi="宋体" w:eastAsia="宋体"/>
                <w:bCs/>
                <w:szCs w:val="21"/>
              </w:rPr>
              <w:t>（</w:t>
            </w:r>
            <w:r>
              <w:rPr>
                <w:rFonts w:ascii="宋体" w:hAnsi="宋体" w:eastAsia="宋体"/>
                <w:bCs/>
                <w:szCs w:val="21"/>
              </w:rPr>
              <w:t>3</w:t>
            </w:r>
            <w:r>
              <w:rPr>
                <w:rFonts w:hint="eastAsia" w:ascii="宋体" w:hAnsi="宋体" w:eastAsia="宋体"/>
                <w:bCs/>
                <w:szCs w:val="21"/>
              </w:rPr>
              <w:t>）联合体协议（如有）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bCs/>
                <w:spacing w:val="-6"/>
                <w:szCs w:val="21"/>
              </w:rPr>
            </w:pPr>
            <w:r>
              <w:rPr>
                <w:rFonts w:hint="eastAsia" w:ascii="宋体" w:hAnsi="宋体" w:eastAsia="宋体"/>
                <w:bCs/>
                <w:spacing w:val="-6"/>
                <w:szCs w:val="21"/>
              </w:rPr>
              <w:t>电子加密投标文件：政府采购云平台在线上传一份；</w:t>
            </w:r>
          </w:p>
          <w:p>
            <w:pPr>
              <w:adjustRightInd w:val="0"/>
              <w:snapToGrid w:val="0"/>
              <w:spacing w:line="288" w:lineRule="auto"/>
              <w:ind w:firstLine="396" w:firstLineChars="200"/>
              <w:jc w:val="left"/>
              <w:rPr>
                <w:rFonts w:ascii="宋体" w:hAnsi="宋体" w:eastAsia="宋体" w:cs="宋体"/>
                <w:bCs/>
                <w:szCs w:val="21"/>
              </w:rPr>
            </w:pPr>
            <w:r>
              <w:rPr>
                <w:rFonts w:hint="eastAsia" w:ascii="宋体" w:hAnsi="宋体" w:eastAsia="宋体"/>
                <w:bCs/>
                <w:spacing w:val="-6"/>
                <w:szCs w:val="21"/>
              </w:rPr>
              <w:t>备份投标文件：密封包装后EMS或顺丰邮寄形式递交一份（邮寄地址：</w:t>
            </w:r>
            <w:r>
              <w:rPr>
                <w:rFonts w:hint="eastAsia" w:ascii="宋体" w:hAnsi="宋体" w:eastAsia="宋体" w:cs="宋体"/>
                <w:bCs/>
                <w:szCs w:val="21"/>
              </w:rPr>
              <w:t>杭州市西湖区玉古路173号中田大厦21楼H室，浙江求是招标代理有限公司（叶鲁茂）收，电话：0571-87666117，寄出后将（快递单号、项目名称、公司名称、联系方式等相关信息）发至：zb05@qszb.net，以便查收）。</w:t>
            </w:r>
          </w:p>
          <w:p>
            <w:pPr>
              <w:adjustRightInd w:val="0"/>
              <w:snapToGrid w:val="0"/>
              <w:spacing w:line="288" w:lineRule="auto"/>
              <w:ind w:firstLine="422" w:firstLineChars="200"/>
              <w:jc w:val="left"/>
              <w:rPr>
                <w:rFonts w:ascii="宋体" w:hAnsi="宋体" w:eastAsia="宋体"/>
                <w:bCs/>
                <w:spacing w:val="-6"/>
                <w:szCs w:val="21"/>
              </w:rPr>
            </w:pPr>
            <w:r>
              <w:rPr>
                <w:rFonts w:hint="eastAsia" w:ascii="宋体" w:hAnsi="宋体" w:eastAsia="宋体" w:cs="宋体"/>
                <w:b/>
                <w:szCs w:val="21"/>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szCs w:val="21"/>
              </w:rPr>
            </w:pPr>
            <w:r>
              <w:rPr>
                <w:rFonts w:hint="eastAsia" w:ascii="宋体" w:hAnsi="宋体" w:eastAsia="宋体"/>
                <w:szCs w:val="21"/>
              </w:rPr>
              <w:t>2.以人民币报价；</w:t>
            </w:r>
          </w:p>
          <w:p>
            <w:pPr>
              <w:adjustRightInd w:val="0"/>
              <w:snapToGrid w:val="0"/>
              <w:spacing w:line="288" w:lineRule="auto"/>
              <w:rPr>
                <w:rFonts w:ascii="宋体" w:hAnsi="宋体" w:eastAsia="宋体"/>
                <w:szCs w:val="21"/>
              </w:rPr>
            </w:pPr>
            <w:r>
              <w:rPr>
                <w:rFonts w:hint="eastAsia" w:ascii="宋体" w:hAnsi="宋体" w:eastAsia="宋体"/>
                <w:szCs w:val="21"/>
              </w:rPr>
              <w:t>3.投标报价是履行合同的最终价格，有关本项目实施所涉及的一切费用均计入报价；</w:t>
            </w:r>
          </w:p>
          <w:p>
            <w:pPr>
              <w:adjustRightInd w:val="0"/>
              <w:snapToGrid w:val="0"/>
              <w:spacing w:line="288" w:lineRule="auto"/>
              <w:rPr>
                <w:rFonts w:ascii="宋体" w:hAnsi="宋体" w:eastAsia="宋体"/>
                <w:szCs w:val="21"/>
              </w:rPr>
            </w:pPr>
            <w:r>
              <w:rPr>
                <w:rFonts w:hint="eastAsia" w:ascii="宋体" w:hAnsi="宋体" w:eastAsia="宋体"/>
                <w:szCs w:val="21"/>
              </w:rPr>
              <w:t>4.投标文件只允许有一个报价，有选择的报价将不予接受。</w:t>
            </w:r>
          </w:p>
          <w:p>
            <w:pPr>
              <w:pStyle w:val="13"/>
              <w:adjustRightInd w:val="0"/>
              <w:snapToGrid w:val="0"/>
              <w:spacing w:before="0" w:beforeLines="0" w:after="0" w:afterLines="0" w:line="288" w:lineRule="auto"/>
              <w:jc w:val="left"/>
              <w:rPr>
                <w:rFonts w:hAnsi="宋体" w:eastAsia="宋体" w:cs="宋体"/>
                <w:sz w:val="21"/>
                <w:szCs w:val="21"/>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szCs w:val="21"/>
        </w:rPr>
      </w:pPr>
      <w:r>
        <w:rPr>
          <w:rFonts w:ascii="宋体" w:hAnsi="宋体" w:eastAsia="宋体"/>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pPr>
        <w:adjustRightInd w:val="0"/>
        <w:snapToGrid w:val="0"/>
        <w:spacing w:line="288" w:lineRule="auto"/>
        <w:ind w:firstLine="396" w:firstLineChars="200"/>
        <w:jc w:val="left"/>
        <w:rPr>
          <w:rFonts w:ascii="宋体" w:hAnsi="宋体" w:eastAsia="宋体" w:cs="Times New Roman"/>
          <w:spacing w:val="-6"/>
          <w:szCs w:val="21"/>
        </w:rPr>
      </w:pPr>
      <w:bookmarkStart w:id="40"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0"/>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浙江财经大学智慧教室多媒体改造</w:t>
      </w:r>
      <w:r>
        <w:rPr>
          <w:rFonts w:hint="eastAsia" w:ascii="宋体" w:hAnsi="宋体" w:eastAsia="宋体" w:cs="Times New Roman"/>
          <w:spacing w:val="-6"/>
          <w:szCs w:val="21"/>
        </w:rPr>
        <w:t>的招标、评标、定标、验收、合同履约、付款等（法律、法规另有规定的，从其规定）。</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”系指浙江财经大学；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1"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1"/>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1.05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621" w:type="dxa"/>
            <w:gridSpan w:val="2"/>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不足2000元按2000元收取</w:t>
            </w:r>
          </w:p>
        </w:tc>
      </w:tr>
    </w:tbl>
    <w:p>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lang w:eastAsia="zh-CN"/>
        </w:rPr>
        <w:t>2024年01月（含）以后任意一月</w:t>
      </w:r>
      <w:r>
        <w:rPr>
          <w:rFonts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（六）联合体投标</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接受联合体投标。</w:t>
      </w:r>
    </w:p>
    <w:p>
      <w:pPr>
        <w:spacing w:line="288" w:lineRule="auto"/>
        <w:ind w:firstLine="420" w:firstLineChars="200"/>
        <w:rPr>
          <w:rFonts w:ascii="宋体" w:hAnsi="宋体" w:eastAsia="宋体" w:cs="Times New Roman"/>
        </w:rPr>
      </w:pPr>
      <w:r>
        <w:rPr>
          <w:rFonts w:hint="eastAsia" w:ascii="宋体" w:hAnsi="宋体" w:eastAsia="宋体" w:cs="Times New Roman"/>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Times New Roma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（七）转包与分包</w:t>
      </w:r>
    </w:p>
    <w:p>
      <w:pPr>
        <w:adjustRightInd w:val="0"/>
        <w:snapToGrid w:val="0"/>
        <w:spacing w:line="288" w:lineRule="auto"/>
        <w:ind w:firstLine="424" w:firstLineChars="202"/>
        <w:jc w:val="left"/>
        <w:rPr>
          <w:rFonts w:ascii="宋体" w:hAnsi="宋体" w:eastAsia="宋体"/>
          <w:color w:val="auto"/>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color w:val="auto"/>
          <w:szCs w:val="21"/>
        </w:rPr>
        <w:t>本项目不允许转包；</w:t>
      </w:r>
    </w:p>
    <w:p>
      <w:pPr>
        <w:adjustRightInd w:val="0"/>
        <w:snapToGrid w:val="0"/>
        <w:spacing w:line="288" w:lineRule="auto"/>
        <w:ind w:firstLine="424" w:firstLineChars="202"/>
        <w:jc w:val="left"/>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不允许</w:t>
      </w:r>
      <w:r>
        <w:rPr>
          <w:rFonts w:hint="eastAsia" w:ascii="宋体" w:hAnsi="宋体" w:eastAsia="宋体"/>
          <w:color w:val="auto"/>
          <w:szCs w:val="21"/>
        </w:rPr>
        <w:t>分包，不适宜分包的理由是：</w:t>
      </w:r>
      <w:r>
        <w:rPr>
          <w:rFonts w:ascii="宋体" w:hAnsi="宋体" w:eastAsia="宋体"/>
          <w:color w:val="auto"/>
          <w:szCs w:val="21"/>
          <w:u w:val="single"/>
        </w:rPr>
        <w:t xml:space="preserve"> </w:t>
      </w:r>
      <w:r>
        <w:rPr>
          <w:rFonts w:hint="eastAsia" w:ascii="宋体" w:hAnsi="宋体" w:eastAsia="宋体"/>
          <w:color w:val="auto"/>
          <w:szCs w:val="21"/>
          <w:u w:val="single"/>
        </w:rPr>
        <w:t>本项目内容完整形式单一，需保证一致性，故不宜分包</w:t>
      </w:r>
      <w:r>
        <w:rPr>
          <w:rFonts w:ascii="宋体" w:hAnsi="宋体" w:eastAsia="宋体"/>
          <w:color w:val="auto"/>
          <w:szCs w:val="21"/>
          <w:u w:val="single"/>
        </w:rPr>
        <w:t xml:space="preserve"> 。</w:t>
      </w:r>
    </w:p>
    <w:p>
      <w:pPr>
        <w:adjustRightInd w:val="0"/>
        <w:snapToGrid w:val="0"/>
        <w:spacing w:line="288" w:lineRule="auto"/>
        <w:ind w:firstLine="402" w:firstLineChars="202"/>
        <w:jc w:val="left"/>
        <w:rPr>
          <w:rFonts w:ascii="宋体" w:hAnsi="宋体" w:eastAsia="宋体" w:cs="Times New Roman"/>
          <w:b/>
          <w:color w:val="auto"/>
          <w:spacing w:val="-6"/>
          <w:szCs w:val="21"/>
        </w:rPr>
      </w:pPr>
      <w:r>
        <w:rPr>
          <w:rFonts w:hint="eastAsia" w:ascii="宋体" w:hAnsi="宋体" w:eastAsia="宋体" w:cs="Times New Roman"/>
          <w:b/>
          <w:color w:val="auto"/>
          <w:spacing w:val="-6"/>
          <w:szCs w:val="21"/>
        </w:rPr>
        <w:t>（八）质疑和投诉</w:t>
      </w:r>
    </w:p>
    <w:p>
      <w:pPr>
        <w:adjustRightInd w:val="0"/>
        <w:snapToGrid w:val="0"/>
        <w:spacing w:line="288" w:lineRule="auto"/>
        <w:ind w:firstLine="396" w:firstLineChars="200"/>
        <w:jc w:val="left"/>
        <w:rPr>
          <w:rFonts w:ascii="宋体" w:hAnsi="宋体" w:eastAsia="宋体" w:cs="Times New Roman"/>
          <w:spacing w:val="-6"/>
          <w:szCs w:val="21"/>
        </w:rPr>
      </w:pPr>
      <w:bookmarkStart w:id="42"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2"/>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pPr>
        <w:adjustRightInd w:val="0"/>
        <w:snapToGrid w:val="0"/>
        <w:spacing w:line="288" w:lineRule="auto"/>
        <w:outlineLvl w:val="9"/>
        <w:rPr>
          <w:rFonts w:ascii="宋体" w:hAnsi="宋体" w:eastAsia="宋体" w:cs="宋体"/>
          <w:b/>
          <w:spacing w:val="-6"/>
          <w:kern w:val="0"/>
          <w:szCs w:val="21"/>
        </w:rPr>
      </w:pPr>
      <w:bookmarkStart w:id="43" w:name="_Hlk92273111"/>
      <w:bookmarkStart w:id="44"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p>
      <w:pPr>
        <w:adjustRightInd w:val="0"/>
        <w:snapToGrid w:val="0"/>
        <w:spacing w:line="288" w:lineRule="auto"/>
        <w:ind w:firstLine="398" w:firstLineChars="200"/>
        <w:jc w:val="left"/>
        <w:rPr>
          <w:rFonts w:ascii="宋体" w:hAnsi="宋体" w:eastAsia="宋体" w:cs="Times New Roman"/>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ascii="宋体" w:hAnsi="宋体" w:eastAsia="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2.支持绿色发展</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3.</w:t>
      </w:r>
      <w:r>
        <w:rPr>
          <w:rFonts w:hint="eastAsia" w:ascii="宋体" w:hAnsi="宋体" w:eastAsia="宋体" w:cs="Times New Roman"/>
          <w:b/>
          <w:bCs/>
          <w:spacing w:val="-6"/>
          <w:szCs w:val="21"/>
        </w:rPr>
        <w:t>支持科技创新</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优先推荐专精特新中小企业、创新产品参加政府采购活动。对省级以上主管部门认定的首台套产品，自纳入《省推广应用指导目录》起三年内参加政府采购活动，视同已具备相应销售业绩，业绩分为满分。</w:t>
      </w:r>
      <w:bookmarkStart w:id="45" w:name="_Hlk106875293"/>
    </w:p>
    <w:bookmarkEnd w:id="45"/>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4.支持中小企业发展</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spacing w:val="-6"/>
          <w:szCs w:val="21"/>
        </w:rPr>
        <w:t>1</w:t>
      </w:r>
      <w:r>
        <w:rPr>
          <w:rFonts w:ascii="宋体" w:hAnsi="宋体" w:eastAsia="宋体" w:cs="Times New Roman"/>
          <w:spacing w:val="-6"/>
          <w:szCs w:val="21"/>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rPr>
        <w:t>4</w:t>
      </w:r>
      <w:r>
        <w:rPr>
          <w:rFonts w:ascii="宋体" w:hAnsi="宋体" w:eastAsia="宋体" w:cs="Times New Roman"/>
          <w:spacing w:val="-6"/>
          <w:szCs w:val="21"/>
        </w:rPr>
        <w:t>%的扣除，用扣除后的价格参加评审。组成联合体或者接受分包的小微企业与联合体内其他企业、分包企业之间存在直接控</w:t>
      </w:r>
      <w:r>
        <w:rPr>
          <w:rFonts w:hint="eastAsia" w:ascii="宋体" w:hAnsi="宋体" w:eastAsia="宋体" w:cs="Times New Roman"/>
          <w:spacing w:val="-6"/>
          <w:szCs w:val="21"/>
        </w:rPr>
        <w:t>股、管理关系的，不享受价格扣除优惠政策。</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43"/>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p>
    <w:bookmarkEnd w:id="44"/>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pPr>
        <w:adjustRightInd w:val="0"/>
        <w:snapToGrid w:val="0"/>
        <w:spacing w:line="288" w:lineRule="auto"/>
        <w:ind w:firstLine="396" w:firstLineChars="200"/>
        <w:jc w:val="left"/>
        <w:rPr>
          <w:rFonts w:ascii="宋体" w:hAnsi="宋体" w:eastAsia="宋体" w:cs="Times New Roman"/>
          <w:spacing w:val="-6"/>
          <w:szCs w:val="21"/>
        </w:rPr>
      </w:pPr>
      <w:bookmarkStart w:id="46"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如供应商提供的产品技术支持材料与采购需求偏离表响应不一致，以产品技术支持材料为准。</w:t>
      </w:r>
    </w:p>
    <w:bookmarkEnd w:id="46"/>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（二）投标文件的签署和份数</w:t>
      </w:r>
    </w:p>
    <w:p>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47" w:name="_Hlk96329183"/>
      <w:r>
        <w:rPr>
          <w:rFonts w:hint="eastAsia" w:ascii="宋体" w:hAnsi="宋体" w:eastAsia="宋体"/>
          <w:spacing w:val="-6"/>
          <w:szCs w:val="21"/>
        </w:rPr>
        <w:t>加盖公章</w:t>
      </w:r>
      <w:bookmarkEnd w:id="47"/>
      <w:r>
        <w:rPr>
          <w:rFonts w:hint="eastAsia" w:ascii="宋体" w:hAnsi="宋体" w:eastAsia="宋体"/>
          <w:spacing w:val="-6"/>
          <w:szCs w:val="21"/>
        </w:rPr>
        <w:t>，投标人应写全称。</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4.投标文件份数：</w:t>
      </w:r>
    </w:p>
    <w:p>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b/>
          <w:bCs/>
          <w:spacing w:val="-6"/>
          <w:szCs w:val="21"/>
        </w:rPr>
        <w:t>备份投标文件：密封包装后EMS或顺丰邮寄形式递交一份（邮寄地址：</w:t>
      </w:r>
      <w:r>
        <w:rPr>
          <w:rFonts w:hint="eastAsia" w:ascii="宋体" w:hAnsi="宋体" w:eastAsia="宋体" w:cs="宋体"/>
          <w:b/>
          <w:bCs/>
          <w:szCs w:val="21"/>
        </w:rPr>
        <w:t>杭州市西湖区玉古路173号中田大厦21楼H室，浙江求是招标代理有限公司（叶鲁茂）收，电话：0571-87666117，寄出后将（快递单号、项目名称、公司名称、联系方式等相关信息）发至：zb05@qszb.net，以便查收）。</w:t>
      </w:r>
    </w:p>
    <w:p>
      <w:pPr>
        <w:adjustRightInd w:val="0"/>
        <w:snapToGrid w:val="0"/>
        <w:spacing w:line="288" w:lineRule="auto"/>
        <w:ind w:firstLine="422" w:firstLineChars="200"/>
        <w:jc w:val="left"/>
        <w:rPr>
          <w:rFonts w:ascii="宋体" w:hAnsi="宋体" w:eastAsia="宋体" w:cs="Times New Roman"/>
          <w:b/>
          <w:bCs/>
          <w:spacing w:val="-6"/>
          <w:szCs w:val="21"/>
        </w:rPr>
      </w:pPr>
      <w:r>
        <w:rPr>
          <w:rFonts w:hint="eastAsia" w:ascii="宋体" w:hAnsi="宋体" w:eastAsia="宋体" w:cs="宋体"/>
          <w:b/>
          <w:szCs w:val="21"/>
        </w:rPr>
        <w:t>特别说明：双休日和法定节假日不收件，投标人自行承担邮寄风险。</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（三）投标文件的上传、递交、修改和撤回</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spacing w:val="-6"/>
          <w:szCs w:val="21"/>
        </w:rPr>
      </w:pPr>
      <w:bookmarkStart w:id="48" w:name="_Hlk94018616"/>
      <w:r>
        <w:rPr>
          <w:rFonts w:hint="eastAsia" w:ascii="宋体" w:hAnsi="宋体" w:eastAsia="宋体"/>
          <w:spacing w:val="-6"/>
          <w:szCs w:val="21"/>
        </w:rPr>
        <w:t>▲d.投标人仅递交备份投标文件而未将电子加密投标文件成功上传至政府采购云平台的，投标无效。</w:t>
      </w:r>
    </w:p>
    <w:bookmarkEnd w:id="48"/>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0"/>
          <w:rFonts w:hint="eastAsia" w:ascii="宋体" w:hAnsi="宋体" w:eastAsia="宋体"/>
          <w:b/>
          <w:bCs/>
          <w:szCs w:val="21"/>
        </w:rPr>
        <w:t>https://edu.zcygov.cn/luban/e-biding</w:t>
      </w:r>
      <w:r>
        <w:rPr>
          <w:rStyle w:val="30"/>
          <w:rFonts w:hint="eastAsia" w:ascii="宋体" w:hAnsi="宋体" w:eastAsia="宋体"/>
          <w:b/>
          <w:bCs/>
          <w:szCs w:val="21"/>
        </w:rPr>
        <w:fldChar w:fldCharType="end"/>
      </w:r>
      <w:r>
        <w:rPr>
          <w:rFonts w:hint="eastAsia" w:ascii="宋体" w:hAnsi="宋体" w:eastAsia="宋体"/>
          <w:b/>
          <w:bCs/>
          <w:szCs w:val="21"/>
        </w:rPr>
        <w:t>）。</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2.以人民币报价；</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3.投标报价是履行合同的最终价格，有关本项目实施所涉及的一切费用均计入报价；</w:t>
      </w:r>
    </w:p>
    <w:p>
      <w:pPr>
        <w:pStyle w:val="13"/>
        <w:adjustRightInd w:val="0"/>
        <w:snapToGrid w:val="0"/>
        <w:spacing w:before="0" w:beforeLines="0" w:after="0" w:afterLines="0" w:line="288" w:lineRule="auto"/>
        <w:ind w:firstLine="420" w:firstLineChars="200"/>
        <w:jc w:val="left"/>
        <w:rPr>
          <w:rFonts w:hAnsi="宋体" w:eastAsia="宋体" w:cs="宋体"/>
          <w:sz w:val="21"/>
          <w:szCs w:val="21"/>
        </w:rPr>
      </w:pPr>
      <w:r>
        <w:rPr>
          <w:rFonts w:hint="eastAsia" w:hAnsi="宋体" w:eastAsia="宋体" w:cs="宋体"/>
          <w:sz w:val="21"/>
          <w:szCs w:val="21"/>
        </w:rPr>
        <w:t>4.投标文件只允许有一个报价，有选择的报价将不予接受。</w:t>
      </w:r>
    </w:p>
    <w:p>
      <w:pPr>
        <w:pStyle w:val="13"/>
        <w:adjustRightInd w:val="0"/>
        <w:snapToGrid w:val="0"/>
        <w:spacing w:before="0" w:beforeLines="0" w:after="0" w:afterLines="0" w:line="288" w:lineRule="auto"/>
        <w:ind w:firstLine="420" w:firstLineChars="200"/>
        <w:jc w:val="left"/>
        <w:rPr>
          <w:rFonts w:hAnsi="宋体" w:eastAsia="宋体" w:cs="宋体"/>
          <w:sz w:val="21"/>
          <w:szCs w:val="21"/>
        </w:rPr>
      </w:pPr>
      <w:bookmarkStart w:id="49" w:name="_Hlk94018664"/>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bookmarkEnd w:id="49"/>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（六）投标有效期</w:t>
      </w:r>
    </w:p>
    <w:p>
      <w:pPr>
        <w:pStyle w:val="13"/>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pPr>
        <w:adjustRightInd w:val="0"/>
        <w:snapToGrid w:val="0"/>
        <w:spacing w:line="288" w:lineRule="auto"/>
        <w:ind w:firstLine="420" w:firstLineChars="200"/>
        <w:rPr>
          <w:rFonts w:ascii="宋体" w:hAnsi="宋体" w:eastAsia="宋体" w:cs="宋体"/>
          <w:szCs w:val="21"/>
        </w:rPr>
      </w:pPr>
      <w:bookmarkStart w:id="50" w:name="_Hlk94018682"/>
      <w:r>
        <w:rPr>
          <w:rFonts w:hint="eastAsia" w:ascii="宋体" w:hAnsi="宋体" w:eastAsia="宋体" w:cs="宋体"/>
          <w:szCs w:val="21"/>
        </w:rPr>
        <w:t>未响应招标文件“▲”标记条款要求的，投标无效。</w:t>
      </w:r>
    </w:p>
    <w:bookmarkEnd w:id="50"/>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3）委托授权代表参加投标但未提供符合要求的授权代表社保缴纳证明；</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（5）明显不符合招标文件要求，或负偏离</w:t>
      </w:r>
      <w:r>
        <w:rPr>
          <w:rFonts w:hint="eastAsia" w:ascii="宋体" w:hAnsi="宋体" w:eastAsia="宋体" w:cs="Times New Roman"/>
          <w:spacing w:val="-6"/>
          <w:szCs w:val="21"/>
          <w:lang w:val="en-US" w:eastAsia="zh-CN"/>
        </w:rPr>
        <w:t>扣分到达规定分值</w:t>
      </w:r>
      <w:r>
        <w:rPr>
          <w:rFonts w:hint="eastAsia" w:ascii="宋体" w:hAnsi="宋体" w:eastAsia="宋体" w:cs="Times New Roman"/>
          <w:spacing w:val="-6"/>
          <w:szCs w:val="21"/>
        </w:rPr>
        <w:t>，视为采购人不能接受的附加条件；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pPr>
        <w:widowControl/>
        <w:adjustRightInd w:val="0"/>
        <w:snapToGrid w:val="0"/>
        <w:spacing w:line="288" w:lineRule="auto"/>
        <w:ind w:firstLine="396" w:firstLineChars="200"/>
        <w:jc w:val="left"/>
        <w:rPr>
          <w:rFonts w:ascii="宋体" w:hAnsi="宋体" w:eastAsia="宋体" w:cs="Times New Roman"/>
          <w:spacing w:val="-6"/>
          <w:szCs w:val="21"/>
        </w:rPr>
      </w:pPr>
      <w:bookmarkStart w:id="51"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1"/>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pPr>
        <w:pStyle w:val="99"/>
        <w:snapToGrid w:val="0"/>
        <w:spacing w:before="0" w:line="288" w:lineRule="auto"/>
        <w:ind w:left="0" w:firstLine="424" w:firstLineChars="201"/>
        <w:rPr>
          <w:rFonts w:ascii="宋体" w:hAnsi="宋体"/>
          <w:szCs w:val="21"/>
        </w:rPr>
      </w:pPr>
      <w:bookmarkStart w:id="52" w:name="_Hlk94018775"/>
      <w:r>
        <w:rPr>
          <w:rFonts w:hint="eastAsia" w:ascii="宋体" w:hAnsi="宋体" w:cs="仿宋_GB2312"/>
          <w:b/>
          <w:szCs w:val="21"/>
        </w:rPr>
        <w:t>（一）</w:t>
      </w:r>
      <w:r>
        <w:rPr>
          <w:rFonts w:ascii="宋体" w:hAnsi="宋体" w:cs="仿宋_GB2312"/>
          <w:b/>
          <w:szCs w:val="21"/>
        </w:rPr>
        <w:t>开标</w:t>
      </w:r>
    </w:p>
    <w:p>
      <w:pPr>
        <w:pStyle w:val="99"/>
        <w:snapToGrid w:val="0"/>
        <w:spacing w:before="0" w:line="288" w:lineRule="auto"/>
        <w:ind w:left="0" w:firstLine="422" w:firstLineChars="201"/>
        <w:rPr>
          <w:rFonts w:ascii="宋体" w:hAnsi="宋体" w:cs="仿宋_GB2312"/>
          <w:szCs w:val="21"/>
        </w:rPr>
      </w:pPr>
      <w:r>
        <w:rPr>
          <w:rFonts w:ascii="宋体" w:hAnsi="宋体" w:cs="仿宋_GB2312"/>
          <w:szCs w:val="21"/>
        </w:rPr>
        <w:t>采购机构按照招标文件规定的时间通过电子交易平台组织开标，所有投标人均应当准时在线参加。投标人不足3家的，不得开标。</w:t>
      </w:r>
    </w:p>
    <w:p>
      <w:pPr>
        <w:pStyle w:val="99"/>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采购人或采购机构依据法律法规和招标文件的规定，对投标人的资格条件进行审查。</w:t>
      </w:r>
    </w:p>
    <w:p>
      <w:pPr>
        <w:pStyle w:val="98"/>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对未通过资格审查的投标人，采购人或采购机构告知其未通过的原因。</w:t>
      </w:r>
    </w:p>
    <w:p>
      <w:pPr>
        <w:pStyle w:val="98"/>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pPr>
        <w:pStyle w:val="98"/>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pPr>
        <w:pStyle w:val="98"/>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pPr>
        <w:adjustRightInd w:val="0"/>
        <w:snapToGrid w:val="0"/>
        <w:spacing w:line="288" w:lineRule="auto"/>
        <w:ind w:firstLine="398" w:firstLineChars="200"/>
        <w:rPr>
          <w:rFonts w:ascii="宋体" w:hAnsi="宋体" w:eastAsia="宋体" w:cs="Times New Roman"/>
          <w:b/>
          <w:bCs/>
          <w:color w:val="FF0000"/>
          <w:spacing w:val="-6"/>
          <w:szCs w:val="21"/>
        </w:rPr>
      </w:pP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2"/>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pPr>
        <w:adjustRightInd w:val="0"/>
        <w:snapToGrid w:val="0"/>
        <w:spacing w:line="288" w:lineRule="auto"/>
        <w:ind w:firstLine="420" w:firstLineChars="200"/>
        <w:rPr>
          <w:rFonts w:ascii="宋体" w:hAnsi="宋体" w:eastAsia="宋体" w:cs="宋体"/>
          <w:kern w:val="0"/>
          <w:szCs w:val="21"/>
        </w:rPr>
      </w:pPr>
      <w:bookmarkStart w:id="53"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3"/>
    <w:p>
      <w:pPr>
        <w:adjustRightInd w:val="0"/>
        <w:snapToGrid w:val="0"/>
        <w:spacing w:line="288" w:lineRule="auto"/>
        <w:ind w:firstLine="426" w:firstLineChars="202"/>
        <w:rPr>
          <w:rFonts w:ascii="宋体" w:hAnsi="宋体" w:eastAsia="宋体" w:cs="Arial"/>
          <w:b/>
          <w:kern w:val="0"/>
          <w:szCs w:val="21"/>
        </w:rPr>
      </w:pPr>
      <w:bookmarkStart w:id="54" w:name="_Hlk94019000"/>
      <w:r>
        <w:rPr>
          <w:rFonts w:hint="eastAsia" w:ascii="宋体" w:hAnsi="宋体" w:eastAsia="宋体" w:cs="Arial"/>
          <w:b/>
          <w:kern w:val="0"/>
          <w:szCs w:val="21"/>
        </w:rPr>
        <w:t>（一）</w:t>
      </w:r>
      <w:r>
        <w:rPr>
          <w:rFonts w:ascii="宋体" w:hAnsi="宋体" w:eastAsia="宋体" w:cs="Arial"/>
          <w:b/>
          <w:kern w:val="0"/>
          <w:szCs w:val="21"/>
        </w:rPr>
        <w:t>符合性审查</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pPr>
        <w:pStyle w:val="98"/>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pPr>
        <w:pStyle w:val="98"/>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（五）投标人澄清、说明或者补正</w:t>
      </w:r>
    </w:p>
    <w:p>
      <w:pPr>
        <w:pStyle w:val="98"/>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投标人的书面澄清、说明或者补正无法通过政府采购云平台上传的，可在规定时间内（不少于半小时）通过指定的电子邮箱（zb05@qszb.net</w:t>
      </w:r>
      <w:r>
        <w:rPr>
          <w:rFonts w:ascii="宋体" w:hAnsi="宋体" w:eastAsia="宋体" w:cs="宋体"/>
          <w:kern w:val="0"/>
          <w:szCs w:val="21"/>
        </w:rPr>
        <w:t>）或传真号码（0571-87666116）提交。</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pPr>
        <w:adjustRightInd w:val="0"/>
        <w:snapToGrid w:val="0"/>
        <w:spacing w:line="288" w:lineRule="auto"/>
        <w:ind w:firstLine="424" w:firstLineChars="202"/>
        <w:rPr>
          <w:rFonts w:ascii="宋体" w:hAnsi="宋体" w:eastAsia="宋体" w:cs="Times New Roman"/>
          <w:bCs/>
          <w:spacing w:val="-6"/>
          <w:szCs w:val="21"/>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rPr>
        <w:t>。本项目推荐</w:t>
      </w:r>
      <w:r>
        <w:rPr>
          <w:rFonts w:ascii="宋体" w:hAnsi="宋体" w:eastAsia="宋体" w:cs="Arial"/>
          <w:kern w:val="0"/>
          <w:szCs w:val="21"/>
        </w:rPr>
        <w:t>1</w:t>
      </w:r>
      <w:r>
        <w:rPr>
          <w:rFonts w:hint="eastAsia" w:ascii="宋体" w:hAnsi="宋体" w:eastAsia="宋体" w:cs="Arial"/>
          <w:kern w:val="0"/>
          <w:szCs w:val="21"/>
        </w:rPr>
        <w:t>名中标候选人。</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非单一产品采购项目，采购人应当根据采购项目技术构成、产品价格比重等合理确定核心产品，并在招标文件中载明。多家投标人提供的核心产品品牌相同的，按前款规定处理。</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4"/>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5个工作日内，在评标报告确定的中标候选人名单中按顺序确定中标人</w:t>
      </w:r>
      <w:r>
        <w:rPr>
          <w:rFonts w:hint="eastAsia" w:ascii="宋体" w:hAnsi="宋体" w:eastAsia="宋体" w:cs="Times New Roman"/>
          <w:spacing w:val="-6"/>
          <w:szCs w:val="21"/>
        </w:rPr>
        <w:t>，也可以书面授权评标委员会直接确定中标人。</w:t>
      </w:r>
      <w:r>
        <w:rPr>
          <w:rFonts w:ascii="宋体" w:hAnsi="宋体" w:eastAsia="宋体" w:cs="Times New Roman"/>
          <w:spacing w:val="-6"/>
          <w:szCs w:val="21"/>
        </w:rPr>
        <w:t>中标候选人并列的，由采购人确定中标人。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spacing w:val="-6"/>
          <w:szCs w:val="21"/>
        </w:rPr>
      </w:pPr>
    </w:p>
    <w:p>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分（3</w:t>
            </w:r>
            <w:r>
              <w:rPr>
                <w:rFonts w:ascii="宋体" w:hAnsi="宋体" w:eastAsia="宋体" w:cs="Times New Roman"/>
                <w:b/>
                <w:bCs/>
                <w:szCs w:val="21"/>
              </w:rPr>
              <w:t>0</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投标人自2021年1月1日以来（以合同签订时间为准）同类合同业绩（以提供的合同扫描件为准）：每提供1份合同业绩得</w:t>
            </w:r>
            <w:r>
              <w:rPr>
                <w:rFonts w:ascii="宋体" w:hAnsi="宋体" w:eastAsia="宋体" w:cs="宋体"/>
                <w:szCs w:val="21"/>
              </w:rPr>
              <w:t>1</w:t>
            </w:r>
            <w:r>
              <w:rPr>
                <w:rFonts w:hint="eastAsia" w:ascii="宋体" w:hAnsi="宋体" w:eastAsia="宋体" w:cs="宋体"/>
                <w:szCs w:val="21"/>
              </w:rPr>
              <w:t>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体系认证</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1</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投标人或制造商具有有效的质量管理体系认证证书的得1分。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（需提供证书</w:t>
            </w:r>
            <w:r>
              <w:rPr>
                <w:rFonts w:hint="eastAsia" w:ascii="宋体" w:hAnsi="宋体" w:eastAsia="宋体" w:cs="宋体"/>
                <w:szCs w:val="21"/>
                <w:lang w:eastAsia="zh-CN"/>
              </w:rPr>
              <w:t>复印件</w:t>
            </w:r>
            <w:r>
              <w:rPr>
                <w:rFonts w:hint="eastAsia" w:ascii="宋体" w:hAnsi="宋体" w:eastAsia="宋体" w:cs="宋体"/>
                <w:szCs w:val="21"/>
              </w:rPr>
              <w:t>、国家认证认可监督管理委员会官网（http://www.cnca.gov.cn/）查询截图，未提供或提供不全不得分）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政策功能</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1</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投标产品属于品目清单范围且提供国家确定的认证机构出具的有效的环境标志产品认证证书（</w:t>
            </w:r>
            <w:r>
              <w:rPr>
                <w:rFonts w:hint="eastAsia" w:ascii="宋体" w:hAnsi="宋体" w:eastAsia="宋体" w:cs="宋体"/>
                <w:szCs w:val="21"/>
                <w:lang w:eastAsia="zh-CN"/>
              </w:rPr>
              <w:t>复印件</w:t>
            </w:r>
            <w:r>
              <w:rPr>
                <w:rFonts w:hint="eastAsia" w:ascii="宋体" w:hAnsi="宋体" w:eastAsia="宋体" w:cs="宋体"/>
                <w:szCs w:val="21"/>
              </w:rPr>
              <w:t>）的得</w:t>
            </w:r>
            <w:r>
              <w:rPr>
                <w:rFonts w:hint="eastAsia" w:ascii="宋体" w:hAnsi="宋体" w:eastAsia="宋体" w:cs="宋体"/>
                <w:szCs w:val="21"/>
                <w:lang w:val="en-US" w:eastAsia="zh-CN"/>
              </w:rPr>
              <w:t>1</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18</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不符合（负偏离）技术要求中标注“▲”条款（不可偏离）的投标无效；</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满足招标文件明确的全部技术条款要求的</w:t>
            </w:r>
            <w:r>
              <w:rPr>
                <w:rFonts w:hint="eastAsia" w:ascii="宋体" w:hAnsi="宋体" w:eastAsia="宋体" w:cs="Times New Roman"/>
                <w:szCs w:val="21"/>
              </w:rPr>
              <w:t>该项得满分</w:t>
            </w:r>
            <w:r>
              <w:rPr>
                <w:rFonts w:hint="eastAsia" w:ascii="宋体" w:hAnsi="宋体" w:eastAsia="宋体" w:cs="宋体"/>
                <w:szCs w:val="21"/>
              </w:rPr>
              <w:t>；</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rPr>
              <w:t>技术条款低于技术要求（负偏离）的每项扣</w:t>
            </w:r>
            <w:r>
              <w:rPr>
                <w:rFonts w:hint="eastAsia" w:ascii="宋体" w:hAnsi="宋体" w:eastAsia="宋体" w:cs="宋体"/>
                <w:szCs w:val="21"/>
                <w:lang w:val="en-US" w:eastAsia="zh-CN"/>
              </w:rPr>
              <w:t>0.5</w:t>
            </w:r>
            <w:r>
              <w:rPr>
                <w:rFonts w:hint="eastAsia" w:ascii="宋体" w:hAnsi="宋体" w:eastAsia="宋体" w:cs="宋体"/>
                <w:szCs w:val="21"/>
              </w:rPr>
              <w:t>分，标★技术条款低于技术要求（负偏离）的每项扣</w:t>
            </w:r>
            <w:r>
              <w:rPr>
                <w:rFonts w:hint="eastAsia" w:ascii="宋体" w:hAnsi="宋体" w:eastAsia="宋体" w:cs="宋体"/>
                <w:szCs w:val="21"/>
                <w:lang w:val="en-US" w:eastAsia="zh-CN"/>
              </w:rPr>
              <w:t>1</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lang w:val="en-US" w:eastAsia="zh-CN"/>
              </w:rPr>
              <w:t>下列项目团队客观分相关内容除外</w:t>
            </w:r>
            <w:r>
              <w:rPr>
                <w:rFonts w:hint="eastAsia" w:ascii="宋体" w:hAnsi="宋体" w:eastAsia="宋体" w:cs="宋体"/>
                <w:szCs w:val="21"/>
                <w:lang w:eastAsia="zh-CN"/>
              </w:rPr>
              <w:t>）</w:t>
            </w:r>
          </w:p>
          <w:p>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lang w:val="en-US" w:eastAsia="zh-CN"/>
              </w:rPr>
              <w:t>负偏离扣分18分及以上的，</w:t>
            </w:r>
            <w:r>
              <w:rPr>
                <w:rFonts w:hint="eastAsia" w:ascii="宋体" w:hAnsi="宋体" w:eastAsia="宋体" w:cs="宋体"/>
                <w:szCs w:val="21"/>
              </w:rPr>
              <w:t>视为采购人不能接受的附加条件</w:t>
            </w:r>
            <w:r>
              <w:rPr>
                <w:rFonts w:hint="eastAsia" w:ascii="宋体" w:hAnsi="宋体" w:eastAsia="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项目实施方案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kern w:val="0"/>
                <w:szCs w:val="21"/>
              </w:rPr>
            </w:pPr>
            <w:r>
              <w:rPr>
                <w:rFonts w:hint="eastAsia" w:ascii="宋体" w:hAnsi="宋体" w:eastAsia="宋体" w:cs="宋体"/>
                <w:szCs w:val="21"/>
              </w:rPr>
              <w:t>【主观分】投标人拟提供的项目实施方案：专业、成熟、针对采购需求及实际特点、</w:t>
            </w:r>
            <w:r>
              <w:rPr>
                <w:rFonts w:hint="eastAsia" w:ascii="宋体" w:hAnsi="宋体" w:eastAsia="宋体" w:cs="宋体"/>
                <w:kern w:val="0"/>
                <w:szCs w:val="21"/>
              </w:rPr>
              <w:t>有利于采购标的实现及合同履约。</w:t>
            </w:r>
          </w:p>
          <w:p>
            <w:pPr>
              <w:adjustRightInd w:val="0"/>
              <w:snapToGrid w:val="0"/>
              <w:spacing w:line="288" w:lineRule="auto"/>
              <w:rPr>
                <w:rFonts w:ascii="宋体" w:hAnsi="宋体" w:eastAsia="宋体" w:cs="宋体"/>
                <w:szCs w:val="21"/>
              </w:rPr>
            </w:pPr>
            <w:r>
              <w:rPr>
                <w:rFonts w:hint="eastAsia" w:ascii="宋体" w:hAnsi="宋体" w:eastAsia="宋体" w:cs="宋体"/>
                <w:kern w:val="0"/>
                <w:szCs w:val="21"/>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安装调试</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kern w:val="0"/>
                <w:szCs w:val="21"/>
              </w:rPr>
            </w:pPr>
            <w:r>
              <w:rPr>
                <w:rFonts w:hint="eastAsia" w:ascii="宋体" w:hAnsi="宋体" w:eastAsia="宋体" w:cs="宋体"/>
                <w:szCs w:val="21"/>
              </w:rPr>
              <w:t>【主观分】投标人拟提供的安装调试方案：专业、成熟、针对采购需求及实际特点、</w:t>
            </w:r>
            <w:r>
              <w:rPr>
                <w:rFonts w:hint="eastAsia" w:ascii="宋体" w:hAnsi="宋体" w:eastAsia="宋体" w:cs="宋体"/>
                <w:kern w:val="0"/>
                <w:szCs w:val="21"/>
              </w:rPr>
              <w:t>有利于采购标的实现及合同履约。</w:t>
            </w:r>
          </w:p>
          <w:p>
            <w:pPr>
              <w:adjustRightInd w:val="0"/>
              <w:snapToGrid w:val="0"/>
              <w:spacing w:line="288" w:lineRule="auto"/>
              <w:rPr>
                <w:rFonts w:ascii="宋体" w:hAnsi="宋体" w:eastAsia="宋体" w:cs="宋体"/>
                <w:szCs w:val="21"/>
              </w:rPr>
            </w:pPr>
            <w:r>
              <w:rPr>
                <w:rFonts w:hint="eastAsia" w:ascii="宋体" w:hAnsi="宋体" w:eastAsia="宋体" w:cs="宋体"/>
                <w:kern w:val="0"/>
                <w:szCs w:val="21"/>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b/>
                <w:bCs/>
                <w:spacing w:val="-6"/>
                <w:szCs w:val="21"/>
              </w:rPr>
              <w:t>售后服务方案</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kern w:val="0"/>
                <w:szCs w:val="21"/>
              </w:rPr>
            </w:pPr>
            <w:r>
              <w:rPr>
                <w:rFonts w:hint="eastAsia" w:ascii="宋体" w:hAnsi="宋体" w:eastAsia="宋体" w:cs="宋体"/>
                <w:szCs w:val="21"/>
              </w:rPr>
              <w:t>【主观分】售后服务方案（包括服务机构、服务内容、服务承诺、响应时间、服务方式等）：全面、针对采购需求及实际特点、有利于采购标的实现及合同履约。</w:t>
            </w:r>
          </w:p>
          <w:p>
            <w:pPr>
              <w:rPr>
                <w:rFonts w:ascii="宋体" w:hAnsi="宋体" w:eastAsia="宋体" w:cs="宋体"/>
                <w:szCs w:val="21"/>
              </w:rPr>
            </w:pPr>
            <w:r>
              <w:rPr>
                <w:rFonts w:hint="eastAsia" w:ascii="宋体" w:hAnsi="宋体" w:eastAsia="宋体" w:cs="宋体"/>
                <w:kern w:val="0"/>
                <w:szCs w:val="21"/>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项目团队</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2</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项目团队成员具有人力资源和社会保障部颁发的网络工程师证书的得2分。</w:t>
            </w:r>
          </w:p>
          <w:p>
            <w:pP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（需提供相关人员在职证明（如：社保证明、劳动合同）、证书复印件，未提供或提供不全不得分）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p>
          <w:p>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供应商</w:t>
            </w:r>
            <w:r>
              <w:rPr>
                <w:rFonts w:hint="eastAsia" w:ascii="宋体" w:hAnsi="宋体" w:eastAsia="宋体" w:cs="宋体"/>
                <w:kern w:val="0"/>
                <w:sz w:val="21"/>
                <w:szCs w:val="21"/>
                <w:highlight w:val="none"/>
                <w:lang w:val="en-US"/>
              </w:rPr>
              <w:t>拟投入本项目的项目团队成员的数量及工作经验、职业能力等内容</w:t>
            </w:r>
            <w:r>
              <w:rPr>
                <w:rFonts w:hint="eastAsia" w:ascii="宋体" w:hAnsi="宋体" w:eastAsia="宋体" w:cs="宋体"/>
                <w:kern w:val="0"/>
                <w:sz w:val="21"/>
                <w:szCs w:val="21"/>
                <w:highlight w:val="none"/>
                <w:lang w:val="en-US" w:eastAsia="zh-CN"/>
              </w:rPr>
              <w:t>：要求各成员类似经验丰富、人员数量充足且专业性强、符合采购需求</w:t>
            </w:r>
            <w:r>
              <w:rPr>
                <w:rFonts w:hint="eastAsia" w:ascii="宋体" w:hAnsi="宋体" w:eastAsia="宋体" w:cs="宋体"/>
                <w:kern w:val="0"/>
                <w:sz w:val="21"/>
                <w:szCs w:val="21"/>
                <w:highlight w:val="none"/>
              </w:rPr>
              <w:t>。</w:t>
            </w:r>
          </w:p>
          <w:p>
            <w:pPr>
              <w:rPr>
                <w:rFonts w:ascii="宋体" w:hAnsi="宋体" w:eastAsia="宋体" w:cs="宋体"/>
                <w:szCs w:val="21"/>
              </w:rPr>
            </w:pPr>
            <w:r>
              <w:rPr>
                <w:rFonts w:hint="eastAsia" w:ascii="宋体" w:hAnsi="宋体" w:eastAsia="宋体" w:cs="宋体"/>
                <w:kern w:val="0"/>
                <w:sz w:val="21"/>
                <w:szCs w:val="21"/>
                <w:highlight w:val="none"/>
                <w:lang w:val="en-US" w:eastAsia="zh-CN"/>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技术培训</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kern w:val="0"/>
                <w:szCs w:val="21"/>
              </w:rPr>
            </w:pPr>
            <w:r>
              <w:rPr>
                <w:rFonts w:hint="eastAsia" w:ascii="宋体" w:hAnsi="宋体" w:eastAsia="宋体" w:cs="宋体"/>
                <w:szCs w:val="21"/>
              </w:rPr>
              <w:t>【主观分】培训计划（包括培训流程、培训方式、培训对象、培训内容、培训日程等）：全面、针对采购需求及实际特点、有利于采购标的实现及合同履约</w:t>
            </w:r>
            <w:r>
              <w:rPr>
                <w:rFonts w:hint="eastAsia" w:ascii="宋体" w:hAnsi="宋体" w:eastAsia="宋体" w:cs="宋体"/>
                <w:b/>
                <w:bCs/>
                <w:szCs w:val="21"/>
              </w:rPr>
              <w:t>。</w:t>
            </w:r>
          </w:p>
          <w:p>
            <w:pPr>
              <w:rPr>
                <w:rFonts w:ascii="宋体" w:hAnsi="宋体" w:eastAsia="宋体" w:cs="宋体"/>
                <w:szCs w:val="21"/>
              </w:rPr>
            </w:pPr>
            <w:r>
              <w:rPr>
                <w:rFonts w:hint="eastAsia" w:ascii="宋体" w:hAnsi="宋体" w:eastAsia="宋体" w:cs="宋体"/>
                <w:kern w:val="0"/>
                <w:szCs w:val="21"/>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配件耗材</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kern w:val="0"/>
                <w:szCs w:val="21"/>
              </w:rPr>
            </w:pPr>
            <w:r>
              <w:rPr>
                <w:rFonts w:hint="eastAsia" w:ascii="宋体" w:hAnsi="宋体" w:eastAsia="宋体" w:cs="宋体"/>
                <w:szCs w:val="21"/>
              </w:rPr>
              <w:t>【主观分】配件耗材、备品备件、专用检修工具等准备和保障措施及所需选配件、维修配件、易耗件等相关方案：措施充分，全面、针对采购需求及实际特点、有利于采购标的实现及合同履约。</w:t>
            </w:r>
          </w:p>
          <w:p>
            <w:pPr>
              <w:rPr>
                <w:rFonts w:ascii="宋体" w:hAnsi="宋体" w:eastAsia="宋体" w:cs="宋体"/>
                <w:szCs w:val="21"/>
              </w:rPr>
            </w:pPr>
            <w:r>
              <w:rPr>
                <w:rFonts w:hint="eastAsia" w:ascii="宋体" w:hAnsi="宋体" w:eastAsia="宋体" w:cs="宋体"/>
                <w:kern w:val="0"/>
                <w:szCs w:val="21"/>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演示</w:t>
            </w:r>
          </w:p>
        </w:tc>
        <w:tc>
          <w:tcPr>
            <w:tcW w:w="7726" w:type="dxa"/>
            <w:gridSpan w:val="2"/>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textAlignment w:val="center"/>
              <w:rPr>
                <w:rFonts w:hint="eastAsia" w:ascii="宋体" w:hAnsi="宋体" w:eastAsia="宋体" w:cs="宋体"/>
                <w:kern w:val="0"/>
                <w:szCs w:val="21"/>
              </w:rPr>
            </w:pPr>
            <w:r>
              <w:rPr>
                <w:rFonts w:ascii="宋体" w:hAnsi="宋体" w:eastAsia="宋体"/>
                <w:b/>
                <w:bCs/>
                <w:szCs w:val="21"/>
              </w:rPr>
              <w:t>未提供演示的或提供ppt等其他形式演示的，演示分为0分。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2</w:t>
            </w:r>
          </w:p>
        </w:tc>
        <w:tc>
          <w:tcPr>
            <w:tcW w:w="707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88" w:lineRule="auto"/>
              <w:rPr>
                <w:rStyle w:val="109"/>
                <w:rFonts w:hint="default"/>
                <w:sz w:val="21"/>
                <w:szCs w:val="21"/>
                <w:lang w:bidi="ar"/>
              </w:rPr>
            </w:pPr>
            <w:r>
              <w:rPr>
                <w:rFonts w:hint="eastAsia" w:ascii="宋体" w:hAnsi="宋体" w:eastAsia="宋体" w:cs="宋体"/>
                <w:szCs w:val="21"/>
              </w:rPr>
              <w:t>【主观分】</w:t>
            </w:r>
            <w:r>
              <w:rPr>
                <w:rStyle w:val="109"/>
                <w:rFonts w:hint="default"/>
                <w:sz w:val="21"/>
                <w:szCs w:val="21"/>
                <w:lang w:bidi="ar"/>
              </w:rPr>
              <w:t>1.提供屏幕分享、示范转播、电子白板功能，屏幕分享具备时移功能。屏幕分享可同时分享摄像头画面。屏幕转播时提供选择客户端列表进行转播、转播时可以转播客户端电脑声音。</w:t>
            </w:r>
          </w:p>
          <w:p>
            <w:pPr>
              <w:adjustRightInd w:val="0"/>
              <w:snapToGrid w:val="0"/>
              <w:spacing w:line="288" w:lineRule="auto"/>
              <w:rPr>
                <w:rFonts w:ascii="宋体" w:hAnsi="宋体" w:eastAsia="宋体" w:cs="宋体"/>
                <w:kern w:val="0"/>
                <w:szCs w:val="21"/>
              </w:rPr>
            </w:pPr>
            <w:r>
              <w:rPr>
                <w:rFonts w:hint="eastAsia" w:ascii="宋体" w:hAnsi="宋体" w:eastAsia="宋体" w:cs="仿宋"/>
                <w:b/>
                <w:bCs/>
                <w:szCs w:val="21"/>
              </w:rPr>
              <w:t>演示功能完整、详尽；细节处理完善；运行流畅度；</w:t>
            </w:r>
          </w:p>
          <w:p>
            <w:pPr>
              <w:widowControl/>
              <w:spacing w:line="288" w:lineRule="auto"/>
              <w:jc w:val="left"/>
              <w:textAlignment w:val="center"/>
              <w:rPr>
                <w:rFonts w:ascii="宋体" w:hAnsi="宋体" w:eastAsia="宋体" w:cs="宋体"/>
                <w:szCs w:val="21"/>
              </w:rPr>
            </w:pPr>
            <w:r>
              <w:rPr>
                <w:rFonts w:hint="eastAsia" w:ascii="宋体" w:hAnsi="宋体" w:eastAsia="宋体" w:cs="宋体"/>
                <w:kern w:val="0"/>
                <w:szCs w:val="21"/>
              </w:rPr>
              <w:t>（评分范围：2，</w:t>
            </w:r>
            <w:r>
              <w:rPr>
                <w:rFonts w:hint="eastAsia" w:ascii="宋体" w:hAnsi="宋体" w:eastAsia="宋体" w:cs="宋体"/>
                <w:kern w:val="0"/>
                <w:szCs w:val="21"/>
                <w:lang w:val="en-US" w:eastAsia="zh-CN"/>
              </w:rPr>
              <w:t>1.5，</w:t>
            </w:r>
            <w:r>
              <w:rPr>
                <w:rFonts w:hint="eastAsia" w:ascii="宋体" w:hAnsi="宋体" w:eastAsia="宋体" w:cs="宋体"/>
                <w:kern w:val="0"/>
                <w:szCs w:val="21"/>
              </w:rPr>
              <w:t>1，</w:t>
            </w:r>
            <w:r>
              <w:rPr>
                <w:rFonts w:hint="eastAsia" w:ascii="宋体" w:hAnsi="宋体" w:eastAsia="宋体" w:cs="宋体"/>
                <w:kern w:val="0"/>
                <w:szCs w:val="21"/>
                <w:lang w:val="en-US" w:eastAsia="zh-CN"/>
              </w:rPr>
              <w:t>0.5，</w:t>
            </w:r>
            <w:r>
              <w:rPr>
                <w:rFonts w:hint="eastAsia" w:ascii="宋体" w:hAnsi="宋体" w:eastAsia="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lang w:val="en-US" w:eastAsia="zh-CN"/>
              </w:rPr>
              <w:t>2</w:t>
            </w:r>
          </w:p>
        </w:tc>
        <w:tc>
          <w:tcPr>
            <w:tcW w:w="707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88" w:lineRule="auto"/>
              <w:rPr>
                <w:rStyle w:val="111"/>
                <w:rFonts w:hint="default"/>
                <w:sz w:val="21"/>
                <w:szCs w:val="21"/>
                <w:lang w:bidi="ar"/>
              </w:rPr>
            </w:pPr>
            <w:r>
              <w:rPr>
                <w:rFonts w:hint="eastAsia" w:ascii="宋体" w:hAnsi="宋体" w:eastAsia="宋体" w:cs="宋体"/>
                <w:szCs w:val="21"/>
              </w:rPr>
              <w:t>【主观分】</w:t>
            </w:r>
            <w:r>
              <w:rPr>
                <w:rStyle w:val="111"/>
                <w:rFonts w:hint="default"/>
                <w:sz w:val="21"/>
                <w:szCs w:val="21"/>
                <w:lang w:bidi="ar"/>
              </w:rPr>
              <w:t>6.测评系统中包括随堂考试、学生抢答、作业管理。随堂考试支持图表统计考试结果。作业管理包括学科分类、查询作业提交记录、设置提交目录等。</w:t>
            </w:r>
          </w:p>
          <w:p>
            <w:pPr>
              <w:adjustRightInd w:val="0"/>
              <w:snapToGrid w:val="0"/>
              <w:spacing w:line="288" w:lineRule="auto"/>
              <w:rPr>
                <w:rFonts w:ascii="宋体" w:hAnsi="宋体" w:eastAsia="宋体" w:cs="宋体"/>
                <w:kern w:val="0"/>
                <w:szCs w:val="21"/>
              </w:rPr>
            </w:pPr>
            <w:r>
              <w:rPr>
                <w:rFonts w:hint="eastAsia" w:ascii="宋体" w:hAnsi="宋体" w:eastAsia="宋体" w:cs="仿宋"/>
                <w:b/>
                <w:bCs/>
                <w:szCs w:val="21"/>
              </w:rPr>
              <w:t>演示功能完整、详尽；细节处理完善；运行流畅度；</w:t>
            </w:r>
          </w:p>
          <w:p>
            <w:pPr>
              <w:widowControl/>
              <w:spacing w:line="288" w:lineRule="auto"/>
              <w:jc w:val="left"/>
              <w:textAlignment w:val="center"/>
              <w:rPr>
                <w:rFonts w:ascii="宋体" w:hAnsi="宋体" w:eastAsia="宋体" w:cs="宋体"/>
                <w:szCs w:val="21"/>
              </w:rPr>
            </w:pPr>
            <w:r>
              <w:rPr>
                <w:rFonts w:hint="eastAsia" w:ascii="宋体" w:hAnsi="宋体" w:eastAsia="宋体" w:cs="宋体"/>
                <w:kern w:val="0"/>
                <w:szCs w:val="21"/>
              </w:rPr>
              <w:t>（评分范围：2，</w:t>
            </w:r>
            <w:r>
              <w:rPr>
                <w:rFonts w:hint="eastAsia" w:ascii="宋体" w:hAnsi="宋体" w:eastAsia="宋体" w:cs="宋体"/>
                <w:kern w:val="0"/>
                <w:szCs w:val="21"/>
                <w:lang w:val="en-US" w:eastAsia="zh-CN"/>
              </w:rPr>
              <w:t>1.5，</w:t>
            </w:r>
            <w:r>
              <w:rPr>
                <w:rFonts w:hint="eastAsia" w:ascii="宋体" w:hAnsi="宋体" w:eastAsia="宋体" w:cs="宋体"/>
                <w:kern w:val="0"/>
                <w:szCs w:val="21"/>
              </w:rPr>
              <w:t>1，</w:t>
            </w:r>
            <w:r>
              <w:rPr>
                <w:rFonts w:hint="eastAsia" w:ascii="宋体" w:hAnsi="宋体" w:eastAsia="宋体" w:cs="宋体"/>
                <w:kern w:val="0"/>
                <w:szCs w:val="21"/>
                <w:lang w:val="en-US" w:eastAsia="zh-CN"/>
              </w:rPr>
              <w:t>0.5，</w:t>
            </w:r>
            <w:r>
              <w:rPr>
                <w:rFonts w:hint="eastAsia" w:ascii="宋体" w:hAnsi="宋体" w:eastAsia="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lang w:val="en-US" w:eastAsia="zh-CN"/>
              </w:rPr>
              <w:t>2</w:t>
            </w:r>
          </w:p>
        </w:tc>
        <w:tc>
          <w:tcPr>
            <w:tcW w:w="707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88" w:lineRule="auto"/>
              <w:rPr>
                <w:rStyle w:val="111"/>
                <w:rFonts w:hint="default"/>
                <w:sz w:val="21"/>
                <w:szCs w:val="21"/>
                <w:lang w:bidi="ar"/>
              </w:rPr>
            </w:pPr>
            <w:r>
              <w:rPr>
                <w:rFonts w:hint="eastAsia" w:ascii="宋体" w:hAnsi="宋体" w:eastAsia="宋体" w:cs="宋体"/>
                <w:szCs w:val="21"/>
              </w:rPr>
              <w:t>【主观分】</w:t>
            </w:r>
            <w:r>
              <w:rPr>
                <w:rStyle w:val="111"/>
                <w:rFonts w:hint="default"/>
                <w:sz w:val="21"/>
                <w:szCs w:val="21"/>
                <w:lang w:bidi="ar"/>
              </w:rPr>
              <w:t>13.行为记录功能可记录每个客户端所执行的程序信息、访问的网址信息，支持按日期查询和导出；</w:t>
            </w:r>
          </w:p>
          <w:p>
            <w:pPr>
              <w:adjustRightInd w:val="0"/>
              <w:snapToGrid w:val="0"/>
              <w:spacing w:line="288" w:lineRule="auto"/>
              <w:rPr>
                <w:rFonts w:ascii="宋体" w:hAnsi="宋体" w:eastAsia="宋体" w:cs="宋体"/>
                <w:kern w:val="0"/>
                <w:szCs w:val="21"/>
              </w:rPr>
            </w:pPr>
            <w:r>
              <w:rPr>
                <w:rFonts w:hint="eastAsia" w:ascii="宋体" w:hAnsi="宋体" w:eastAsia="宋体" w:cs="仿宋"/>
                <w:b/>
                <w:bCs/>
                <w:szCs w:val="21"/>
              </w:rPr>
              <w:t>演示功能完整、详尽；细节处理完善；运行流畅度；</w:t>
            </w:r>
          </w:p>
          <w:p>
            <w:pPr>
              <w:widowControl/>
              <w:spacing w:line="288" w:lineRule="auto"/>
              <w:jc w:val="left"/>
              <w:textAlignment w:val="center"/>
              <w:rPr>
                <w:rFonts w:ascii="宋体" w:hAnsi="宋体" w:eastAsia="宋体" w:cs="宋体"/>
                <w:szCs w:val="21"/>
              </w:rPr>
            </w:pPr>
            <w:r>
              <w:rPr>
                <w:rFonts w:hint="eastAsia" w:ascii="宋体" w:hAnsi="宋体" w:eastAsia="宋体" w:cs="宋体"/>
                <w:kern w:val="0"/>
                <w:szCs w:val="21"/>
              </w:rPr>
              <w:t>（评分范围：2，</w:t>
            </w:r>
            <w:r>
              <w:rPr>
                <w:rFonts w:hint="eastAsia" w:ascii="宋体" w:hAnsi="宋体" w:eastAsia="宋体" w:cs="宋体"/>
                <w:kern w:val="0"/>
                <w:szCs w:val="21"/>
                <w:lang w:val="en-US" w:eastAsia="zh-CN"/>
              </w:rPr>
              <w:t>1.5，</w:t>
            </w:r>
            <w:r>
              <w:rPr>
                <w:rFonts w:hint="eastAsia" w:ascii="宋体" w:hAnsi="宋体" w:eastAsia="宋体" w:cs="宋体"/>
                <w:kern w:val="0"/>
                <w:szCs w:val="21"/>
              </w:rPr>
              <w:t>1，</w:t>
            </w:r>
            <w:r>
              <w:rPr>
                <w:rFonts w:hint="eastAsia" w:ascii="宋体" w:hAnsi="宋体" w:eastAsia="宋体" w:cs="宋体"/>
                <w:kern w:val="0"/>
                <w:szCs w:val="21"/>
                <w:lang w:val="en-US" w:eastAsia="zh-CN"/>
              </w:rPr>
              <w:t>0.5，</w:t>
            </w:r>
            <w:r>
              <w:rPr>
                <w:rFonts w:hint="eastAsia" w:ascii="宋体" w:hAnsi="宋体" w:eastAsia="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lang w:val="en-US" w:eastAsia="zh-CN"/>
              </w:rPr>
              <w:t>2</w:t>
            </w:r>
          </w:p>
        </w:tc>
        <w:tc>
          <w:tcPr>
            <w:tcW w:w="707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88" w:lineRule="auto"/>
              <w:rPr>
                <w:rStyle w:val="111"/>
                <w:rFonts w:hint="default"/>
                <w:sz w:val="21"/>
                <w:szCs w:val="21"/>
                <w:lang w:bidi="ar"/>
              </w:rPr>
            </w:pPr>
            <w:r>
              <w:rPr>
                <w:rFonts w:hint="eastAsia" w:ascii="宋体" w:hAnsi="宋体" w:eastAsia="宋体" w:cs="宋体"/>
                <w:szCs w:val="21"/>
              </w:rPr>
              <w:t>【主观分】</w:t>
            </w:r>
            <w:r>
              <w:rPr>
                <w:rStyle w:val="111"/>
                <w:rFonts w:hint="default"/>
                <w:sz w:val="21"/>
                <w:szCs w:val="21"/>
                <w:lang w:bidi="ar"/>
              </w:rPr>
              <w:t>19.资产信息模块可盘点所有终端设备的硬件信息和软件信息，硬件信息包括电脑型号、BIOS信息、CPU、内存、硬盘、网卡、声卡、显卡、显示器、键盘、鼠标、光驱、打印机、摄像头等，软件信息包括当前终端设备安装的所有软件名称。资产统计模块可统计软硬件安装的台数，提供资产变动记录有软硬件变化时会自动产生变动日志记录。提供资产导出功能，可导出Excel格式表格。</w:t>
            </w:r>
          </w:p>
          <w:p>
            <w:pPr>
              <w:adjustRightInd w:val="0"/>
              <w:snapToGrid w:val="0"/>
              <w:spacing w:line="288" w:lineRule="auto"/>
              <w:rPr>
                <w:rFonts w:ascii="宋体" w:hAnsi="宋体" w:eastAsia="宋体" w:cs="宋体"/>
                <w:kern w:val="0"/>
                <w:szCs w:val="21"/>
              </w:rPr>
            </w:pPr>
            <w:r>
              <w:rPr>
                <w:rFonts w:hint="eastAsia" w:ascii="宋体" w:hAnsi="宋体" w:eastAsia="宋体" w:cs="仿宋"/>
                <w:b/>
                <w:bCs/>
                <w:szCs w:val="21"/>
              </w:rPr>
              <w:t>演示功能完整、详尽；细节处理完善；运行流畅度；</w:t>
            </w:r>
          </w:p>
          <w:p>
            <w:pPr>
              <w:widowControl/>
              <w:spacing w:line="288" w:lineRule="auto"/>
              <w:jc w:val="left"/>
              <w:textAlignment w:val="center"/>
              <w:rPr>
                <w:rFonts w:ascii="宋体" w:hAnsi="宋体" w:eastAsia="宋体" w:cs="宋体"/>
                <w:szCs w:val="21"/>
              </w:rPr>
            </w:pPr>
            <w:r>
              <w:rPr>
                <w:rFonts w:hint="eastAsia" w:ascii="宋体" w:hAnsi="宋体" w:eastAsia="宋体" w:cs="宋体"/>
                <w:kern w:val="0"/>
                <w:szCs w:val="21"/>
              </w:rPr>
              <w:t>（评分范围：2，</w:t>
            </w:r>
            <w:r>
              <w:rPr>
                <w:rFonts w:hint="eastAsia" w:ascii="宋体" w:hAnsi="宋体" w:eastAsia="宋体" w:cs="宋体"/>
                <w:kern w:val="0"/>
                <w:szCs w:val="21"/>
                <w:lang w:val="en-US" w:eastAsia="zh-CN"/>
              </w:rPr>
              <w:t>1.5，</w:t>
            </w:r>
            <w:r>
              <w:rPr>
                <w:rFonts w:hint="eastAsia" w:ascii="宋体" w:hAnsi="宋体" w:eastAsia="宋体" w:cs="宋体"/>
                <w:kern w:val="0"/>
                <w:szCs w:val="21"/>
              </w:rPr>
              <w:t>1，</w:t>
            </w:r>
            <w:r>
              <w:rPr>
                <w:rFonts w:hint="eastAsia" w:ascii="宋体" w:hAnsi="宋体" w:eastAsia="宋体" w:cs="宋体"/>
                <w:kern w:val="0"/>
                <w:szCs w:val="21"/>
                <w:lang w:val="en-US" w:eastAsia="zh-CN"/>
              </w:rPr>
              <w:t>0.5，</w:t>
            </w:r>
            <w:r>
              <w:rPr>
                <w:rFonts w:hint="eastAsia" w:ascii="宋体" w:hAnsi="宋体" w:eastAsia="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lang w:val="en-US" w:eastAsia="zh-CN"/>
              </w:rPr>
              <w:t>2</w:t>
            </w:r>
          </w:p>
        </w:tc>
        <w:tc>
          <w:tcPr>
            <w:tcW w:w="707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88" w:lineRule="auto"/>
              <w:rPr>
                <w:rStyle w:val="111"/>
                <w:rFonts w:hint="default"/>
                <w:sz w:val="21"/>
                <w:szCs w:val="21"/>
                <w:lang w:bidi="ar"/>
              </w:rPr>
            </w:pPr>
            <w:r>
              <w:rPr>
                <w:rFonts w:hint="eastAsia" w:ascii="宋体" w:hAnsi="宋体" w:eastAsia="宋体" w:cs="宋体"/>
                <w:szCs w:val="21"/>
              </w:rPr>
              <w:t>【主观分】</w:t>
            </w:r>
            <w:r>
              <w:rPr>
                <w:rStyle w:val="111"/>
                <w:rFonts w:hint="default"/>
                <w:sz w:val="21"/>
                <w:szCs w:val="21"/>
                <w:lang w:bidi="ar"/>
              </w:rPr>
              <w:t>21.负载监控可实时更新所有在线客户端CPU占用率、内存占用率、带宽占用率、C盘占用率，以进度条百分比直观显示。</w:t>
            </w:r>
          </w:p>
          <w:p>
            <w:pPr>
              <w:adjustRightInd w:val="0"/>
              <w:snapToGrid w:val="0"/>
              <w:spacing w:line="288" w:lineRule="auto"/>
              <w:rPr>
                <w:rFonts w:ascii="宋体" w:hAnsi="宋体" w:eastAsia="宋体" w:cs="宋体"/>
                <w:kern w:val="0"/>
                <w:szCs w:val="21"/>
              </w:rPr>
            </w:pPr>
            <w:r>
              <w:rPr>
                <w:rFonts w:hint="eastAsia" w:ascii="宋体" w:hAnsi="宋体" w:eastAsia="宋体" w:cs="仿宋"/>
                <w:b/>
                <w:bCs/>
                <w:szCs w:val="21"/>
              </w:rPr>
              <w:t>演示功能完整、详尽；细节处理完善；运行流畅度；</w:t>
            </w:r>
          </w:p>
          <w:p>
            <w:pPr>
              <w:widowControl/>
              <w:spacing w:line="288" w:lineRule="auto"/>
              <w:jc w:val="left"/>
              <w:textAlignment w:val="center"/>
              <w:rPr>
                <w:rFonts w:ascii="宋体" w:hAnsi="宋体" w:eastAsia="宋体" w:cs="宋体"/>
                <w:szCs w:val="21"/>
              </w:rPr>
            </w:pPr>
            <w:r>
              <w:rPr>
                <w:rFonts w:hint="eastAsia" w:ascii="宋体" w:hAnsi="宋体" w:eastAsia="宋体" w:cs="宋体"/>
                <w:kern w:val="0"/>
                <w:szCs w:val="21"/>
              </w:rPr>
              <w:t>（评分范围：2，</w:t>
            </w:r>
            <w:r>
              <w:rPr>
                <w:rFonts w:hint="eastAsia" w:ascii="宋体" w:hAnsi="宋体" w:eastAsia="宋体" w:cs="宋体"/>
                <w:kern w:val="0"/>
                <w:szCs w:val="21"/>
                <w:lang w:val="en-US" w:eastAsia="zh-CN"/>
              </w:rPr>
              <w:t>1.5，</w:t>
            </w:r>
            <w:r>
              <w:rPr>
                <w:rFonts w:hint="eastAsia" w:ascii="宋体" w:hAnsi="宋体" w:eastAsia="宋体" w:cs="宋体"/>
                <w:kern w:val="0"/>
                <w:szCs w:val="21"/>
              </w:rPr>
              <w:t>1，</w:t>
            </w:r>
            <w:r>
              <w:rPr>
                <w:rFonts w:hint="eastAsia" w:ascii="宋体" w:hAnsi="宋体" w:eastAsia="宋体" w:cs="宋体"/>
                <w:kern w:val="0"/>
                <w:szCs w:val="21"/>
                <w:lang w:val="en-US" w:eastAsia="zh-CN"/>
              </w:rPr>
              <w:t>0.5，</w:t>
            </w:r>
            <w:r>
              <w:rPr>
                <w:rFonts w:hint="eastAsia" w:ascii="宋体" w:hAnsi="宋体" w:eastAsia="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2</w:t>
            </w:r>
          </w:p>
        </w:tc>
        <w:tc>
          <w:tcPr>
            <w:tcW w:w="707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88" w:lineRule="auto"/>
              <w:rPr>
                <w:rStyle w:val="112"/>
                <w:rFonts w:hint="eastAsia"/>
                <w:color w:val="auto"/>
                <w:sz w:val="21"/>
                <w:szCs w:val="21"/>
                <w:lang w:bidi="ar"/>
              </w:rPr>
            </w:pPr>
            <w:r>
              <w:rPr>
                <w:rFonts w:hint="eastAsia" w:ascii="宋体" w:hAnsi="宋体" w:eastAsia="宋体" w:cs="宋体"/>
                <w:szCs w:val="21"/>
              </w:rPr>
              <w:t>【主观分】</w:t>
            </w:r>
            <w:r>
              <w:rPr>
                <w:rStyle w:val="112"/>
                <w:rFonts w:hint="eastAsia"/>
                <w:color w:val="auto"/>
                <w:sz w:val="21"/>
                <w:szCs w:val="21"/>
                <w:lang w:val="en-US" w:eastAsia="zh-CN" w:bidi="ar"/>
              </w:rPr>
              <w:t>42.</w:t>
            </w:r>
            <w:r>
              <w:rPr>
                <w:rStyle w:val="112"/>
                <w:rFonts w:hint="eastAsia"/>
                <w:color w:val="auto"/>
                <w:sz w:val="21"/>
                <w:szCs w:val="21"/>
                <w:lang w:bidi="ar"/>
              </w:rPr>
              <w:t>录制回放:支持云端录制，课堂内容一键存档至个人云盘，方便后续复习和分享，如对接学校网络教学平台，相关录制视频可在课程建设时进行一键调用。</w:t>
            </w:r>
          </w:p>
          <w:p>
            <w:pPr>
              <w:adjustRightInd w:val="0"/>
              <w:snapToGrid w:val="0"/>
              <w:spacing w:line="288" w:lineRule="auto"/>
              <w:rPr>
                <w:rFonts w:ascii="宋体" w:hAnsi="宋体" w:eastAsia="宋体" w:cs="宋体"/>
                <w:kern w:val="0"/>
                <w:szCs w:val="21"/>
              </w:rPr>
            </w:pPr>
            <w:r>
              <w:rPr>
                <w:rFonts w:hint="eastAsia" w:ascii="宋体" w:hAnsi="宋体" w:eastAsia="宋体" w:cs="仿宋"/>
                <w:b/>
                <w:bCs/>
                <w:szCs w:val="21"/>
              </w:rPr>
              <w:t>演示功能完整、详尽；细节处理完善；运行流畅度；</w:t>
            </w:r>
          </w:p>
          <w:p>
            <w:pPr>
              <w:widowControl/>
              <w:spacing w:line="288" w:lineRule="auto"/>
              <w:jc w:val="left"/>
              <w:textAlignment w:val="center"/>
              <w:rPr>
                <w:rFonts w:hint="eastAsia" w:ascii="宋体" w:hAnsi="宋体" w:eastAsia="宋体" w:cs="宋体"/>
                <w:color w:val="000000"/>
                <w:kern w:val="2"/>
                <w:sz w:val="21"/>
                <w:szCs w:val="21"/>
                <w:u w:val="none"/>
                <w:lang w:val="en-US" w:eastAsia="zh-CN" w:bidi="ar"/>
              </w:rPr>
            </w:pPr>
            <w:r>
              <w:rPr>
                <w:rFonts w:hint="eastAsia" w:ascii="宋体" w:hAnsi="宋体" w:eastAsia="宋体" w:cs="宋体"/>
                <w:kern w:val="0"/>
                <w:szCs w:val="21"/>
              </w:rPr>
              <w:t>（评分范围：2，</w:t>
            </w:r>
            <w:r>
              <w:rPr>
                <w:rFonts w:hint="eastAsia" w:ascii="宋体" w:hAnsi="宋体" w:eastAsia="宋体" w:cs="宋体"/>
                <w:kern w:val="0"/>
                <w:szCs w:val="21"/>
                <w:lang w:val="en-US" w:eastAsia="zh-CN"/>
              </w:rPr>
              <w:t>1.5，</w:t>
            </w:r>
            <w:r>
              <w:rPr>
                <w:rFonts w:hint="eastAsia" w:ascii="宋体" w:hAnsi="宋体" w:eastAsia="宋体" w:cs="宋体"/>
                <w:kern w:val="0"/>
                <w:szCs w:val="21"/>
              </w:rPr>
              <w:t>1，</w:t>
            </w:r>
            <w:r>
              <w:rPr>
                <w:rFonts w:hint="eastAsia" w:ascii="宋体" w:hAnsi="宋体" w:eastAsia="宋体" w:cs="宋体"/>
                <w:kern w:val="0"/>
                <w:szCs w:val="21"/>
                <w:lang w:val="en-US" w:eastAsia="zh-CN"/>
              </w:rPr>
              <w:t>0.5，</w:t>
            </w:r>
            <w:r>
              <w:rPr>
                <w:rFonts w:hint="eastAsia" w:ascii="宋体" w:hAnsi="宋体" w:eastAsia="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1</w:t>
            </w:r>
          </w:p>
        </w:tc>
        <w:tc>
          <w:tcPr>
            <w:tcW w:w="707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88" w:lineRule="auto"/>
              <w:rPr>
                <w:rStyle w:val="112"/>
                <w:rFonts w:hint="eastAsia"/>
                <w:color w:val="auto"/>
                <w:sz w:val="21"/>
                <w:szCs w:val="21"/>
                <w:lang w:bidi="ar"/>
              </w:rPr>
            </w:pPr>
            <w:r>
              <w:rPr>
                <w:rFonts w:hint="eastAsia" w:ascii="宋体" w:hAnsi="宋体" w:eastAsia="宋体" w:cs="宋体"/>
                <w:szCs w:val="21"/>
              </w:rPr>
              <w:t>【主观分】</w:t>
            </w:r>
            <w:r>
              <w:rPr>
                <w:rStyle w:val="112"/>
                <w:rFonts w:hint="eastAsia"/>
                <w:color w:val="auto"/>
                <w:sz w:val="21"/>
                <w:szCs w:val="21"/>
                <w:lang w:val="en-US" w:eastAsia="zh-CN" w:bidi="ar"/>
              </w:rPr>
              <w:t>43.</w:t>
            </w:r>
            <w:r>
              <w:rPr>
                <w:rStyle w:val="112"/>
                <w:rFonts w:hint="eastAsia"/>
                <w:color w:val="auto"/>
                <w:sz w:val="21"/>
                <w:szCs w:val="21"/>
                <w:lang w:bidi="ar"/>
              </w:rPr>
              <w:t>同声翻译:支持将教师授课语音识别并翻译成设置语种以字幕方式展示于教师屏幕;支持教师对字幕展示进行设置可自由切换翻译语种，支持中转英、英转中、中转法、中转西班牙中转日、中转德、中转俄、中转韩、中转阿拉伯、中转葡萄牙、中转印地、中转意大利等10种以上语言;支持设置字幕的背景样式不透明度，以及字幕文字大学显示颜色等。</w:t>
            </w:r>
          </w:p>
          <w:p>
            <w:pPr>
              <w:adjustRightInd w:val="0"/>
              <w:snapToGrid w:val="0"/>
              <w:spacing w:line="288" w:lineRule="auto"/>
              <w:rPr>
                <w:rFonts w:ascii="宋体" w:hAnsi="宋体" w:eastAsia="宋体" w:cs="宋体"/>
                <w:kern w:val="0"/>
                <w:szCs w:val="21"/>
              </w:rPr>
            </w:pPr>
            <w:r>
              <w:rPr>
                <w:rFonts w:hint="eastAsia" w:ascii="宋体" w:hAnsi="宋体" w:eastAsia="宋体" w:cs="仿宋"/>
                <w:b/>
                <w:bCs/>
                <w:szCs w:val="21"/>
              </w:rPr>
              <w:t>演示功能完整、详尽；细节处理完善；运行流畅度；</w:t>
            </w:r>
          </w:p>
          <w:p>
            <w:pPr>
              <w:widowControl/>
              <w:spacing w:line="288" w:lineRule="auto"/>
              <w:jc w:val="left"/>
              <w:textAlignment w:val="center"/>
              <w:rPr>
                <w:rFonts w:hint="eastAsia" w:ascii="宋体" w:hAnsi="宋体" w:eastAsia="宋体" w:cs="宋体"/>
                <w:color w:val="000000"/>
                <w:kern w:val="2"/>
                <w:sz w:val="21"/>
                <w:szCs w:val="21"/>
                <w:u w:val="none"/>
                <w:lang w:val="en-US" w:eastAsia="zh-CN" w:bidi="ar"/>
              </w:rPr>
            </w:pPr>
            <w:r>
              <w:rPr>
                <w:rFonts w:hint="eastAsia" w:ascii="宋体" w:hAnsi="宋体" w:eastAsia="宋体" w:cs="宋体"/>
                <w:kern w:val="0"/>
                <w:szCs w:val="21"/>
              </w:rPr>
              <w:t>（评分范围：1，</w:t>
            </w:r>
            <w:r>
              <w:rPr>
                <w:rFonts w:hint="eastAsia" w:ascii="宋体" w:hAnsi="宋体" w:eastAsia="宋体" w:cs="宋体"/>
                <w:kern w:val="0"/>
                <w:szCs w:val="21"/>
                <w:lang w:val="en-US" w:eastAsia="zh-CN"/>
              </w:rPr>
              <w:t>0.5，</w:t>
            </w:r>
            <w:r>
              <w:rPr>
                <w:rFonts w:hint="eastAsia" w:ascii="宋体" w:hAnsi="宋体" w:eastAsia="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1</w:t>
            </w:r>
          </w:p>
        </w:tc>
        <w:tc>
          <w:tcPr>
            <w:tcW w:w="707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88" w:lineRule="auto"/>
              <w:rPr>
                <w:rStyle w:val="112"/>
                <w:rFonts w:hint="eastAsia"/>
                <w:color w:val="auto"/>
                <w:sz w:val="21"/>
                <w:szCs w:val="21"/>
                <w:lang w:bidi="ar"/>
              </w:rPr>
            </w:pPr>
            <w:r>
              <w:rPr>
                <w:rFonts w:hint="eastAsia" w:ascii="宋体" w:hAnsi="宋体" w:eastAsia="宋体" w:cs="宋体"/>
                <w:szCs w:val="21"/>
              </w:rPr>
              <w:t>【主观分】</w:t>
            </w:r>
            <w:r>
              <w:rPr>
                <w:rStyle w:val="112"/>
                <w:rFonts w:hint="eastAsia"/>
                <w:color w:val="auto"/>
                <w:sz w:val="21"/>
                <w:szCs w:val="21"/>
                <w:lang w:val="en-US" w:eastAsia="zh-CN" w:bidi="ar"/>
              </w:rPr>
              <w:t>44.</w:t>
            </w:r>
            <w:r>
              <w:rPr>
                <w:rStyle w:val="112"/>
                <w:rFonts w:hint="eastAsia"/>
                <w:color w:val="auto"/>
                <w:sz w:val="21"/>
                <w:szCs w:val="21"/>
                <w:lang w:bidi="ar"/>
              </w:rPr>
              <w:t>主题讨论:课堂中针对某一个主题让学生进行主题讨论。讨论内容支持文字、图片、视频等方式，系统支持按提交顺序以不同颜色--列举学生提交的内容，文本内容支持生成高频词组词云，快速总结观点。</w:t>
            </w:r>
          </w:p>
          <w:p>
            <w:pPr>
              <w:adjustRightInd w:val="0"/>
              <w:snapToGrid w:val="0"/>
              <w:spacing w:line="288" w:lineRule="auto"/>
              <w:rPr>
                <w:rFonts w:ascii="宋体" w:hAnsi="宋体" w:eastAsia="宋体" w:cs="宋体"/>
                <w:kern w:val="0"/>
                <w:szCs w:val="21"/>
              </w:rPr>
            </w:pPr>
            <w:r>
              <w:rPr>
                <w:rFonts w:hint="eastAsia" w:ascii="宋体" w:hAnsi="宋体" w:eastAsia="宋体" w:cs="仿宋"/>
                <w:b/>
                <w:bCs/>
                <w:szCs w:val="21"/>
              </w:rPr>
              <w:t>演示功能完整、详尽；细节处理完善；运行流畅度；</w:t>
            </w:r>
          </w:p>
          <w:p>
            <w:pPr>
              <w:widowControl/>
              <w:spacing w:line="288" w:lineRule="auto"/>
              <w:jc w:val="left"/>
              <w:textAlignment w:val="center"/>
              <w:rPr>
                <w:rFonts w:hint="eastAsia" w:ascii="宋体" w:hAnsi="宋体" w:eastAsia="宋体" w:cs="宋体"/>
                <w:color w:val="000000"/>
                <w:kern w:val="2"/>
                <w:sz w:val="21"/>
                <w:szCs w:val="21"/>
                <w:u w:val="none"/>
                <w:lang w:val="en-US" w:eastAsia="zh-CN" w:bidi="ar"/>
              </w:rPr>
            </w:pPr>
            <w:r>
              <w:rPr>
                <w:rFonts w:hint="eastAsia" w:ascii="宋体" w:hAnsi="宋体" w:eastAsia="宋体" w:cs="宋体"/>
                <w:kern w:val="0"/>
                <w:szCs w:val="21"/>
              </w:rPr>
              <w:t>（评分范围：1，</w:t>
            </w:r>
            <w:r>
              <w:rPr>
                <w:rFonts w:hint="eastAsia" w:ascii="宋体" w:hAnsi="宋体" w:eastAsia="宋体" w:cs="宋体"/>
                <w:kern w:val="0"/>
                <w:szCs w:val="21"/>
                <w:lang w:val="en-US" w:eastAsia="zh-CN"/>
              </w:rPr>
              <w:t>0.5，</w:t>
            </w:r>
            <w:r>
              <w:rPr>
                <w:rFonts w:hint="eastAsia" w:ascii="宋体" w:hAnsi="宋体" w:eastAsia="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1</w:t>
            </w:r>
          </w:p>
        </w:tc>
        <w:tc>
          <w:tcPr>
            <w:tcW w:w="707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88" w:lineRule="auto"/>
              <w:rPr>
                <w:rStyle w:val="112"/>
                <w:rFonts w:hint="eastAsia"/>
                <w:color w:val="auto"/>
                <w:sz w:val="21"/>
                <w:szCs w:val="21"/>
                <w:lang w:bidi="ar"/>
              </w:rPr>
            </w:pPr>
            <w:r>
              <w:rPr>
                <w:rFonts w:hint="eastAsia" w:ascii="宋体" w:hAnsi="宋体" w:eastAsia="宋体" w:cs="宋体"/>
                <w:szCs w:val="21"/>
              </w:rPr>
              <w:t>【主观分】</w:t>
            </w:r>
            <w:r>
              <w:rPr>
                <w:rStyle w:val="112"/>
                <w:rFonts w:hint="eastAsia"/>
                <w:color w:val="auto"/>
                <w:sz w:val="21"/>
                <w:szCs w:val="21"/>
                <w:lang w:val="en-US" w:eastAsia="zh-CN" w:bidi="ar"/>
              </w:rPr>
              <w:t>45.</w:t>
            </w:r>
            <w:r>
              <w:rPr>
                <w:rStyle w:val="112"/>
                <w:rFonts w:hint="eastAsia"/>
                <w:color w:val="auto"/>
                <w:sz w:val="21"/>
                <w:szCs w:val="21"/>
                <w:lang w:bidi="ar"/>
              </w:rPr>
              <w:t>分组讨论:支持学生成立小组进行分组在线讨论，成组方式包括固定分组、学生自选分组、随机分组等，教师可在线参与各组专属讨论区，讨论结束后学生自动回到主课堂进行分组发言展示。</w:t>
            </w:r>
          </w:p>
          <w:p>
            <w:pPr>
              <w:adjustRightInd w:val="0"/>
              <w:snapToGrid w:val="0"/>
              <w:spacing w:line="288" w:lineRule="auto"/>
              <w:rPr>
                <w:rFonts w:ascii="宋体" w:hAnsi="宋体" w:eastAsia="宋体" w:cs="宋体"/>
                <w:kern w:val="0"/>
                <w:szCs w:val="21"/>
              </w:rPr>
            </w:pPr>
            <w:r>
              <w:rPr>
                <w:rFonts w:hint="eastAsia" w:ascii="宋体" w:hAnsi="宋体" w:eastAsia="宋体" w:cs="仿宋"/>
                <w:b/>
                <w:bCs/>
                <w:szCs w:val="21"/>
              </w:rPr>
              <w:t>演示功能完整、详尽；细节处理完善；运行流畅度；</w:t>
            </w:r>
          </w:p>
          <w:p>
            <w:pPr>
              <w:widowControl/>
              <w:spacing w:line="288" w:lineRule="auto"/>
              <w:jc w:val="left"/>
              <w:textAlignment w:val="center"/>
              <w:rPr>
                <w:rFonts w:hint="eastAsia" w:ascii="宋体" w:hAnsi="宋体" w:eastAsia="宋体" w:cs="宋体"/>
                <w:color w:val="000000"/>
                <w:kern w:val="2"/>
                <w:sz w:val="21"/>
                <w:szCs w:val="21"/>
                <w:u w:val="none"/>
                <w:lang w:val="en-US" w:eastAsia="zh-CN" w:bidi="ar"/>
              </w:rPr>
            </w:pPr>
            <w:r>
              <w:rPr>
                <w:rFonts w:hint="eastAsia" w:ascii="宋体" w:hAnsi="宋体" w:eastAsia="宋体" w:cs="宋体"/>
                <w:kern w:val="0"/>
                <w:szCs w:val="21"/>
              </w:rPr>
              <w:t>（评分范围：1，</w:t>
            </w:r>
            <w:r>
              <w:rPr>
                <w:rFonts w:hint="eastAsia" w:ascii="宋体" w:hAnsi="宋体" w:eastAsia="宋体" w:cs="宋体"/>
                <w:kern w:val="0"/>
                <w:szCs w:val="21"/>
                <w:lang w:val="en-US" w:eastAsia="zh-CN"/>
              </w:rPr>
              <w:t>0.5，</w:t>
            </w:r>
            <w:r>
              <w:rPr>
                <w:rFonts w:hint="eastAsia" w:ascii="宋体" w:hAnsi="宋体" w:eastAsia="宋体" w:cs="宋体"/>
                <w:kern w:val="0"/>
                <w:szCs w:val="21"/>
              </w:rPr>
              <w:t>0）</w:t>
            </w:r>
          </w:p>
        </w:tc>
      </w:tr>
    </w:tbl>
    <w:p>
      <w:pPr>
        <w:adjustRightInd w:val="0"/>
        <w:snapToGrid w:val="0"/>
        <w:spacing w:line="288" w:lineRule="auto"/>
        <w:jc w:val="left"/>
        <w:rPr>
          <w:rFonts w:ascii="宋体" w:hAnsi="宋体" w:eastAsia="宋体" w:cs="Times New Roman"/>
          <w:b/>
          <w:szCs w:val="21"/>
        </w:rPr>
      </w:pPr>
    </w:p>
    <w:p>
      <w:pPr>
        <w:adjustRightInd w:val="0"/>
        <w:snapToGrid w:val="0"/>
        <w:spacing w:line="288" w:lineRule="auto"/>
        <w:jc w:val="left"/>
        <w:rPr>
          <w:rFonts w:ascii="宋体" w:hAnsi="宋体" w:eastAsia="宋体" w:cs="Times New Roman"/>
          <w:b/>
          <w:szCs w:val="21"/>
        </w:rPr>
      </w:pPr>
      <w:r>
        <w:rPr>
          <w:rFonts w:hint="eastAsia" w:ascii="宋体" w:hAnsi="宋体" w:eastAsia="宋体" w:cs="Times New Roman"/>
          <w:b/>
          <w:szCs w:val="21"/>
        </w:rPr>
        <w:t>说明</w:t>
      </w:r>
      <w:r>
        <w:rPr>
          <w:rFonts w:ascii="宋体" w:hAnsi="宋体" w:eastAsia="宋体" w:cs="Times New Roman"/>
          <w:b/>
          <w:szCs w:val="21"/>
        </w:rPr>
        <w:t>：</w:t>
      </w:r>
    </w:p>
    <w:p>
      <w:pPr>
        <w:adjustRightInd w:val="0"/>
        <w:snapToGrid w:val="0"/>
        <w:spacing w:line="288" w:lineRule="auto"/>
        <w:jc w:val="left"/>
        <w:rPr>
          <w:rFonts w:ascii="宋体" w:hAnsi="宋体" w:eastAsia="宋体" w:cs="Times New Roman"/>
          <w:b/>
          <w:szCs w:val="21"/>
        </w:rPr>
      </w:pPr>
      <w:r>
        <w:rPr>
          <w:rFonts w:ascii="宋体" w:hAnsi="宋体" w:eastAsia="宋体" w:cs="Times New Roman"/>
          <w:b/>
          <w:szCs w:val="21"/>
        </w:rPr>
        <w:t>1.</w:t>
      </w:r>
      <w:r>
        <w:rPr>
          <w:rFonts w:hint="eastAsia" w:ascii="宋体" w:hAnsi="宋体" w:eastAsia="宋体" w:cs="Times New Roman"/>
          <w:b/>
          <w:szCs w:val="21"/>
        </w:rPr>
        <w:t>根据《政府采购促进中小企业发展管理办法》（财库〔2020〕46号）、《关于进一步加大政府采购支持中小企业力度的通知》（财库〔</w:t>
      </w:r>
      <w:r>
        <w:rPr>
          <w:rFonts w:ascii="宋体" w:hAnsi="宋体" w:eastAsia="宋体" w:cs="Times New Roman"/>
          <w:b/>
          <w:szCs w:val="21"/>
        </w:rPr>
        <w:t>2022〕19号）</w:t>
      </w:r>
      <w:r>
        <w:rPr>
          <w:rFonts w:hint="eastAsia" w:ascii="宋体" w:hAnsi="宋体" w:eastAsia="宋体" w:cs="Times New Roman"/>
          <w:b/>
          <w:szCs w:val="21"/>
        </w:rPr>
        <w:t>、《浙江省财政厅关于进一步加大政府采购支持中小企业力度</w:t>
      </w:r>
      <w:r>
        <w:rPr>
          <w:rFonts w:ascii="宋体" w:hAnsi="宋体" w:eastAsia="宋体" w:cs="Times New Roman"/>
          <w:b/>
          <w:szCs w:val="21"/>
        </w:rPr>
        <w:t xml:space="preserve"> 助力扎实稳住经济的通知》（浙财采监〔2022〕8号）</w:t>
      </w:r>
      <w:r>
        <w:rPr>
          <w:rFonts w:hint="eastAsia" w:ascii="宋体" w:hAnsi="宋体" w:eastAsia="宋体" w:cs="Times New Roman"/>
          <w:b/>
          <w:szCs w:val="21"/>
        </w:rPr>
        <w:t>的规定：</w:t>
      </w:r>
    </w:p>
    <w:p>
      <w:pPr>
        <w:adjustRightInd w:val="0"/>
        <w:snapToGrid w:val="0"/>
        <w:spacing w:line="288" w:lineRule="auto"/>
        <w:jc w:val="left"/>
        <w:rPr>
          <w:rFonts w:ascii="宋体" w:hAnsi="宋体" w:eastAsia="宋体" w:cs="Times New Roman"/>
          <w:b/>
          <w:szCs w:val="21"/>
        </w:rPr>
      </w:pPr>
      <w:r>
        <w:rPr>
          <w:rFonts w:hint="eastAsia" w:ascii="宋体" w:hAnsi="宋体" w:eastAsia="宋体" w:cs="Times New Roman"/>
          <w:b/>
          <w:szCs w:val="21"/>
        </w:rPr>
        <w:t>对符合规定的小微企业报价给予1</w:t>
      </w:r>
      <w:r>
        <w:rPr>
          <w:rFonts w:ascii="宋体" w:hAnsi="宋体" w:eastAsia="宋体" w:cs="Times New Roman"/>
          <w:b/>
          <w:szCs w:val="21"/>
        </w:rPr>
        <w:t>0</w:t>
      </w:r>
      <w:r>
        <w:rPr>
          <w:rFonts w:hint="eastAsia" w:ascii="宋体" w:hAnsi="宋体" w:eastAsia="宋体" w:cs="Times New Roman"/>
          <w:b/>
          <w:szCs w:val="21"/>
        </w:rPr>
        <w:t>%的扣除后计算价格得分。</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hint="eastAsia" w:ascii="宋体" w:hAnsi="宋体" w:eastAsia="宋体" w:cs="Times New Roman"/>
          <w:spacing w:val="-6"/>
          <w:szCs w:val="21"/>
          <w:u w:val="single"/>
        </w:rPr>
        <w:t>注：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adjustRightInd w:val="0"/>
        <w:snapToGrid w:val="0"/>
        <w:spacing w:line="288" w:lineRule="auto"/>
        <w:rPr>
          <w:rFonts w:ascii="宋体" w:hAnsi="宋体" w:eastAsia="宋体" w:cs="Times New Roman"/>
          <w:b/>
          <w:bCs/>
          <w:spacing w:val="-6"/>
          <w:szCs w:val="21"/>
        </w:rPr>
      </w:pPr>
      <w:bookmarkStart w:id="55" w:name="_Hlk81817373"/>
      <w:bookmarkStart w:id="56" w:name="_Hlk81817387"/>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根据《</w:t>
      </w:r>
      <w:r>
        <w:rPr>
          <w:rFonts w:ascii="宋体" w:hAnsi="宋体" w:eastAsia="宋体" w:cs="Times New Roman"/>
          <w:b/>
          <w:bCs/>
          <w:spacing w:val="-6"/>
          <w:szCs w:val="21"/>
        </w:rPr>
        <w:t>关于政府采购支持监狱企业发展有关问题的通知</w:t>
      </w:r>
      <w:r>
        <w:rPr>
          <w:rFonts w:hint="eastAsia" w:ascii="宋体" w:hAnsi="宋体" w:eastAsia="宋体" w:cs="Times New Roman"/>
          <w:b/>
          <w:bCs/>
          <w:spacing w:val="-6"/>
          <w:szCs w:val="21"/>
        </w:rPr>
        <w:t>》（</w:t>
      </w:r>
      <w:r>
        <w:rPr>
          <w:rFonts w:ascii="宋体" w:hAnsi="宋体" w:eastAsia="宋体" w:cs="Times New Roman"/>
          <w:b/>
          <w:bCs/>
          <w:spacing w:val="-6"/>
          <w:szCs w:val="21"/>
        </w:rPr>
        <w:t>财库[2014]68号</w:t>
      </w:r>
      <w:r>
        <w:rPr>
          <w:rFonts w:hint="eastAsia" w:ascii="宋体" w:hAnsi="宋体" w:eastAsia="宋体" w:cs="Times New Roman"/>
          <w:b/>
          <w:bCs/>
          <w:spacing w:val="-6"/>
          <w:szCs w:val="21"/>
        </w:rPr>
        <w:t>）的规定，</w:t>
      </w:r>
      <w:r>
        <w:rPr>
          <w:rFonts w:hint="eastAsia" w:ascii="宋体" w:hAnsi="宋体" w:eastAsia="宋体" w:cs="宋体"/>
          <w:color w:val="000000"/>
          <w:kern w:val="0"/>
          <w:szCs w:val="21"/>
        </w:rPr>
        <w:t>监狱企业参加政府采购活动时，提供由省级以上监狱管理局</w:t>
      </w:r>
      <w:r>
        <w:rPr>
          <w:rFonts w:hint="eastAsia" w:ascii="宋体" w:hAnsi="宋体" w:eastAsia="宋体" w:cs="宋体"/>
          <w:kern w:val="0"/>
          <w:szCs w:val="21"/>
        </w:rPr>
        <w:t>、戒毒管理局（含新疆生产建设兵团）出具的属于监狱企业的证明文件的，在政府采购活动中，监狱企业视</w:t>
      </w:r>
      <w:r>
        <w:rPr>
          <w:rFonts w:hint="eastAsia" w:ascii="宋体" w:hAnsi="宋体" w:eastAsia="宋体" w:cs="宋体"/>
          <w:color w:val="000000"/>
          <w:kern w:val="0"/>
          <w:szCs w:val="21"/>
        </w:rPr>
        <w:t>同小型、微型企业，享受预留份额、评审中价格扣除等政府采购促进中小企业发展的政府采购政策。</w:t>
      </w:r>
    </w:p>
    <w:bookmarkEnd w:id="55"/>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根据《关于促进残疾人就业政府采购政策的通知》（财库[2017]141号）的规定，</w:t>
      </w:r>
      <w:r>
        <w:rPr>
          <w:rFonts w:hint="eastAsia" w:ascii="宋体" w:hAnsi="宋体" w:eastAsia="宋体"/>
          <w:color w:val="000000"/>
          <w:szCs w:val="21"/>
        </w:rPr>
        <w:t>符合条件的残疾人福利性单位在参加政府采购活动时，</w:t>
      </w:r>
      <w:r>
        <w:rPr>
          <w:rFonts w:hint="eastAsia" w:ascii="宋体" w:hAnsi="宋体" w:eastAsia="宋体"/>
          <w:szCs w:val="21"/>
        </w:rPr>
        <w:t>提供财库</w:t>
      </w:r>
      <w:r>
        <w:rPr>
          <w:rFonts w:ascii="宋体" w:hAnsi="宋体" w:eastAsia="宋体"/>
          <w:szCs w:val="21"/>
        </w:rPr>
        <w:t>[2017]141号</w:t>
      </w:r>
      <w:r>
        <w:rPr>
          <w:rFonts w:hint="eastAsia" w:ascii="宋体" w:hAnsi="宋体" w:eastAsia="宋体"/>
          <w:szCs w:val="21"/>
        </w:rPr>
        <w:t>文件</w:t>
      </w:r>
      <w:r>
        <w:rPr>
          <w:rFonts w:hint="eastAsia" w:ascii="宋体" w:hAnsi="宋体" w:eastAsia="宋体"/>
          <w:color w:val="000000"/>
          <w:szCs w:val="21"/>
        </w:rPr>
        <w:t>规定的《残疾人福利性单位声明函》的，在政府采购活</w:t>
      </w:r>
      <w:r>
        <w:rPr>
          <w:rFonts w:hint="eastAsia" w:ascii="宋体" w:hAnsi="宋体" w:eastAsia="宋体"/>
          <w:szCs w:val="21"/>
        </w:rPr>
        <w:t>动中，残疾人福利性单位视同小型、微型企业，享受预留份额、评审中价格扣除等促进中小企业发展的政府采购政策。</w:t>
      </w:r>
      <w:r>
        <w:rPr>
          <w:rFonts w:ascii="宋体" w:hAnsi="宋体" w:eastAsia="宋体" w:cs="Times New Roman"/>
          <w:spacing w:val="-6"/>
          <w:szCs w:val="21"/>
        </w:rPr>
        <w:t>残疾人福利性单位属于小型、微型企业的，不重复享受政策。</w:t>
      </w:r>
    </w:p>
    <w:bookmarkEnd w:id="56"/>
    <w:p>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pPr>
        <w:adjustRightInd w:val="0"/>
        <w:snapToGrid w:val="0"/>
        <w:spacing w:line="288" w:lineRule="auto"/>
        <w:rPr>
          <w:rFonts w:ascii="宋体" w:hAnsi="宋体" w:eastAsia="宋体" w:cs="宋体"/>
          <w:b/>
          <w:spacing w:val="-6"/>
          <w:szCs w:val="21"/>
        </w:rPr>
      </w:pPr>
    </w:p>
    <w:p>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rPr>
        <w:t>浙江财经大学 政府采购合同</w:t>
      </w:r>
    </w:p>
    <w:p>
      <w:pPr>
        <w:adjustRightInd w:val="0"/>
        <w:snapToGrid w:val="0"/>
        <w:spacing w:line="288" w:lineRule="auto"/>
        <w:ind w:firstLine="398" w:firstLineChars="200"/>
        <w:jc w:val="center"/>
        <w:rPr>
          <w:rFonts w:ascii="宋体" w:hAnsi="宋体" w:eastAsia="宋体" w:cs="宋体"/>
          <w:spacing w:val="-6"/>
          <w:szCs w:val="21"/>
        </w:rPr>
      </w:pPr>
      <w:r>
        <w:rPr>
          <w:rFonts w:hint="eastAsia" w:ascii="宋体" w:hAnsi="宋体" w:eastAsia="宋体" w:cs="宋体"/>
          <w:b/>
          <w:spacing w:val="-6"/>
          <w:szCs w:val="21"/>
        </w:rPr>
        <w:t>（国产设备）</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浙江财经大学智慧教室多媒体改造</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QSZB-Z(H)-E24167(GK)</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采购计划书：[2024]41233号、[2024]41231号、[2024]41232号</w:t>
      </w:r>
      <w:bookmarkStart w:id="66" w:name="_GoBack"/>
      <w:bookmarkEnd w:id="66"/>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甲方（需方）：浙江财经大学</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浙江财经大学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浙江财经大学智慧教室多媒体改造</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QSZB-Z(H)-E24167(GK)</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pPr>
        <w:adjustRightInd w:val="0"/>
        <w:snapToGrid w:val="0"/>
        <w:spacing w:line="288" w:lineRule="auto"/>
        <w:rPr>
          <w:rFonts w:ascii="宋体" w:hAnsi="宋体" w:eastAsia="宋体" w:cs="宋体"/>
          <w:b/>
          <w:spacing w:val="-6"/>
          <w:szCs w:val="21"/>
        </w:rPr>
      </w:pP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3"/>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品牌、型号</w:t>
            </w:r>
          </w:p>
        </w:tc>
        <w:tc>
          <w:tcPr>
            <w:tcW w:w="70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Cs w:val="21"/>
                <w:lang w:val="zh-CN"/>
              </w:rPr>
            </w:pPr>
          </w:p>
          <w:p>
            <w:pPr>
              <w:adjustRightInd w:val="0"/>
              <w:snapToGrid w:val="0"/>
              <w:spacing w:line="288" w:lineRule="auto"/>
              <w:jc w:val="left"/>
              <w:rPr>
                <w:rFonts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注：以上合同总价包含货物（包括主机、标准附件、备品备件、专用工具）价、货物运杂费、保险费、利润、税金等。</w:t>
            </w:r>
          </w:p>
        </w:tc>
      </w:tr>
    </w:tbl>
    <w:p>
      <w:pPr>
        <w:adjustRightInd w:val="0"/>
        <w:snapToGrid w:val="0"/>
        <w:spacing w:line="288" w:lineRule="auto"/>
        <w:ind w:firstLine="396" w:firstLineChars="200"/>
        <w:rPr>
          <w:rFonts w:ascii="宋体" w:hAnsi="宋体" w:eastAsia="宋体" w:cs="宋体"/>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第二条：履约保证金和付款方式</w:t>
      </w:r>
    </w:p>
    <w:p>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1.</w:t>
      </w:r>
      <w:r>
        <w:rPr>
          <w:rFonts w:hint="eastAsia" w:ascii="宋体" w:hAnsi="宋体" w:eastAsia="宋体" w:cs="宋体"/>
          <w:spacing w:val="-6"/>
          <w:kern w:val="0"/>
          <w:szCs w:val="21"/>
          <w:lang w:val="en-US" w:eastAsia="zh-CN"/>
        </w:rPr>
        <w:t>履约保证金：</w:t>
      </w:r>
      <w:r>
        <w:rPr>
          <w:rFonts w:hint="eastAsia" w:ascii="宋体" w:hAnsi="宋体" w:eastAsia="宋体" w:cs="宋体"/>
          <w:spacing w:val="-6"/>
          <w:kern w:val="0"/>
          <w:szCs w:val="21"/>
        </w:rPr>
        <w:t>合同签订后一周内，</w:t>
      </w:r>
      <w:r>
        <w:rPr>
          <w:rFonts w:hint="eastAsia" w:ascii="宋体" w:hAnsi="宋体" w:eastAsia="宋体" w:cs="宋体"/>
          <w:spacing w:val="-6"/>
          <w:kern w:val="0"/>
          <w:szCs w:val="21"/>
          <w:lang w:val="en-US" w:eastAsia="zh-CN"/>
        </w:rPr>
        <w:t>乙方</w:t>
      </w:r>
      <w:r>
        <w:rPr>
          <w:rFonts w:hint="eastAsia" w:ascii="宋体" w:hAnsi="宋体" w:eastAsia="宋体" w:cs="宋体"/>
          <w:spacing w:val="-6"/>
          <w:kern w:val="0"/>
          <w:szCs w:val="21"/>
        </w:rPr>
        <w:t>向</w:t>
      </w:r>
      <w:r>
        <w:rPr>
          <w:rFonts w:hint="eastAsia" w:ascii="宋体" w:hAnsi="宋体" w:eastAsia="宋体" w:cs="宋体"/>
          <w:spacing w:val="-6"/>
          <w:kern w:val="0"/>
          <w:szCs w:val="21"/>
          <w:lang w:val="en-US" w:eastAsia="zh-CN"/>
        </w:rPr>
        <w:t>甲方</w:t>
      </w:r>
      <w:r>
        <w:rPr>
          <w:rFonts w:hint="eastAsia" w:ascii="宋体" w:hAnsi="宋体" w:eastAsia="宋体" w:cs="宋体"/>
          <w:spacing w:val="-6"/>
          <w:kern w:val="0"/>
          <w:szCs w:val="21"/>
        </w:rPr>
        <w:t>提交合同总价1%的履约保证金，履约保证金在合同履约期间无违约情形的，项目验收结束后，于一周内退还（不计息）；</w:t>
      </w:r>
    </w:p>
    <w:p>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提交方式：支票、汇票、本票或金融机构、担保机构出具的保函等非现金形式。</w:t>
      </w:r>
    </w:p>
    <w:p>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lang w:val="en-US" w:eastAsia="zh-CN"/>
        </w:rPr>
        <w:t>2.付款方式：</w:t>
      </w:r>
      <w:r>
        <w:rPr>
          <w:rFonts w:hint="eastAsia" w:ascii="宋体" w:hAnsi="宋体" w:eastAsia="宋体" w:cs="宋体"/>
          <w:spacing w:val="-6"/>
          <w:kern w:val="0"/>
          <w:szCs w:val="21"/>
        </w:rPr>
        <w:t>合同生效以及具备实施条件后7个工作日内，且</w:t>
      </w:r>
      <w:r>
        <w:rPr>
          <w:rFonts w:hint="eastAsia" w:ascii="宋体" w:hAnsi="宋体" w:eastAsia="宋体" w:cs="宋体"/>
          <w:spacing w:val="-6"/>
          <w:kern w:val="0"/>
          <w:szCs w:val="21"/>
          <w:lang w:val="en-US" w:eastAsia="zh-CN"/>
        </w:rPr>
        <w:t>乙方</w:t>
      </w:r>
      <w:r>
        <w:rPr>
          <w:rFonts w:hint="eastAsia" w:ascii="宋体" w:hAnsi="宋体" w:eastAsia="宋体" w:cs="宋体"/>
          <w:spacing w:val="-6"/>
          <w:kern w:val="0"/>
          <w:szCs w:val="21"/>
        </w:rPr>
        <w:t>已向</w:t>
      </w:r>
      <w:r>
        <w:rPr>
          <w:rFonts w:hint="eastAsia" w:ascii="宋体" w:hAnsi="宋体" w:eastAsia="宋体" w:cs="宋体"/>
          <w:spacing w:val="-6"/>
          <w:kern w:val="0"/>
          <w:szCs w:val="21"/>
          <w:lang w:val="en-US" w:eastAsia="zh-CN"/>
        </w:rPr>
        <w:t>甲方</w:t>
      </w:r>
      <w:r>
        <w:rPr>
          <w:rFonts w:hint="eastAsia" w:ascii="宋体" w:hAnsi="宋体" w:eastAsia="宋体" w:cs="宋体"/>
          <w:spacing w:val="-6"/>
          <w:kern w:val="0"/>
          <w:szCs w:val="21"/>
        </w:rPr>
        <w:t>提交银行、保险公司等金融机构出具的(等额）预付款保函的，</w:t>
      </w:r>
      <w:r>
        <w:rPr>
          <w:rFonts w:hint="eastAsia" w:ascii="宋体" w:hAnsi="宋体" w:eastAsia="宋体" w:cs="宋体"/>
          <w:spacing w:val="-6"/>
          <w:kern w:val="0"/>
          <w:szCs w:val="21"/>
          <w:lang w:val="en-US" w:eastAsia="zh-CN"/>
        </w:rPr>
        <w:t>甲方</w:t>
      </w:r>
      <w:r>
        <w:rPr>
          <w:rFonts w:hint="eastAsia" w:ascii="宋体" w:hAnsi="宋体" w:eastAsia="宋体" w:cs="宋体"/>
          <w:spacing w:val="-6"/>
          <w:kern w:val="0"/>
          <w:szCs w:val="21"/>
        </w:rPr>
        <w:t>向</w:t>
      </w:r>
      <w:r>
        <w:rPr>
          <w:rFonts w:hint="eastAsia" w:ascii="宋体" w:hAnsi="宋体" w:eastAsia="宋体" w:cs="宋体"/>
          <w:spacing w:val="-6"/>
          <w:kern w:val="0"/>
          <w:szCs w:val="21"/>
          <w:lang w:val="en-US" w:eastAsia="zh-CN"/>
        </w:rPr>
        <w:t>乙方</w:t>
      </w:r>
      <w:r>
        <w:rPr>
          <w:rFonts w:hint="eastAsia" w:ascii="宋体" w:hAnsi="宋体" w:eastAsia="宋体" w:cs="宋体"/>
          <w:spacing w:val="-6"/>
          <w:kern w:val="0"/>
          <w:szCs w:val="21"/>
        </w:rPr>
        <w:t>支付合同总价的40%；项目履约完成，经</w:t>
      </w:r>
      <w:r>
        <w:rPr>
          <w:rFonts w:hint="eastAsia" w:ascii="宋体" w:hAnsi="宋体" w:eastAsia="宋体" w:cs="宋体"/>
          <w:spacing w:val="-6"/>
          <w:kern w:val="0"/>
          <w:szCs w:val="21"/>
          <w:lang w:val="en-US" w:eastAsia="zh-CN"/>
        </w:rPr>
        <w:t>甲方</w:t>
      </w:r>
      <w:r>
        <w:rPr>
          <w:rFonts w:hint="eastAsia" w:ascii="宋体" w:hAnsi="宋体" w:eastAsia="宋体" w:cs="宋体"/>
          <w:spacing w:val="-6"/>
          <w:kern w:val="0"/>
          <w:szCs w:val="21"/>
        </w:rPr>
        <w:t>验收合格后，收到发票后7个工作日内，</w:t>
      </w:r>
      <w:r>
        <w:rPr>
          <w:rFonts w:hint="eastAsia" w:ascii="宋体" w:hAnsi="宋体" w:eastAsia="宋体" w:cs="宋体"/>
          <w:spacing w:val="-6"/>
          <w:kern w:val="0"/>
          <w:szCs w:val="21"/>
          <w:lang w:val="en-US" w:eastAsia="zh-CN"/>
        </w:rPr>
        <w:t>甲方</w:t>
      </w:r>
      <w:r>
        <w:rPr>
          <w:rFonts w:hint="eastAsia" w:ascii="宋体" w:hAnsi="宋体" w:eastAsia="宋体" w:cs="宋体"/>
          <w:spacing w:val="-6"/>
          <w:kern w:val="0"/>
          <w:szCs w:val="21"/>
        </w:rPr>
        <w:t>向</w:t>
      </w:r>
      <w:r>
        <w:rPr>
          <w:rFonts w:hint="eastAsia" w:ascii="宋体" w:hAnsi="宋体" w:eastAsia="宋体" w:cs="宋体"/>
          <w:spacing w:val="-6"/>
          <w:kern w:val="0"/>
          <w:szCs w:val="21"/>
          <w:lang w:val="en-US" w:eastAsia="zh-CN"/>
        </w:rPr>
        <w:t>乙方</w:t>
      </w:r>
      <w:r>
        <w:rPr>
          <w:rFonts w:hint="eastAsia" w:ascii="宋体" w:hAnsi="宋体" w:eastAsia="宋体" w:cs="宋体"/>
          <w:spacing w:val="-6"/>
          <w:kern w:val="0"/>
          <w:szCs w:val="21"/>
        </w:rPr>
        <w:t>支付合同总价的60%。</w:t>
      </w:r>
    </w:p>
    <w:p>
      <w:pPr>
        <w:adjustRightInd w:val="0"/>
        <w:snapToGrid w:val="0"/>
        <w:spacing w:line="288"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在签订合同时，</w:t>
      </w:r>
      <w:r>
        <w:rPr>
          <w:rFonts w:hint="eastAsia" w:ascii="宋体" w:hAnsi="宋体" w:eastAsia="宋体" w:cs="宋体"/>
          <w:spacing w:val="-6"/>
          <w:kern w:val="0"/>
          <w:szCs w:val="21"/>
          <w:lang w:val="en-US" w:eastAsia="zh-CN"/>
        </w:rPr>
        <w:t>乙方</w:t>
      </w:r>
      <w:r>
        <w:rPr>
          <w:rFonts w:hint="eastAsia" w:ascii="宋体" w:hAnsi="宋体" w:eastAsia="宋体" w:cs="宋体"/>
          <w:spacing w:val="-6"/>
          <w:kern w:val="0"/>
          <w:szCs w:val="21"/>
        </w:rPr>
        <w:t>明确表示无需预付款或者主动要求降低预付款比例的，可降低预付款比例（预付款保函同步调整）。</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第三条：交付时间、地点、货物质保期</w:t>
      </w:r>
    </w:p>
    <w:p>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月</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日前；</w:t>
      </w:r>
    </w:p>
    <w:p>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ind w:right="-514" w:rightChars="-245"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货物质保期：</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年</w:t>
      </w:r>
      <w:r>
        <w:rPr>
          <w:rFonts w:hint="eastAsia" w:ascii="宋体" w:hAnsi="宋体" w:eastAsia="宋体" w:cs="Times New Roman"/>
          <w:spacing w:val="-6"/>
          <w:szCs w:val="21"/>
        </w:rPr>
        <w:t>，项目验收合格后开始计算；</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第四条：服务标准、期限、效率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1.在质保期内，乙方应对货物出现的质量及安全问题负责处理解决并承担一切费用。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2.质保期内出现无法排除的故障，乙方需无条件更换同型号产品。</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3.质保期满后，乙方继续为甲方服务，仅收取零配件成本费。</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4.因人为因素出现的故障不在免费保修范围内。</w:t>
      </w:r>
    </w:p>
    <w:p>
      <w:pPr>
        <w:adjustRightInd w:val="0"/>
        <w:snapToGrid w:val="0"/>
        <w:spacing w:line="288" w:lineRule="auto"/>
        <w:ind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5.</w:t>
      </w:r>
      <w:r>
        <w:rPr>
          <w:rFonts w:hint="eastAsia" w:ascii="宋体" w:hAnsi="宋体" w:eastAsia="宋体" w:cs="Times New Roman"/>
          <w:spacing w:val="-6"/>
          <w:szCs w:val="21"/>
          <w:u w:val="single"/>
        </w:rPr>
        <w:t>如在使用过程中发生质量问题，乙方维修响应时间：    小时以内；</w:t>
      </w:r>
    </w:p>
    <w:p>
      <w:pPr>
        <w:adjustRightInd w:val="0"/>
        <w:snapToGrid w:val="0"/>
        <w:spacing w:line="288" w:lineRule="auto"/>
        <w:ind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u w:val="single"/>
        </w:rPr>
        <w:t>电话技术支持时间：    小时以内；</w:t>
      </w:r>
    </w:p>
    <w:p>
      <w:pPr>
        <w:adjustRightInd w:val="0"/>
        <w:snapToGrid w:val="0"/>
        <w:spacing w:line="288" w:lineRule="auto"/>
        <w:ind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u w:val="single"/>
        </w:rPr>
        <w:t>若需上门维修，则在：    小时内到达现场并进行维修；</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6.培训：</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第五条：其他技术、服务要求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1.乙方应按招标文件规定的货物性能、技术要求、质量标准向甲方提供未经使用的全新产品，符合国家法律</w:t>
      </w:r>
      <w:bookmarkStart w:id="57" w:name="_Hlk143604402"/>
      <w:r>
        <w:rPr>
          <w:rFonts w:hint="eastAsia" w:ascii="宋体" w:hAnsi="宋体" w:eastAsia="宋体" w:cs="Times New Roman"/>
          <w:spacing w:val="-6"/>
          <w:szCs w:val="21"/>
        </w:rPr>
        <w:t>法规</w:t>
      </w:r>
      <w:bookmarkEnd w:id="57"/>
      <w:r>
        <w:rPr>
          <w:rFonts w:hint="eastAsia" w:ascii="宋体" w:hAnsi="宋体" w:eastAsia="宋体" w:cs="Times New Roman"/>
          <w:spacing w:val="-6"/>
          <w:szCs w:val="21"/>
        </w:rPr>
        <w:t>规定和技术规格、质量标准的出厂原装合格产品。</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2.技术支持：</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乙方应及时免费提供合同货物软件的升级，免费提供合同货物新功能和应用的资料。</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3.安装调试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3.1安装地点：甲方指定地点；</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3.2安装完成时间：接到甲方通知后在规定时间内完成安装和调试，如在规定的时间内由于乙方的原因不能完成安装和调试，乙方应承担由此给甲方造成的损失；</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3.3如乙方委托国内代理（或其他机构）负责安装或配合安装应在签约时指明，但乙方仍要对合同货物及其安装质量负全部责任；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3.4安装标准：符合我国国家有关技术规范要求和技术标准，所有的软件和硬件必须保证同时安装到位；</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3.5乙方免费提供合同货物的安装服务；</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3.6乙方在投标文件中应提供安装调试计划、对安装场地和环境的要求。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4.乙方应提供质保期满后主要零部件报价单、质保期满后维护费、软件升级及其相关服务内容；</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5.供货时提供有关的全套技术文件。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乙方应保证所提供的货物或其中任何一部分均不会侵犯第三方的知识产权。</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第六条：验收标准</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1.验收由甲方负责实施；</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2.验收依据：</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2.1合同、招标文件、投标文件；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2.2乙方提供的技术规格、经甲方认可的合同货物的有效检验文件；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2.3乙方投标文件中提供的经甲方认可的合同货物的验收标准（符合中国有关的国家、地方、行业标准）和检测办法及相应检测手段。</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4.验收合格的条件：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4.1所供货物符合产品标准和合同的要求；</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4.2在进行测试和验收过程中发现的问题已被解决并得到甲方的认可；</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4.3合同中规定的所有货物和材料均已交付；</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4.4所供货物已通过使用单位组织的验收；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4.5所有相关的技术文件及资料均已提交并得到接受。</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第七条：违约责任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1.乙方逾期履行合同的，自逾期之日起，向甲方每日偿付合同总价0</w:t>
      </w:r>
      <w:r>
        <w:rPr>
          <w:rFonts w:ascii="宋体" w:hAnsi="宋体" w:eastAsia="宋体" w:cs="Times New Roman"/>
          <w:spacing w:val="-6"/>
          <w:szCs w:val="21"/>
        </w:rPr>
        <w:t>.5</w:t>
      </w:r>
      <w:r>
        <w:rPr>
          <w:rFonts w:hint="eastAsia" w:ascii="宋体" w:hAnsi="宋体" w:eastAsia="宋体" w:cs="Times New Roman"/>
          <w:spacing w:val="-6"/>
          <w:szCs w:val="21"/>
        </w:rPr>
        <w:t>%的滞纳金。</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2.甲方逾期支付货款的，自逾期之日起，向乙方每日偿付未付价款0</w:t>
      </w:r>
      <w:r>
        <w:rPr>
          <w:rFonts w:ascii="宋体" w:hAnsi="宋体" w:eastAsia="宋体" w:cs="Times New Roman"/>
          <w:spacing w:val="-6"/>
          <w:szCs w:val="21"/>
        </w:rPr>
        <w:t>.5</w:t>
      </w:r>
      <w:r>
        <w:rPr>
          <w:rFonts w:hint="eastAsia" w:ascii="宋体" w:hAnsi="宋体" w:eastAsia="宋体" w:cs="Times New Roman"/>
          <w:spacing w:val="-6"/>
          <w:szCs w:val="21"/>
        </w:rPr>
        <w:t>%的滞纳金。</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八</w:t>
      </w:r>
      <w:r>
        <w:rPr>
          <w:rFonts w:ascii="宋体" w:hAnsi="宋体" w:eastAsia="宋体" w:cs="Times New Roman"/>
          <w:b/>
          <w:spacing w:val="-6"/>
          <w:szCs w:val="21"/>
        </w:rPr>
        <w:t>条：不可抗力事件处理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第九条：争议解决</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因本合同发生纠纷，甲乙双方应当及时协商，协商不成时，任何一方可向甲方所在地人民法院起诉。</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第十条：合同生效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合同经甲、乙双方法定代表人或授权代表签名并加盖单位公章或合同专用章后生效。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本合同附件、招标文件、投标文件、询标澄清、中标通知书均为合同的组成部分，与本合同具有同等法律效力。</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第十一条：合同份数</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本合同一式五份，甲方执三份，乙方执一份，采购代理机构执一份。</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账号：</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电话：0571-87666117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pPr>
        <w:autoSpaceDE w:val="0"/>
        <w:autoSpaceDN w:val="0"/>
        <w:adjustRightInd w:val="0"/>
        <w:snapToGrid w:val="0"/>
        <w:spacing w:line="288" w:lineRule="auto"/>
        <w:jc w:val="left"/>
        <w:rPr>
          <w:rFonts w:ascii="宋体" w:hAnsi="宋体" w:eastAsia="宋体" w:cs="Arial"/>
          <w:kern w:val="0"/>
          <w:sz w:val="24"/>
          <w:szCs w:val="24"/>
        </w:rPr>
      </w:pPr>
    </w:p>
    <w:p>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（3</w:t>
      </w:r>
      <w:r>
        <w:rPr>
          <w:rFonts w:ascii="宋体" w:hAnsi="宋体" w:eastAsia="宋体" w:cs="宋体"/>
          <w:bCs/>
          <w:spacing w:val="-6"/>
          <w:szCs w:val="21"/>
        </w:rPr>
        <w:t>）</w:t>
      </w:r>
      <w:r>
        <w:rPr>
          <w:rFonts w:hint="eastAsia" w:ascii="宋体" w:hAnsi="宋体" w:eastAsia="宋体"/>
          <w:bCs/>
          <w:szCs w:val="21"/>
        </w:rPr>
        <w:t>联合体协议（如有）</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▲联合体投标的，联合体各方均应提供资格文件（</w:t>
      </w:r>
      <w:r>
        <w:rPr>
          <w:rFonts w:ascii="宋体" w:hAnsi="宋体" w:eastAsia="宋体" w:cs="宋体"/>
          <w:bCs/>
          <w:spacing w:val="-6"/>
          <w:szCs w:val="21"/>
        </w:rPr>
        <w:t>1）</w:t>
      </w:r>
      <w:r>
        <w:rPr>
          <w:rFonts w:hint="eastAsia" w:ascii="宋体" w:hAnsi="宋体" w:eastAsia="宋体" w:cs="宋体"/>
          <w:bCs/>
          <w:spacing w:val="-6"/>
          <w:szCs w:val="21"/>
        </w:rPr>
        <w:t>、</w:t>
      </w:r>
      <w:r>
        <w:rPr>
          <w:rFonts w:ascii="宋体" w:hAnsi="宋体" w:eastAsia="宋体" w:cs="宋体"/>
          <w:bCs/>
          <w:spacing w:val="-6"/>
          <w:szCs w:val="21"/>
        </w:rPr>
        <w:t>（2）</w:t>
      </w:r>
      <w:r>
        <w:rPr>
          <w:rFonts w:hint="eastAsia" w:ascii="宋体" w:hAnsi="宋体" w:eastAsia="宋体" w:cs="宋体"/>
          <w:bCs/>
          <w:spacing w:val="-6"/>
          <w:szCs w:val="21"/>
        </w:rPr>
        <w:t>材料</w:t>
      </w:r>
      <w:r>
        <w:rPr>
          <w:rFonts w:ascii="宋体" w:hAnsi="宋体" w:eastAsia="宋体" w:cs="宋体"/>
          <w:bCs/>
          <w:spacing w:val="-6"/>
          <w:szCs w:val="21"/>
        </w:rPr>
        <w:t>。</w:t>
      </w:r>
    </w:p>
    <w:p>
      <w:pPr>
        <w:adjustRightInd w:val="0"/>
        <w:snapToGrid w:val="0"/>
        <w:spacing w:line="288" w:lineRule="auto"/>
        <w:jc w:val="left"/>
        <w:rPr>
          <w:rFonts w:ascii="宋体" w:hAnsi="宋体" w:eastAsia="宋体" w:cs="宋体"/>
          <w:b/>
          <w:spacing w:val="-6"/>
          <w:szCs w:val="21"/>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lang w:eastAsia="zh-CN"/>
        </w:rPr>
        <w:t>2024年01月（含）以后任意一月</w:t>
      </w:r>
      <w:r>
        <w:rPr>
          <w:rFonts w:ascii="宋体" w:hAnsi="宋体" w:eastAsia="宋体" w:cs="Times New Roman"/>
          <w:spacing w:val="-6"/>
          <w:szCs w:val="21"/>
        </w:rPr>
        <w:t>）</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5</w:t>
      </w:r>
      <w:r>
        <w:rPr>
          <w:rFonts w:hint="eastAsia" w:ascii="宋体" w:hAnsi="宋体" w:eastAsia="宋体" w:cs="宋体"/>
          <w:spacing w:val="-6"/>
          <w:szCs w:val="21"/>
        </w:rPr>
        <w:t>）</w:t>
      </w:r>
      <w:r>
        <w:rPr>
          <w:rFonts w:hint="eastAsia" w:ascii="宋体" w:hAnsi="宋体" w:eastAsia="宋体" w:cs="宋体"/>
          <w:szCs w:val="21"/>
        </w:rPr>
        <w:t>货物配置清单</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6</w:t>
      </w:r>
      <w:r>
        <w:rPr>
          <w:rFonts w:hint="eastAsia" w:ascii="宋体" w:hAnsi="宋体" w:eastAsia="宋体" w:cs="宋体"/>
          <w:spacing w:val="-6"/>
          <w:szCs w:val="21"/>
        </w:rPr>
        <w:t>）技术方案：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体系认证</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政策功能</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项目实施方案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安装调试</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售后服务方案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项目团队</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技术培训</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配件耗材</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（7）环保产品证明材料</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（8）科技创新相关证明材料</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（9</w:t>
      </w:r>
      <w:r>
        <w:rPr>
          <w:rFonts w:ascii="宋体" w:hAnsi="宋体" w:eastAsia="宋体" w:cs="宋体"/>
          <w:spacing w:val="-6"/>
          <w:szCs w:val="21"/>
        </w:rPr>
        <w:t>）投标人需要说明的其他文件和材料。</w:t>
      </w:r>
    </w:p>
    <w:p>
      <w:pPr>
        <w:adjustRightInd w:val="0"/>
        <w:snapToGrid w:val="0"/>
        <w:spacing w:line="288" w:lineRule="auto"/>
        <w:jc w:val="left"/>
        <w:rPr>
          <w:rFonts w:ascii="宋体" w:hAnsi="宋体" w:eastAsia="宋体" w:cs="Times New Roman"/>
          <w:b/>
          <w:spacing w:val="-6"/>
          <w:szCs w:val="21"/>
        </w:rPr>
      </w:pPr>
    </w:p>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（1）开标一览表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）中小企业声明函</w:t>
      </w:r>
      <w:bookmarkStart w:id="58" w:name="_Hlk81815656"/>
      <w:r>
        <w:rPr>
          <w:rFonts w:hint="eastAsia" w:ascii="宋体" w:hAnsi="宋体" w:eastAsia="宋体" w:cs="Times New Roman"/>
          <w:spacing w:val="-6"/>
          <w:szCs w:val="21"/>
        </w:rPr>
        <w:t>（若属于中小企业）</w:t>
      </w:r>
      <w:bookmarkEnd w:id="58"/>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）属于监狱企业的证明文件</w:t>
      </w:r>
      <w:bookmarkStart w:id="59" w:name="_Hlk81815359"/>
      <w:r>
        <w:rPr>
          <w:rFonts w:hint="eastAsia" w:ascii="宋体" w:hAnsi="宋体" w:eastAsia="宋体" w:cs="Times New Roman"/>
          <w:spacing w:val="-6"/>
          <w:szCs w:val="21"/>
        </w:rPr>
        <w:t>（若属于监狱企业）</w:t>
      </w:r>
      <w:bookmarkEnd w:id="59"/>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4</w:t>
      </w:r>
      <w:r>
        <w:rPr>
          <w:rFonts w:hint="eastAsia" w:ascii="宋体" w:hAnsi="宋体" w:eastAsia="宋体" w:cs="Times New Roman"/>
          <w:spacing w:val="-6"/>
          <w:szCs w:val="21"/>
        </w:rPr>
        <w:t>）</w:t>
      </w:r>
      <w:bookmarkStart w:id="60" w:name="OLE_LINK14"/>
      <w:bookmarkStart w:id="61" w:name="OLE_LINK13"/>
      <w:r>
        <w:rPr>
          <w:rFonts w:hint="eastAsia" w:ascii="宋体" w:hAnsi="宋体" w:eastAsia="宋体" w:cs="Times New Roman"/>
          <w:spacing w:val="-6"/>
          <w:szCs w:val="21"/>
        </w:rPr>
        <w:t>残疾人福利性单位声明函</w:t>
      </w:r>
      <w:bookmarkEnd w:id="60"/>
      <w:bookmarkEnd w:id="61"/>
      <w:bookmarkStart w:id="62" w:name="_Hlk81815372"/>
      <w:r>
        <w:rPr>
          <w:rFonts w:hint="eastAsia" w:ascii="宋体" w:hAnsi="宋体" w:eastAsia="宋体" w:cs="Times New Roman"/>
          <w:spacing w:val="-6"/>
          <w:szCs w:val="21"/>
        </w:rPr>
        <w:t>（若属于残疾人福利性单位）</w:t>
      </w:r>
      <w:bookmarkEnd w:id="62"/>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kern w:val="0"/>
                <w:szCs w:val="21"/>
              </w:rPr>
            </w:pPr>
          </w:p>
        </w:tc>
        <w:tc>
          <w:tcPr>
            <w:tcW w:w="2091" w:type="dxa"/>
            <w:vAlign w:val="center"/>
          </w:tcPr>
          <w:p>
            <w:pPr>
              <w:adjustRightInd w:val="0"/>
              <w:snapToGrid w:val="0"/>
              <w:spacing w:line="288" w:lineRule="auto"/>
              <w:jc w:val="center"/>
              <w:rPr>
                <w:rFonts w:ascii="宋体" w:hAnsi="宋体" w:eastAsia="宋体" w:cs="Times New Roman"/>
                <w:kern w:val="0"/>
                <w:szCs w:val="21"/>
              </w:rPr>
            </w:pPr>
          </w:p>
        </w:tc>
        <w:tc>
          <w:tcPr>
            <w:tcW w:w="709" w:type="dxa"/>
            <w:vAlign w:val="center"/>
          </w:tcPr>
          <w:p>
            <w:pPr>
              <w:adjustRightInd w:val="0"/>
              <w:snapToGrid w:val="0"/>
              <w:spacing w:line="288" w:lineRule="auto"/>
              <w:jc w:val="center"/>
              <w:rPr>
                <w:rFonts w:ascii="宋体" w:hAnsi="宋体" w:eastAsia="宋体" w:cs="Times New Roman"/>
                <w:kern w:val="0"/>
                <w:szCs w:val="21"/>
              </w:rPr>
            </w:pPr>
          </w:p>
        </w:tc>
        <w:tc>
          <w:tcPr>
            <w:tcW w:w="3040" w:type="dxa"/>
            <w:vAlign w:val="center"/>
          </w:tcPr>
          <w:p>
            <w:pPr>
              <w:adjustRightInd w:val="0"/>
              <w:snapToGrid w:val="0"/>
              <w:spacing w:line="288" w:lineRule="auto"/>
              <w:rPr>
                <w:rFonts w:ascii="宋体" w:hAnsi="宋体" w:eastAsia="宋体" w:cs="Times New Roman"/>
                <w:kern w:val="0"/>
                <w:szCs w:val="21"/>
              </w:rPr>
            </w:pPr>
          </w:p>
        </w:tc>
        <w:tc>
          <w:tcPr>
            <w:tcW w:w="967" w:type="dxa"/>
            <w:vAlign w:val="center"/>
          </w:tcPr>
          <w:p>
            <w:pPr>
              <w:adjustRightInd w:val="0"/>
              <w:snapToGrid w:val="0"/>
              <w:spacing w:line="288" w:lineRule="auto"/>
              <w:jc w:val="center"/>
              <w:rPr>
                <w:rFonts w:ascii="宋体" w:hAnsi="宋体" w:eastAsia="宋体" w:cs="Times New Roman"/>
                <w:szCs w:val="21"/>
              </w:rPr>
            </w:pPr>
          </w:p>
        </w:tc>
        <w:tc>
          <w:tcPr>
            <w:tcW w:w="1053" w:type="dxa"/>
            <w:vAlign w:val="center"/>
          </w:tcPr>
          <w:p>
            <w:pPr>
              <w:adjustRightInd w:val="0"/>
              <w:snapToGrid w:val="0"/>
              <w:spacing w:line="288" w:lineRule="auto"/>
              <w:jc w:val="center"/>
              <w:rPr>
                <w:rFonts w:ascii="宋体" w:hAnsi="宋体" w:eastAsia="宋体" w:cs="Times New Roman"/>
                <w:szCs w:val="21"/>
              </w:rPr>
            </w:pPr>
          </w:p>
        </w:tc>
        <w:tc>
          <w:tcPr>
            <w:tcW w:w="881" w:type="dxa"/>
          </w:tcPr>
          <w:p>
            <w:pPr>
              <w:adjustRightInd w:val="0"/>
              <w:snapToGrid w:val="0"/>
              <w:spacing w:line="288"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pPr>
        <w:widowControl/>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pPr>
        <w:adjustRightInd w:val="0"/>
        <w:snapToGrid w:val="0"/>
        <w:spacing w:line="288" w:lineRule="auto"/>
        <w:rPr>
          <w:rFonts w:ascii="宋体" w:hAnsi="宋体" w:eastAsia="宋体" w:cs="Times New Roman"/>
          <w:bCs/>
          <w:spacing w:val="-6"/>
          <w:szCs w:val="21"/>
        </w:rPr>
      </w:pP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致：浙江财经大学、浙江求是招标代理有限公司</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（3）联合体协议（如有）</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致：浙江财经大学、浙江求是招标代理有限公司</w:t>
      </w:r>
    </w:p>
    <w:p>
      <w:pPr>
        <w:adjustRightInd w:val="0"/>
        <w:snapToGrid w:val="0"/>
        <w:spacing w:line="288" w:lineRule="auto"/>
        <w:ind w:firstLine="396" w:firstLineChars="200"/>
        <w:rPr>
          <w:rFonts w:ascii="宋体" w:hAnsi="宋体" w:eastAsia="宋体" w:cs="Times New Roman"/>
          <w:spacing w:val="-6"/>
          <w:szCs w:val="21"/>
          <w:highlight w:val="cyan"/>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浙江财经大学智慧教室多媒体改造</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QSZB-Z(H)-E24167(GK)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pPr>
              <w:adjustRightInd w:val="0"/>
              <w:snapToGrid w:val="0"/>
              <w:spacing w:line="288" w:lineRule="auto"/>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致：浙江财经大学、浙江求是招标代理有限公司</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浙江财经大学智慧教室多媒体改造</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QSZB-Z(H)-E24167(GK)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2024年01月（含）以后任意一月</w:t>
      </w:r>
      <w:r>
        <w:rPr>
          <w:rFonts w:hint="eastAsia" w:ascii="宋体" w:hAnsi="宋体" w:eastAsia="宋体" w:cs="Times New Roman"/>
          <w:spacing w:val="-6"/>
          <w:szCs w:val="21"/>
          <w:u w:val="single"/>
        </w:rPr>
        <w:t>）。</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p>
    <w:p>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pPr>
        <w:adjustRightInd w:val="0"/>
        <w:snapToGrid w:val="0"/>
        <w:spacing w:line="288" w:lineRule="auto"/>
        <w:rPr>
          <w:rFonts w:ascii="Times New Roman" w:hAnsi="Times New Roman" w:eastAsia="宋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2024年01月（含）以后任意一月</w:t>
      </w:r>
      <w:r>
        <w:rPr>
          <w:rFonts w:hint="eastAsia" w:ascii="宋体" w:hAnsi="宋体" w:eastAsia="宋体" w:cs="Times New Roman"/>
          <w:b/>
          <w:bCs/>
          <w:szCs w:val="21"/>
        </w:rPr>
        <w:t>）</w:t>
      </w:r>
    </w:p>
    <w:p>
      <w:pPr>
        <w:rPr>
          <w:rFonts w:ascii="Times New Roman" w:hAnsi="Times New Roman" w:eastAsia="宋体" w:cs="Times New Roman"/>
          <w:szCs w:val="21"/>
        </w:rPr>
      </w:pPr>
    </w:p>
    <w:p>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采 购 人：浙江财经大学</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浙江财经大学智慧教室多媒体改造</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QSZB-Z(H)-E24167(GK)</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bl>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）货物配置清单</w:t>
      </w:r>
      <w:r>
        <w:rPr>
          <w:rFonts w:hint="eastAsia" w:ascii="宋体" w:hAnsi="宋体" w:eastAsia="宋体" w:cs="宋体"/>
          <w:spacing w:val="-6"/>
          <w:szCs w:val="21"/>
        </w:rPr>
        <w:t>（不含报价）</w:t>
      </w:r>
    </w:p>
    <w:p>
      <w:pPr>
        <w:adjustRightInd w:val="0"/>
        <w:snapToGrid w:val="0"/>
        <w:spacing w:line="288" w:lineRule="auto"/>
        <w:rPr>
          <w:rFonts w:ascii="宋体" w:hAnsi="宋体" w:eastAsia="宋体" w:cs="宋体"/>
          <w:spacing w:val="-6"/>
          <w:szCs w:val="21"/>
        </w:rPr>
      </w:pPr>
    </w:p>
    <w:tbl>
      <w:tblPr>
        <w:tblStyle w:val="23"/>
        <w:tblW w:w="94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105"/>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品牌</w:t>
            </w: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规格型号</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bl>
    <w:p>
      <w:pPr>
        <w:adjustRightInd w:val="0"/>
        <w:snapToGrid w:val="0"/>
        <w:spacing w:line="288" w:lineRule="auto"/>
        <w:rPr>
          <w:rFonts w:ascii="宋体" w:hAnsi="宋体" w:eastAsia="宋体" w:cs="宋体"/>
          <w:szCs w:val="21"/>
        </w:rPr>
      </w:pPr>
    </w:p>
    <w:p>
      <w:pPr>
        <w:adjustRightInd w:val="0"/>
        <w:snapToGrid w:val="0"/>
        <w:spacing w:line="288" w:lineRule="auto"/>
        <w:rPr>
          <w:rFonts w:ascii="宋体" w:hAnsi="宋体" w:eastAsia="宋体" w:cs="宋体"/>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utoSpaceDE w:val="0"/>
        <w:autoSpaceDN w:val="0"/>
        <w:adjustRightInd w:val="0"/>
        <w:snapToGrid w:val="0"/>
        <w:spacing w:line="288" w:lineRule="auto"/>
        <w:jc w:val="left"/>
        <w:rPr>
          <w:rFonts w:ascii="宋体" w:hAnsi="宋体" w:eastAsia="宋体" w:cs="宋体"/>
          <w:spacing w:val="-6"/>
          <w:kern w:val="0"/>
          <w:szCs w:val="21"/>
        </w:rPr>
      </w:pPr>
    </w:p>
    <w:p>
      <w:pPr>
        <w:adjustRightInd w:val="0"/>
        <w:snapToGrid w:val="0"/>
        <w:spacing w:line="288" w:lineRule="auto"/>
        <w:rPr>
          <w:rFonts w:ascii="宋体" w:hAnsi="宋体" w:eastAsia="宋体" w:cs="宋体"/>
          <w:szCs w:val="21"/>
        </w:rPr>
      </w:pP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附：产品技术支持材料</w:t>
      </w:r>
    </w:p>
    <w:p>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rPr>
        <w:br w:type="page"/>
      </w: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以下内容格式自拟：</w:t>
      </w: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（6）技术方案：</w:t>
      </w: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体系认证</w:t>
      </w: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政策功能</w:t>
      </w: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项目实施方案</w:t>
      </w: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安装调试</w:t>
      </w: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售后服务方案</w:t>
      </w: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项目团队</w:t>
      </w: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技术培训</w:t>
      </w: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配件耗材</w:t>
      </w:r>
    </w:p>
    <w:p>
      <w:pPr>
        <w:adjustRightInd w:val="0"/>
        <w:snapToGrid w:val="0"/>
        <w:spacing w:line="288" w:lineRule="auto"/>
        <w:rPr>
          <w:rFonts w:ascii="宋体" w:hAnsi="宋体" w:eastAsia="宋体" w:cs="宋体"/>
          <w:b/>
          <w:spacing w:val="-6"/>
          <w:szCs w:val="21"/>
        </w:rPr>
      </w:pP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7</w:t>
      </w:r>
      <w:r>
        <w:rPr>
          <w:rFonts w:hint="eastAsia" w:ascii="宋体" w:hAnsi="宋体" w:eastAsia="宋体" w:cs="宋体"/>
          <w:b/>
          <w:spacing w:val="-6"/>
          <w:szCs w:val="21"/>
        </w:rPr>
        <w:t>）环保产品证明材料</w:t>
      </w:r>
    </w:p>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说明：投标产品属于品目清单范围且提供国家确定的认证机构出具的有效的环境标志产品认证证书（扫描件）。</w:t>
      </w:r>
    </w:p>
    <w:p>
      <w:pPr>
        <w:adjustRightInd w:val="0"/>
        <w:snapToGrid w:val="0"/>
        <w:spacing w:line="288" w:lineRule="auto"/>
        <w:ind w:firstLine="396" w:firstLineChars="200"/>
        <w:jc w:val="left"/>
        <w:rPr>
          <w:rFonts w:ascii="宋体" w:hAnsi="宋体" w:eastAsia="宋体" w:cs="Times New Roman"/>
          <w:b/>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环境标志产品认证证书，对获得证书的产品实施政府优先采购或强制采购。投标人须按招标文件要求提供相关产品认证证书。</w:t>
      </w:r>
    </w:p>
    <w:p>
      <w:pPr>
        <w:adjustRightInd w:val="0"/>
        <w:snapToGrid w:val="0"/>
        <w:spacing w:line="288" w:lineRule="auto"/>
        <w:rPr>
          <w:rFonts w:ascii="宋体" w:hAnsi="宋体" w:eastAsia="宋体" w:cs="Times New Roman"/>
          <w:b/>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（8）科技创新相关证明材料</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优先推荐专精特新中小企业、创新产品参加政府采购活动。对省级以上主管部门认定的首台套产品，自纳入《省推广应用指导目录》起三年内参加政府采购活动时视同已具备相应销售业绩，业绩分为满分。</w:t>
      </w: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（9）投标人需要说明的其他文件和材料。</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采 购 人：浙江财经大学</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浙江财经大学智慧教室多媒体改造</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QSZB-Z(H)-E24167(GK)</w:t>
      </w:r>
    </w:p>
    <w:tbl>
      <w:tblPr>
        <w:tblStyle w:val="23"/>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规格型号</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kern w:val="2"/>
                <w:sz w:val="21"/>
                <w:szCs w:val="21"/>
                <w:lang w:val="en-US" w:eastAsia="zh-CN" w:bidi="ar-SA"/>
              </w:rPr>
            </w:pPr>
            <w:r>
              <w:rPr>
                <w:rFonts w:hint="eastAsia" w:ascii="宋体" w:hAnsi="宋体" w:eastAsia="宋体" w:cs="宋体"/>
                <w:b/>
                <w:bCs/>
                <w:color w:val="000000"/>
                <w:kern w:val="0"/>
                <w:szCs w:val="21"/>
                <w:lang w:bidi="ar"/>
              </w:rPr>
              <w:t>1</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Times New Roman"/>
                <w:b/>
                <w:bCs/>
                <w:kern w:val="2"/>
                <w:sz w:val="21"/>
                <w:szCs w:val="21"/>
                <w:lang w:val="en-US" w:eastAsia="zh-CN" w:bidi="ar-SA"/>
              </w:rPr>
            </w:pPr>
            <w:r>
              <w:rPr>
                <w:rFonts w:hint="eastAsia" w:ascii="宋体" w:hAnsi="宋体" w:eastAsia="宋体" w:cs="宋体"/>
                <w:b/>
                <w:bCs/>
                <w:color w:val="000000"/>
                <w:kern w:val="0"/>
                <w:szCs w:val="21"/>
                <w:lang w:bidi="ar"/>
              </w:rPr>
              <w:t>一体教学控制终端</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kern w:val="2"/>
                <w:sz w:val="21"/>
                <w:szCs w:val="21"/>
                <w:lang w:val="en-US" w:eastAsia="zh-CN" w:bidi="ar-SA"/>
              </w:rPr>
            </w:pPr>
            <w:r>
              <w:rPr>
                <w:rFonts w:hint="eastAsia" w:ascii="宋体" w:hAnsi="宋体" w:eastAsia="宋体" w:cs="宋体"/>
                <w:b/>
                <w:bCs/>
                <w:color w:val="000000"/>
                <w:kern w:val="0"/>
                <w:szCs w:val="21"/>
                <w:lang w:bidi="ar"/>
              </w:rPr>
              <w:t>2</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Times New Roman"/>
                <w:b/>
                <w:bCs/>
                <w:kern w:val="2"/>
                <w:sz w:val="21"/>
                <w:szCs w:val="21"/>
                <w:lang w:val="en-US" w:eastAsia="zh-CN" w:bidi="ar-SA"/>
              </w:rPr>
            </w:pPr>
            <w:r>
              <w:rPr>
                <w:rFonts w:hint="eastAsia" w:ascii="宋体" w:hAnsi="宋体" w:eastAsia="宋体" w:cs="宋体"/>
                <w:b/>
                <w:bCs/>
                <w:kern w:val="0"/>
                <w:szCs w:val="21"/>
                <w:lang w:bidi="ar"/>
              </w:rPr>
              <w:t>智能显示终端</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kern w:val="2"/>
                <w:sz w:val="21"/>
                <w:szCs w:val="21"/>
                <w:lang w:val="en-US" w:eastAsia="zh-CN" w:bidi="ar-SA"/>
              </w:rPr>
            </w:pPr>
            <w:r>
              <w:rPr>
                <w:rFonts w:hint="eastAsia" w:ascii="宋体" w:hAnsi="宋体" w:eastAsia="宋体" w:cs="宋体"/>
                <w:b/>
                <w:bCs/>
                <w:color w:val="000000"/>
                <w:kern w:val="0"/>
                <w:szCs w:val="21"/>
                <w:lang w:bidi="ar"/>
              </w:rPr>
              <w:t>3</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Times New Roman"/>
                <w:b/>
                <w:bCs/>
                <w:kern w:val="2"/>
                <w:sz w:val="21"/>
                <w:szCs w:val="21"/>
                <w:lang w:val="en-US" w:eastAsia="zh-CN" w:bidi="ar-SA"/>
              </w:rPr>
            </w:pPr>
            <w:r>
              <w:rPr>
                <w:rFonts w:hint="eastAsia" w:ascii="宋体" w:hAnsi="宋体" w:eastAsia="宋体" w:cs="宋体"/>
                <w:b/>
                <w:bCs/>
                <w:color w:val="000000"/>
                <w:kern w:val="0"/>
                <w:szCs w:val="21"/>
                <w:lang w:bidi="ar"/>
              </w:rPr>
              <w:t>书写白板（一体教学控制终端）（含整体框）</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kern w:val="2"/>
                <w:sz w:val="21"/>
                <w:szCs w:val="21"/>
                <w:lang w:val="en-US" w:eastAsia="zh-CN" w:bidi="ar-SA"/>
              </w:rPr>
            </w:pPr>
            <w:r>
              <w:rPr>
                <w:rFonts w:hint="eastAsia" w:ascii="宋体" w:hAnsi="宋体" w:eastAsia="宋体" w:cs="宋体"/>
                <w:b/>
                <w:bCs/>
                <w:color w:val="000000"/>
                <w:kern w:val="0"/>
                <w:szCs w:val="21"/>
                <w:lang w:bidi="ar"/>
              </w:rPr>
              <w:t>4</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Times New Roman"/>
                <w:b/>
                <w:bCs/>
                <w:kern w:val="2"/>
                <w:sz w:val="21"/>
                <w:szCs w:val="21"/>
                <w:lang w:val="en-US" w:eastAsia="zh-CN" w:bidi="ar-SA"/>
              </w:rPr>
            </w:pPr>
            <w:r>
              <w:rPr>
                <w:rFonts w:hint="eastAsia" w:ascii="宋体" w:hAnsi="宋体" w:eastAsia="宋体" w:cs="宋体"/>
                <w:b/>
                <w:bCs/>
                <w:color w:val="000000"/>
                <w:kern w:val="0"/>
                <w:szCs w:val="21"/>
                <w:lang w:bidi="ar"/>
              </w:rPr>
              <w:t>书写白板（</w:t>
            </w:r>
            <w:r>
              <w:rPr>
                <w:rFonts w:hint="eastAsia" w:ascii="宋体" w:hAnsi="宋体" w:eastAsia="宋体" w:cs="宋体"/>
                <w:b/>
                <w:bCs/>
                <w:kern w:val="0"/>
                <w:szCs w:val="21"/>
                <w:lang w:bidi="ar"/>
              </w:rPr>
              <w:t>智能显示终端</w:t>
            </w:r>
            <w:r>
              <w:rPr>
                <w:rFonts w:hint="eastAsia" w:ascii="宋体" w:hAnsi="宋体" w:eastAsia="宋体" w:cs="宋体"/>
                <w:b/>
                <w:bCs/>
                <w:color w:val="000000"/>
                <w:kern w:val="0"/>
                <w:szCs w:val="21"/>
                <w:lang w:bidi="ar"/>
              </w:rPr>
              <w:t>）（含整体框）</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kern w:val="2"/>
                <w:sz w:val="21"/>
                <w:szCs w:val="21"/>
                <w:lang w:val="en-US" w:eastAsia="zh-CN" w:bidi="ar-SA"/>
              </w:rPr>
            </w:pPr>
            <w:r>
              <w:rPr>
                <w:rFonts w:hint="eastAsia" w:ascii="宋体" w:hAnsi="宋体" w:eastAsia="宋体" w:cs="宋体"/>
                <w:b/>
                <w:bCs/>
                <w:color w:val="000000"/>
                <w:kern w:val="0"/>
                <w:szCs w:val="21"/>
                <w:lang w:bidi="ar"/>
              </w:rPr>
              <w:t>5</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Times New Roman"/>
                <w:b/>
                <w:bCs/>
                <w:kern w:val="2"/>
                <w:sz w:val="21"/>
                <w:szCs w:val="21"/>
                <w:lang w:val="en-US" w:eastAsia="zh-CN" w:bidi="ar-SA"/>
              </w:rPr>
            </w:pPr>
            <w:r>
              <w:rPr>
                <w:rFonts w:hint="eastAsia" w:ascii="宋体" w:hAnsi="宋体" w:eastAsia="宋体" w:cs="宋体"/>
                <w:b/>
                <w:bCs/>
                <w:color w:val="000000"/>
                <w:kern w:val="0"/>
                <w:szCs w:val="21"/>
                <w:lang w:bidi="ar"/>
              </w:rPr>
              <w:t>云终端</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kern w:val="2"/>
                <w:sz w:val="21"/>
                <w:szCs w:val="21"/>
                <w:lang w:val="en-US" w:eastAsia="zh-CN" w:bidi="ar-SA"/>
              </w:rPr>
            </w:pPr>
            <w:r>
              <w:rPr>
                <w:rFonts w:hint="eastAsia" w:ascii="宋体" w:hAnsi="宋体" w:eastAsia="宋体" w:cs="宋体"/>
                <w:b/>
                <w:bCs/>
                <w:color w:val="000000"/>
                <w:kern w:val="0"/>
                <w:szCs w:val="21"/>
                <w:lang w:bidi="ar"/>
              </w:rPr>
              <w:t>6</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Times New Roman"/>
                <w:b/>
                <w:bCs/>
                <w:kern w:val="2"/>
                <w:sz w:val="21"/>
                <w:szCs w:val="21"/>
                <w:lang w:val="en-US" w:eastAsia="zh-CN" w:bidi="ar-SA"/>
              </w:rPr>
            </w:pPr>
            <w:r>
              <w:rPr>
                <w:rFonts w:hint="eastAsia" w:ascii="宋体" w:hAnsi="宋体" w:eastAsia="宋体" w:cs="宋体"/>
                <w:b/>
                <w:bCs/>
                <w:color w:val="000000"/>
                <w:kern w:val="0"/>
                <w:szCs w:val="21"/>
                <w:lang w:bidi="ar"/>
              </w:rPr>
              <w:t>电子教学软件</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kern w:val="2"/>
                <w:sz w:val="21"/>
                <w:szCs w:val="21"/>
                <w:lang w:val="en-US" w:eastAsia="zh-CN" w:bidi="ar-SA"/>
              </w:rPr>
            </w:pPr>
            <w:r>
              <w:rPr>
                <w:rFonts w:hint="eastAsia" w:ascii="宋体" w:hAnsi="宋体" w:eastAsia="宋体" w:cs="宋体"/>
                <w:b/>
                <w:bCs/>
                <w:color w:val="000000"/>
                <w:kern w:val="0"/>
                <w:szCs w:val="21"/>
                <w:lang w:bidi="ar"/>
              </w:rPr>
              <w:t>7</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Times New Roman"/>
                <w:b/>
                <w:bCs/>
                <w:kern w:val="2"/>
                <w:sz w:val="21"/>
                <w:szCs w:val="21"/>
                <w:lang w:val="en-US" w:eastAsia="zh-CN" w:bidi="ar-SA"/>
              </w:rPr>
            </w:pPr>
            <w:r>
              <w:rPr>
                <w:rFonts w:hint="eastAsia" w:ascii="宋体" w:hAnsi="宋体" w:eastAsia="宋体" w:cs="宋体"/>
                <w:b/>
                <w:bCs/>
                <w:color w:val="000000"/>
                <w:kern w:val="0"/>
                <w:szCs w:val="21"/>
                <w:lang w:bidi="ar"/>
              </w:rPr>
              <w:t>电动升降讲台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kern w:val="2"/>
                <w:sz w:val="21"/>
                <w:szCs w:val="21"/>
                <w:lang w:val="en-US" w:eastAsia="zh-CN" w:bidi="ar-SA"/>
              </w:rPr>
            </w:pPr>
            <w:r>
              <w:rPr>
                <w:rFonts w:hint="eastAsia" w:ascii="宋体" w:hAnsi="宋体" w:eastAsia="宋体" w:cs="宋体"/>
                <w:b/>
                <w:bCs/>
                <w:color w:val="000000"/>
                <w:kern w:val="0"/>
                <w:szCs w:val="21"/>
                <w:lang w:bidi="ar"/>
              </w:rPr>
              <w:t>8</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Times New Roman"/>
                <w:b/>
                <w:bCs/>
                <w:kern w:val="2"/>
                <w:sz w:val="21"/>
                <w:szCs w:val="21"/>
                <w:lang w:val="en-US" w:eastAsia="zh-CN" w:bidi="ar-SA"/>
              </w:rPr>
            </w:pPr>
            <w:r>
              <w:rPr>
                <w:rFonts w:hint="eastAsia" w:ascii="宋体" w:hAnsi="宋体" w:eastAsia="宋体" w:cs="宋体"/>
                <w:b/>
                <w:bCs/>
                <w:color w:val="000000"/>
                <w:kern w:val="0"/>
                <w:szCs w:val="21"/>
                <w:lang w:bidi="ar"/>
              </w:rPr>
              <w:t>功放（含音箱、无线话筒）</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kern w:val="2"/>
                <w:sz w:val="21"/>
                <w:szCs w:val="21"/>
                <w:lang w:val="en-US" w:eastAsia="zh-CN" w:bidi="ar-SA"/>
              </w:rPr>
            </w:pPr>
            <w:r>
              <w:rPr>
                <w:rFonts w:hint="eastAsia" w:ascii="宋体" w:hAnsi="宋体" w:eastAsia="宋体" w:cs="宋体"/>
                <w:b/>
                <w:bCs/>
                <w:color w:val="000000"/>
                <w:kern w:val="0"/>
                <w:szCs w:val="21"/>
                <w:lang w:bidi="ar"/>
              </w:rPr>
              <w:t>9</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Times New Roman"/>
                <w:b/>
                <w:bCs/>
                <w:kern w:val="2"/>
                <w:sz w:val="21"/>
                <w:szCs w:val="21"/>
                <w:lang w:val="en-US" w:eastAsia="zh-CN" w:bidi="ar-SA"/>
              </w:rPr>
            </w:pPr>
            <w:r>
              <w:rPr>
                <w:rFonts w:hint="eastAsia" w:ascii="宋体" w:hAnsi="宋体" w:eastAsia="宋体" w:cs="宋体"/>
                <w:b/>
                <w:bCs/>
                <w:color w:val="000000"/>
                <w:kern w:val="0"/>
                <w:szCs w:val="21"/>
                <w:lang w:bidi="ar"/>
              </w:rPr>
              <w:t>交换机</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kern w:val="2"/>
                <w:sz w:val="21"/>
                <w:szCs w:val="21"/>
                <w:lang w:val="en-US" w:eastAsia="zh-CN" w:bidi="ar-SA"/>
              </w:rPr>
            </w:pPr>
            <w:r>
              <w:rPr>
                <w:rFonts w:hint="eastAsia" w:ascii="宋体" w:hAnsi="宋体" w:eastAsia="宋体" w:cs="宋体"/>
                <w:b/>
                <w:bCs/>
                <w:color w:val="000000"/>
                <w:kern w:val="0"/>
                <w:szCs w:val="21"/>
                <w:lang w:bidi="ar"/>
              </w:rPr>
              <w:t>10</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Times New Roman"/>
                <w:b/>
                <w:bCs/>
                <w:kern w:val="2"/>
                <w:sz w:val="21"/>
                <w:szCs w:val="21"/>
                <w:lang w:val="en-US" w:eastAsia="zh-CN" w:bidi="ar-SA"/>
              </w:rPr>
            </w:pPr>
            <w:r>
              <w:rPr>
                <w:rFonts w:hint="eastAsia" w:ascii="宋体" w:hAnsi="宋体" w:eastAsia="宋体" w:cs="宋体"/>
                <w:b/>
                <w:bCs/>
                <w:color w:val="000000"/>
                <w:kern w:val="0"/>
                <w:szCs w:val="21"/>
                <w:lang w:bidi="ar"/>
              </w:rPr>
              <w:t>辅助屏</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kern w:val="2"/>
                <w:sz w:val="21"/>
                <w:szCs w:val="21"/>
                <w:lang w:val="en-US" w:eastAsia="zh-CN" w:bidi="ar-SA"/>
              </w:rPr>
            </w:pPr>
            <w:r>
              <w:rPr>
                <w:rFonts w:hint="eastAsia" w:ascii="宋体" w:hAnsi="宋体" w:eastAsia="宋体" w:cs="宋体"/>
                <w:b/>
                <w:bCs/>
                <w:color w:val="000000"/>
                <w:kern w:val="0"/>
                <w:szCs w:val="21"/>
                <w:lang w:bidi="ar"/>
              </w:rPr>
              <w:t>11</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Times New Roman"/>
                <w:b/>
                <w:bCs/>
                <w:kern w:val="2"/>
                <w:sz w:val="21"/>
                <w:szCs w:val="21"/>
                <w:lang w:val="en-US" w:eastAsia="zh-CN" w:bidi="ar-SA"/>
              </w:rPr>
            </w:pPr>
            <w:r>
              <w:rPr>
                <w:rFonts w:hint="eastAsia" w:ascii="宋体" w:hAnsi="宋体" w:eastAsia="宋体" w:cs="宋体"/>
                <w:b/>
                <w:bCs/>
                <w:color w:val="000000"/>
                <w:kern w:val="0"/>
                <w:szCs w:val="21"/>
                <w:lang w:bidi="ar"/>
              </w:rPr>
              <w:t>教师椅</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kern w:val="2"/>
                <w:sz w:val="21"/>
                <w:szCs w:val="21"/>
                <w:lang w:val="en-US" w:eastAsia="zh-CN" w:bidi="ar-SA"/>
              </w:rPr>
            </w:pPr>
            <w:r>
              <w:rPr>
                <w:rFonts w:hint="eastAsia" w:ascii="宋体" w:hAnsi="宋体" w:eastAsia="宋体" w:cs="宋体"/>
                <w:b/>
                <w:bCs/>
                <w:color w:val="000000"/>
                <w:kern w:val="0"/>
                <w:szCs w:val="21"/>
                <w:lang w:bidi="ar"/>
              </w:rPr>
              <w:t>12</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Times New Roman"/>
                <w:b/>
                <w:bCs/>
                <w:kern w:val="2"/>
                <w:sz w:val="21"/>
                <w:szCs w:val="21"/>
                <w:lang w:val="en-US" w:eastAsia="zh-CN" w:bidi="ar-SA"/>
              </w:rPr>
            </w:pPr>
            <w:r>
              <w:rPr>
                <w:rFonts w:hint="eastAsia" w:ascii="宋体" w:hAnsi="宋体" w:eastAsia="宋体" w:cs="宋体"/>
                <w:b/>
                <w:bCs/>
                <w:color w:val="000000"/>
                <w:kern w:val="0"/>
                <w:szCs w:val="21"/>
                <w:lang w:bidi="ar"/>
              </w:rPr>
              <w:t>学生桌椅</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color w:val="000000"/>
                <w:kern w:val="0"/>
                <w:sz w:val="21"/>
                <w:szCs w:val="21"/>
                <w:highlight w:val="none"/>
                <w:lang w:val="en-US" w:eastAsia="zh-CN" w:bidi="ar"/>
              </w:rPr>
            </w:pPr>
            <w:r>
              <w:rPr>
                <w:rFonts w:hint="eastAsia" w:ascii="宋体" w:hAnsi="宋体" w:eastAsia="宋体" w:cs="宋体"/>
                <w:b/>
                <w:bCs/>
                <w:color w:val="000000"/>
                <w:kern w:val="0"/>
                <w:szCs w:val="21"/>
                <w:highlight w:val="none"/>
                <w:lang w:bidi="ar"/>
              </w:rPr>
              <w:t>13</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color w:val="000000"/>
                <w:kern w:val="0"/>
                <w:sz w:val="21"/>
                <w:szCs w:val="21"/>
                <w:highlight w:val="none"/>
                <w:lang w:val="en-US" w:eastAsia="zh-CN" w:bidi="ar"/>
              </w:rPr>
            </w:pPr>
            <w:r>
              <w:rPr>
                <w:rFonts w:hint="eastAsia" w:ascii="宋体" w:hAnsi="宋体" w:eastAsia="宋体" w:cs="宋体"/>
                <w:b/>
                <w:bCs/>
                <w:color w:val="000000"/>
                <w:kern w:val="0"/>
                <w:szCs w:val="21"/>
                <w:highlight w:val="none"/>
                <w:lang w:bidi="ar"/>
              </w:rPr>
              <w:t>安装调试</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color w:val="000000"/>
                <w:kern w:val="0"/>
                <w:sz w:val="21"/>
                <w:szCs w:val="21"/>
                <w:highlight w:val="none"/>
                <w:lang w:val="en-US" w:eastAsia="zh-CN" w:bidi="ar"/>
              </w:rPr>
            </w:pPr>
            <w:r>
              <w:rPr>
                <w:rFonts w:hint="eastAsia" w:ascii="宋体" w:hAnsi="宋体" w:eastAsia="宋体" w:cs="宋体"/>
                <w:b/>
                <w:bCs/>
                <w:color w:val="000000"/>
                <w:kern w:val="0"/>
                <w:szCs w:val="21"/>
                <w:highlight w:val="none"/>
                <w:lang w:bidi="ar"/>
              </w:rPr>
              <w:t>14</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color w:val="000000"/>
                <w:kern w:val="0"/>
                <w:sz w:val="21"/>
                <w:szCs w:val="21"/>
                <w:highlight w:val="none"/>
                <w:lang w:val="en-US" w:eastAsia="zh-CN" w:bidi="ar"/>
              </w:rPr>
            </w:pPr>
            <w:r>
              <w:rPr>
                <w:rFonts w:hint="eastAsia" w:ascii="宋体" w:hAnsi="宋体" w:eastAsia="宋体" w:cs="宋体"/>
                <w:b/>
                <w:bCs/>
                <w:color w:val="000000"/>
                <w:kern w:val="0"/>
                <w:szCs w:val="21"/>
                <w:highlight w:val="none"/>
                <w:lang w:bidi="ar"/>
              </w:rPr>
              <w:t>环境改造</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Times New Roman"/>
                <w:b/>
                <w:spacing w:val="-6"/>
                <w:szCs w:val="21"/>
              </w:rPr>
              <w:t>说明：▲</w:t>
            </w:r>
            <w:r>
              <w:rPr>
                <w:rFonts w:ascii="宋体" w:hAnsi="宋体" w:eastAsia="宋体" w:cs="Times New Roman"/>
                <w:bCs/>
                <w:spacing w:val="-6"/>
                <w:szCs w:val="21"/>
              </w:rPr>
              <w:t>采购人将以合同形式有偿取得货物或服务，不接受投标人给予的赠品、回扣或者与采购无关的其他商品、服务。</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Cs/>
          <w:spacing w:val="-6"/>
          <w:szCs w:val="21"/>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Cs/>
          <w:spacing w:val="-6"/>
          <w:szCs w:val="21"/>
        </w:rPr>
        <w:t>2.有关本项目实施所涉及的一切费用均计入报价。</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t>3.以上表格要求细分项目及报价，在“规格型号（或具体服务）”一栏中，货物类项目填写规格型号，服务类项目填写具体服务。</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bCs/>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w:t>
      </w: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w:t>
      </w:r>
    </w:p>
    <w:p>
      <w:pPr>
        <w:adjustRightInd w:val="0"/>
        <w:snapToGrid w:val="0"/>
        <w:spacing w:line="288" w:lineRule="auto"/>
        <w:ind w:firstLine="498" w:firstLineChars="236"/>
        <w:rPr>
          <w:rFonts w:ascii="宋体" w:hAnsi="宋体" w:eastAsia="宋体" w:cs="Times New Roman"/>
          <w:b/>
          <w:szCs w:val="21"/>
        </w:rPr>
      </w:pP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ascii="宋体" w:hAnsi="宋体" w:eastAsia="宋体" w:cs="Times New Roman"/>
          <w:i/>
          <w:szCs w:val="21"/>
          <w:u w:val="single"/>
        </w:rPr>
        <w:t>（</w:t>
      </w:r>
      <w:r>
        <w:rPr>
          <w:rFonts w:hint="eastAsia" w:ascii="宋体" w:hAnsi="宋体" w:eastAsia="宋体" w:cs="Times New Roman"/>
          <w:i/>
          <w:szCs w:val="21"/>
          <w:u w:val="single"/>
        </w:rPr>
        <w:t>浙江财经大学</w:t>
      </w:r>
      <w:r>
        <w:rPr>
          <w:rFonts w:ascii="宋体" w:hAnsi="宋体" w:eastAsia="宋体" w:cs="Times New Roman"/>
          <w:i/>
          <w:szCs w:val="21"/>
          <w:u w:val="single"/>
        </w:rPr>
        <w:t>）</w:t>
      </w:r>
      <w:r>
        <w:rPr>
          <w:rFonts w:ascii="宋体" w:hAnsi="宋体" w:eastAsia="宋体" w:cs="Times New Roman"/>
          <w:szCs w:val="21"/>
        </w:rPr>
        <w:t>的</w:t>
      </w:r>
      <w:r>
        <w:rPr>
          <w:rFonts w:ascii="宋体" w:hAnsi="宋体" w:eastAsia="宋体" w:cs="Times New Roman"/>
          <w:i/>
          <w:szCs w:val="21"/>
          <w:u w:val="single"/>
        </w:rPr>
        <w:t>（</w:t>
      </w:r>
      <w:r>
        <w:rPr>
          <w:rFonts w:hint="eastAsia" w:ascii="宋体" w:hAnsi="宋体" w:eastAsia="宋体" w:cs="Times New Roman"/>
          <w:i/>
          <w:szCs w:val="21"/>
          <w:u w:val="single"/>
          <w:lang w:eastAsia="zh-CN"/>
        </w:rPr>
        <w:t>浙江财经大学智慧教室多媒体改造</w:t>
      </w:r>
      <w:r>
        <w:rPr>
          <w:rFonts w:ascii="宋体" w:hAnsi="宋体" w:eastAsia="宋体" w:cs="Times New Roman"/>
          <w:i/>
          <w:szCs w:val="21"/>
          <w:u w:val="single"/>
        </w:rPr>
        <w:t>）</w:t>
      </w:r>
      <w:r>
        <w:rPr>
          <w:rFonts w:ascii="宋体" w:hAnsi="宋体" w:eastAsia="宋体" w:cs="Times New Roman"/>
          <w:szCs w:val="21"/>
        </w:rPr>
        <w:t>采购活动，提供的货物全部由符合政策要求的中小企业制造。相关企业（含联合体中的中小企业、签订分包意向协议的中小企业）的具体情况如下：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i/>
          <w:szCs w:val="21"/>
          <w:u w:val="single"/>
        </w:rPr>
        <w:t>1. （</w:t>
      </w:r>
      <w:r>
        <w:rPr>
          <w:rFonts w:hint="eastAsia" w:ascii="宋体" w:hAnsi="宋体" w:eastAsia="宋体" w:cs="Times New Roman"/>
          <w:i/>
          <w:szCs w:val="21"/>
          <w:u w:val="single"/>
        </w:rPr>
        <w:t>一体教学控制终端</w:t>
      </w:r>
      <w:r>
        <w:rPr>
          <w:rFonts w:ascii="宋体" w:hAnsi="宋体" w:eastAsia="宋体" w:cs="Times New Roman"/>
          <w:i/>
          <w:szCs w:val="21"/>
          <w:u w:val="single"/>
        </w:rPr>
        <w:t>）</w:t>
      </w:r>
      <w:r>
        <w:rPr>
          <w:rFonts w:ascii="宋体" w:hAnsi="宋体" w:eastAsia="宋体" w:cs="Times New Roman"/>
          <w:i/>
          <w:szCs w:val="21"/>
        </w:rPr>
        <w:t xml:space="preserve"> </w:t>
      </w:r>
      <w:r>
        <w:rPr>
          <w:rFonts w:ascii="宋体" w:hAnsi="宋体" w:eastAsia="宋体" w:cs="Times New Roman"/>
          <w:szCs w:val="21"/>
        </w:rPr>
        <w:t>，属于</w:t>
      </w:r>
      <w:r>
        <w:rPr>
          <w:rFonts w:ascii="宋体" w:hAnsi="宋体" w:eastAsia="宋体" w:cs="Times New Roman"/>
          <w:i/>
          <w:szCs w:val="21"/>
        </w:rPr>
        <w:t>（</w:t>
      </w:r>
      <w:r>
        <w:rPr>
          <w:rFonts w:hint="eastAsia" w:ascii="宋体" w:hAnsi="宋体" w:eastAsia="宋体" w:cs="Times New Roman"/>
          <w:i/>
          <w:szCs w:val="21"/>
          <w:u w:val="single"/>
        </w:rPr>
        <w:t>工业</w:t>
      </w:r>
      <w:r>
        <w:rPr>
          <w:rFonts w:ascii="宋体" w:hAnsi="宋体" w:eastAsia="宋体" w:cs="Times New Roman"/>
          <w:i/>
          <w:szCs w:val="21"/>
          <w:u w:val="single"/>
        </w:rPr>
        <w:t>）行业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i/>
          <w:szCs w:val="21"/>
          <w:u w:val="single"/>
        </w:rPr>
        <w:t>2. （</w:t>
      </w:r>
      <w:r>
        <w:rPr>
          <w:rFonts w:hint="eastAsia" w:ascii="宋体" w:hAnsi="宋体" w:eastAsia="宋体" w:cs="Times New Roman"/>
          <w:i/>
          <w:szCs w:val="21"/>
          <w:u w:val="single"/>
        </w:rPr>
        <w:t>智能显示终端</w:t>
      </w:r>
      <w:r>
        <w:rPr>
          <w:rFonts w:ascii="宋体" w:hAnsi="宋体" w:eastAsia="宋体" w:cs="Times New Roman"/>
          <w:i/>
          <w:szCs w:val="21"/>
          <w:u w:val="single"/>
        </w:rPr>
        <w:t>）</w:t>
      </w:r>
      <w:r>
        <w:rPr>
          <w:rFonts w:ascii="宋体" w:hAnsi="宋体" w:eastAsia="宋体" w:cs="Times New Roman"/>
          <w:i/>
          <w:szCs w:val="21"/>
        </w:rPr>
        <w:t xml:space="preserve"> </w:t>
      </w:r>
      <w:r>
        <w:rPr>
          <w:rFonts w:ascii="宋体" w:hAnsi="宋体" w:eastAsia="宋体" w:cs="Times New Roman"/>
          <w:szCs w:val="21"/>
        </w:rPr>
        <w:t>，属于</w:t>
      </w:r>
      <w:r>
        <w:rPr>
          <w:rFonts w:ascii="宋体" w:hAnsi="宋体" w:eastAsia="宋体" w:cs="Times New Roman"/>
          <w:i/>
          <w:szCs w:val="21"/>
        </w:rPr>
        <w:t>（</w:t>
      </w:r>
      <w:r>
        <w:rPr>
          <w:rFonts w:hint="eastAsia" w:ascii="宋体" w:hAnsi="宋体" w:eastAsia="宋体" w:cs="Times New Roman"/>
          <w:i/>
          <w:szCs w:val="21"/>
          <w:u w:val="single"/>
        </w:rPr>
        <w:t>工业</w:t>
      </w:r>
      <w:r>
        <w:rPr>
          <w:rFonts w:ascii="宋体" w:hAnsi="宋体" w:eastAsia="宋体" w:cs="Times New Roman"/>
          <w:i/>
          <w:szCs w:val="21"/>
          <w:u w:val="single"/>
        </w:rPr>
        <w:t>）行业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hint="eastAsia" w:ascii="宋体" w:hAnsi="宋体" w:eastAsia="宋体" w:cs="Times New Roman"/>
          <w:szCs w:val="21"/>
        </w:rPr>
        <w:t>；</w:t>
      </w: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i/>
          <w:szCs w:val="21"/>
          <w:u w:val="single"/>
          <w:lang w:val="en-US" w:eastAsia="zh-CN"/>
        </w:rPr>
        <w:t>3</w:t>
      </w:r>
      <w:r>
        <w:rPr>
          <w:rFonts w:ascii="宋体" w:hAnsi="宋体" w:eastAsia="宋体" w:cs="Times New Roman"/>
          <w:i/>
          <w:szCs w:val="21"/>
          <w:u w:val="single"/>
        </w:rPr>
        <w:t xml:space="preserve"> （</w:t>
      </w:r>
      <w:r>
        <w:rPr>
          <w:rFonts w:hint="eastAsia" w:ascii="宋体" w:hAnsi="宋体" w:eastAsia="宋体" w:cs="Times New Roman"/>
          <w:i/>
          <w:szCs w:val="21"/>
          <w:u w:val="single"/>
        </w:rPr>
        <w:t>书写白板（一体教学控制终端）（含整体框）</w:t>
      </w:r>
      <w:r>
        <w:rPr>
          <w:rFonts w:ascii="宋体" w:hAnsi="宋体" w:eastAsia="宋体" w:cs="Times New Roman"/>
          <w:i/>
          <w:szCs w:val="21"/>
          <w:u w:val="single"/>
        </w:rPr>
        <w:t>）</w:t>
      </w:r>
      <w:r>
        <w:rPr>
          <w:rFonts w:ascii="宋体" w:hAnsi="宋体" w:eastAsia="宋体" w:cs="Times New Roman"/>
          <w:i/>
          <w:szCs w:val="21"/>
        </w:rPr>
        <w:t xml:space="preserve"> </w:t>
      </w:r>
      <w:r>
        <w:rPr>
          <w:rFonts w:ascii="宋体" w:hAnsi="宋体" w:eastAsia="宋体" w:cs="Times New Roman"/>
          <w:szCs w:val="21"/>
        </w:rPr>
        <w:t>，属于</w:t>
      </w:r>
      <w:r>
        <w:rPr>
          <w:rFonts w:ascii="宋体" w:hAnsi="宋体" w:eastAsia="宋体" w:cs="Times New Roman"/>
          <w:i/>
          <w:szCs w:val="21"/>
        </w:rPr>
        <w:t>（</w:t>
      </w:r>
      <w:r>
        <w:rPr>
          <w:rFonts w:hint="eastAsia" w:ascii="宋体" w:hAnsi="宋体" w:eastAsia="宋体" w:cs="Times New Roman"/>
          <w:i/>
          <w:szCs w:val="21"/>
          <w:u w:val="single"/>
        </w:rPr>
        <w:t>工业</w:t>
      </w:r>
      <w:r>
        <w:rPr>
          <w:rFonts w:ascii="宋体" w:hAnsi="宋体" w:eastAsia="宋体" w:cs="Times New Roman"/>
          <w:i/>
          <w:szCs w:val="21"/>
          <w:u w:val="single"/>
        </w:rPr>
        <w:t>）行业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hint="eastAsia" w:ascii="宋体" w:hAnsi="宋体" w:eastAsia="宋体" w:cs="Times New Roman"/>
          <w:szCs w:val="21"/>
        </w:rPr>
        <w:t>；</w:t>
      </w: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i/>
          <w:szCs w:val="21"/>
          <w:u w:val="single"/>
          <w:lang w:val="en-US" w:eastAsia="zh-CN"/>
        </w:rPr>
        <w:t>4</w:t>
      </w:r>
      <w:r>
        <w:rPr>
          <w:rFonts w:ascii="宋体" w:hAnsi="宋体" w:eastAsia="宋体" w:cs="Times New Roman"/>
          <w:i/>
          <w:szCs w:val="21"/>
          <w:u w:val="single"/>
        </w:rPr>
        <w:t>. （</w:t>
      </w:r>
      <w:r>
        <w:rPr>
          <w:rFonts w:hint="eastAsia" w:ascii="宋体" w:hAnsi="宋体" w:eastAsia="宋体" w:cs="Times New Roman"/>
          <w:i/>
          <w:szCs w:val="21"/>
          <w:u w:val="single"/>
        </w:rPr>
        <w:t>书写白板（智能显示终端）（含整体框）</w:t>
      </w:r>
      <w:r>
        <w:rPr>
          <w:rFonts w:ascii="宋体" w:hAnsi="宋体" w:eastAsia="宋体" w:cs="Times New Roman"/>
          <w:i/>
          <w:szCs w:val="21"/>
          <w:u w:val="single"/>
        </w:rPr>
        <w:t>）</w:t>
      </w:r>
      <w:r>
        <w:rPr>
          <w:rFonts w:ascii="宋体" w:hAnsi="宋体" w:eastAsia="宋体" w:cs="Times New Roman"/>
          <w:i/>
          <w:szCs w:val="21"/>
        </w:rPr>
        <w:t xml:space="preserve"> </w:t>
      </w:r>
      <w:r>
        <w:rPr>
          <w:rFonts w:ascii="宋体" w:hAnsi="宋体" w:eastAsia="宋体" w:cs="Times New Roman"/>
          <w:szCs w:val="21"/>
        </w:rPr>
        <w:t>，属于</w:t>
      </w:r>
      <w:r>
        <w:rPr>
          <w:rFonts w:ascii="宋体" w:hAnsi="宋体" w:eastAsia="宋体" w:cs="Times New Roman"/>
          <w:i/>
          <w:szCs w:val="21"/>
        </w:rPr>
        <w:t>（</w:t>
      </w:r>
      <w:r>
        <w:rPr>
          <w:rFonts w:hint="eastAsia" w:ascii="宋体" w:hAnsi="宋体" w:eastAsia="宋体" w:cs="Times New Roman"/>
          <w:i/>
          <w:szCs w:val="21"/>
          <w:u w:val="single"/>
        </w:rPr>
        <w:t>工业</w:t>
      </w:r>
      <w:r>
        <w:rPr>
          <w:rFonts w:ascii="宋体" w:hAnsi="宋体" w:eastAsia="宋体" w:cs="Times New Roman"/>
          <w:i/>
          <w:szCs w:val="21"/>
          <w:u w:val="single"/>
        </w:rPr>
        <w:t>）行业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hint="eastAsia" w:ascii="宋体" w:hAnsi="宋体" w:eastAsia="宋体" w:cs="Times New Roman"/>
          <w:szCs w:val="21"/>
        </w:rPr>
        <w:t>；</w:t>
      </w: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i/>
          <w:szCs w:val="21"/>
          <w:u w:val="single"/>
          <w:lang w:val="en-US" w:eastAsia="zh-CN"/>
        </w:rPr>
        <w:t>5</w:t>
      </w:r>
      <w:r>
        <w:rPr>
          <w:rFonts w:ascii="宋体" w:hAnsi="宋体" w:eastAsia="宋体" w:cs="Times New Roman"/>
          <w:i/>
          <w:szCs w:val="21"/>
          <w:u w:val="single"/>
        </w:rPr>
        <w:t>. （</w:t>
      </w:r>
      <w:r>
        <w:rPr>
          <w:rFonts w:hint="eastAsia" w:ascii="宋体" w:hAnsi="宋体" w:eastAsia="宋体" w:cs="Times New Roman"/>
          <w:i/>
          <w:szCs w:val="21"/>
          <w:u w:val="single"/>
        </w:rPr>
        <w:t>云终端</w:t>
      </w:r>
      <w:r>
        <w:rPr>
          <w:rFonts w:ascii="宋体" w:hAnsi="宋体" w:eastAsia="宋体" w:cs="Times New Roman"/>
          <w:i/>
          <w:szCs w:val="21"/>
          <w:u w:val="single"/>
        </w:rPr>
        <w:t>）</w:t>
      </w:r>
      <w:r>
        <w:rPr>
          <w:rFonts w:ascii="宋体" w:hAnsi="宋体" w:eastAsia="宋体" w:cs="Times New Roman"/>
          <w:i/>
          <w:szCs w:val="21"/>
        </w:rPr>
        <w:t xml:space="preserve"> </w:t>
      </w:r>
      <w:r>
        <w:rPr>
          <w:rFonts w:ascii="宋体" w:hAnsi="宋体" w:eastAsia="宋体" w:cs="Times New Roman"/>
          <w:szCs w:val="21"/>
        </w:rPr>
        <w:t>，属于</w:t>
      </w:r>
      <w:r>
        <w:rPr>
          <w:rFonts w:ascii="宋体" w:hAnsi="宋体" w:eastAsia="宋体" w:cs="Times New Roman"/>
          <w:i/>
          <w:szCs w:val="21"/>
        </w:rPr>
        <w:t>（</w:t>
      </w:r>
      <w:r>
        <w:rPr>
          <w:rFonts w:hint="eastAsia" w:ascii="宋体" w:hAnsi="宋体" w:eastAsia="宋体" w:cs="Times New Roman"/>
          <w:i/>
          <w:szCs w:val="21"/>
          <w:u w:val="single"/>
        </w:rPr>
        <w:t>工业</w:t>
      </w:r>
      <w:r>
        <w:rPr>
          <w:rFonts w:ascii="宋体" w:hAnsi="宋体" w:eastAsia="宋体" w:cs="Times New Roman"/>
          <w:i/>
          <w:szCs w:val="21"/>
          <w:u w:val="single"/>
        </w:rPr>
        <w:t>）行业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hint="eastAsia" w:ascii="宋体" w:hAnsi="宋体" w:eastAsia="宋体" w:cs="Times New Roman"/>
          <w:szCs w:val="21"/>
        </w:rPr>
        <w:t>；</w:t>
      </w: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i/>
          <w:szCs w:val="21"/>
          <w:u w:val="single"/>
          <w:lang w:val="en-US" w:eastAsia="zh-CN"/>
        </w:rPr>
        <w:t>6</w:t>
      </w:r>
      <w:r>
        <w:rPr>
          <w:rFonts w:ascii="宋体" w:hAnsi="宋体" w:eastAsia="宋体" w:cs="Times New Roman"/>
          <w:i/>
          <w:szCs w:val="21"/>
          <w:u w:val="single"/>
        </w:rPr>
        <w:t>. （</w:t>
      </w:r>
      <w:r>
        <w:rPr>
          <w:rFonts w:hint="eastAsia" w:ascii="宋体" w:hAnsi="宋体" w:eastAsia="宋体" w:cs="Times New Roman"/>
          <w:i/>
          <w:szCs w:val="21"/>
          <w:u w:val="single"/>
        </w:rPr>
        <w:t>电子教学软件</w:t>
      </w:r>
      <w:r>
        <w:rPr>
          <w:rFonts w:ascii="宋体" w:hAnsi="宋体" w:eastAsia="宋体" w:cs="Times New Roman"/>
          <w:i/>
          <w:szCs w:val="21"/>
          <w:u w:val="single"/>
        </w:rPr>
        <w:t>）</w:t>
      </w:r>
      <w:r>
        <w:rPr>
          <w:rFonts w:ascii="宋体" w:hAnsi="宋体" w:eastAsia="宋体" w:cs="Times New Roman"/>
          <w:i/>
          <w:szCs w:val="21"/>
        </w:rPr>
        <w:t xml:space="preserve"> </w:t>
      </w:r>
      <w:r>
        <w:rPr>
          <w:rFonts w:ascii="宋体" w:hAnsi="宋体" w:eastAsia="宋体" w:cs="Times New Roman"/>
          <w:szCs w:val="21"/>
        </w:rPr>
        <w:t>，属于</w:t>
      </w:r>
      <w:r>
        <w:rPr>
          <w:rFonts w:ascii="宋体" w:hAnsi="宋体" w:eastAsia="宋体" w:cs="Times New Roman"/>
          <w:i/>
          <w:szCs w:val="21"/>
        </w:rPr>
        <w:t>（</w:t>
      </w:r>
      <w:r>
        <w:rPr>
          <w:rFonts w:hint="eastAsia" w:ascii="宋体" w:hAnsi="宋体" w:eastAsia="宋体" w:cs="Times New Roman"/>
          <w:i/>
          <w:szCs w:val="21"/>
          <w:u w:val="single"/>
        </w:rPr>
        <w:t>软件和信息技术服务业</w:t>
      </w:r>
      <w:r>
        <w:rPr>
          <w:rFonts w:ascii="宋体" w:hAnsi="宋体" w:eastAsia="宋体" w:cs="Times New Roman"/>
          <w:i/>
          <w:szCs w:val="21"/>
          <w:u w:val="single"/>
        </w:rPr>
        <w:t>）行业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hint="eastAsia" w:ascii="宋体" w:hAnsi="宋体" w:eastAsia="宋体" w:cs="Times New Roman"/>
          <w:szCs w:val="21"/>
        </w:rPr>
        <w:t>；</w:t>
      </w: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i/>
          <w:szCs w:val="21"/>
          <w:u w:val="single"/>
          <w:lang w:val="en-US" w:eastAsia="zh-CN"/>
        </w:rPr>
        <w:t>7</w:t>
      </w:r>
      <w:r>
        <w:rPr>
          <w:rFonts w:ascii="宋体" w:hAnsi="宋体" w:eastAsia="宋体" w:cs="Times New Roman"/>
          <w:i/>
          <w:szCs w:val="21"/>
          <w:u w:val="single"/>
        </w:rPr>
        <w:t>. （</w:t>
      </w:r>
      <w:r>
        <w:rPr>
          <w:rFonts w:hint="eastAsia" w:ascii="宋体" w:hAnsi="宋体" w:eastAsia="宋体" w:cs="Times New Roman"/>
          <w:i/>
          <w:szCs w:val="21"/>
          <w:u w:val="single"/>
        </w:rPr>
        <w:t>电动升降讲台</w:t>
      </w:r>
      <w:r>
        <w:rPr>
          <w:rFonts w:ascii="宋体" w:hAnsi="宋体" w:eastAsia="宋体" w:cs="Times New Roman"/>
          <w:i/>
          <w:szCs w:val="21"/>
          <w:u w:val="single"/>
        </w:rPr>
        <w:t>）</w:t>
      </w:r>
      <w:r>
        <w:rPr>
          <w:rFonts w:ascii="宋体" w:hAnsi="宋体" w:eastAsia="宋体" w:cs="Times New Roman"/>
          <w:i/>
          <w:szCs w:val="21"/>
        </w:rPr>
        <w:t xml:space="preserve"> </w:t>
      </w:r>
      <w:r>
        <w:rPr>
          <w:rFonts w:ascii="宋体" w:hAnsi="宋体" w:eastAsia="宋体" w:cs="Times New Roman"/>
          <w:szCs w:val="21"/>
        </w:rPr>
        <w:t>，属于</w:t>
      </w:r>
      <w:r>
        <w:rPr>
          <w:rFonts w:ascii="宋体" w:hAnsi="宋体" w:eastAsia="宋体" w:cs="Times New Roman"/>
          <w:i/>
          <w:szCs w:val="21"/>
        </w:rPr>
        <w:t>（</w:t>
      </w:r>
      <w:r>
        <w:rPr>
          <w:rFonts w:hint="eastAsia" w:ascii="宋体" w:hAnsi="宋体" w:eastAsia="宋体" w:cs="Times New Roman"/>
          <w:i/>
          <w:szCs w:val="21"/>
          <w:u w:val="single"/>
        </w:rPr>
        <w:t>工业</w:t>
      </w:r>
      <w:r>
        <w:rPr>
          <w:rFonts w:ascii="宋体" w:hAnsi="宋体" w:eastAsia="宋体" w:cs="Times New Roman"/>
          <w:i/>
          <w:szCs w:val="21"/>
          <w:u w:val="single"/>
        </w:rPr>
        <w:t>）行业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hint="eastAsia" w:ascii="宋体" w:hAnsi="宋体" w:eastAsia="宋体" w:cs="Times New Roman"/>
          <w:szCs w:val="21"/>
        </w:rPr>
        <w:t>；</w:t>
      </w: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i/>
          <w:szCs w:val="21"/>
          <w:u w:val="single"/>
          <w:lang w:val="en-US" w:eastAsia="zh-CN"/>
        </w:rPr>
        <w:t>8</w:t>
      </w:r>
      <w:r>
        <w:rPr>
          <w:rFonts w:ascii="宋体" w:hAnsi="宋体" w:eastAsia="宋体" w:cs="Times New Roman"/>
          <w:i/>
          <w:szCs w:val="21"/>
          <w:u w:val="single"/>
        </w:rPr>
        <w:t>. （</w:t>
      </w:r>
      <w:r>
        <w:rPr>
          <w:rFonts w:hint="eastAsia" w:ascii="宋体" w:hAnsi="宋体" w:eastAsia="宋体" w:cs="Times New Roman"/>
          <w:i/>
          <w:szCs w:val="21"/>
          <w:u w:val="single"/>
        </w:rPr>
        <w:t>功放（含音箱、无线话筒）</w:t>
      </w:r>
      <w:r>
        <w:rPr>
          <w:rFonts w:ascii="宋体" w:hAnsi="宋体" w:eastAsia="宋体" w:cs="Times New Roman"/>
          <w:i/>
          <w:szCs w:val="21"/>
          <w:u w:val="single"/>
        </w:rPr>
        <w:t>）</w:t>
      </w:r>
      <w:r>
        <w:rPr>
          <w:rFonts w:ascii="宋体" w:hAnsi="宋体" w:eastAsia="宋体" w:cs="Times New Roman"/>
          <w:i/>
          <w:szCs w:val="21"/>
        </w:rPr>
        <w:t xml:space="preserve"> </w:t>
      </w:r>
      <w:r>
        <w:rPr>
          <w:rFonts w:ascii="宋体" w:hAnsi="宋体" w:eastAsia="宋体" w:cs="Times New Roman"/>
          <w:szCs w:val="21"/>
        </w:rPr>
        <w:t>，属于</w:t>
      </w:r>
      <w:r>
        <w:rPr>
          <w:rFonts w:ascii="宋体" w:hAnsi="宋体" w:eastAsia="宋体" w:cs="Times New Roman"/>
          <w:i/>
          <w:szCs w:val="21"/>
        </w:rPr>
        <w:t>（</w:t>
      </w:r>
      <w:r>
        <w:rPr>
          <w:rFonts w:hint="eastAsia" w:ascii="宋体" w:hAnsi="宋体" w:eastAsia="宋体" w:cs="Times New Roman"/>
          <w:i/>
          <w:szCs w:val="21"/>
          <w:u w:val="single"/>
        </w:rPr>
        <w:t>工业</w:t>
      </w:r>
      <w:r>
        <w:rPr>
          <w:rFonts w:ascii="宋体" w:hAnsi="宋体" w:eastAsia="宋体" w:cs="Times New Roman"/>
          <w:i/>
          <w:szCs w:val="21"/>
          <w:u w:val="single"/>
        </w:rPr>
        <w:t>）行业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hint="eastAsia" w:ascii="宋体" w:hAnsi="宋体" w:eastAsia="宋体" w:cs="Times New Roman"/>
          <w:szCs w:val="21"/>
        </w:rPr>
        <w:t>；</w:t>
      </w: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i/>
          <w:szCs w:val="21"/>
          <w:u w:val="single"/>
          <w:lang w:val="en-US" w:eastAsia="zh-CN"/>
        </w:rPr>
        <w:t>9</w:t>
      </w:r>
      <w:r>
        <w:rPr>
          <w:rFonts w:ascii="宋体" w:hAnsi="宋体" w:eastAsia="宋体" w:cs="Times New Roman"/>
          <w:i/>
          <w:szCs w:val="21"/>
          <w:u w:val="single"/>
        </w:rPr>
        <w:t>. （</w:t>
      </w:r>
      <w:r>
        <w:rPr>
          <w:rFonts w:hint="eastAsia" w:ascii="宋体" w:hAnsi="宋体" w:eastAsia="宋体" w:cs="Times New Roman"/>
          <w:i/>
          <w:szCs w:val="21"/>
          <w:u w:val="single"/>
        </w:rPr>
        <w:t>交换机</w:t>
      </w:r>
      <w:r>
        <w:rPr>
          <w:rFonts w:ascii="宋体" w:hAnsi="宋体" w:eastAsia="宋体" w:cs="Times New Roman"/>
          <w:i/>
          <w:szCs w:val="21"/>
          <w:u w:val="single"/>
        </w:rPr>
        <w:t>）</w:t>
      </w:r>
      <w:r>
        <w:rPr>
          <w:rFonts w:ascii="宋体" w:hAnsi="宋体" w:eastAsia="宋体" w:cs="Times New Roman"/>
          <w:i/>
          <w:szCs w:val="21"/>
        </w:rPr>
        <w:t xml:space="preserve"> </w:t>
      </w:r>
      <w:r>
        <w:rPr>
          <w:rFonts w:ascii="宋体" w:hAnsi="宋体" w:eastAsia="宋体" w:cs="Times New Roman"/>
          <w:szCs w:val="21"/>
        </w:rPr>
        <w:t>，属于</w:t>
      </w:r>
      <w:r>
        <w:rPr>
          <w:rFonts w:ascii="宋体" w:hAnsi="宋体" w:eastAsia="宋体" w:cs="Times New Roman"/>
          <w:i/>
          <w:szCs w:val="21"/>
        </w:rPr>
        <w:t>（</w:t>
      </w:r>
      <w:r>
        <w:rPr>
          <w:rFonts w:hint="eastAsia" w:ascii="宋体" w:hAnsi="宋体" w:eastAsia="宋体" w:cs="Times New Roman"/>
          <w:i/>
          <w:szCs w:val="21"/>
          <w:u w:val="single"/>
        </w:rPr>
        <w:t>工业</w:t>
      </w:r>
      <w:r>
        <w:rPr>
          <w:rFonts w:ascii="宋体" w:hAnsi="宋体" w:eastAsia="宋体" w:cs="Times New Roman"/>
          <w:i/>
          <w:szCs w:val="21"/>
          <w:u w:val="single"/>
        </w:rPr>
        <w:t>）行业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hint="eastAsia" w:ascii="宋体" w:hAnsi="宋体" w:eastAsia="宋体" w:cs="Times New Roman"/>
          <w:szCs w:val="21"/>
        </w:rPr>
        <w:t>；</w:t>
      </w: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i/>
          <w:szCs w:val="21"/>
          <w:u w:val="single"/>
          <w:lang w:val="en-US" w:eastAsia="zh-CN"/>
        </w:rPr>
        <w:t>10</w:t>
      </w:r>
      <w:r>
        <w:rPr>
          <w:rFonts w:ascii="宋体" w:hAnsi="宋体" w:eastAsia="宋体" w:cs="Times New Roman"/>
          <w:i/>
          <w:szCs w:val="21"/>
          <w:u w:val="single"/>
        </w:rPr>
        <w:t>. （</w:t>
      </w:r>
      <w:r>
        <w:rPr>
          <w:rFonts w:hint="eastAsia" w:ascii="宋体" w:hAnsi="宋体" w:eastAsia="宋体" w:cs="Times New Roman"/>
          <w:i/>
          <w:szCs w:val="21"/>
          <w:u w:val="single"/>
        </w:rPr>
        <w:t>辅助屏</w:t>
      </w:r>
      <w:r>
        <w:rPr>
          <w:rFonts w:ascii="宋体" w:hAnsi="宋体" w:eastAsia="宋体" w:cs="Times New Roman"/>
          <w:i/>
          <w:szCs w:val="21"/>
          <w:u w:val="single"/>
        </w:rPr>
        <w:t>）</w:t>
      </w:r>
      <w:r>
        <w:rPr>
          <w:rFonts w:ascii="宋体" w:hAnsi="宋体" w:eastAsia="宋体" w:cs="Times New Roman"/>
          <w:i/>
          <w:szCs w:val="21"/>
        </w:rPr>
        <w:t xml:space="preserve"> </w:t>
      </w:r>
      <w:r>
        <w:rPr>
          <w:rFonts w:ascii="宋体" w:hAnsi="宋体" w:eastAsia="宋体" w:cs="Times New Roman"/>
          <w:szCs w:val="21"/>
        </w:rPr>
        <w:t>，属于</w:t>
      </w:r>
      <w:r>
        <w:rPr>
          <w:rFonts w:ascii="宋体" w:hAnsi="宋体" w:eastAsia="宋体" w:cs="Times New Roman"/>
          <w:i/>
          <w:szCs w:val="21"/>
        </w:rPr>
        <w:t>（</w:t>
      </w:r>
      <w:r>
        <w:rPr>
          <w:rFonts w:hint="eastAsia" w:ascii="宋体" w:hAnsi="宋体" w:eastAsia="宋体" w:cs="Times New Roman"/>
          <w:i/>
          <w:szCs w:val="21"/>
          <w:u w:val="single"/>
        </w:rPr>
        <w:t>工业</w:t>
      </w:r>
      <w:r>
        <w:rPr>
          <w:rFonts w:ascii="宋体" w:hAnsi="宋体" w:eastAsia="宋体" w:cs="Times New Roman"/>
          <w:i/>
          <w:szCs w:val="21"/>
          <w:u w:val="single"/>
        </w:rPr>
        <w:t>）行业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hint="eastAsia" w:ascii="宋体" w:hAnsi="宋体" w:eastAsia="宋体" w:cs="Times New Roman"/>
          <w:szCs w:val="21"/>
        </w:rPr>
        <w:t>；</w:t>
      </w: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i/>
          <w:szCs w:val="21"/>
          <w:u w:val="single"/>
          <w:lang w:val="en-US" w:eastAsia="zh-CN"/>
        </w:rPr>
        <w:t>11</w:t>
      </w:r>
      <w:r>
        <w:rPr>
          <w:rFonts w:ascii="宋体" w:hAnsi="宋体" w:eastAsia="宋体" w:cs="Times New Roman"/>
          <w:i/>
          <w:szCs w:val="21"/>
          <w:u w:val="single"/>
        </w:rPr>
        <w:t>. （</w:t>
      </w:r>
      <w:r>
        <w:rPr>
          <w:rFonts w:hint="eastAsia" w:ascii="宋体" w:hAnsi="宋体" w:eastAsia="宋体" w:cs="Times New Roman"/>
          <w:i/>
          <w:szCs w:val="21"/>
          <w:u w:val="single"/>
        </w:rPr>
        <w:t>教师椅</w:t>
      </w:r>
      <w:r>
        <w:rPr>
          <w:rFonts w:ascii="宋体" w:hAnsi="宋体" w:eastAsia="宋体" w:cs="Times New Roman"/>
          <w:i/>
          <w:szCs w:val="21"/>
          <w:u w:val="single"/>
        </w:rPr>
        <w:t>）</w:t>
      </w:r>
      <w:r>
        <w:rPr>
          <w:rFonts w:ascii="宋体" w:hAnsi="宋体" w:eastAsia="宋体" w:cs="Times New Roman"/>
          <w:i/>
          <w:szCs w:val="21"/>
        </w:rPr>
        <w:t xml:space="preserve"> </w:t>
      </w:r>
      <w:r>
        <w:rPr>
          <w:rFonts w:ascii="宋体" w:hAnsi="宋体" w:eastAsia="宋体" w:cs="Times New Roman"/>
          <w:szCs w:val="21"/>
        </w:rPr>
        <w:t>，属于</w:t>
      </w:r>
      <w:r>
        <w:rPr>
          <w:rFonts w:ascii="宋体" w:hAnsi="宋体" w:eastAsia="宋体" w:cs="Times New Roman"/>
          <w:i/>
          <w:szCs w:val="21"/>
        </w:rPr>
        <w:t>（</w:t>
      </w:r>
      <w:r>
        <w:rPr>
          <w:rFonts w:hint="eastAsia" w:ascii="宋体" w:hAnsi="宋体" w:eastAsia="宋体" w:cs="Times New Roman"/>
          <w:i/>
          <w:szCs w:val="21"/>
          <w:u w:val="single"/>
        </w:rPr>
        <w:t>工业</w:t>
      </w:r>
      <w:r>
        <w:rPr>
          <w:rFonts w:ascii="宋体" w:hAnsi="宋体" w:eastAsia="宋体" w:cs="Times New Roman"/>
          <w:i/>
          <w:szCs w:val="21"/>
          <w:u w:val="single"/>
        </w:rPr>
        <w:t>）行业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hint="eastAsia" w:ascii="宋体" w:hAnsi="宋体" w:eastAsia="宋体" w:cs="Times New Roman"/>
          <w:szCs w:val="21"/>
        </w:rPr>
        <w:t>；</w:t>
      </w: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i/>
          <w:szCs w:val="21"/>
          <w:u w:val="single"/>
          <w:lang w:val="en-US" w:eastAsia="zh-CN"/>
        </w:rPr>
        <w:t>1</w:t>
      </w:r>
      <w:r>
        <w:rPr>
          <w:rFonts w:ascii="宋体" w:hAnsi="宋体" w:eastAsia="宋体" w:cs="Times New Roman"/>
          <w:i/>
          <w:szCs w:val="21"/>
          <w:u w:val="single"/>
        </w:rPr>
        <w:t>2. （</w:t>
      </w:r>
      <w:r>
        <w:rPr>
          <w:rFonts w:hint="eastAsia" w:ascii="宋体" w:hAnsi="宋体" w:eastAsia="宋体" w:cs="Times New Roman"/>
          <w:i/>
          <w:szCs w:val="21"/>
          <w:u w:val="single"/>
        </w:rPr>
        <w:t>学生桌椅</w:t>
      </w:r>
      <w:r>
        <w:rPr>
          <w:rFonts w:ascii="宋体" w:hAnsi="宋体" w:eastAsia="宋体" w:cs="Times New Roman"/>
          <w:i/>
          <w:szCs w:val="21"/>
          <w:u w:val="single"/>
        </w:rPr>
        <w:t>）</w:t>
      </w:r>
      <w:r>
        <w:rPr>
          <w:rFonts w:ascii="宋体" w:hAnsi="宋体" w:eastAsia="宋体" w:cs="Times New Roman"/>
          <w:i/>
          <w:szCs w:val="21"/>
        </w:rPr>
        <w:t xml:space="preserve"> </w:t>
      </w:r>
      <w:r>
        <w:rPr>
          <w:rFonts w:ascii="宋体" w:hAnsi="宋体" w:eastAsia="宋体" w:cs="Times New Roman"/>
          <w:szCs w:val="21"/>
        </w:rPr>
        <w:t>，属于</w:t>
      </w:r>
      <w:r>
        <w:rPr>
          <w:rFonts w:ascii="宋体" w:hAnsi="宋体" w:eastAsia="宋体" w:cs="Times New Roman"/>
          <w:i/>
          <w:szCs w:val="21"/>
        </w:rPr>
        <w:t>（</w:t>
      </w:r>
      <w:r>
        <w:rPr>
          <w:rFonts w:hint="eastAsia" w:ascii="宋体" w:hAnsi="宋体" w:eastAsia="宋体" w:cs="Times New Roman"/>
          <w:i/>
          <w:szCs w:val="21"/>
          <w:u w:val="single"/>
        </w:rPr>
        <w:t>工业</w:t>
      </w:r>
      <w:r>
        <w:rPr>
          <w:rFonts w:ascii="宋体" w:hAnsi="宋体" w:eastAsia="宋体" w:cs="Times New Roman"/>
          <w:i/>
          <w:szCs w:val="21"/>
          <w:u w:val="single"/>
        </w:rPr>
        <w:t>）行业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hint="eastAsia" w:ascii="宋体" w:hAnsi="宋体" w:eastAsia="宋体" w:cs="Times New Roman"/>
          <w:szCs w:val="21"/>
        </w:rPr>
        <w:t>；</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szCs w:val="21"/>
        </w:rPr>
      </w:pP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企业名称（盖章）：</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日期：</w:t>
      </w:r>
    </w:p>
    <w:p>
      <w:pPr>
        <w:adjustRightInd w:val="0"/>
        <w:snapToGrid w:val="0"/>
        <w:spacing w:line="288" w:lineRule="auto"/>
        <w:ind w:firstLine="495" w:firstLineChars="236"/>
        <w:rPr>
          <w:rFonts w:ascii="宋体" w:hAnsi="宋体" w:eastAsia="宋体" w:cs="Times New Roman"/>
          <w:szCs w:val="21"/>
        </w:rPr>
      </w:pP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.本项目仅以《中小企业声明函》作为评判供应商是否属于中小企业的唯一依据。</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u w:val="single"/>
        </w:rPr>
      </w:pPr>
      <w:r>
        <w:rPr>
          <w:rFonts w:ascii="宋体" w:hAnsi="宋体" w:eastAsia="宋体" w:cs="Times New Roman"/>
          <w:szCs w:val="21"/>
          <w:u w:val="single"/>
        </w:rPr>
        <w:t>5.</w:t>
      </w:r>
      <w:r>
        <w:rPr>
          <w:rFonts w:hint="eastAsia" w:ascii="宋体" w:hAnsi="宋体" w:eastAsia="宋体" w:cs="Times New Roman"/>
          <w:szCs w:val="21"/>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u w:val="single"/>
        </w:rPr>
        <w:t>不享受中小企业扶持政策。</w:t>
      </w:r>
    </w:p>
    <w:p>
      <w:pPr>
        <w:adjustRightInd w:val="0"/>
        <w:snapToGrid w:val="0"/>
        <w:spacing w:line="288" w:lineRule="auto"/>
        <w:ind w:firstLine="495" w:firstLineChars="236"/>
        <w:rPr>
          <w:rFonts w:ascii="宋体" w:hAnsi="宋体" w:eastAsia="宋体" w:cs="宋体"/>
          <w:szCs w:val="21"/>
          <w:u w:val="single"/>
        </w:rPr>
      </w:pPr>
      <w:r>
        <w:rPr>
          <w:rFonts w:hint="eastAsia" w:ascii="宋体" w:hAnsi="宋体" w:eastAsia="宋体" w:cs="Times New Roman"/>
          <w:szCs w:val="21"/>
          <w:u w:val="single"/>
        </w:rPr>
        <w:t>6</w:t>
      </w:r>
      <w:r>
        <w:rPr>
          <w:rFonts w:ascii="宋体" w:hAnsi="宋体" w:eastAsia="宋体" w:cs="Times New Roman"/>
          <w:szCs w:val="21"/>
          <w:u w:val="single"/>
        </w:rPr>
        <w:t>.如项目包含“多件”标的物的，需按标的物项数逐项填写。</w:t>
      </w:r>
    </w:p>
    <w:p>
      <w:pPr>
        <w:widowControl/>
        <w:adjustRightInd w:val="0"/>
        <w:snapToGrid w:val="0"/>
        <w:spacing w:line="288" w:lineRule="auto"/>
        <w:ind w:firstLine="495" w:firstLineChars="236"/>
        <w:jc w:val="left"/>
        <w:rPr>
          <w:rFonts w:ascii="宋体" w:hAnsi="宋体" w:eastAsia="宋体" w:cs="Times New Roman"/>
          <w:szCs w:val="21"/>
        </w:rPr>
      </w:pPr>
      <w:r>
        <w:rPr>
          <w:rFonts w:ascii="宋体" w:hAnsi="宋体" w:eastAsia="宋体" w:cs="Times New Roman"/>
          <w:szCs w:val="21"/>
        </w:rPr>
        <w:br w:type="page"/>
      </w:r>
    </w:p>
    <w:p>
      <w:pPr>
        <w:adjustRightInd w:val="0"/>
        <w:snapToGrid w:val="0"/>
        <w:spacing w:line="288" w:lineRule="auto"/>
        <w:jc w:val="center"/>
        <w:outlineLvl w:val="2"/>
        <w:rPr>
          <w:rFonts w:ascii="宋体" w:hAnsi="宋体" w:eastAsia="宋体" w:cs="宋体"/>
          <w:color w:val="000000"/>
          <w:kern w:val="0"/>
          <w:szCs w:val="21"/>
          <w:highlight w:val="yellow"/>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）属于监狱企业的证明文件（若属于监狱企业）</w:t>
      </w:r>
    </w:p>
    <w:p>
      <w:pPr>
        <w:adjustRightInd w:val="0"/>
        <w:snapToGrid w:val="0"/>
        <w:spacing w:line="288" w:lineRule="auto"/>
        <w:rPr>
          <w:rFonts w:ascii="宋体" w:hAnsi="宋体" w:eastAsia="宋体" w:cs="宋体"/>
          <w:color w:val="000000"/>
          <w:kern w:val="0"/>
          <w:szCs w:val="21"/>
        </w:rPr>
      </w:pPr>
    </w:p>
    <w:p>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）残疾人福利性单位声明函（若属于残疾人福利性单位）</w:t>
      </w:r>
    </w:p>
    <w:p>
      <w:pPr>
        <w:adjustRightInd w:val="0"/>
        <w:snapToGrid w:val="0"/>
        <w:spacing w:line="288" w:lineRule="auto"/>
        <w:rPr>
          <w:rFonts w:ascii="宋体" w:hAnsi="宋体" w:eastAsia="宋体" w:cs="Times New Roman"/>
          <w:b/>
          <w:spacing w:val="6"/>
          <w:szCs w:val="21"/>
        </w:rPr>
      </w:pPr>
    </w:p>
    <w:p>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，且本单位参加______（采购人）单位的______（项目名称）项目采购活动提供本单位制造的货物，或者提供其他残疾人福利性单位制造的货物（不包括使用非残疾人福利性单位注册商标的货物）。</w:t>
      </w:r>
    </w:p>
    <w:p>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单位名称（盖章）：</w:t>
      </w:r>
    </w:p>
    <w:p>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0"/>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pPr>
        <w:pStyle w:val="20"/>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pPr>
        <w:snapToGrid w:val="0"/>
        <w:spacing w:line="288" w:lineRule="auto"/>
        <w:rPr>
          <w:rFonts w:ascii="宋体" w:hAnsi="宋体" w:eastAsia="宋体" w:cs="仿宋_GB2312"/>
          <w:szCs w:val="21"/>
          <w:u w:val="single"/>
        </w:rPr>
      </w:pPr>
    </w:p>
    <w:p>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pPr>
        <w:snapToGrid w:val="0"/>
        <w:spacing w:line="288" w:lineRule="auto"/>
        <w:rPr>
          <w:rFonts w:ascii="宋体" w:hAnsi="宋体" w:eastAsia="宋体" w:cs="宋体"/>
          <w:b/>
          <w:bCs/>
          <w:szCs w:val="21"/>
        </w:rPr>
      </w:pPr>
    </w:p>
    <w:p>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（以联合体形式投标的，提供联合协议；本项目不接受联合体投标或者供应商不以联合体形式投标的，则不需要提供）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组成一个联合体，以一个供应商的身份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一、各方一致决定，</w:t>
      </w:r>
      <w:r>
        <w:rPr>
          <w:rFonts w:hint="eastAsia" w:ascii="宋体" w:hAnsi="宋体" w:eastAsia="宋体" w:cs="宋体"/>
          <w:kern w:val="0"/>
          <w:szCs w:val="21"/>
          <w:u w:val="single"/>
        </w:rPr>
        <w:t>（某联合体成员名称）</w:t>
      </w:r>
      <w:r>
        <w:rPr>
          <w:rFonts w:hint="eastAsia" w:ascii="宋体" w:hAnsi="宋体" w:eastAsia="宋体" w:cs="宋体"/>
          <w:kern w:val="0"/>
          <w:szCs w:val="21"/>
        </w:rPr>
        <w:t>为联合体</w:t>
      </w:r>
      <w:r>
        <w:rPr>
          <w:rFonts w:hint="eastAsia" w:ascii="宋体" w:hAnsi="宋体" w:eastAsia="宋体" w:cs="宋体"/>
          <w:kern w:val="0"/>
          <w:szCs w:val="21"/>
          <w:lang w:val="zh-CN"/>
        </w:rPr>
        <w:t>牵头人</w:t>
      </w:r>
      <w:r>
        <w:rPr>
          <w:rFonts w:hint="eastAsia" w:ascii="宋体" w:hAnsi="宋体" w:eastAsia="宋体" w:cs="宋体"/>
          <w:szCs w:val="21"/>
        </w:rPr>
        <w:t>，代表所有联合体成员负责投标和合同实施阶段的主办、协调工作</w:t>
      </w:r>
      <w:r>
        <w:rPr>
          <w:rFonts w:hint="eastAsia" w:ascii="宋体" w:hAnsi="宋体" w:eastAsia="宋体" w:cs="宋体"/>
          <w:kern w:val="0"/>
          <w:szCs w:val="21"/>
          <w:lang w:val="zh-CN"/>
        </w:rPr>
        <w:t>。</w:t>
      </w:r>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二、</w:t>
      </w:r>
      <w:r>
        <w:rPr>
          <w:rFonts w:hint="eastAsia" w:ascii="宋体" w:hAnsi="宋体" w:eastAsia="宋体" w:cs="宋体"/>
          <w:szCs w:val="21"/>
        </w:rPr>
        <w:t>所有联合体成员各方签署授权书，授权书载明的</w:t>
      </w:r>
      <w:r>
        <w:rPr>
          <w:rFonts w:hint="eastAsia" w:ascii="宋体" w:hAnsi="宋体" w:eastAsia="宋体" w:cs="宋体"/>
          <w:kern w:val="0"/>
          <w:szCs w:val="21"/>
          <w:lang w:val="zh-CN"/>
        </w:rPr>
        <w:t>授权代表根据招标文件规定及投标内容而对采购人、采购机构所作的任何合法承诺，包括书面澄清及相应等均对联合投标各方产生约束力。</w:t>
      </w:r>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三、本次联合投标中，分工如下：</w:t>
      </w:r>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u w:val="single"/>
        </w:rPr>
        <w:t>（联合体成员1）</w:t>
      </w:r>
      <w:r>
        <w:rPr>
          <w:rFonts w:hint="eastAsia" w:ascii="宋体" w:hAnsi="宋体" w:eastAsia="宋体" w:cs="宋体"/>
          <w:kern w:val="0"/>
          <w:szCs w:val="21"/>
          <w:lang w:val="zh-CN"/>
        </w:rPr>
        <w:t>承担的工作和义务为：</w:t>
      </w:r>
      <w:r>
        <w:rPr>
          <w:rFonts w:hint="eastAsia" w:ascii="宋体" w:hAnsi="宋体" w:eastAsia="宋体" w:cs="宋体"/>
          <w:szCs w:val="21"/>
          <w:u w:val="single"/>
        </w:rPr>
        <w:t xml:space="preserve">             </w:t>
      </w:r>
      <w:r>
        <w:rPr>
          <w:rFonts w:hint="eastAsia" w:ascii="宋体" w:hAnsi="宋体" w:eastAsia="宋体" w:cs="宋体"/>
          <w:kern w:val="0"/>
          <w:szCs w:val="21"/>
          <w:lang w:val="zh-CN"/>
        </w:rPr>
        <w:t>；</w:t>
      </w:r>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u w:val="single"/>
        </w:rPr>
        <w:t>（联合体成员</w:t>
      </w:r>
      <w:r>
        <w:rPr>
          <w:rFonts w:ascii="宋体" w:hAnsi="宋体" w:eastAsia="宋体" w:cs="宋体"/>
          <w:kern w:val="0"/>
          <w:szCs w:val="21"/>
          <w:u w:val="single"/>
        </w:rPr>
        <w:t>2</w:t>
      </w:r>
      <w:r>
        <w:rPr>
          <w:rFonts w:hint="eastAsia" w:ascii="宋体" w:hAnsi="宋体" w:eastAsia="宋体" w:cs="宋体"/>
          <w:kern w:val="0"/>
          <w:szCs w:val="21"/>
          <w:u w:val="single"/>
        </w:rPr>
        <w:t>）</w:t>
      </w:r>
      <w:r>
        <w:rPr>
          <w:rFonts w:hint="eastAsia" w:ascii="宋体" w:hAnsi="宋体" w:eastAsia="宋体" w:cs="宋体"/>
          <w:kern w:val="0"/>
          <w:szCs w:val="21"/>
          <w:lang w:val="zh-CN"/>
        </w:rPr>
        <w:t>承担的工作和义务为：</w:t>
      </w:r>
      <w:r>
        <w:rPr>
          <w:rFonts w:hint="eastAsia" w:ascii="宋体" w:hAnsi="宋体" w:eastAsia="宋体" w:cs="宋体"/>
          <w:szCs w:val="21"/>
          <w:u w:val="single"/>
        </w:rPr>
        <w:t xml:space="preserve">             </w:t>
      </w:r>
      <w:r>
        <w:rPr>
          <w:rFonts w:hint="eastAsia" w:ascii="宋体" w:hAnsi="宋体" w:eastAsia="宋体" w:cs="宋体"/>
          <w:kern w:val="0"/>
          <w:szCs w:val="21"/>
          <w:lang w:val="zh-CN"/>
        </w:rPr>
        <w:t>；</w:t>
      </w:r>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w:t>
      </w:r>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四、联合体成员中小企业合同份额。</w:t>
      </w:r>
    </w:p>
    <w:p>
      <w:pPr>
        <w:snapToGrid w:val="0"/>
        <w:spacing w:line="288" w:lineRule="auto"/>
        <w:ind w:firstLine="422" w:firstLineChars="201"/>
        <w:rPr>
          <w:rFonts w:ascii="宋体" w:hAnsi="宋体" w:eastAsia="宋体" w:cs="宋体"/>
          <w:b/>
          <w:kern w:val="0"/>
          <w:szCs w:val="21"/>
          <w:lang w:val="zh-CN"/>
        </w:rPr>
      </w:pPr>
      <w:r>
        <w:rPr>
          <w:rFonts w:hint="eastAsia" w:ascii="宋体" w:hAnsi="宋体" w:eastAsia="宋体" w:cs="宋体"/>
          <w:kern w:val="0"/>
          <w:szCs w:val="21"/>
          <w:lang w:val="zh-CN"/>
        </w:rPr>
        <w:t>1、</w:t>
      </w:r>
      <w:r>
        <w:rPr>
          <w:rFonts w:hint="eastAsia" w:ascii="宋体" w:hAnsi="宋体" w:eastAsia="宋体" w:cs="宋体"/>
          <w:kern w:val="0"/>
          <w:szCs w:val="21"/>
          <w:u w:val="single"/>
        </w:rPr>
        <w:t>（</w:t>
      </w:r>
      <w:bookmarkStart w:id="63" w:name="_Hlk101131882"/>
      <w:r>
        <w:rPr>
          <w:rFonts w:hint="eastAsia" w:ascii="宋体" w:hAnsi="宋体" w:eastAsia="宋体" w:cs="宋体"/>
          <w:kern w:val="0"/>
          <w:szCs w:val="21"/>
          <w:u w:val="single"/>
        </w:rPr>
        <w:t>联合体成员X</w:t>
      </w:r>
      <w:r>
        <w:rPr>
          <w:rFonts w:ascii="宋体" w:hAnsi="宋体" w:eastAsia="宋体" w:cs="宋体"/>
          <w:kern w:val="0"/>
          <w:szCs w:val="21"/>
          <w:u w:val="single"/>
        </w:rPr>
        <w:t>,</w:t>
      </w:r>
      <w:r>
        <w:rPr>
          <w:rFonts w:hint="eastAsia" w:ascii="宋体" w:hAnsi="宋体" w:eastAsia="宋体" w:cs="宋体"/>
          <w:kern w:val="0"/>
          <w:szCs w:val="21"/>
          <w:u w:val="single"/>
        </w:rPr>
        <w:t>……</w:t>
      </w:r>
      <w:bookmarkEnd w:id="63"/>
      <w:r>
        <w:rPr>
          <w:rFonts w:hint="eastAsia" w:ascii="宋体" w:hAnsi="宋体" w:eastAsia="宋体" w:cs="宋体"/>
          <w:kern w:val="0"/>
          <w:szCs w:val="21"/>
          <w:u w:val="single"/>
        </w:rPr>
        <w:t>）</w:t>
      </w:r>
      <w:r>
        <w:rPr>
          <w:rFonts w:hint="eastAsia" w:ascii="宋体" w:hAnsi="宋体" w:eastAsia="宋体" w:cs="仿宋_GB2312"/>
          <w:kern w:val="0"/>
          <w:szCs w:val="21"/>
          <w:u w:val="single"/>
        </w:rPr>
        <w:t>提供的货物全部由小微企业制造</w:t>
      </w:r>
      <w:r>
        <w:rPr>
          <w:rFonts w:hint="eastAsia" w:ascii="宋体" w:hAnsi="宋体" w:eastAsia="宋体" w:cs="宋体"/>
          <w:kern w:val="0"/>
          <w:szCs w:val="21"/>
        </w:rPr>
        <w:t>，其合同份额占到合同总金额</w:t>
      </w:r>
      <w:r>
        <w:rPr>
          <w:rFonts w:hint="eastAsia" w:ascii="宋体" w:hAnsi="宋体" w:eastAsia="宋体" w:cs="宋体"/>
          <w:kern w:val="0"/>
          <w:szCs w:val="21"/>
          <w:u w:val="single"/>
        </w:rPr>
        <w:t xml:space="preserve">     </w:t>
      </w:r>
      <w:r>
        <w:rPr>
          <w:rFonts w:hint="eastAsia" w:ascii="宋体" w:hAnsi="宋体" w:eastAsia="宋体" w:cs="宋体"/>
          <w:kern w:val="0"/>
          <w:szCs w:val="21"/>
        </w:rPr>
        <w:t>%以上</w:t>
      </w:r>
      <w:r>
        <w:rPr>
          <w:rFonts w:hint="eastAsia" w:ascii="宋体" w:hAnsi="宋体" w:eastAsia="宋体" w:cs="宋体"/>
          <w:kern w:val="0"/>
          <w:szCs w:val="21"/>
          <w:lang w:val="zh-CN"/>
        </w:rPr>
        <w:t>。</w:t>
      </w:r>
      <w:r>
        <w:rPr>
          <w:rFonts w:hint="eastAsia" w:ascii="宋体" w:hAnsi="宋体" w:eastAsia="宋体" w:cs="宋体"/>
          <w:b/>
          <w:kern w:val="0"/>
          <w:szCs w:val="21"/>
          <w:lang w:val="zh-CN"/>
        </w:rPr>
        <w:t>（</w:t>
      </w:r>
      <w:bookmarkStart w:id="64" w:name="_Hlk101133598"/>
      <w:r>
        <w:rPr>
          <w:rFonts w:hint="eastAsia" w:ascii="宋体" w:hAnsi="宋体" w:eastAsia="宋体" w:cs="宋体"/>
          <w:b/>
          <w:kern w:val="0"/>
          <w:szCs w:val="21"/>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Cs w:val="21"/>
        </w:rPr>
        <w:t>拟享受以上价格扣除政策的，填写有关内容。</w:t>
      </w:r>
      <w:bookmarkEnd w:id="64"/>
      <w:r>
        <w:rPr>
          <w:rFonts w:hint="eastAsia" w:ascii="宋体" w:hAnsi="宋体" w:eastAsia="宋体" w:cs="宋体"/>
          <w:b/>
          <w:kern w:val="0"/>
          <w:szCs w:val="21"/>
          <w:lang w:val="zh-CN"/>
        </w:rPr>
        <w:t>）</w:t>
      </w:r>
    </w:p>
    <w:p>
      <w:pPr>
        <w:snapToGrid w:val="0"/>
        <w:spacing w:line="288" w:lineRule="auto"/>
        <w:ind w:firstLine="422" w:firstLineChars="201"/>
        <w:rPr>
          <w:rFonts w:ascii="宋体" w:hAnsi="宋体" w:eastAsia="宋体" w:cs="宋体"/>
          <w:b/>
          <w:bCs/>
          <w:kern w:val="0"/>
          <w:szCs w:val="21"/>
          <w:lang w:val="zh-CN"/>
        </w:rPr>
      </w:pPr>
      <w:r>
        <w:rPr>
          <w:rFonts w:hint="eastAsia" w:ascii="宋体" w:hAnsi="宋体" w:eastAsia="宋体" w:cs="宋体"/>
          <w:szCs w:val="21"/>
        </w:rPr>
        <w:t>2、</w:t>
      </w:r>
      <w:bookmarkStart w:id="65" w:name="_Hlk101133173"/>
      <w:r>
        <w:rPr>
          <w:rFonts w:hint="eastAsia" w:ascii="宋体" w:hAnsi="宋体" w:eastAsia="宋体" w:cs="宋体"/>
          <w:szCs w:val="21"/>
        </w:rPr>
        <w:t>中小企业合同金额达到</w:t>
      </w:r>
      <w:r>
        <w:rPr>
          <w:rFonts w:hint="eastAsia" w:ascii="宋体" w:hAnsi="宋体" w:eastAsia="宋体" w:cs="宋体"/>
          <w:szCs w:val="21"/>
          <w:u w:val="single"/>
        </w:rPr>
        <w:t xml:space="preserve">  </w:t>
      </w:r>
      <w:r>
        <w:rPr>
          <w:rFonts w:hint="eastAsia" w:ascii="宋体" w:hAnsi="宋体" w:eastAsia="宋体" w:cs="宋体"/>
          <w:szCs w:val="21"/>
        </w:rPr>
        <w:t>%，小微企业合同金额达到</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lang w:val="zh-CN"/>
        </w:rPr>
        <w:t>。</w:t>
      </w:r>
      <w:r>
        <w:rPr>
          <w:rFonts w:hint="eastAsia" w:ascii="宋体" w:hAnsi="宋体" w:eastAsia="宋体" w:cs="宋体"/>
          <w:b/>
          <w:bCs/>
          <w:kern w:val="0"/>
          <w:szCs w:val="21"/>
          <w:lang w:val="zh-CN"/>
        </w:rPr>
        <w:t>（</w:t>
      </w:r>
      <w:r>
        <w:rPr>
          <w:rFonts w:hint="eastAsia" w:ascii="宋体" w:hAnsi="宋体" w:eastAsia="宋体" w:cs="宋体"/>
          <w:b/>
          <w:bCs/>
          <w:szCs w:val="21"/>
        </w:rPr>
        <w:t>要求以联合体形式参加的项目或采购包，供应商按招标文件第一部分投标邀请中申请人的资格要求中规定的联合协议中中小企业、小微企业合同金额应当达到的比例要求填写。</w:t>
      </w:r>
      <w:r>
        <w:rPr>
          <w:rFonts w:hint="eastAsia" w:ascii="宋体" w:hAnsi="宋体" w:eastAsia="宋体" w:cs="宋体"/>
          <w:b/>
          <w:bCs/>
          <w:kern w:val="0"/>
          <w:szCs w:val="21"/>
          <w:lang w:val="zh-CN"/>
        </w:rPr>
        <w:t>）</w:t>
      </w:r>
      <w:bookmarkEnd w:id="65"/>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五、如果中标，</w:t>
      </w:r>
      <w:r>
        <w:rPr>
          <w:rFonts w:hint="eastAsia" w:ascii="宋体" w:hAnsi="宋体" w:eastAsia="宋体" w:cs="宋体"/>
          <w:szCs w:val="21"/>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六、有关本次联合投标的其他事宜：</w:t>
      </w:r>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1、联合体各方不再单独参加或者与其他供应商另外组成联合体参加同一合同项下的政府采购活动。</w:t>
      </w:r>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3、本协议提交采购人、采购机构后，联合体各方不得以任何形式对上述内容进行修改或撤销。</w:t>
      </w:r>
    </w:p>
    <w:p>
      <w:pPr>
        <w:snapToGrid w:val="0"/>
        <w:spacing w:line="288" w:lineRule="auto"/>
        <w:jc w:val="left"/>
        <w:rPr>
          <w:rFonts w:ascii="宋体" w:hAnsi="宋体" w:eastAsia="宋体" w:cs="宋体"/>
          <w:kern w:val="0"/>
          <w:szCs w:val="21"/>
          <w:lang w:val="zh-CN"/>
        </w:rPr>
      </w:pPr>
    </w:p>
    <w:p>
      <w:pPr>
        <w:snapToGrid w:val="0"/>
        <w:spacing w:line="288" w:lineRule="auto"/>
        <w:jc w:val="left"/>
        <w:rPr>
          <w:rFonts w:ascii="宋体" w:hAnsi="宋体" w:eastAsia="宋体" w:cs="宋体"/>
          <w:b/>
          <w:bCs/>
          <w:kern w:val="0"/>
          <w:szCs w:val="21"/>
          <w:lang w:val="zh-CN"/>
        </w:rPr>
      </w:pPr>
      <w:r>
        <w:rPr>
          <w:rFonts w:hint="eastAsia" w:ascii="宋体" w:hAnsi="宋体" w:eastAsia="宋体" w:cs="宋体"/>
          <w:b/>
          <w:bCs/>
          <w:kern w:val="0"/>
          <w:szCs w:val="21"/>
          <w:lang w:val="zh-CN"/>
        </w:rPr>
        <w:t>联合体成员名称(电子签名/公章)：</w:t>
      </w:r>
    </w:p>
    <w:p>
      <w:pPr>
        <w:snapToGrid w:val="0"/>
        <w:spacing w:line="288" w:lineRule="auto"/>
        <w:jc w:val="left"/>
        <w:rPr>
          <w:rFonts w:ascii="宋体" w:hAnsi="宋体" w:eastAsia="宋体" w:cs="宋体"/>
          <w:b/>
          <w:bCs/>
          <w:kern w:val="0"/>
          <w:szCs w:val="21"/>
          <w:lang w:val="zh-CN"/>
        </w:rPr>
      </w:pPr>
      <w:r>
        <w:rPr>
          <w:rFonts w:hint="eastAsia" w:ascii="宋体" w:hAnsi="宋体" w:eastAsia="宋体" w:cs="宋体"/>
          <w:b/>
          <w:bCs/>
          <w:kern w:val="0"/>
          <w:szCs w:val="21"/>
          <w:lang w:val="zh-CN"/>
        </w:rPr>
        <w:t>联合体成员名称(电子签名/公章)：</w:t>
      </w:r>
    </w:p>
    <w:p>
      <w:pPr>
        <w:snapToGrid w:val="0"/>
        <w:spacing w:line="288" w:lineRule="auto"/>
        <w:ind w:right="960"/>
        <w:jc w:val="left"/>
        <w:rPr>
          <w:rFonts w:ascii="宋体" w:hAnsi="宋体" w:eastAsia="宋体" w:cs="宋体"/>
          <w:b/>
          <w:bCs/>
          <w:kern w:val="0"/>
          <w:sz w:val="18"/>
          <w:szCs w:val="18"/>
          <w:lang w:val="zh-CN"/>
        </w:rPr>
      </w:pPr>
      <w:r>
        <w:rPr>
          <w:rFonts w:hint="eastAsia" w:ascii="宋体" w:hAnsi="宋体" w:eastAsia="宋体" w:cs="宋体"/>
          <w:b/>
          <w:bCs/>
          <w:kern w:val="0"/>
          <w:sz w:val="18"/>
          <w:szCs w:val="18"/>
          <w:lang w:val="zh-CN"/>
        </w:rPr>
        <w:t>……</w:t>
      </w:r>
    </w:p>
    <w:p>
      <w:pPr>
        <w:widowControl/>
        <w:jc w:val="left"/>
        <w:rPr>
          <w:rFonts w:ascii="宋体" w:hAnsi="宋体" w:eastAsia="宋体" w:cs="仿宋_GB2312"/>
          <w:b/>
          <w:kern w:val="0"/>
          <w:szCs w:val="21"/>
        </w:rPr>
      </w:pPr>
      <w:r>
        <w:rPr>
          <w:rFonts w:hint="eastAsia" w:ascii="宋体" w:hAnsi="宋体" w:eastAsia="宋体" w:cs="宋体"/>
          <w:b/>
          <w:bCs/>
          <w:kern w:val="0"/>
          <w:szCs w:val="21"/>
          <w:lang w:val="zh-CN"/>
        </w:rPr>
        <w:t xml:space="preserve">日期： </w:t>
      </w:r>
      <w:r>
        <w:rPr>
          <w:rFonts w:ascii="宋体" w:hAnsi="宋体" w:eastAsia="宋体" w:cs="宋体"/>
          <w:b/>
          <w:bCs/>
          <w:kern w:val="0"/>
          <w:szCs w:val="21"/>
          <w:lang w:val="zh-CN"/>
        </w:rPr>
        <w:t xml:space="preserve"> </w:t>
      </w:r>
      <w:r>
        <w:rPr>
          <w:rFonts w:hint="eastAsia" w:ascii="宋体" w:hAnsi="宋体" w:eastAsia="宋体" w:cs="宋体"/>
          <w:b/>
          <w:bCs/>
          <w:kern w:val="0"/>
          <w:szCs w:val="21"/>
          <w:lang w:val="zh-CN"/>
        </w:rPr>
        <w:t xml:space="preserve"> 年 </w:t>
      </w:r>
      <w:r>
        <w:rPr>
          <w:rFonts w:ascii="宋体" w:hAnsi="宋体" w:eastAsia="宋体" w:cs="宋体"/>
          <w:b/>
          <w:bCs/>
          <w:kern w:val="0"/>
          <w:szCs w:val="21"/>
          <w:lang w:val="zh-CN"/>
        </w:rPr>
        <w:t xml:space="preserve"> </w:t>
      </w:r>
      <w:r>
        <w:rPr>
          <w:rFonts w:hint="eastAsia" w:ascii="宋体" w:hAnsi="宋体" w:eastAsia="宋体" w:cs="宋体"/>
          <w:b/>
          <w:bCs/>
          <w:kern w:val="0"/>
          <w:szCs w:val="21"/>
          <w:lang w:val="zh-CN"/>
        </w:rPr>
        <w:t xml:space="preserve"> 月   日</w:t>
      </w:r>
    </w:p>
    <w:p>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20</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771FF"/>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536"/>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4AA8"/>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A55"/>
    <w:rsid w:val="00BA1D36"/>
    <w:rsid w:val="00BA396F"/>
    <w:rsid w:val="00BA3CDF"/>
    <w:rsid w:val="00BA4D43"/>
    <w:rsid w:val="00BA74CC"/>
    <w:rsid w:val="00BB0B3D"/>
    <w:rsid w:val="00BB360E"/>
    <w:rsid w:val="00BB5F21"/>
    <w:rsid w:val="00BB5FAE"/>
    <w:rsid w:val="00BC0DA6"/>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44F"/>
    <w:rsid w:val="00E90F4F"/>
    <w:rsid w:val="00E91B7A"/>
    <w:rsid w:val="00E920B9"/>
    <w:rsid w:val="00E92C09"/>
    <w:rsid w:val="00E93846"/>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176EA7"/>
    <w:rsid w:val="01285229"/>
    <w:rsid w:val="01F81427"/>
    <w:rsid w:val="026C55DB"/>
    <w:rsid w:val="02CE17E8"/>
    <w:rsid w:val="03084CFA"/>
    <w:rsid w:val="03F93561"/>
    <w:rsid w:val="04B47326"/>
    <w:rsid w:val="05790131"/>
    <w:rsid w:val="05B20F4D"/>
    <w:rsid w:val="05D34727"/>
    <w:rsid w:val="061D0ABC"/>
    <w:rsid w:val="06C74ECC"/>
    <w:rsid w:val="070545E8"/>
    <w:rsid w:val="08931933"/>
    <w:rsid w:val="090A479D"/>
    <w:rsid w:val="0B0F4285"/>
    <w:rsid w:val="0B4A1776"/>
    <w:rsid w:val="0BE45BD8"/>
    <w:rsid w:val="0C6D2422"/>
    <w:rsid w:val="0C786503"/>
    <w:rsid w:val="0CEB6CD9"/>
    <w:rsid w:val="0D1A04C9"/>
    <w:rsid w:val="0D2E7A52"/>
    <w:rsid w:val="0F1A64E0"/>
    <w:rsid w:val="10757130"/>
    <w:rsid w:val="10991687"/>
    <w:rsid w:val="10FE598E"/>
    <w:rsid w:val="112B34AD"/>
    <w:rsid w:val="11716160"/>
    <w:rsid w:val="11FF5827"/>
    <w:rsid w:val="1360023A"/>
    <w:rsid w:val="13D956FC"/>
    <w:rsid w:val="16601A14"/>
    <w:rsid w:val="16A80BAF"/>
    <w:rsid w:val="16D578E5"/>
    <w:rsid w:val="17526FE5"/>
    <w:rsid w:val="1766243B"/>
    <w:rsid w:val="177201DC"/>
    <w:rsid w:val="17841573"/>
    <w:rsid w:val="17A12E39"/>
    <w:rsid w:val="18090C43"/>
    <w:rsid w:val="182B52BA"/>
    <w:rsid w:val="1869193F"/>
    <w:rsid w:val="188110B9"/>
    <w:rsid w:val="18FB5F15"/>
    <w:rsid w:val="199B6C78"/>
    <w:rsid w:val="1B321622"/>
    <w:rsid w:val="1C341B4E"/>
    <w:rsid w:val="1C512E16"/>
    <w:rsid w:val="1C56667E"/>
    <w:rsid w:val="1CDA105D"/>
    <w:rsid w:val="1D9A259A"/>
    <w:rsid w:val="1E51534F"/>
    <w:rsid w:val="1F66307C"/>
    <w:rsid w:val="1F9C38D3"/>
    <w:rsid w:val="1FED10A7"/>
    <w:rsid w:val="20767551"/>
    <w:rsid w:val="21D20555"/>
    <w:rsid w:val="21DB64E2"/>
    <w:rsid w:val="22034BB2"/>
    <w:rsid w:val="221C4C30"/>
    <w:rsid w:val="22A70B6C"/>
    <w:rsid w:val="23957A8C"/>
    <w:rsid w:val="23C14303"/>
    <w:rsid w:val="23FF4622"/>
    <w:rsid w:val="27432BC1"/>
    <w:rsid w:val="27F0275A"/>
    <w:rsid w:val="2810627B"/>
    <w:rsid w:val="28580092"/>
    <w:rsid w:val="28BC23D4"/>
    <w:rsid w:val="28FD5A5D"/>
    <w:rsid w:val="2A054B1D"/>
    <w:rsid w:val="2AA10ED5"/>
    <w:rsid w:val="2ADA0518"/>
    <w:rsid w:val="2C921974"/>
    <w:rsid w:val="2DBE14C9"/>
    <w:rsid w:val="2F6A64D8"/>
    <w:rsid w:val="30616EA9"/>
    <w:rsid w:val="31232B7B"/>
    <w:rsid w:val="31345895"/>
    <w:rsid w:val="31A44D82"/>
    <w:rsid w:val="32566BDD"/>
    <w:rsid w:val="32BE120D"/>
    <w:rsid w:val="330C0EF9"/>
    <w:rsid w:val="332D0E5C"/>
    <w:rsid w:val="334E7C57"/>
    <w:rsid w:val="33506DE6"/>
    <w:rsid w:val="33C30645"/>
    <w:rsid w:val="349D0E96"/>
    <w:rsid w:val="35804D40"/>
    <w:rsid w:val="35A54CED"/>
    <w:rsid w:val="35EA1EB9"/>
    <w:rsid w:val="36131AD6"/>
    <w:rsid w:val="37534CA7"/>
    <w:rsid w:val="378553CD"/>
    <w:rsid w:val="37AB1B1C"/>
    <w:rsid w:val="37D824F1"/>
    <w:rsid w:val="38AA3B82"/>
    <w:rsid w:val="390901AB"/>
    <w:rsid w:val="395C1320"/>
    <w:rsid w:val="3A775CE5"/>
    <w:rsid w:val="3B0C4DFA"/>
    <w:rsid w:val="3BA90120"/>
    <w:rsid w:val="3C4D26C6"/>
    <w:rsid w:val="3CD10E50"/>
    <w:rsid w:val="3D044EFC"/>
    <w:rsid w:val="3E2919ED"/>
    <w:rsid w:val="3E330175"/>
    <w:rsid w:val="3E6946AD"/>
    <w:rsid w:val="3EA90437"/>
    <w:rsid w:val="3EB60CB3"/>
    <w:rsid w:val="3EC436F9"/>
    <w:rsid w:val="3ED918F1"/>
    <w:rsid w:val="3F012022"/>
    <w:rsid w:val="3F740895"/>
    <w:rsid w:val="3FB93DC6"/>
    <w:rsid w:val="3FC45529"/>
    <w:rsid w:val="402A691C"/>
    <w:rsid w:val="422E66F3"/>
    <w:rsid w:val="42416FB1"/>
    <w:rsid w:val="4275164D"/>
    <w:rsid w:val="4296453E"/>
    <w:rsid w:val="430A3262"/>
    <w:rsid w:val="437E20B9"/>
    <w:rsid w:val="44581467"/>
    <w:rsid w:val="460C63CB"/>
    <w:rsid w:val="46A824B9"/>
    <w:rsid w:val="46BB170B"/>
    <w:rsid w:val="47510906"/>
    <w:rsid w:val="48CE566A"/>
    <w:rsid w:val="495D70F7"/>
    <w:rsid w:val="4A301A0D"/>
    <w:rsid w:val="4B7D5F80"/>
    <w:rsid w:val="4BF40741"/>
    <w:rsid w:val="4C285091"/>
    <w:rsid w:val="4C5E019B"/>
    <w:rsid w:val="4D73233C"/>
    <w:rsid w:val="4DDE00FE"/>
    <w:rsid w:val="4F64249F"/>
    <w:rsid w:val="4F6E1200"/>
    <w:rsid w:val="4FEE189E"/>
    <w:rsid w:val="4FFA6D45"/>
    <w:rsid w:val="506942C1"/>
    <w:rsid w:val="521A4514"/>
    <w:rsid w:val="5237602E"/>
    <w:rsid w:val="53F038EA"/>
    <w:rsid w:val="53FF2B7C"/>
    <w:rsid w:val="562B7C58"/>
    <w:rsid w:val="56522A49"/>
    <w:rsid w:val="56C4260B"/>
    <w:rsid w:val="57923D07"/>
    <w:rsid w:val="57BD675B"/>
    <w:rsid w:val="59BA69E3"/>
    <w:rsid w:val="5A661DF4"/>
    <w:rsid w:val="5ACF0178"/>
    <w:rsid w:val="5AFF3461"/>
    <w:rsid w:val="5C3E17F9"/>
    <w:rsid w:val="5D3A6920"/>
    <w:rsid w:val="5D8135CC"/>
    <w:rsid w:val="600446EC"/>
    <w:rsid w:val="600D2EE6"/>
    <w:rsid w:val="613E49AB"/>
    <w:rsid w:val="621760F6"/>
    <w:rsid w:val="62246B60"/>
    <w:rsid w:val="63B75221"/>
    <w:rsid w:val="640F1B55"/>
    <w:rsid w:val="642301C1"/>
    <w:rsid w:val="644F1ACD"/>
    <w:rsid w:val="667271DD"/>
    <w:rsid w:val="66B43C9A"/>
    <w:rsid w:val="677A130B"/>
    <w:rsid w:val="67FF1998"/>
    <w:rsid w:val="680D1D99"/>
    <w:rsid w:val="6841155D"/>
    <w:rsid w:val="68727968"/>
    <w:rsid w:val="69431270"/>
    <w:rsid w:val="69674FF3"/>
    <w:rsid w:val="69FA327F"/>
    <w:rsid w:val="6A7F4F75"/>
    <w:rsid w:val="6A9537BF"/>
    <w:rsid w:val="6ACA16F9"/>
    <w:rsid w:val="6B16774A"/>
    <w:rsid w:val="6BB107A8"/>
    <w:rsid w:val="6ECE2681"/>
    <w:rsid w:val="706221FB"/>
    <w:rsid w:val="70DD5B9B"/>
    <w:rsid w:val="72340F9C"/>
    <w:rsid w:val="740C2DE4"/>
    <w:rsid w:val="759365C9"/>
    <w:rsid w:val="76680283"/>
    <w:rsid w:val="774152C9"/>
    <w:rsid w:val="778070AE"/>
    <w:rsid w:val="783A1F0A"/>
    <w:rsid w:val="78BA439E"/>
    <w:rsid w:val="793070F8"/>
    <w:rsid w:val="79D825C1"/>
    <w:rsid w:val="7AC11659"/>
    <w:rsid w:val="7AD0398B"/>
    <w:rsid w:val="7AD85D51"/>
    <w:rsid w:val="7B5D131E"/>
    <w:rsid w:val="7C8B6DF3"/>
    <w:rsid w:val="7CC411FE"/>
    <w:rsid w:val="7DB41B16"/>
    <w:rsid w:val="7DEB79E2"/>
    <w:rsid w:val="7DFC5027"/>
    <w:rsid w:val="7E002D54"/>
    <w:rsid w:val="7E2E1FDD"/>
    <w:rsid w:val="7E655B4E"/>
    <w:rsid w:val="7FB21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2">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next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next w:val="6"/>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3"/>
    <w:qFormat/>
    <w:uiPriority w:val="9"/>
    <w:rPr>
      <w:rFonts w:ascii="Times New Roman" w:hAnsi="Times New Roman" w:eastAsia="宋体" w:cs="Times New Roman"/>
      <w:b/>
      <w:bCs/>
      <w:kern w:val="44"/>
      <w:sz w:val="44"/>
      <w:szCs w:val="44"/>
    </w:rPr>
  </w:style>
  <w:style w:type="character" w:customStyle="1" w:styleId="38">
    <w:name w:val="标题 2 字符"/>
    <w:basedOn w:val="25"/>
    <w:link w:val="2"/>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2"/>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Unresolved Mention"/>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9">
    <w:name w:val="font11"/>
    <w:basedOn w:val="25"/>
    <w:qFormat/>
    <w:uiPriority w:val="0"/>
    <w:rPr>
      <w:rFonts w:hint="eastAsia" w:ascii="宋体" w:hAnsi="宋体" w:eastAsia="宋体" w:cs="宋体"/>
      <w:color w:val="000000"/>
      <w:sz w:val="22"/>
      <w:szCs w:val="22"/>
      <w:u w:val="none"/>
    </w:rPr>
  </w:style>
  <w:style w:type="character" w:customStyle="1" w:styleId="110">
    <w:name w:val="font31"/>
    <w:basedOn w:val="25"/>
    <w:qFormat/>
    <w:uiPriority w:val="0"/>
    <w:rPr>
      <w:rFonts w:hint="eastAsia" w:ascii="宋体" w:hAnsi="宋体" w:eastAsia="宋体" w:cs="宋体"/>
      <w:b/>
      <w:bCs/>
      <w:color w:val="000000"/>
      <w:sz w:val="22"/>
      <w:szCs w:val="22"/>
      <w:u w:val="none"/>
    </w:rPr>
  </w:style>
  <w:style w:type="character" w:customStyle="1" w:styleId="111">
    <w:name w:val="font21"/>
    <w:basedOn w:val="25"/>
    <w:qFormat/>
    <w:uiPriority w:val="0"/>
    <w:rPr>
      <w:rFonts w:hint="eastAsia" w:ascii="宋体" w:hAnsi="宋体" w:eastAsia="宋体" w:cs="宋体"/>
      <w:color w:val="000000"/>
      <w:sz w:val="22"/>
      <w:szCs w:val="22"/>
      <w:u w:val="none"/>
    </w:rPr>
  </w:style>
  <w:style w:type="character" w:customStyle="1" w:styleId="112">
    <w:name w:val="font41"/>
    <w:basedOn w:val="25"/>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317188-E573-405C-8681-A92F2CC922D7}">
  <ds:schemaRefs/>
</ds:datastoreItem>
</file>

<file path=docProps/app.xml><?xml version="1.0" encoding="utf-8"?>
<Properties xmlns="http://schemas.openxmlformats.org/officeDocument/2006/extended-properties" xmlns:vt="http://schemas.openxmlformats.org/officeDocument/2006/docPropsVTypes">
  <Template>Normal</Template>
  <Pages>67</Pages>
  <Words>44346</Words>
  <Characters>47925</Characters>
  <Lines>335</Lines>
  <Paragraphs>94</Paragraphs>
  <TotalTime>1</TotalTime>
  <ScaleCrop>false</ScaleCrop>
  <LinksUpToDate>false</LinksUpToDate>
  <CharactersWithSpaces>48570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冥灵有叶</cp:lastModifiedBy>
  <cp:lastPrinted>2022-10-31T00:58:00Z</cp:lastPrinted>
  <dcterms:modified xsi:type="dcterms:W3CDTF">2024-07-05T06:00:10Z</dcterms:modified>
  <cp:revision>1054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B363B45C01FF4C5A8AB2573BD522DAF7</vt:lpwstr>
  </property>
</Properties>
</file>