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杭州市萧山区第二人民医全院保安服务采购项目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编号:（XSEY2024-01</w:t>
      </w:r>
      <w:r>
        <w:rPr>
          <w:rFonts w:hint="eastAsia" w:ascii="宋体" w:hAnsi="宋体" w:cs="宋体"/>
          <w:sz w:val="30"/>
          <w:szCs w:val="30"/>
          <w:lang w:val="en-US" w:eastAsia="zh-CN"/>
        </w:rPr>
        <w:t>5</w:t>
      </w:r>
      <w:bookmarkStart w:id="523" w:name="_GoBack"/>
      <w:bookmarkEnd w:id="523"/>
      <w:r>
        <w:rPr>
          <w:rFonts w:hint="eastAsia" w:ascii="宋体" w:hAnsi="宋体" w:cs="宋体"/>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pStyle w:val="3"/>
      </w:pPr>
    </w:p>
    <w:p>
      <w:pPr>
        <w:spacing w:line="360" w:lineRule="auto"/>
        <w:rPr>
          <w:rFonts w:ascii="宋体" w:hAnsi="宋体" w:cs="宋体"/>
          <w:sz w:val="32"/>
          <w:szCs w:val="32"/>
        </w:rPr>
      </w:pPr>
    </w:p>
    <w:p>
      <w:pPr>
        <w:spacing w:line="360" w:lineRule="auto"/>
        <w:jc w:val="center"/>
        <w:rPr>
          <w:rFonts w:ascii="宋体" w:hAnsi="宋体" w:cs="宋体"/>
          <w:bCs/>
          <w:sz w:val="32"/>
          <w:szCs w:val="32"/>
        </w:rPr>
      </w:pPr>
      <w:r>
        <w:rPr>
          <w:rFonts w:hint="eastAsia" w:ascii="宋体" w:hAnsi="宋体" w:cs="宋体"/>
          <w:bCs/>
          <w:sz w:val="32"/>
          <w:szCs w:val="32"/>
        </w:rPr>
        <w:t>杭州市萧山区第二人民医院</w:t>
      </w:r>
    </w:p>
    <w:p>
      <w:pPr>
        <w:spacing w:line="360" w:lineRule="auto"/>
        <w:jc w:val="center"/>
        <w:rPr>
          <w:rFonts w:ascii="宋体" w:hAnsi="宋体" w:cs="宋体"/>
          <w:bCs/>
          <w:sz w:val="32"/>
          <w:szCs w:val="32"/>
        </w:rPr>
      </w:pPr>
      <w:r>
        <w:rPr>
          <w:rFonts w:hint="eastAsia" w:ascii="宋体" w:hAnsi="宋体" w:cs="宋体"/>
          <w:bCs/>
          <w:sz w:val="32"/>
          <w:szCs w:val="32"/>
        </w:rPr>
        <w:t>浙江翔实建设项目管理有限公司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 xml:space="preserve">  2024年</w:t>
      </w:r>
      <w:r>
        <w:rPr>
          <w:rFonts w:hint="eastAsia" w:ascii="宋体" w:hAnsi="宋体" w:cs="宋体"/>
          <w:bCs/>
          <w:sz w:val="32"/>
          <w:szCs w:val="32"/>
          <w:lang w:val="en-US" w:eastAsia="zh-CN"/>
        </w:rPr>
        <w:t>7</w:t>
      </w:r>
      <w:r>
        <w:rPr>
          <w:rFonts w:hint="eastAsia" w:ascii="宋体" w:hAnsi="宋体" w:cs="宋体"/>
          <w:bCs/>
          <w:sz w:val="32"/>
          <w:szCs w:val="32"/>
        </w:rPr>
        <w:t>月</w:t>
      </w:r>
      <w:r>
        <w:rPr>
          <w:rFonts w:hint="eastAsia" w:ascii="宋体" w:hAnsi="宋体" w:cs="宋体"/>
          <w:bCs/>
          <w:sz w:val="32"/>
          <w:szCs w:val="32"/>
          <w:lang w:val="en-US" w:eastAsia="zh-CN"/>
        </w:rPr>
        <w:t>3</w:t>
      </w:r>
      <w:r>
        <w:rPr>
          <w:rFonts w:hint="eastAsia" w:ascii="宋体" w:hAnsi="宋体" w:cs="宋体"/>
          <w:bCs/>
          <w:sz w:val="32"/>
          <w:szCs w:val="32"/>
        </w:rPr>
        <w:t>日</w:t>
      </w:r>
    </w:p>
    <w:p>
      <w:pPr>
        <w:jc w:val="center"/>
      </w:pPr>
      <w:r>
        <w:rPr>
          <w:rFonts w:hint="eastAsia"/>
        </w:rPr>
        <w:t>本招标文件为2023年5月1日稿，请各位投标人详细阅读各项条款</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（杭州市萧山区第二人民医全院保安服务采购项目）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rPr>
        <w:t>4</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7</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23</w:t>
      </w:r>
      <w:r>
        <w:rPr>
          <w:rStyle w:val="76"/>
          <w:rFonts w:hint="eastAsia" w:ascii="宋体" w:hAnsi="宋体" w:eastAsia="宋体" w:cs="宋体"/>
          <w:snapToGrid/>
          <w:color w:val="auto"/>
          <w:kern w:val="2"/>
          <w:sz w:val="24"/>
          <w:szCs w:val="24"/>
        </w:rPr>
        <w:t>日</w:t>
      </w:r>
      <w:r>
        <w:rPr>
          <w:rStyle w:val="76"/>
          <w:rFonts w:hint="eastAsia" w:ascii="宋体" w:hAnsi="宋体" w:cs="宋体"/>
          <w:snapToGrid/>
          <w:color w:val="auto"/>
          <w:kern w:val="2"/>
          <w:sz w:val="24"/>
          <w:szCs w:val="24"/>
        </w:rPr>
        <w:t>14</w:t>
      </w:r>
      <w:r>
        <w:rPr>
          <w:rStyle w:val="76"/>
          <w:rFonts w:hint="eastAsia" w:ascii="宋体" w:hAnsi="宋体" w:eastAsia="宋体" w:cs="宋体"/>
          <w:snapToGrid/>
          <w:color w:val="auto"/>
          <w:kern w:val="2"/>
          <w:sz w:val="24"/>
          <w:szCs w:val="24"/>
        </w:rPr>
        <w:t>点 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Cs/>
          <w:sz w:val="24"/>
        </w:rPr>
        <w:t>XSEY2024-01</w:t>
      </w:r>
      <w:r>
        <w:rPr>
          <w:rFonts w:hint="eastAsia" w:ascii="宋体" w:hAnsi="宋体" w:cs="宋体"/>
          <w:bCs/>
          <w:sz w:val="24"/>
          <w:lang w:val="en-US" w:eastAsia="zh-CN"/>
        </w:rPr>
        <w:t>5</w:t>
      </w:r>
    </w:p>
    <w:p>
      <w:pPr>
        <w:spacing w:line="360" w:lineRule="auto"/>
        <w:rPr>
          <w:rFonts w:ascii="宋体" w:hAnsi="宋体" w:cs="宋体"/>
          <w:bCs/>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Cs/>
          <w:sz w:val="24"/>
        </w:rPr>
        <w:t>杭州市萧山区第二人民医全院保安服务采购项目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sz w:val="24"/>
        </w:rPr>
        <w:t xml:space="preserve"> </w:t>
      </w:r>
      <w:r>
        <w:rPr>
          <w:rFonts w:hint="eastAsia" w:ascii="宋体" w:hAnsi="宋体" w:cs="宋体"/>
          <w:sz w:val="24"/>
        </w:rPr>
        <w:t>1450000</w:t>
      </w:r>
    </w:p>
    <w:p>
      <w:pPr>
        <w:spacing w:line="360" w:lineRule="auto"/>
        <w:ind w:firstLine="480"/>
        <w:rPr>
          <w:rFonts w:ascii="宋体" w:hAnsi="宋体" w:cs="宋体"/>
          <w:sz w:val="24"/>
        </w:rPr>
      </w:pPr>
      <w:r>
        <w:rPr>
          <w:rFonts w:hint="eastAsia" w:ascii="宋体" w:hAnsi="宋体" w:cs="宋体"/>
          <w:b/>
          <w:sz w:val="24"/>
        </w:rPr>
        <w:t>最高限价（元）：</w:t>
      </w:r>
      <w:r>
        <w:rPr>
          <w:rFonts w:ascii="宋体" w:hAnsi="宋体" w:cs="宋体"/>
          <w:sz w:val="24"/>
        </w:rPr>
        <w:t xml:space="preserve"> </w:t>
      </w:r>
      <w:r>
        <w:rPr>
          <w:rFonts w:hint="eastAsia" w:ascii="宋体" w:hAnsi="宋体" w:cs="宋体"/>
          <w:sz w:val="24"/>
        </w:rPr>
        <w:t>1450000</w:t>
      </w:r>
    </w:p>
    <w:p>
      <w:pPr>
        <w:pStyle w:val="1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color w:val="auto"/>
          <w:sz w:val="24"/>
        </w:rPr>
        <w:t>杭州市萧山区第二人民医全院保安服务采购项目。</w:t>
      </w:r>
      <w:r>
        <w:rPr>
          <w:rFonts w:hint="eastAsia" w:hAnsi="宋体" w:cs="宋体"/>
          <w:bCs/>
          <w:snapToGrid/>
          <w:color w:val="auto"/>
          <w:kern w:val="2"/>
          <w:sz w:val="24"/>
          <w:szCs w:val="24"/>
        </w:rPr>
        <w:t xml:space="preserve">主要内容： </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rPr>
      </w:pPr>
      <w:r>
        <w:rPr>
          <w:rFonts w:hint="eastAsia" w:ascii="宋体" w:hAnsi="宋体" w:cs="宋体"/>
          <w:b/>
        </w:rPr>
        <w:t>合同履约期限：</w:t>
      </w:r>
      <w:r>
        <w:rPr>
          <w:rFonts w:hint="eastAsia" w:ascii="宋体" w:hAnsi="宋体" w:cs="宋体"/>
          <w:bCs/>
        </w:rPr>
        <w:t>按文件要求</w:t>
      </w:r>
      <w:r>
        <w:rPr>
          <w:rFonts w:ascii="宋体" w:hAnsi="宋体" w:cs="宋体"/>
        </w:rPr>
        <w:t xml:space="preserve"> </w:t>
      </w:r>
    </w:p>
    <w:p>
      <w:pPr>
        <w:pStyle w:val="1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1"/>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2"/>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5"/>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 xml:space="preserve">2024年 </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23</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2024年 </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23</w:t>
      </w:r>
      <w:r>
        <w:rPr>
          <w:rFonts w:hint="eastAsia" w:ascii="宋体" w:hAnsi="宋体" w:cs="宋体"/>
          <w:sz w:val="24"/>
          <w:u w:val="single"/>
        </w:rPr>
        <w:t>日14点00分00秒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23</w:t>
      </w:r>
      <w:r>
        <w:rPr>
          <w:rFonts w:hint="eastAsia" w:ascii="宋体" w:hAnsi="宋体" w:cs="宋体"/>
          <w:sz w:val="24"/>
          <w:u w:val="single"/>
        </w:rPr>
        <w:t>日14点00分00秒</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firstLineChars="200"/>
        <w:rPr>
          <w:rFonts w:ascii="宋体" w:hAnsi="宋体" w:cs="宋体"/>
          <w:sz w:val="24"/>
        </w:rPr>
      </w:pPr>
      <w:bookmarkStart w:id="11" w:name="_Toc28359009"/>
      <w:bookmarkStart w:id="12" w:name="_Toc28359086"/>
      <w:r>
        <w:rPr>
          <w:rFonts w:hint="eastAsia" w:ascii="宋体" w:hAnsi="宋体" w:cs="宋体"/>
          <w:sz w:val="24"/>
        </w:rPr>
        <w:t>名 称：杭州市萧山区第二人民医院</w:t>
      </w:r>
    </w:p>
    <w:p>
      <w:pPr>
        <w:spacing w:line="360" w:lineRule="auto"/>
        <w:ind w:firstLine="480" w:firstLineChars="200"/>
        <w:rPr>
          <w:rFonts w:ascii="宋体" w:hAnsi="宋体" w:cs="宋体"/>
          <w:sz w:val="24"/>
        </w:rPr>
      </w:pPr>
      <w:r>
        <w:rPr>
          <w:rFonts w:hint="eastAsia" w:ascii="宋体" w:hAnsi="宋体" w:cs="宋体"/>
          <w:sz w:val="24"/>
        </w:rPr>
        <w:t xml:space="preserve">地址：杭州市萧山区瓜沥镇东灵路47号 </w:t>
      </w:r>
    </w:p>
    <w:p>
      <w:pPr>
        <w:spacing w:line="360" w:lineRule="auto"/>
        <w:ind w:firstLine="480" w:firstLineChars="200"/>
        <w:rPr>
          <w:rFonts w:ascii="宋体" w:hAnsi="宋体" w:cs="宋体"/>
          <w:sz w:val="24"/>
        </w:rPr>
      </w:pPr>
      <w:r>
        <w:rPr>
          <w:rFonts w:hint="eastAsia" w:ascii="宋体" w:hAnsi="宋体" w:cs="宋体"/>
          <w:sz w:val="24"/>
        </w:rPr>
        <w:t>项目联系人（询问）：陆铭灿</w:t>
      </w:r>
    </w:p>
    <w:p>
      <w:pPr>
        <w:spacing w:line="360" w:lineRule="auto"/>
        <w:ind w:firstLine="480" w:firstLineChars="200"/>
        <w:rPr>
          <w:rFonts w:ascii="宋体" w:hAnsi="宋体" w:cs="宋体"/>
          <w:sz w:val="24"/>
        </w:rPr>
      </w:pPr>
      <w:r>
        <w:rPr>
          <w:rFonts w:hint="eastAsia" w:ascii="宋体" w:hAnsi="宋体" w:cs="宋体"/>
          <w:sz w:val="24"/>
        </w:rPr>
        <w:t>项目联系方式（询问）：18072998889</w:t>
      </w:r>
    </w:p>
    <w:p>
      <w:pPr>
        <w:spacing w:line="360" w:lineRule="auto"/>
        <w:ind w:firstLine="480" w:firstLineChars="200"/>
        <w:rPr>
          <w:rFonts w:ascii="宋体" w:hAnsi="宋体" w:cs="宋体"/>
          <w:sz w:val="24"/>
        </w:rPr>
      </w:pPr>
      <w:r>
        <w:rPr>
          <w:rFonts w:hint="eastAsia" w:ascii="宋体" w:hAnsi="宋体" w:cs="宋体"/>
          <w:sz w:val="24"/>
        </w:rPr>
        <w:t>质疑联系人：杨月汉</w:t>
      </w:r>
    </w:p>
    <w:p>
      <w:pPr>
        <w:spacing w:line="360" w:lineRule="auto"/>
        <w:ind w:firstLine="480" w:firstLineChars="200"/>
        <w:rPr>
          <w:rFonts w:ascii="宋体" w:hAnsi="宋体" w:cs="宋体"/>
          <w:sz w:val="24"/>
        </w:rPr>
      </w:pPr>
      <w:r>
        <w:rPr>
          <w:rFonts w:hint="eastAsia" w:ascii="宋体" w:hAnsi="宋体" w:cs="宋体"/>
          <w:sz w:val="24"/>
        </w:rPr>
        <w:t>质疑联系方式：0571-82577207</w:t>
      </w:r>
    </w:p>
    <w:bookmarkEnd w:id="11"/>
    <w:bookmarkEnd w:id="12"/>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ascii="宋体" w:hAnsi="宋体" w:cs="宋体"/>
          <w:sz w:val="24"/>
        </w:rPr>
      </w:pPr>
      <w:r>
        <w:rPr>
          <w:rFonts w:hint="eastAsia" w:ascii="宋体" w:hAnsi="宋体" w:cs="宋体"/>
          <w:sz w:val="24"/>
        </w:rPr>
        <w:t>名 称：浙江翔实建设项目管理有限公司</w:t>
      </w:r>
    </w:p>
    <w:p>
      <w:pPr>
        <w:spacing w:line="360" w:lineRule="auto"/>
        <w:ind w:firstLine="480" w:firstLineChars="200"/>
        <w:rPr>
          <w:rFonts w:ascii="宋体" w:hAnsi="宋体" w:cs="宋体"/>
          <w:sz w:val="24"/>
        </w:rPr>
      </w:pPr>
      <w:r>
        <w:rPr>
          <w:rFonts w:hint="eastAsia" w:ascii="宋体" w:hAnsi="宋体" w:cs="宋体"/>
          <w:sz w:val="24"/>
        </w:rPr>
        <w:t>地址：杭州市萧山区北干街道金惠路358号汇通大厦4幢6楼</w:t>
      </w:r>
    </w:p>
    <w:p>
      <w:pPr>
        <w:spacing w:line="360" w:lineRule="auto"/>
        <w:ind w:firstLine="480" w:firstLineChars="200"/>
        <w:rPr>
          <w:rFonts w:ascii="宋体" w:hAnsi="宋体" w:cs="宋体"/>
          <w:sz w:val="24"/>
        </w:rPr>
      </w:pPr>
      <w:r>
        <w:rPr>
          <w:rFonts w:hint="eastAsia" w:ascii="宋体" w:hAnsi="宋体" w:cs="宋体"/>
          <w:sz w:val="24"/>
        </w:rPr>
        <w:t>传真：/</w:t>
      </w:r>
    </w:p>
    <w:p>
      <w:pPr>
        <w:spacing w:line="360" w:lineRule="auto"/>
        <w:ind w:firstLine="480" w:firstLineChars="200"/>
        <w:rPr>
          <w:rFonts w:ascii="宋体" w:hAnsi="宋体" w:cs="宋体"/>
          <w:sz w:val="24"/>
        </w:rPr>
      </w:pPr>
      <w:r>
        <w:rPr>
          <w:rFonts w:hint="eastAsia" w:ascii="宋体" w:hAnsi="宋体" w:cs="宋体"/>
          <w:sz w:val="24"/>
        </w:rPr>
        <w:t>项目联系人（询问）：韩超超</w:t>
      </w:r>
    </w:p>
    <w:p>
      <w:pPr>
        <w:spacing w:line="360" w:lineRule="auto"/>
        <w:ind w:firstLine="480" w:firstLineChars="200"/>
        <w:rPr>
          <w:rFonts w:ascii="宋体" w:hAnsi="宋体" w:cs="宋体"/>
          <w:sz w:val="24"/>
        </w:rPr>
      </w:pPr>
      <w:r>
        <w:rPr>
          <w:rFonts w:hint="eastAsia" w:ascii="宋体" w:hAnsi="宋体" w:cs="宋体"/>
          <w:sz w:val="24"/>
        </w:rPr>
        <w:t>项目联系方式（询问）：0571-82858325</w:t>
      </w:r>
    </w:p>
    <w:p>
      <w:pPr>
        <w:spacing w:line="360" w:lineRule="auto"/>
        <w:ind w:firstLine="480" w:firstLineChars="200"/>
        <w:rPr>
          <w:rFonts w:ascii="宋体" w:hAnsi="宋体" w:cs="宋体"/>
          <w:sz w:val="24"/>
        </w:rPr>
      </w:pPr>
      <w:r>
        <w:rPr>
          <w:rFonts w:hint="eastAsia" w:ascii="宋体" w:hAnsi="宋体" w:cs="宋体"/>
          <w:sz w:val="24"/>
        </w:rPr>
        <w:t>质疑联系人：汪嘉烽</w:t>
      </w:r>
    </w:p>
    <w:p>
      <w:pPr>
        <w:spacing w:line="360" w:lineRule="auto"/>
        <w:ind w:firstLine="480" w:firstLineChars="200"/>
        <w:rPr>
          <w:rFonts w:ascii="宋体" w:hAnsi="宋体" w:cs="宋体"/>
          <w:sz w:val="24"/>
        </w:rPr>
      </w:pPr>
      <w:r>
        <w:rPr>
          <w:rFonts w:hint="eastAsia" w:ascii="宋体" w:hAnsi="宋体" w:cs="宋体"/>
          <w:sz w:val="24"/>
        </w:rPr>
        <w:t>质疑联系方式：0571-82858903</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称：萧山区财政局、浙江省政府采购行政裁决服务中心（杭州）</w:t>
      </w:r>
    </w:p>
    <w:p>
      <w:pPr>
        <w:spacing w:line="360" w:lineRule="auto"/>
        <w:ind w:left="237" w:leftChars="113" w:firstLine="180" w:firstLineChars="75"/>
        <w:rPr>
          <w:rFonts w:ascii="宋体" w:hAnsi="宋体" w:cs="宋体"/>
          <w:sz w:val="24"/>
        </w:rPr>
      </w:pPr>
      <w:r>
        <w:rPr>
          <w:rFonts w:hint="eastAsia" w:ascii="宋体" w:hAnsi="宋体" w:cs="宋体"/>
          <w:sz w:val="24"/>
        </w:rPr>
        <w:t>地    址：杭州市上城区四季青街道新业路市民之家G03办公室（快递仅限ems或顺丰）</w:t>
      </w:r>
    </w:p>
    <w:p>
      <w:pPr>
        <w:spacing w:line="360" w:lineRule="auto"/>
        <w:ind w:left="237" w:leftChars="113" w:firstLine="180" w:firstLineChars="75"/>
        <w:rPr>
          <w:rFonts w:ascii="宋体" w:hAnsi="宋体" w:cs="宋体"/>
          <w:sz w:val="24"/>
        </w:rPr>
      </w:pPr>
      <w:r>
        <w:rPr>
          <w:rFonts w:hint="eastAsia" w:ascii="宋体" w:hAnsi="宋体" w:cs="宋体"/>
          <w:sz w:val="24"/>
        </w:rPr>
        <w:t>传   真：/</w:t>
      </w:r>
    </w:p>
    <w:p>
      <w:pPr>
        <w:spacing w:line="360" w:lineRule="auto"/>
        <w:ind w:left="237" w:leftChars="113" w:firstLine="180" w:firstLineChars="75"/>
        <w:rPr>
          <w:rFonts w:ascii="宋体" w:hAnsi="宋体" w:cs="宋体"/>
          <w:sz w:val="24"/>
        </w:rPr>
      </w:pPr>
      <w:r>
        <w:rPr>
          <w:rFonts w:hint="eastAsia" w:ascii="宋体" w:hAnsi="宋体" w:cs="宋体"/>
          <w:sz w:val="24"/>
        </w:rPr>
        <w:t>联系人 ：朱女士/王女士</w:t>
      </w:r>
    </w:p>
    <w:p>
      <w:pPr>
        <w:spacing w:line="360" w:lineRule="auto"/>
        <w:ind w:left="237" w:leftChars="113" w:firstLine="180" w:firstLineChars="75"/>
        <w:rPr>
          <w:rFonts w:ascii="宋体" w:hAnsi="宋体" w:cs="宋体"/>
          <w:sz w:val="24"/>
        </w:rPr>
      </w:pPr>
      <w:r>
        <w:rPr>
          <w:rFonts w:hint="eastAsia" w:ascii="宋体" w:hAnsi="宋体" w:cs="宋体"/>
          <w:sz w:val="24"/>
        </w:rPr>
        <w:t xml:space="preserve">监督投诉电话：0571-85252453 </w:t>
      </w:r>
    </w:p>
    <w:p>
      <w:pPr>
        <w:spacing w:line="360" w:lineRule="auto"/>
        <w:ind w:firstLine="420"/>
        <w:rPr>
          <w:rFonts w:ascii="宋体" w:hAnsi="宋体" w:cs="宋体"/>
          <w:sz w:val="24"/>
        </w:rPr>
      </w:pPr>
      <w:r>
        <w:rPr>
          <w:rFonts w:hint="eastAsia" w:ascii="宋体" w:hAnsi="宋体" w:cs="宋体"/>
          <w:sz w:val="24"/>
        </w:rPr>
        <w:t>政策咨询电话：0571-82756122  （汤先生）</w:t>
      </w:r>
    </w:p>
    <w:p>
      <w:pPr>
        <w:spacing w:line="360" w:lineRule="auto"/>
        <w:rPr>
          <w:rFonts w:ascii="宋体" w:hAnsi="宋体" w:cs="宋体"/>
          <w:sz w:val="24"/>
        </w:rPr>
      </w:pPr>
    </w:p>
    <w:p>
      <w:pPr>
        <w:spacing w:line="360" w:lineRule="auto"/>
        <w:ind w:firstLine="480"/>
        <w:jc w:val="left"/>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rPr>
              <w:t>（1）标的：</w:t>
            </w:r>
            <w:r>
              <w:rPr>
                <w:rFonts w:hint="eastAsia"/>
                <w:u w:val="single"/>
              </w:rPr>
              <w:t>杭州市萧山区第二人民医全院保安服务采购项目</w:t>
            </w:r>
            <w:r>
              <w:rPr>
                <w:rFonts w:hint="eastAsia"/>
              </w:rPr>
              <w:t xml:space="preserve"> ，属于</w:t>
            </w:r>
            <w:r>
              <w:rPr>
                <w:rFonts w:hint="eastAsia"/>
                <w:u w:val="single"/>
              </w:rPr>
              <w:t xml:space="preserve">  租赁和商务服务业  </w:t>
            </w:r>
            <w:r>
              <w:rPr>
                <w:rFonts w:hint="eastAsia"/>
              </w:rPr>
              <w:t>行业；</w:t>
            </w:r>
          </w:p>
          <w:p>
            <w:pPr>
              <w:pStyle w:val="4"/>
              <w:rPr>
                <w:lang w:val="en-US"/>
              </w:rPr>
            </w:pPr>
            <w:r>
              <w:rPr>
                <w:rFonts w:hint="eastAsia"/>
                <w:lang w:val="en-US"/>
              </w:rPr>
              <w:t>……</w:t>
            </w:r>
          </w:p>
          <w:p>
            <w:r>
              <w:rPr>
                <w:rFonts w:hint="eastAsia" w:cs="仿宋"/>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12"/>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r>
              <w:rPr>
                <w:rFonts w:hint="eastAsia" w:ascii="宋体" w:hAnsi="宋体" w:cs="宋体"/>
                <w:kern w:val="0"/>
                <w:sz w:val="24"/>
              </w:rPr>
              <w:br w:type="textWrapping"/>
            </w:r>
            <w:r>
              <w:rPr>
                <w:rFonts w:hint="eastAsia" w:ascii="宋体" w:hAnsi="宋体" w:cs="宋体"/>
                <w:kern w:val="0"/>
                <w:sz w:val="24"/>
              </w:rPr>
              <w:t>优先采购向我国企业转让技术、与我国企业签订消化吸收再创新方案的供应商的进口产品，详见</w:t>
            </w:r>
            <w:r>
              <w:rPr>
                <w:rFonts w:hint="eastAsia" w:ascii="宋体" w:hAnsi="宋体" w:cs="宋体"/>
                <w:kern w:val="0"/>
                <w:sz w:val="24"/>
                <w:u w:val="single"/>
              </w:rPr>
              <w:t>评分标准</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同意将非主体、非关键性的工作分包。</w:t>
            </w:r>
          </w:p>
          <w:p>
            <w:pPr>
              <w:spacing w:line="360" w:lineRule="auto"/>
              <w:rPr>
                <w:rFonts w:ascii="宋体" w:hAnsi="宋体" w:cs="宋体"/>
                <w:sz w:val="24"/>
              </w:rPr>
            </w:pPr>
            <w:sdt>
              <w:sdtPr>
                <w:rPr>
                  <w:rFonts w:hint="eastAsia" w:ascii="宋体" w:hAnsi="宋体" w:cs="宋体"/>
                  <w:kern w:val="0"/>
                  <w:sz w:val="24"/>
                </w:rPr>
                <w:id w:val="1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5"/>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1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pPr>
            <w:sdt>
              <w:sdtPr>
                <w:rPr>
                  <w:rFonts w:hint="eastAsia" w:ascii="宋体" w:hAnsi="宋体" w:cs="宋体"/>
                  <w:kern w:val="0"/>
                  <w:sz w:val="24"/>
                </w:rPr>
                <w:id w:val="1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lang w:val="zh-CN"/>
              </w:rPr>
            </w:pPr>
            <w:sdt>
              <w:sdtPr>
                <w:rPr>
                  <w:rFonts w:hint="eastAsia" w:ascii="宋体" w:hAnsi="宋体" w:cs="宋体"/>
                  <w:kern w:val="0"/>
                  <w:sz w:val="24"/>
                </w:rPr>
                <w:id w:val="2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本项目支持《杭州市萧山区政府采购支持中小企业信用融资暂行办法》。</w:t>
            </w:r>
          </w:p>
          <w:p>
            <w:pPr>
              <w:spacing w:line="360" w:lineRule="auto"/>
              <w:ind w:firstLine="480" w:firstLineChars="200"/>
              <w:jc w:val="left"/>
              <w:rPr>
                <w:rFonts w:ascii="宋体" w:hAnsi="宋体" w:cs="宋体"/>
                <w:sz w:val="24"/>
              </w:rPr>
            </w:pPr>
            <w:r>
              <w:rPr>
                <w:rFonts w:hint="eastAsia" w:ascii="宋体" w:hAnsi="宋体" w:cs="宋体"/>
                <w:snapToGrid w:val="0"/>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szCs w:val="24"/>
              </w:rPr>
            </w:pPr>
            <w:r>
              <w:rPr>
                <w:rFonts w:hint="eastAsia" w:hAnsi="宋体" w:cs="宋体"/>
                <w:kern w:val="28"/>
                <w:sz w:val="24"/>
                <w:szCs w:val="24"/>
              </w:rPr>
              <w:t>本项目备份文件是否收取：可提交备份</w:t>
            </w:r>
          </w:p>
          <w:p>
            <w:pPr>
              <w:pStyle w:val="32"/>
              <w:spacing w:line="360" w:lineRule="auto"/>
              <w:rPr>
                <w:rFonts w:hAnsi="宋体" w:cs="宋体"/>
                <w:b/>
                <w:sz w:val="24"/>
                <w:szCs w:val="24"/>
              </w:rPr>
            </w:pPr>
            <w:r>
              <w:rPr>
                <w:rFonts w:hint="eastAsia" w:hAnsi="宋体" w:cs="宋体"/>
                <w:kern w:val="28"/>
                <w:sz w:val="24"/>
                <w:szCs w:val="24"/>
              </w:rPr>
              <w:t>备份投标文件送达地点：</w:t>
            </w:r>
            <w:r>
              <w:rPr>
                <w:rFonts w:hint="eastAsia" w:hAnsi="宋体" w:cs="宋体"/>
                <w:sz w:val="24"/>
                <w:szCs w:val="24"/>
                <w:u w:val="single"/>
              </w:rPr>
              <w:t xml:space="preserve"> 杭州市萧山区北干街道金惠路358号汇通大厦4幢6楼  </w:t>
            </w:r>
            <w:r>
              <w:rPr>
                <w:rFonts w:hint="eastAsia" w:hAnsi="宋体" w:cs="宋体"/>
                <w:kern w:val="28"/>
                <w:sz w:val="24"/>
                <w:szCs w:val="24"/>
              </w:rPr>
              <w:t>；备份投标文件签收人员联系电话：</w:t>
            </w:r>
            <w:r>
              <w:rPr>
                <w:rFonts w:hint="eastAsia" w:hAnsi="宋体" w:cs="宋体"/>
                <w:sz w:val="24"/>
                <w:szCs w:val="24"/>
                <w:u w:val="single"/>
              </w:rPr>
              <w:t xml:space="preserve"> 韩先生17774015215 </w:t>
            </w:r>
            <w:r>
              <w:rPr>
                <w:rFonts w:hint="eastAsia" w:hAnsi="宋体" w:cs="宋体"/>
                <w:sz w:val="24"/>
                <w:szCs w:val="24"/>
              </w:rPr>
              <w:t>。</w:t>
            </w:r>
            <w:r>
              <w:rPr>
                <w:rFonts w:hint="eastAsia" w:hAnsi="宋体" w:cs="宋体"/>
                <w:b/>
                <w:sz w:val="24"/>
                <w:szCs w:val="24"/>
              </w:rPr>
              <w:t>采购人、采购代理机构不强制或变相强制投标人提交备份投标文件。</w:t>
            </w:r>
          </w:p>
          <w:p>
            <w:pPr>
              <w:pStyle w:val="32"/>
              <w:spacing w:line="360" w:lineRule="auto"/>
              <w:rPr>
                <w:rFonts w:hAnsi="宋体" w:cs="宋体"/>
                <w:kern w:val="28"/>
                <w:sz w:val="24"/>
              </w:rPr>
            </w:pPr>
            <w:r>
              <w:rPr>
                <w:rFonts w:hint="eastAsia" w:hAnsi="宋体" w:cs="宋体"/>
                <w:b/>
                <w:sz w:val="24"/>
                <w:szCs w:val="24"/>
              </w:rPr>
              <w:t>本项目中标单位在领取中标通知书的同时提供纸质的投标文件一正三副。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ascii="宋体" w:hAnsi="宋体" w:cs="宋体"/>
                <w:b/>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szCs w:val="24"/>
              </w:rPr>
            </w:pPr>
            <w:r>
              <w:rPr>
                <w:rFonts w:hint="eastAsia" w:cs="仿宋_GB2312"/>
                <w:sz w:val="22"/>
              </w:rPr>
              <w:t>本项目的招标代理服务费由中标人支付。招标代理服务费计费标准：以中标（成交）金额为计费基准，按计价格[2002]1980号文规定的收费标准计取（不足4000元按4000元收取）。结算方式及时间为：中标人在领取中标通知书前向采购代理机构支付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pPr>
            <w:r>
              <w:rPr>
                <w:rFonts w:hint="eastAsia"/>
              </w:rPr>
              <w:t>14</w:t>
            </w:r>
          </w:p>
        </w:tc>
        <w:tc>
          <w:tcPr>
            <w:tcW w:w="1843" w:type="dxa"/>
            <w:tcBorders>
              <w:top w:val="single" w:color="000000" w:sz="8" w:space="0"/>
              <w:left w:val="single" w:color="000000" w:sz="2" w:space="0"/>
              <w:bottom w:val="single" w:color="000000" w:sz="8" w:space="0"/>
              <w:right w:val="single" w:color="000000" w:sz="8" w:space="0"/>
            </w:tcBorders>
            <w:vAlign w:val="center"/>
          </w:tcPr>
          <w:p>
            <w:r>
              <w:rPr>
                <w:rFonts w:hint="eastAsia" w:cs="仿宋"/>
                <w:b/>
                <w:sz w:val="22"/>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r>
              <w:rPr>
                <w:rFonts w:hint="eastAsia" w:cs="仿宋_GB2312"/>
                <w:sz w:val="22"/>
              </w:rPr>
              <w:t>本项目</w:t>
            </w:r>
            <w:r>
              <w:rPr>
                <w:rFonts w:cs="仿宋_GB2312"/>
                <w:sz w:val="22"/>
              </w:rPr>
              <w:t>由采购人</w:t>
            </w:r>
            <w:r>
              <w:rPr>
                <w:rFonts w:hint="eastAsia" w:cs="仿宋_GB2312"/>
                <w:sz w:val="22"/>
              </w:rPr>
              <w:t>进行</w:t>
            </w:r>
            <w:r>
              <w:rPr>
                <w:rFonts w:cs="仿宋_GB2312"/>
                <w:sz w:val="22"/>
              </w:rPr>
              <w:t>资格文件</w:t>
            </w:r>
            <w:r>
              <w:rPr>
                <w:rFonts w:hint="eastAsia" w:cs="仿宋_GB2312"/>
                <w:sz w:val="22"/>
              </w:rPr>
              <w:t>及</w:t>
            </w:r>
            <w:r>
              <w:rPr>
                <w:rFonts w:cs="仿宋_GB2312"/>
                <w:sz w:val="22"/>
              </w:rPr>
              <w:t>信用信息</w:t>
            </w:r>
            <w:r>
              <w:rPr>
                <w:rFonts w:hint="eastAsia" w:cs="仿宋_GB2312"/>
                <w:sz w:val="22"/>
              </w:rPr>
              <w:t>查询</w:t>
            </w:r>
            <w:r>
              <w:rPr>
                <w:rFonts w:cs="仿宋_GB2312"/>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pPr>
            <w:r>
              <w:rPr>
                <w:rFonts w:hint="eastAsia"/>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cs="仿宋"/>
                <w:b/>
                <w:sz w:val="22"/>
              </w:rPr>
            </w:pPr>
            <w:r>
              <w:rPr>
                <w:rFonts w:hint="eastAsia" w:cs="仿宋"/>
                <w:b/>
                <w:sz w:val="22"/>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sz w:val="22"/>
                <w:u w:val="single"/>
              </w:rPr>
            </w:pPr>
            <w:r>
              <w:rPr>
                <w:rFonts w:hint="eastAsia"/>
                <w:sz w:val="22"/>
              </w:rPr>
              <w:t>采购</w:t>
            </w:r>
            <w:r>
              <w:rPr>
                <w:sz w:val="22"/>
              </w:rPr>
              <w:t>人、</w:t>
            </w:r>
            <w:r>
              <w:rPr>
                <w:rFonts w:hint="eastAsia"/>
                <w:sz w:val="22"/>
              </w:rPr>
              <w:t>采购</w:t>
            </w:r>
            <w:r>
              <w:rPr>
                <w:sz w:val="22"/>
              </w:rPr>
              <w:t>机构质疑接收人</w:t>
            </w:r>
            <w:r>
              <w:rPr>
                <w:rFonts w:hint="eastAsia"/>
                <w:sz w:val="22"/>
              </w:rPr>
              <w:t>、联系方式</w:t>
            </w:r>
            <w:r>
              <w:rPr>
                <w:sz w:val="22"/>
              </w:rPr>
              <w:t>：</w:t>
            </w:r>
            <w:r>
              <w:rPr>
                <w:rFonts w:hint="eastAsia"/>
                <w:sz w:val="22"/>
              </w:rPr>
              <w:t>详见公告</w:t>
            </w:r>
          </w:p>
          <w:p>
            <w:pPr>
              <w:snapToGrid w:val="0"/>
              <w:spacing w:line="360" w:lineRule="auto"/>
              <w:rPr>
                <w:b/>
                <w:sz w:val="22"/>
              </w:rPr>
            </w:pPr>
            <w:r>
              <w:rPr>
                <w:rFonts w:hint="eastAsia"/>
                <w:b/>
                <w:sz w:val="22"/>
              </w:rPr>
              <w:t>线上提交质疑方式：政采云线上质疑路径：项目采购-询问质疑投诉-质疑列表。请使用ca签章在每一页质疑文件中加盖电子公章，上传完整附件。</w:t>
            </w:r>
          </w:p>
          <w:p>
            <w:pPr>
              <w:snapToGrid w:val="0"/>
              <w:spacing w:line="360" w:lineRule="auto"/>
              <w:rPr>
                <w:sz w:val="22"/>
              </w:rPr>
            </w:pPr>
            <w:r>
              <w:rPr>
                <w:rFonts w:hint="eastAsia"/>
                <w:sz w:val="22"/>
              </w:rPr>
              <w:t>本项目涉及资格条件、采购需求、评分办法及采购过程中有关现场考察或开标前答疑会等事项由</w:t>
            </w:r>
            <w:r>
              <w:rPr>
                <w:sz w:val="22"/>
              </w:rPr>
              <w:t>采购人进行答复。</w:t>
            </w:r>
          </w:p>
          <w:p>
            <w:pPr>
              <w:rPr>
                <w:rFonts w:cs="仿宋_GB2312"/>
                <w:sz w:val="22"/>
              </w:rPr>
            </w:pPr>
            <w:r>
              <w:rPr>
                <w:rFonts w:hint="eastAsia"/>
                <w:sz w:val="22"/>
              </w:rPr>
              <w:t>涉及</w:t>
            </w:r>
            <w:r>
              <w:rPr>
                <w:sz w:val="22"/>
              </w:rPr>
              <w:t>流程规范性、组织程序等</w:t>
            </w:r>
            <w:r>
              <w:rPr>
                <w:rFonts w:hint="eastAsia"/>
                <w:sz w:val="22"/>
              </w:rPr>
              <w:t>相关</w:t>
            </w:r>
            <w:r>
              <w:rPr>
                <w:sz w:val="22"/>
              </w:rPr>
              <w:t>事项，由</w:t>
            </w:r>
            <w:r>
              <w:rPr>
                <w:rFonts w:hint="eastAsia"/>
                <w:sz w:val="22"/>
              </w:rPr>
              <w:t>采购</w:t>
            </w:r>
            <w:r>
              <w:rPr>
                <w:sz w:val="22"/>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pPr>
            <w:r>
              <w:rPr>
                <w:rFonts w:hint="eastAsia"/>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cs="仿宋"/>
                <w:b/>
                <w:sz w:val="22"/>
              </w:rPr>
            </w:pPr>
            <w:r>
              <w:rPr>
                <w:rFonts w:hint="eastAsia" w:cs="仿宋"/>
                <w:b/>
                <w:sz w:val="22"/>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rPr>
              <w:t>后</w:t>
            </w:r>
            <w:r>
              <w:t>已有新文件</w:t>
            </w:r>
            <w:r>
              <w:rPr>
                <w:rFonts w:hint="eastAsia"/>
              </w:rPr>
              <w:t>规定</w:t>
            </w:r>
            <w:r>
              <w:t>，按照最新文件执行）。存在隐蔽工程的项目，采购单位及供应商应在货物到货并将实施</w:t>
            </w:r>
            <w:r>
              <w:rPr>
                <w:rFonts w:hint="eastAsia"/>
              </w:rPr>
              <w:t>安装前，申请进行初验收。</w:t>
            </w:r>
          </w:p>
          <w:p>
            <w:r>
              <w:rPr>
                <w:rFonts w:hint="eastAsia"/>
              </w:rPr>
              <w:t>联系电话</w:t>
            </w:r>
            <w:r>
              <w:t>: 0571-83587785/0571-82816012  联系地址: 萧山区通惠北路2-1号302室</w:t>
            </w:r>
          </w:p>
          <w:p>
            <w:pPr>
              <w:rPr>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pPr>
            <w:sdt>
              <w:sdtPr>
                <w:rPr>
                  <w:rFonts w:hint="eastAsia"/>
                </w:rPr>
                <w:id w:val="23"/>
                <w14:checkbox>
                  <w14:checked w14:val="0"/>
                  <w14:checkedState w14:val="00FE" w14:font="Wingdings"/>
                  <w14:uncheckedState w14:val="2610" w14:font="MS Gothic"/>
                </w14:checkbox>
              </w:sdtPr>
              <w:sdtEndPr>
                <w:rPr>
                  <w:rFonts w:hint="eastAsia"/>
                </w:rPr>
              </w:sdtEndPr>
              <w:sdtContent>
                <w:r>
                  <w:rPr>
                    <w:rFonts w:hint="eastAsia"/>
                  </w:rPr>
                  <w:t>☐</w:t>
                </w:r>
              </w:sdtContent>
            </w:sdt>
            <w:r>
              <w:rPr>
                <w:rFonts w:hint="eastAsia"/>
              </w:rPr>
              <w:t>联合体投标的，联合体各方均需按招标文件第四部分评标标准要求提供资信证明文件，否则视为不符合相关要求。</w:t>
            </w:r>
          </w:p>
          <w:p>
            <w:pPr>
              <w:spacing w:line="360" w:lineRule="auto"/>
            </w:pPr>
            <w:sdt>
              <w:sdtPr>
                <w:rPr>
                  <w:rFonts w:hint="eastAsia"/>
                </w:rPr>
                <w:id w:val="1052570136"/>
                <w14:checkbox>
                  <w14:checked w14:val="1"/>
                  <w14:checkedState w14:val="00FE" w14:font="Wingdings"/>
                  <w14:uncheckedState w14:val="2610" w14:font="MS Gothic"/>
                </w14:checkbox>
              </w:sdtPr>
              <w:sdtEndPr>
                <w:rPr>
                  <w:rFonts w:hint="eastAsia"/>
                </w:rPr>
              </w:sdtEndPr>
              <w:sdtContent>
                <w:r>
                  <w:rPr>
                    <w:rFonts w:hint="eastAsia"/>
                  </w:rPr>
                  <w:sym w:font="Wingdings" w:char="F0FE"/>
                </w:r>
              </w:sdtContent>
            </w:sdt>
            <w:r>
              <w:rPr>
                <w:rFonts w:hint="eastAsia"/>
              </w:rPr>
              <w:t>联合体投标的，联合体中有一方或者联合体成员根据分工按招标文件第四部分评标标准要求提供资信证明文件的，视为符合了相关要求。</w:t>
            </w:r>
            <w:r>
              <w:rPr>
                <w:rFonts w:hint="eastAsia"/>
              </w:rPr>
              <w:br w:type="textWrapping"/>
            </w:r>
            <w:r>
              <w:rPr>
                <w:rFonts w:hint="eastAsia" w:cs="Arial" w:asciiTheme="minorEastAsia" w:hAnsiTheme="minorEastAsia" w:eastAsiaTheme="minorEastAsia"/>
                <w:kern w:val="0"/>
                <w:sz w:val="24"/>
              </w:rPr>
              <w:t>评审因素对应的要求视为采购需求的一部分。</w:t>
            </w:r>
          </w:p>
          <w:p>
            <w:pPr>
              <w:spacing w:line="360" w:lineRule="auto"/>
              <w:rPr>
                <w:b/>
                <w:bCs/>
              </w:rPr>
            </w:pPr>
            <w:r>
              <w:rPr>
                <w:rFonts w:hint="eastAsia"/>
                <w:b/>
                <w:bCs/>
              </w:rPr>
              <w:t>严格执行预算限价，项目如涉及办公用房装修、通用办公设备家具的不得超限额标准。（萧财国资【2019】389号）</w:t>
            </w:r>
          </w:p>
          <w:p>
            <w:pPr>
              <w:spacing w:line="360" w:lineRule="auto"/>
            </w:pPr>
            <w:r>
              <w:rPr>
                <w:rFonts w:hint="eastAsia"/>
                <w:b/>
                <w:bCs/>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b/>
                <w:bCs/>
              </w:rPr>
            </w:pPr>
            <w:r>
              <w:rPr>
                <w:rFonts w:hint="eastAsia"/>
                <w:b/>
                <w:bCs/>
              </w:rPr>
              <w:t>本项目每个标项推荐中标候选人数量：1</w:t>
            </w:r>
          </w:p>
        </w:tc>
      </w:tr>
    </w:tbl>
    <w:p>
      <w:pPr>
        <w:snapToGrid w:val="0"/>
        <w:spacing w:line="360" w:lineRule="auto"/>
        <w:jc w:val="center"/>
        <w:rPr>
          <w:rFonts w:ascii="宋体" w:hAnsi="宋体" w:cs="宋体"/>
          <w:b/>
          <w:sz w:val="32"/>
          <w:szCs w:val="20"/>
        </w:rPr>
      </w:pPr>
    </w:p>
    <w:bookmarkEnd w:id="10"/>
    <w:p>
      <w:pPr>
        <w:adjustRightInd/>
        <w:spacing w:line="360" w:lineRule="auto"/>
        <w:outlineLvl w:val="0"/>
        <w:rPr>
          <w:rFonts w:ascii="宋体" w:hAnsi="宋体" w:cs="宋体"/>
          <w:b/>
          <w:sz w:val="32"/>
          <w:szCs w:val="20"/>
        </w:rPr>
      </w:pPr>
      <w:bookmarkStart w:id="13" w:name="第三部分"/>
      <w:bookmarkStart w:id="14" w:name="_Toc164416483"/>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szCs w:val="24"/>
          <w:highlight w:val="cyan"/>
        </w:rPr>
        <w:t>供应商撤回投标不得损害国家利益、社会公共利益、采购人利益、代理机构利益、其他供应商利益，否则，供应商撤销（撤回）投标无效。</w:t>
      </w:r>
      <w:r>
        <w:rPr>
          <w:rFonts w:hint="eastAsia" w:ascii="宋体" w:hAnsi="宋体" w:cs="宋体"/>
          <w:szCs w:val="24"/>
        </w:rPr>
        <w:t>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jc w:val="left"/>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宋体" w:hAnsi="宋体" w:cs="宋体"/>
        </w:rPr>
        <w:br w:type="textWrapping"/>
      </w:r>
      <w:r>
        <w:rPr>
          <w:rFonts w:hint="eastAsia" w:ascii="宋体" w:hAnsi="宋体" w:cs="宋体"/>
        </w:rPr>
        <w:t xml:space="preserve">    </w:t>
      </w:r>
      <w:r>
        <w:rPr>
          <w:rFonts w:hint="eastAsia" w:ascii="宋体" w:hAnsi="宋体" w:cs="宋体"/>
          <w:highlight w:val="cyan"/>
        </w:rPr>
        <w:t>17.4在投标截止时间起至投标有效期届满，供应商投标文件不可撤销。</w:t>
      </w:r>
    </w:p>
    <w:p>
      <w:pPr>
        <w:pStyle w:val="128"/>
        <w:spacing w:before="0"/>
        <w:ind w:firstLine="480"/>
        <w:rPr>
          <w:rFonts w:ascii="宋体" w:hAnsi="宋体" w:cs="宋体"/>
        </w:rPr>
      </w:pP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highlight w:val="cyan"/>
        </w:rPr>
      </w:pPr>
      <w:r>
        <w:rPr>
          <w:rFonts w:hint="eastAsia" w:ascii="宋体" w:hAnsi="宋体" w:cs="宋体"/>
          <w:kern w:val="0"/>
          <w:szCs w:val="24"/>
          <w:highlight w:val="cyan"/>
        </w:rPr>
        <w:t>19.1开标后，采购人将依据法律法规和招标文件的规定，对投标人的资格进行审查。</w:t>
      </w:r>
    </w:p>
    <w:p>
      <w:pPr>
        <w:pStyle w:val="128"/>
        <w:spacing w:before="0"/>
        <w:ind w:firstLine="480"/>
        <w:rPr>
          <w:rFonts w:ascii="宋体" w:hAnsi="宋体" w:cs="宋体"/>
          <w:highlight w:val="cyan"/>
        </w:rPr>
      </w:pPr>
      <w:r>
        <w:rPr>
          <w:rFonts w:hint="eastAsia" w:ascii="宋体" w:hAnsi="宋体" w:cs="宋体"/>
          <w:kern w:val="0"/>
          <w:szCs w:val="24"/>
          <w:highlight w:val="cyan"/>
        </w:rPr>
        <w:t>19.2投标人未按照招标文件要求提供与</w:t>
      </w:r>
      <w:r>
        <w:rPr>
          <w:rFonts w:hint="eastAsia" w:ascii="宋体" w:hAnsi="宋体" w:cs="宋体"/>
          <w:highlight w:val="cyan"/>
        </w:rPr>
        <w:t>资格条件相应的</w:t>
      </w:r>
      <w:r>
        <w:rPr>
          <w:rFonts w:hint="eastAsia" w:ascii="宋体" w:hAnsi="宋体" w:cs="宋体"/>
          <w:kern w:val="0"/>
          <w:szCs w:val="24"/>
          <w:highlight w:val="cyan"/>
        </w:rPr>
        <w:t>有效资格证明材料的，视为</w:t>
      </w:r>
      <w:r>
        <w:rPr>
          <w:rFonts w:hint="eastAsia" w:ascii="宋体" w:hAnsi="宋体" w:cs="宋体"/>
          <w:highlight w:val="cyan"/>
        </w:rPr>
        <w:t>投标人不具备招标文件中规定的资格要求，其投标无效。</w:t>
      </w:r>
    </w:p>
    <w:p>
      <w:pPr>
        <w:pStyle w:val="128"/>
        <w:spacing w:before="0"/>
        <w:ind w:firstLine="480"/>
        <w:rPr>
          <w:rFonts w:ascii="宋体" w:hAnsi="宋体" w:cs="宋体"/>
          <w:highlight w:val="cyan"/>
        </w:rPr>
      </w:pPr>
      <w:r>
        <w:rPr>
          <w:rFonts w:hint="eastAsia" w:ascii="宋体" w:hAnsi="宋体" w:cs="宋体"/>
          <w:kern w:val="0"/>
          <w:szCs w:val="24"/>
          <w:highlight w:val="cyan"/>
        </w:rPr>
        <w:t>19.</w:t>
      </w:r>
      <w:r>
        <w:rPr>
          <w:rFonts w:hint="eastAsia" w:ascii="宋体" w:hAnsi="宋体" w:cs="宋体"/>
          <w:highlight w:val="cyan"/>
        </w:rPr>
        <w:t>3对未通过资格审查的投标人，告知其未通过的原因。</w:t>
      </w:r>
    </w:p>
    <w:p>
      <w:pPr>
        <w:pStyle w:val="128"/>
        <w:spacing w:before="0"/>
        <w:ind w:firstLine="480"/>
        <w:rPr>
          <w:rFonts w:ascii="宋体" w:hAnsi="宋体" w:cs="宋体"/>
        </w:rPr>
      </w:pPr>
      <w:r>
        <w:rPr>
          <w:rFonts w:hint="eastAsia" w:ascii="宋体" w:hAnsi="宋体" w:cs="宋体"/>
          <w:kern w:val="0"/>
          <w:szCs w:val="24"/>
          <w:highlight w:val="cyan"/>
        </w:rPr>
        <w:t>19.</w:t>
      </w:r>
      <w:r>
        <w:rPr>
          <w:rFonts w:hint="eastAsia" w:ascii="宋体" w:hAnsi="宋体" w:cs="宋体"/>
          <w:highlight w:val="cyan"/>
        </w:rPr>
        <w:t>4合格投标人不足3家的，不再评标。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20.1信用信息查询渠道及截止时间：采购人将在资格审查时通过“信用中国”网站(www.creditchina.gov.cn)、中国政府采购网(www.ccgp.gov.cn)渠道查询投标人接受资格时的信用记录。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5"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szCs w:val="24"/>
          <w:highlight w:val="cyan"/>
        </w:rPr>
        <w:t>在采购结果确认环节，中标（成交）候选人撤销投标（响应）文件不能成为采购人不确认采购结果的正当理由。</w:t>
      </w:r>
      <w:r>
        <w:rPr>
          <w:rFonts w:hint="eastAsia" w:ascii="宋体" w:hAnsi="宋体" w:cs="宋体"/>
          <w:szCs w:val="24"/>
        </w:rPr>
        <w:t>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6" w:name="_Hlk101184471"/>
      <w:r>
        <w:rPr>
          <w:rFonts w:hint="eastAsia" w:ascii="宋体" w:hAnsi="宋体" w:cs="宋体"/>
          <w:sz w:val="24"/>
        </w:rPr>
        <w:t>资格审查情况、评审专家抽取规则、符合性审查情况、</w:t>
      </w:r>
      <w:bookmarkEnd w:id="16"/>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Hlt74707468"/>
      <w:bookmarkEnd w:id="17"/>
      <w:bookmarkStart w:id="18" w:name="_Hlt74730295"/>
      <w:bookmarkEnd w:id="18"/>
      <w:bookmarkStart w:id="19" w:name="_Hlt68073093"/>
      <w:bookmarkEnd w:id="19"/>
      <w:bookmarkStart w:id="20" w:name="_Hlt68403820"/>
      <w:bookmarkEnd w:id="20"/>
      <w:bookmarkStart w:id="21" w:name="_Hlt68072998"/>
      <w:bookmarkEnd w:id="21"/>
      <w:bookmarkStart w:id="22" w:name="_Hlt75236101"/>
      <w:bookmarkEnd w:id="22"/>
      <w:bookmarkStart w:id="23" w:name="_Hlt68057669"/>
      <w:bookmarkEnd w:id="23"/>
      <w:bookmarkStart w:id="24" w:name="_Hlt74714665"/>
      <w:bookmarkEnd w:id="24"/>
      <w:bookmarkStart w:id="25" w:name="_Hlt75236290"/>
      <w:bookmarkEnd w:id="25"/>
      <w:bookmarkStart w:id="26" w:name="_Hlt75236011"/>
      <w:bookmarkEnd w:id="26"/>
      <w:bookmarkStart w:id="27" w:name="_Hlt68072990"/>
      <w:bookmarkEnd w:id="27"/>
      <w:bookmarkStart w:id="28" w:name="_Hlt74729768"/>
      <w:bookmarkEnd w:id="28"/>
    </w:p>
    <w:bookmarkEnd w:id="13"/>
    <w:bookmarkEnd w:id="14"/>
    <w:p>
      <w:pPr>
        <w:spacing w:line="360" w:lineRule="auto"/>
        <w:jc w:val="center"/>
        <w:outlineLvl w:val="0"/>
        <w:rPr>
          <w:rFonts w:ascii="宋体" w:hAnsi="宋体" w:cs="宋体"/>
          <w:b/>
          <w:sz w:val="36"/>
          <w:szCs w:val="36"/>
        </w:rPr>
      </w:pPr>
      <w:bookmarkStart w:id="29" w:name="第四部分"/>
      <w:r>
        <w:rPr>
          <w:rFonts w:hint="eastAsia" w:ascii="宋体" w:hAnsi="宋体" w:cs="宋体"/>
          <w:b/>
          <w:sz w:val="36"/>
          <w:szCs w:val="36"/>
        </w:rPr>
        <w:t>第三部分   采购需求</w:t>
      </w:r>
    </w:p>
    <w:p>
      <w:pPr>
        <w:snapToGrid w:val="0"/>
        <w:rPr>
          <w:rStyle w:val="962"/>
        </w:rPr>
      </w:pPr>
      <w:r>
        <w:rPr>
          <w:rStyle w:val="962"/>
          <w:rFonts w:hint="eastAsia"/>
        </w:rPr>
        <w:t>属于实质性要求条款的，请用符号“▲”标明，否则属于非实质性要求。</w:t>
      </w:r>
    </w:p>
    <w:p>
      <w:pPr>
        <w:snapToGrid w:val="0"/>
        <w:rPr>
          <w:rStyle w:val="962"/>
        </w:rPr>
      </w:pPr>
      <w:r>
        <w:rPr>
          <w:rStyle w:val="962"/>
          <w:rFonts w:hint="eastAsia"/>
        </w:rPr>
        <w:t>“★”系产品采购项目中单一产品或核心产品。</w:t>
      </w:r>
    </w:p>
    <w:p>
      <w:pPr>
        <w:pStyle w:val="4"/>
      </w:pPr>
    </w:p>
    <w:p>
      <w:pPr>
        <w:pStyle w:val="4"/>
        <w:numPr>
          <w:ilvl w:val="0"/>
          <w:numId w:val="1"/>
        </w:numPr>
        <w:jc w:val="center"/>
        <w:rPr>
          <w:rFonts w:ascii="宋体" w:hAnsi="宋体" w:eastAsia="宋体" w:cs="宋体"/>
        </w:rPr>
      </w:pPr>
      <w:r>
        <w:rPr>
          <w:rFonts w:hint="eastAsia" w:ascii="宋体" w:hAnsi="宋体" w:eastAsia="宋体" w:cs="宋体"/>
        </w:rPr>
        <w:t>招标一览表</w:t>
      </w:r>
    </w:p>
    <w:p>
      <w:pPr>
        <w:pStyle w:val="5"/>
        <w:rPr>
          <w:rFonts w:ascii="宋体" w:hAnsi="宋体" w:eastAsia="宋体" w:cs="宋体"/>
        </w:rPr>
      </w:pPr>
      <w:r>
        <w:rPr>
          <w:rFonts w:hint="eastAsia" w:ascii="宋体" w:hAnsi="宋体" w:eastAsia="宋体" w:cs="宋体"/>
        </w:rPr>
        <w:t xml:space="preserve">标项一： </w:t>
      </w:r>
    </w:p>
    <w:tbl>
      <w:tblPr>
        <w:tblStyle w:val="62"/>
        <w:tblpPr w:leftFromText="180" w:rightFromText="180" w:vertAnchor="text" w:horzAnchor="margin" w:tblpX="-694" w:tblpY="6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
        <w:gridCol w:w="2694"/>
        <w:gridCol w:w="567"/>
        <w:gridCol w:w="709"/>
        <w:gridCol w:w="1276"/>
        <w:gridCol w:w="197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582" w:type="dxa"/>
            <w:tcMar>
              <w:top w:w="15" w:type="dxa"/>
              <w:left w:w="15" w:type="dxa"/>
              <w:bottom w:w="0" w:type="dxa"/>
              <w:right w:w="15" w:type="dxa"/>
            </w:tcMar>
            <w:vAlign w:val="center"/>
          </w:tcPr>
          <w:p>
            <w:pPr>
              <w:tabs>
                <w:tab w:val="left" w:pos="0"/>
              </w:tabs>
              <w:snapToGrid w:val="0"/>
              <w:jc w:val="center"/>
              <w:rPr>
                <w:rFonts w:ascii="宋体" w:hAnsi="宋体" w:cs="宋体"/>
              </w:rPr>
            </w:pPr>
            <w:r>
              <w:rPr>
                <w:rFonts w:hint="eastAsia" w:ascii="宋体" w:hAnsi="宋体" w:cs="宋体"/>
              </w:rPr>
              <w:t>序号</w:t>
            </w:r>
          </w:p>
        </w:tc>
        <w:tc>
          <w:tcPr>
            <w:tcW w:w="2694" w:type="dxa"/>
            <w:tcMar>
              <w:top w:w="15" w:type="dxa"/>
              <w:left w:w="15" w:type="dxa"/>
              <w:bottom w:w="0" w:type="dxa"/>
              <w:right w:w="15" w:type="dxa"/>
            </w:tcMar>
            <w:vAlign w:val="center"/>
          </w:tcPr>
          <w:p>
            <w:pPr>
              <w:tabs>
                <w:tab w:val="left" w:pos="0"/>
              </w:tabs>
              <w:snapToGrid w:val="0"/>
              <w:jc w:val="center"/>
              <w:rPr>
                <w:rFonts w:ascii="宋体" w:hAnsi="宋体" w:cs="宋体"/>
              </w:rPr>
            </w:pPr>
            <w:r>
              <w:rPr>
                <w:rFonts w:hint="eastAsia" w:ascii="宋体" w:hAnsi="宋体" w:cs="宋体"/>
              </w:rPr>
              <w:t>名称</w:t>
            </w:r>
          </w:p>
        </w:tc>
        <w:tc>
          <w:tcPr>
            <w:tcW w:w="567" w:type="dxa"/>
            <w:tcMar>
              <w:top w:w="15" w:type="dxa"/>
              <w:left w:w="15" w:type="dxa"/>
              <w:bottom w:w="0" w:type="dxa"/>
              <w:right w:w="15" w:type="dxa"/>
            </w:tcMar>
            <w:vAlign w:val="center"/>
          </w:tcPr>
          <w:p>
            <w:pPr>
              <w:tabs>
                <w:tab w:val="left" w:pos="0"/>
              </w:tabs>
              <w:snapToGrid w:val="0"/>
              <w:jc w:val="center"/>
              <w:rPr>
                <w:rFonts w:ascii="宋体" w:hAnsi="宋体" w:cs="宋体"/>
              </w:rPr>
            </w:pPr>
            <w:r>
              <w:rPr>
                <w:rFonts w:hint="eastAsia" w:ascii="宋体" w:hAnsi="宋体" w:cs="宋体"/>
              </w:rPr>
              <w:t>数量</w:t>
            </w:r>
          </w:p>
        </w:tc>
        <w:tc>
          <w:tcPr>
            <w:tcW w:w="709" w:type="dxa"/>
            <w:tcMar>
              <w:top w:w="15" w:type="dxa"/>
              <w:left w:w="15" w:type="dxa"/>
              <w:bottom w:w="0" w:type="dxa"/>
              <w:right w:w="15" w:type="dxa"/>
            </w:tcMar>
            <w:vAlign w:val="center"/>
          </w:tcPr>
          <w:p>
            <w:pPr>
              <w:tabs>
                <w:tab w:val="left" w:pos="0"/>
              </w:tabs>
              <w:snapToGrid w:val="0"/>
              <w:jc w:val="center"/>
              <w:rPr>
                <w:rFonts w:ascii="宋体" w:hAnsi="宋体" w:cs="宋体"/>
              </w:rPr>
            </w:pPr>
            <w:r>
              <w:rPr>
                <w:rFonts w:hint="eastAsia" w:ascii="宋体" w:hAnsi="宋体" w:cs="宋体"/>
              </w:rPr>
              <w:t>单位</w:t>
            </w:r>
          </w:p>
        </w:tc>
        <w:tc>
          <w:tcPr>
            <w:tcW w:w="1276" w:type="dxa"/>
            <w:vAlign w:val="center"/>
          </w:tcPr>
          <w:p>
            <w:pPr>
              <w:tabs>
                <w:tab w:val="left" w:pos="0"/>
              </w:tabs>
              <w:snapToGrid w:val="0"/>
              <w:jc w:val="center"/>
              <w:rPr>
                <w:rFonts w:ascii="宋体" w:hAnsi="宋体" w:cs="宋体"/>
              </w:rPr>
            </w:pPr>
            <w:r>
              <w:rPr>
                <w:rFonts w:hint="eastAsia" w:ascii="宋体" w:hAnsi="宋体" w:cs="宋体"/>
              </w:rPr>
              <w:t>预算（元）</w:t>
            </w:r>
          </w:p>
        </w:tc>
        <w:tc>
          <w:tcPr>
            <w:tcW w:w="1975" w:type="dxa"/>
            <w:vAlign w:val="center"/>
          </w:tcPr>
          <w:p>
            <w:pPr>
              <w:tabs>
                <w:tab w:val="left" w:pos="0"/>
              </w:tabs>
              <w:snapToGrid w:val="0"/>
              <w:jc w:val="center"/>
              <w:rPr>
                <w:rFonts w:ascii="宋体" w:hAnsi="宋体" w:cs="宋体"/>
              </w:rPr>
            </w:pPr>
            <w:r>
              <w:rPr>
                <w:rFonts w:hint="eastAsia" w:ascii="宋体" w:hAnsi="宋体" w:cs="宋体"/>
              </w:rPr>
              <w:t>简要规格描述或基本情况介绍</w:t>
            </w:r>
          </w:p>
        </w:tc>
        <w:tc>
          <w:tcPr>
            <w:tcW w:w="1710" w:type="dxa"/>
            <w:vAlign w:val="center"/>
          </w:tcPr>
          <w:p>
            <w:pPr>
              <w:tabs>
                <w:tab w:val="left" w:pos="0"/>
              </w:tabs>
              <w:snapToGrid w:val="0"/>
              <w:jc w:val="center"/>
              <w:rPr>
                <w:rFonts w:ascii="宋体" w:hAnsi="宋体" w:cs="宋体"/>
              </w:rPr>
            </w:pPr>
            <w:r>
              <w:rPr>
                <w:rFonts w:hint="eastAsia" w:ascii="宋体" w:hAnsi="宋体" w:cs="宋体"/>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582" w:type="dxa"/>
            <w:tcMar>
              <w:top w:w="15" w:type="dxa"/>
              <w:left w:w="15" w:type="dxa"/>
              <w:bottom w:w="0" w:type="dxa"/>
              <w:right w:w="15" w:type="dxa"/>
            </w:tcMar>
            <w:vAlign w:val="center"/>
          </w:tcPr>
          <w:p>
            <w:pPr>
              <w:tabs>
                <w:tab w:val="left" w:pos="0"/>
              </w:tabs>
              <w:jc w:val="center"/>
              <w:rPr>
                <w:rFonts w:ascii="宋体" w:hAnsi="宋体" w:cs="宋体"/>
              </w:rPr>
            </w:pPr>
            <w:r>
              <w:rPr>
                <w:rFonts w:hint="eastAsia" w:ascii="宋体" w:hAnsi="宋体" w:cs="宋体"/>
              </w:rPr>
              <w:t>1</w:t>
            </w:r>
          </w:p>
        </w:tc>
        <w:tc>
          <w:tcPr>
            <w:tcW w:w="2694" w:type="dxa"/>
            <w:tcMar>
              <w:top w:w="15" w:type="dxa"/>
              <w:left w:w="15" w:type="dxa"/>
              <w:bottom w:w="0" w:type="dxa"/>
              <w:right w:w="15" w:type="dxa"/>
            </w:tcMar>
            <w:vAlign w:val="center"/>
          </w:tcPr>
          <w:p>
            <w:pPr>
              <w:jc w:val="center"/>
              <w:textAlignment w:val="center"/>
              <w:rPr>
                <w:rFonts w:ascii="宋体" w:hAnsi="宋体" w:cs="宋体"/>
              </w:rPr>
            </w:pPr>
            <w:r>
              <w:rPr>
                <w:rFonts w:hint="eastAsia" w:ascii="宋体" w:hAnsi="宋体" w:cs="宋体"/>
              </w:rPr>
              <w:t>杭州市萧山区第二人民医全院保安服务采购项目</w:t>
            </w:r>
          </w:p>
        </w:tc>
        <w:tc>
          <w:tcPr>
            <w:tcW w:w="567" w:type="dxa"/>
            <w:tcMar>
              <w:top w:w="15" w:type="dxa"/>
              <w:left w:w="15" w:type="dxa"/>
              <w:bottom w:w="0" w:type="dxa"/>
              <w:right w:w="15" w:type="dxa"/>
            </w:tcMar>
            <w:vAlign w:val="center"/>
          </w:tcPr>
          <w:p>
            <w:pPr>
              <w:jc w:val="center"/>
              <w:textAlignment w:val="center"/>
              <w:rPr>
                <w:rFonts w:ascii="宋体" w:hAnsi="宋体" w:cs="宋体"/>
              </w:rPr>
            </w:pPr>
            <w:r>
              <w:rPr>
                <w:rFonts w:hint="eastAsia" w:ascii="宋体" w:hAnsi="宋体" w:cs="宋体"/>
              </w:rPr>
              <w:t>1</w:t>
            </w:r>
          </w:p>
        </w:tc>
        <w:tc>
          <w:tcPr>
            <w:tcW w:w="709" w:type="dxa"/>
            <w:tcMar>
              <w:top w:w="15" w:type="dxa"/>
              <w:left w:w="15" w:type="dxa"/>
              <w:bottom w:w="0" w:type="dxa"/>
              <w:right w:w="15" w:type="dxa"/>
            </w:tcMar>
            <w:vAlign w:val="center"/>
          </w:tcPr>
          <w:p>
            <w:pPr>
              <w:jc w:val="center"/>
              <w:textAlignment w:val="center"/>
              <w:rPr>
                <w:rFonts w:ascii="宋体" w:hAnsi="宋体" w:cs="宋体"/>
              </w:rPr>
            </w:pPr>
            <w:r>
              <w:rPr>
                <w:rFonts w:hint="eastAsia" w:ascii="宋体" w:hAnsi="宋体" w:cs="宋体"/>
              </w:rPr>
              <w:t>年</w:t>
            </w:r>
          </w:p>
        </w:tc>
        <w:tc>
          <w:tcPr>
            <w:tcW w:w="1276" w:type="dxa"/>
            <w:vAlign w:val="center"/>
          </w:tcPr>
          <w:p>
            <w:pPr>
              <w:jc w:val="center"/>
              <w:textAlignment w:val="center"/>
              <w:rPr>
                <w:rFonts w:ascii="宋体" w:hAnsi="宋体" w:cs="宋体"/>
              </w:rPr>
            </w:pPr>
            <w:r>
              <w:rPr>
                <w:rFonts w:hint="eastAsia" w:ascii="宋体" w:hAnsi="宋体" w:cs="宋体"/>
              </w:rPr>
              <w:t>1500000</w:t>
            </w:r>
          </w:p>
        </w:tc>
        <w:tc>
          <w:tcPr>
            <w:tcW w:w="1975" w:type="dxa"/>
            <w:vAlign w:val="center"/>
          </w:tcPr>
          <w:p>
            <w:pPr>
              <w:tabs>
                <w:tab w:val="left" w:pos="0"/>
              </w:tabs>
              <w:jc w:val="center"/>
              <w:rPr>
                <w:rFonts w:ascii="宋体" w:hAnsi="宋体" w:cs="宋体"/>
              </w:rPr>
            </w:pPr>
            <w:r>
              <w:rPr>
                <w:rFonts w:hint="eastAsia" w:ascii="宋体" w:hAnsi="宋体" w:cs="宋体"/>
                <w:lang w:eastAsia="zh-Hans"/>
              </w:rPr>
              <w:t>二、</w:t>
            </w:r>
            <w:r>
              <w:rPr>
                <w:rFonts w:hint="eastAsia" w:ascii="宋体" w:hAnsi="宋体" w:cs="宋体"/>
              </w:rPr>
              <w:t>招标需求-1、技术需求序号1</w:t>
            </w:r>
          </w:p>
        </w:tc>
        <w:tc>
          <w:tcPr>
            <w:tcW w:w="1710" w:type="dxa"/>
            <w:vAlign w:val="center"/>
          </w:tcPr>
          <w:p>
            <w:pPr>
              <w:jc w:val="center"/>
              <w:textAlignment w:val="center"/>
              <w:rPr>
                <w:rFonts w:ascii="宋体" w:hAnsi="宋体" w:cs="宋体"/>
              </w:rPr>
            </w:pPr>
            <w:r>
              <w:rPr>
                <w:rFonts w:hint="eastAsia" w:ascii="宋体" w:hAnsi="宋体" w:cs="宋体"/>
              </w:rPr>
              <w:t>1500000</w:t>
            </w:r>
          </w:p>
        </w:tc>
      </w:tr>
    </w:tbl>
    <w:p>
      <w:pPr>
        <w:pStyle w:val="61"/>
        <w:ind w:firstLine="480"/>
        <w:rPr>
          <w:sz w:val="24"/>
        </w:rPr>
      </w:pPr>
    </w:p>
    <w:p>
      <w:pPr>
        <w:pStyle w:val="4"/>
        <w:numPr>
          <w:ilvl w:val="0"/>
          <w:numId w:val="1"/>
        </w:numPr>
        <w:jc w:val="center"/>
        <w:rPr>
          <w:rFonts w:ascii="宋体" w:hAnsi="宋体" w:eastAsia="宋体" w:cs="宋体"/>
          <w:sz w:val="24"/>
          <w:szCs w:val="24"/>
        </w:rPr>
      </w:pPr>
      <w:r>
        <w:rPr>
          <w:rFonts w:hint="eastAsia" w:ascii="宋体" w:hAnsi="宋体" w:eastAsia="宋体" w:cs="宋体"/>
          <w:sz w:val="24"/>
          <w:szCs w:val="24"/>
        </w:rPr>
        <w:t>采购需求</w:t>
      </w:r>
    </w:p>
    <w:p>
      <w:pPr>
        <w:autoSpaceDE w:val="0"/>
        <w:autoSpaceDN w:val="0"/>
        <w:spacing w:after="120" w:afterLines="50" w:line="360" w:lineRule="exact"/>
        <w:rPr>
          <w:rFonts w:ascii="宋体" w:hAnsi="宋体" w:cs="宋体"/>
          <w:b/>
          <w:sz w:val="28"/>
          <w:szCs w:val="28"/>
        </w:rPr>
      </w:pPr>
      <w:r>
        <w:rPr>
          <w:rFonts w:hint="eastAsia" w:ascii="宋体" w:hAnsi="宋体" w:cs="宋体"/>
          <w:b/>
          <w:sz w:val="28"/>
          <w:szCs w:val="28"/>
        </w:rPr>
        <w:t>一、技术需求：</w:t>
      </w:r>
    </w:p>
    <w:p>
      <w:pPr>
        <w:spacing w:line="360" w:lineRule="exact"/>
        <w:rPr>
          <w:rFonts w:ascii="宋体" w:hAnsi="宋体" w:cs="宋体"/>
        </w:rPr>
      </w:pPr>
      <w:r>
        <w:rPr>
          <w:rFonts w:hint="eastAsia" w:ascii="宋体" w:hAnsi="宋体" w:cs="宋体"/>
          <w:b/>
        </w:rPr>
        <w:t>（一）医院概况</w:t>
      </w:r>
    </w:p>
    <w:p>
      <w:pPr>
        <w:spacing w:line="360" w:lineRule="exact"/>
        <w:ind w:firstLine="420" w:firstLineChars="200"/>
        <w:rPr>
          <w:rFonts w:ascii="宋体" w:hAnsi="宋体" w:cs="宋体"/>
        </w:rPr>
      </w:pPr>
      <w:r>
        <w:rPr>
          <w:rFonts w:hint="eastAsia" w:ascii="宋体" w:hAnsi="宋体" w:cs="宋体"/>
        </w:rPr>
        <w:t>杭州市萧山区第二人民</w:t>
      </w:r>
      <w:r>
        <w:rPr>
          <w:rFonts w:hint="eastAsia" w:ascii="宋体" w:hAnsi="宋体" w:cs="宋体"/>
          <w:bCs/>
        </w:rPr>
        <w:t>医院</w:t>
      </w:r>
      <w:r>
        <w:rPr>
          <w:rFonts w:hint="eastAsia" w:ascii="宋体" w:hAnsi="宋体" w:cs="宋体"/>
        </w:rPr>
        <w:t>目前占地面积20000余平方米，建筑面积23000余平方米，位于杭州市萧山区瓜沥镇东灵路47号。中标单位须负责院区全方位的消防、安保、停车管理服务。</w:t>
      </w:r>
    </w:p>
    <w:p>
      <w:pPr>
        <w:spacing w:before="120" w:beforeLines="50" w:line="360" w:lineRule="exact"/>
        <w:rPr>
          <w:rFonts w:ascii="宋体" w:hAnsi="宋体" w:cs="宋体"/>
          <w:b/>
        </w:rPr>
      </w:pPr>
      <w:r>
        <w:rPr>
          <w:rFonts w:hint="eastAsia" w:ascii="宋体" w:hAnsi="宋体" w:cs="宋体"/>
          <w:b/>
        </w:rPr>
        <w:t>（二）服务范围</w:t>
      </w:r>
    </w:p>
    <w:p>
      <w:pPr>
        <w:spacing w:line="360" w:lineRule="exact"/>
        <w:ind w:firstLine="420" w:firstLineChars="200"/>
        <w:rPr>
          <w:rFonts w:ascii="宋体" w:hAnsi="宋体" w:cs="宋体"/>
          <w:bCs/>
        </w:rPr>
      </w:pPr>
      <w:r>
        <w:rPr>
          <w:rFonts w:hint="eastAsia" w:ascii="宋体" w:hAnsi="宋体" w:cs="宋体"/>
          <w:bCs/>
        </w:rPr>
        <w:t>服务范围为消防管理、安保服务及停车场管理服务。</w:t>
      </w:r>
    </w:p>
    <w:p>
      <w:pPr>
        <w:spacing w:before="120" w:beforeLines="50" w:line="360" w:lineRule="exact"/>
        <w:rPr>
          <w:rFonts w:ascii="宋体" w:hAnsi="宋体" w:cs="宋体"/>
          <w:b/>
        </w:rPr>
      </w:pPr>
      <w:r>
        <w:rPr>
          <w:rFonts w:hint="eastAsia" w:ascii="宋体" w:hAnsi="宋体" w:cs="宋体"/>
          <w:b/>
        </w:rPr>
        <w:t>（三）总岗位职责</w:t>
      </w:r>
    </w:p>
    <w:p>
      <w:pPr>
        <w:numPr>
          <w:ilvl w:val="0"/>
          <w:numId w:val="2"/>
        </w:numPr>
        <w:spacing w:line="360" w:lineRule="exact"/>
        <w:ind w:left="372" w:leftChars="177"/>
        <w:rPr>
          <w:rFonts w:ascii="宋体" w:hAnsi="宋体" w:cs="宋体"/>
          <w:szCs w:val="21"/>
        </w:rPr>
      </w:pPr>
      <w:r>
        <w:rPr>
          <w:rFonts w:hint="eastAsia" w:ascii="宋体" w:hAnsi="宋体" w:cs="宋体"/>
          <w:szCs w:val="21"/>
        </w:rPr>
        <w:t>上岗人员按规定着装，仪表整洁，精神面貌良好，佩戴服务证上岗，具有一定的急救知识。</w:t>
      </w:r>
    </w:p>
    <w:p>
      <w:pPr>
        <w:numPr>
          <w:ilvl w:val="0"/>
          <w:numId w:val="2"/>
        </w:numPr>
        <w:spacing w:line="360" w:lineRule="exact"/>
        <w:ind w:left="372" w:leftChars="177"/>
        <w:rPr>
          <w:rFonts w:ascii="宋体" w:hAnsi="宋体" w:cs="宋体"/>
          <w:szCs w:val="21"/>
        </w:rPr>
      </w:pPr>
      <w:r>
        <w:rPr>
          <w:rFonts w:hint="eastAsia" w:ascii="宋体" w:hAnsi="宋体" w:cs="宋体"/>
          <w:szCs w:val="21"/>
        </w:rPr>
        <w:t>文明执勤，礼貌待人，语言规范，遇事冷静、主动热情。对不服从管理的人员，应耐心解释、说明，不得用不文明的方式对待任何人，不与他人发生冲突；对不能处置的事件及时向上一级部门汇报。</w:t>
      </w:r>
    </w:p>
    <w:p>
      <w:pPr>
        <w:numPr>
          <w:ilvl w:val="0"/>
          <w:numId w:val="2"/>
        </w:numPr>
        <w:spacing w:line="360" w:lineRule="exact"/>
        <w:ind w:left="372" w:leftChars="177"/>
        <w:rPr>
          <w:rFonts w:ascii="宋体" w:hAnsi="宋体" w:cs="宋体"/>
          <w:szCs w:val="21"/>
        </w:rPr>
      </w:pPr>
      <w:r>
        <w:rPr>
          <w:rFonts w:hint="eastAsia" w:ascii="宋体" w:hAnsi="宋体" w:cs="宋体"/>
          <w:szCs w:val="21"/>
        </w:rPr>
        <w:t>坚守岗位，不得擅离职守，不做与工作无关的事情。</w:t>
      </w:r>
    </w:p>
    <w:p>
      <w:pPr>
        <w:numPr>
          <w:ilvl w:val="0"/>
          <w:numId w:val="2"/>
        </w:numPr>
        <w:spacing w:line="360" w:lineRule="exact"/>
        <w:ind w:left="372" w:leftChars="177"/>
        <w:rPr>
          <w:rFonts w:ascii="宋体" w:hAnsi="宋体" w:cs="宋体"/>
          <w:szCs w:val="21"/>
        </w:rPr>
      </w:pPr>
      <w:r>
        <w:rPr>
          <w:rFonts w:hint="eastAsia" w:ascii="宋体" w:hAnsi="宋体" w:cs="宋体"/>
          <w:szCs w:val="21"/>
        </w:rPr>
        <w:t>熟悉医院环境，掌握医院的相关规章制度及与安保相关的应急处置程序并执行。</w:t>
      </w:r>
    </w:p>
    <w:p>
      <w:pPr>
        <w:numPr>
          <w:ilvl w:val="0"/>
          <w:numId w:val="2"/>
        </w:numPr>
        <w:spacing w:line="360" w:lineRule="exact"/>
        <w:ind w:left="372" w:leftChars="177"/>
        <w:rPr>
          <w:rFonts w:ascii="宋体" w:hAnsi="宋体" w:cs="宋体"/>
          <w:szCs w:val="21"/>
        </w:rPr>
      </w:pPr>
      <w:r>
        <w:rPr>
          <w:rFonts w:hint="eastAsia" w:ascii="宋体" w:hAnsi="宋体" w:cs="宋体"/>
          <w:szCs w:val="21"/>
        </w:rPr>
        <w:t>有主动服务意识，积极为来院人员提供帮助。</w:t>
      </w:r>
    </w:p>
    <w:p>
      <w:pPr>
        <w:numPr>
          <w:ilvl w:val="0"/>
          <w:numId w:val="2"/>
        </w:numPr>
        <w:spacing w:line="360" w:lineRule="exact"/>
        <w:ind w:left="372" w:leftChars="177"/>
        <w:rPr>
          <w:rFonts w:ascii="宋体" w:hAnsi="宋体" w:cs="宋体"/>
          <w:szCs w:val="21"/>
        </w:rPr>
      </w:pPr>
      <w:r>
        <w:rPr>
          <w:rFonts w:hint="eastAsia" w:ascii="宋体" w:hAnsi="宋体" w:cs="宋体"/>
          <w:szCs w:val="21"/>
        </w:rPr>
        <w:t>保障医院重大活动，协助各部门处理各类突发事件，并及时报告。</w:t>
      </w:r>
    </w:p>
    <w:p>
      <w:pPr>
        <w:numPr>
          <w:ilvl w:val="0"/>
          <w:numId w:val="2"/>
        </w:numPr>
        <w:spacing w:line="360" w:lineRule="exact"/>
        <w:ind w:left="372" w:leftChars="177"/>
        <w:rPr>
          <w:rFonts w:ascii="宋体" w:hAnsi="宋体" w:cs="宋体"/>
          <w:szCs w:val="21"/>
        </w:rPr>
      </w:pPr>
      <w:r>
        <w:rPr>
          <w:rFonts w:hint="eastAsia" w:ascii="宋体" w:hAnsi="宋体" w:cs="宋体"/>
          <w:szCs w:val="21"/>
        </w:rPr>
        <w:t>维护医务人员和病人的人身安全，及时处置治安和消防隐患。</w:t>
      </w:r>
    </w:p>
    <w:p>
      <w:pPr>
        <w:numPr>
          <w:ilvl w:val="0"/>
          <w:numId w:val="2"/>
        </w:numPr>
        <w:spacing w:line="360" w:lineRule="exact"/>
        <w:ind w:left="372" w:leftChars="177"/>
        <w:rPr>
          <w:rFonts w:ascii="宋体" w:hAnsi="宋体" w:cs="宋体"/>
          <w:szCs w:val="21"/>
        </w:rPr>
      </w:pPr>
      <w:r>
        <w:rPr>
          <w:rFonts w:hint="eastAsia" w:ascii="宋体" w:hAnsi="宋体" w:cs="宋体"/>
          <w:szCs w:val="21"/>
        </w:rPr>
        <w:t>有高度的警惕性及责任感，发现安全隐患、可疑人员物品等及时盘查上报；对破坏医院形象和声誉的行为及时果断制止并立即上报。</w:t>
      </w:r>
    </w:p>
    <w:p>
      <w:pPr>
        <w:numPr>
          <w:ilvl w:val="0"/>
          <w:numId w:val="2"/>
        </w:numPr>
        <w:spacing w:line="360" w:lineRule="exact"/>
        <w:ind w:left="372" w:leftChars="177"/>
        <w:rPr>
          <w:rFonts w:ascii="宋体" w:hAnsi="宋体" w:cs="宋体"/>
          <w:szCs w:val="21"/>
        </w:rPr>
      </w:pPr>
      <w:r>
        <w:rPr>
          <w:rFonts w:hint="eastAsia" w:ascii="宋体" w:hAnsi="宋体" w:cs="宋体"/>
          <w:szCs w:val="21"/>
        </w:rPr>
        <w:t>接受医院的各项培训任务，熟悉医院**、消防设施分布、灭火器材的摆放位置并会熟练使用；特勤人员掌握防控防暴相关技能。</w:t>
      </w:r>
    </w:p>
    <w:p>
      <w:pPr>
        <w:numPr>
          <w:ilvl w:val="0"/>
          <w:numId w:val="2"/>
        </w:numPr>
        <w:spacing w:line="360" w:lineRule="exact"/>
        <w:ind w:left="372" w:leftChars="177"/>
        <w:rPr>
          <w:rFonts w:ascii="宋体" w:hAnsi="宋体" w:cs="宋体"/>
          <w:szCs w:val="21"/>
        </w:rPr>
      </w:pPr>
      <w:r>
        <w:rPr>
          <w:rFonts w:hint="eastAsia" w:ascii="宋体" w:hAnsi="宋体" w:cs="宋体"/>
          <w:szCs w:val="21"/>
        </w:rPr>
        <w:t>服从公司及保卫科管理，服从工作安排，认真完成保卫科布置的各项任务。</w:t>
      </w:r>
    </w:p>
    <w:p>
      <w:pPr>
        <w:numPr>
          <w:ilvl w:val="0"/>
          <w:numId w:val="2"/>
        </w:numPr>
        <w:spacing w:line="360" w:lineRule="exact"/>
        <w:ind w:left="372" w:leftChars="177"/>
        <w:rPr>
          <w:rFonts w:ascii="宋体" w:hAnsi="宋体" w:cs="宋体"/>
          <w:szCs w:val="21"/>
        </w:rPr>
      </w:pPr>
      <w:r>
        <w:rPr>
          <w:rFonts w:hint="eastAsia" w:ascii="宋体" w:hAnsi="宋体" w:cs="宋体"/>
          <w:szCs w:val="21"/>
        </w:rPr>
        <w:t>做好劝烟工作，责任区内无吸烟现象；工作及休息场所无烟味烟蒂异味等。</w:t>
      </w:r>
    </w:p>
    <w:p>
      <w:pPr>
        <w:numPr>
          <w:ilvl w:val="0"/>
          <w:numId w:val="2"/>
        </w:numPr>
        <w:spacing w:line="360" w:lineRule="exact"/>
        <w:ind w:left="372" w:leftChars="177"/>
        <w:rPr>
          <w:rFonts w:ascii="宋体" w:hAnsi="宋体" w:cs="宋体"/>
          <w:szCs w:val="21"/>
        </w:rPr>
      </w:pPr>
      <w:r>
        <w:rPr>
          <w:rFonts w:hint="eastAsia" w:ascii="宋体" w:hAnsi="宋体" w:cs="宋体"/>
          <w:szCs w:val="21"/>
        </w:rPr>
        <w:t>管辖区内设施摆放整齐，维护保养良好。做好安保设施设备等的日常检查工作，保证所有工作设施设备处于正常工作状态。</w:t>
      </w:r>
    </w:p>
    <w:p>
      <w:pPr>
        <w:numPr>
          <w:ilvl w:val="0"/>
          <w:numId w:val="2"/>
        </w:numPr>
        <w:spacing w:line="360" w:lineRule="exact"/>
        <w:ind w:left="372" w:leftChars="177"/>
        <w:rPr>
          <w:rFonts w:ascii="宋体" w:hAnsi="宋体" w:cs="宋体"/>
          <w:szCs w:val="21"/>
        </w:rPr>
      </w:pPr>
      <w:r>
        <w:rPr>
          <w:rFonts w:hint="eastAsia" w:ascii="宋体" w:hAnsi="宋体" w:cs="宋体"/>
          <w:szCs w:val="21"/>
        </w:rPr>
        <w:t>值班室、岗亭等工作场所卫生整洁，不违规使用电器。</w:t>
      </w:r>
    </w:p>
    <w:p>
      <w:pPr>
        <w:numPr>
          <w:ilvl w:val="0"/>
          <w:numId w:val="2"/>
        </w:numPr>
        <w:spacing w:line="360" w:lineRule="exact"/>
        <w:ind w:left="372" w:leftChars="177"/>
        <w:rPr>
          <w:rFonts w:ascii="宋体" w:hAnsi="宋体" w:cs="宋体"/>
          <w:szCs w:val="21"/>
        </w:rPr>
      </w:pPr>
      <w:r>
        <w:rPr>
          <w:rFonts w:hint="eastAsia" w:ascii="宋体" w:hAnsi="宋体" w:cs="宋体"/>
          <w:szCs w:val="21"/>
        </w:rPr>
        <w:t>做好当班相关记录及交接班工作。</w:t>
      </w:r>
    </w:p>
    <w:p>
      <w:pPr>
        <w:spacing w:line="360" w:lineRule="exact"/>
        <w:rPr>
          <w:rFonts w:ascii="宋体" w:hAnsi="宋体" w:cs="宋体"/>
          <w:b/>
        </w:rPr>
      </w:pPr>
      <w:r>
        <w:rPr>
          <w:rFonts w:hint="eastAsia" w:ascii="宋体" w:hAnsi="宋体" w:cs="宋体"/>
          <w:b/>
        </w:rPr>
        <w:t>（四）服务目标：</w:t>
      </w:r>
    </w:p>
    <w:p>
      <w:pPr>
        <w:spacing w:line="360" w:lineRule="exact"/>
        <w:ind w:firstLine="420" w:firstLineChars="200"/>
        <w:rPr>
          <w:rFonts w:ascii="宋体" w:hAnsi="宋体" w:cs="宋体"/>
        </w:rPr>
      </w:pPr>
      <w:r>
        <w:rPr>
          <w:rFonts w:hint="eastAsia" w:ascii="宋体" w:hAnsi="宋体" w:cs="宋体"/>
        </w:rPr>
        <w:t>1、达到《杭州市萧山区第二人民医院（安保）服务综合考核》进行考核 (详见附件二) ；</w:t>
      </w:r>
    </w:p>
    <w:p>
      <w:pPr>
        <w:spacing w:line="360" w:lineRule="exact"/>
        <w:ind w:firstLine="420" w:firstLineChars="200"/>
        <w:rPr>
          <w:rFonts w:ascii="宋体" w:hAnsi="宋体" w:cs="宋体"/>
        </w:rPr>
      </w:pPr>
      <w:r>
        <w:rPr>
          <w:rFonts w:hint="eastAsia" w:ascii="宋体" w:hAnsi="宋体" w:cs="宋体"/>
        </w:rPr>
        <w:t>2、达到医疗机构安全保卫**工作规范的要求。</w:t>
      </w:r>
    </w:p>
    <w:p>
      <w:pPr>
        <w:spacing w:line="360" w:lineRule="exact"/>
        <w:rPr>
          <w:rFonts w:ascii="宋体" w:hAnsi="宋体" w:cs="宋体"/>
          <w:b/>
        </w:rPr>
      </w:pPr>
      <w:r>
        <w:rPr>
          <w:rFonts w:hint="eastAsia" w:ascii="宋体" w:hAnsi="宋体" w:cs="宋体"/>
          <w:b/>
        </w:rPr>
        <w:t>（五）综合要求：</w:t>
      </w:r>
    </w:p>
    <w:p>
      <w:pPr>
        <w:spacing w:line="360" w:lineRule="exact"/>
        <w:ind w:firstLine="420" w:firstLineChars="200"/>
        <w:rPr>
          <w:rFonts w:ascii="宋体" w:hAnsi="宋体" w:cs="宋体"/>
        </w:rPr>
      </w:pPr>
      <w:r>
        <w:rPr>
          <w:rFonts w:hint="eastAsia" w:ascii="宋体" w:hAnsi="宋体" w:cs="宋体"/>
        </w:rPr>
        <w:t>1、管理规章制度健全，服务质量标准完善，员工管理档案资料齐全；</w:t>
      </w:r>
    </w:p>
    <w:p>
      <w:pPr>
        <w:spacing w:line="360" w:lineRule="exact"/>
        <w:ind w:firstLine="420" w:firstLineChars="200"/>
        <w:rPr>
          <w:rFonts w:ascii="宋体" w:hAnsi="宋体" w:cs="宋体"/>
        </w:rPr>
      </w:pPr>
      <w:r>
        <w:rPr>
          <w:rFonts w:hint="eastAsia" w:ascii="宋体" w:hAnsi="宋体" w:cs="宋体"/>
        </w:rPr>
        <w:t>2、管理组织健全，工作制度落实，安保、消防、车辆管理措施合理，实行全员安保、消防结合的管理模式；</w:t>
      </w:r>
    </w:p>
    <w:p>
      <w:pPr>
        <w:spacing w:line="360" w:lineRule="exact"/>
        <w:ind w:firstLine="420" w:firstLineChars="200"/>
        <w:rPr>
          <w:rFonts w:ascii="宋体" w:hAnsi="宋体" w:cs="宋体"/>
        </w:rPr>
      </w:pPr>
      <w:r>
        <w:rPr>
          <w:rFonts w:hint="eastAsia" w:ascii="宋体" w:hAnsi="宋体" w:cs="宋体"/>
        </w:rPr>
        <w:t>3、制定安全保卫、**、消防安全、车辆安全管理、员工培训等各项工作计划，并组织实施；有定期进行维护交通设施、消防设施、安保设施等措施；</w:t>
      </w:r>
    </w:p>
    <w:p>
      <w:pPr>
        <w:spacing w:line="360" w:lineRule="exact"/>
        <w:ind w:firstLine="420" w:firstLineChars="200"/>
        <w:rPr>
          <w:rFonts w:ascii="宋体" w:hAnsi="宋体" w:cs="宋体"/>
        </w:rPr>
      </w:pPr>
      <w:r>
        <w:rPr>
          <w:rFonts w:hint="eastAsia" w:ascii="宋体" w:hAnsi="宋体" w:cs="宋体"/>
        </w:rPr>
        <w:t>4、全天候负责医院的安保**、消防安全等巡查保卫工作，处置突发事件和协助处理医患纠纷等工作，保持医院正常的医疗秩序，有效保护医务人员的人身安全，保障医院重大活动的保卫等工作；</w:t>
      </w:r>
    </w:p>
    <w:p>
      <w:pPr>
        <w:spacing w:line="360" w:lineRule="exact"/>
        <w:ind w:firstLine="420" w:firstLineChars="200"/>
        <w:rPr>
          <w:rFonts w:ascii="宋体" w:hAnsi="宋体" w:cs="宋体"/>
        </w:rPr>
      </w:pPr>
      <w:r>
        <w:rPr>
          <w:rFonts w:hint="eastAsia" w:ascii="宋体" w:hAnsi="宋体" w:cs="宋体"/>
        </w:rPr>
        <w:t>5、服从医院及公司的双重管理。认真履行岗位职责，执行保安勤务、车辆管理方案，遵守医院的规章制度，服从医院保卫科根据工作需要做出的统一安排调配，遇紧急突发事件发生、医患纠纷、火灾火险、恐怖事件等情况，必须有积极保卫作为；</w:t>
      </w:r>
    </w:p>
    <w:p>
      <w:pPr>
        <w:spacing w:line="360" w:lineRule="exact"/>
        <w:ind w:firstLine="420" w:firstLineChars="200"/>
        <w:rPr>
          <w:rFonts w:ascii="宋体" w:hAnsi="宋体" w:cs="宋体"/>
        </w:rPr>
      </w:pPr>
      <w:r>
        <w:rPr>
          <w:rFonts w:hint="eastAsia" w:ascii="宋体" w:hAnsi="宋体" w:cs="宋体"/>
        </w:rPr>
        <w:t>6、医院有权对保安及车辆管理人员的工作进行检查、督促、考核，并按《</w:t>
      </w:r>
      <w:r>
        <w:rPr>
          <w:rFonts w:hint="eastAsia" w:ascii="宋体" w:hAnsi="宋体" w:cs="宋体"/>
          <w:b/>
        </w:rPr>
        <w:t>杭州市萧山区第二人民医院（安保）服务综合考核表</w:t>
      </w:r>
      <w:r>
        <w:rPr>
          <w:rFonts w:hint="eastAsia" w:ascii="宋体" w:hAnsi="宋体" w:cs="宋体"/>
        </w:rPr>
        <w:t>》，对保安人员进行管理，对不称职的保安提出批评、教育及经济处罚，屡教不改者，医院有权随时向中标人提出更换保安人员；</w:t>
      </w:r>
    </w:p>
    <w:p>
      <w:pPr>
        <w:spacing w:line="360" w:lineRule="exact"/>
        <w:ind w:firstLine="420" w:firstLineChars="200"/>
        <w:rPr>
          <w:rFonts w:ascii="宋体" w:hAnsi="宋体" w:cs="宋体"/>
        </w:rPr>
      </w:pPr>
      <w:r>
        <w:rPr>
          <w:rFonts w:hint="eastAsia" w:ascii="宋体" w:hAnsi="宋体" w:cs="宋体"/>
        </w:rPr>
        <w:t>7、所有保安人员在医院突发事件发生和遭遇自然灾害时必须服从医院领导小组统一指挥；</w:t>
      </w:r>
    </w:p>
    <w:p>
      <w:pPr>
        <w:spacing w:line="360" w:lineRule="exact"/>
        <w:ind w:firstLine="420" w:firstLineChars="200"/>
        <w:rPr>
          <w:rFonts w:ascii="宋体" w:hAnsi="宋体" w:cs="宋体"/>
        </w:rPr>
      </w:pPr>
      <w:r>
        <w:rPr>
          <w:rFonts w:hint="eastAsia" w:ascii="宋体" w:hAnsi="宋体" w:cs="宋体"/>
        </w:rPr>
        <w:t>8、发现具有对人身损害、财物损失和火灾隐患的行为立刻进行阻止和整改；</w:t>
      </w:r>
    </w:p>
    <w:p>
      <w:pPr>
        <w:spacing w:line="360" w:lineRule="exact"/>
        <w:ind w:firstLine="420" w:firstLineChars="200"/>
        <w:rPr>
          <w:rFonts w:ascii="宋体" w:hAnsi="宋体" w:cs="宋体"/>
        </w:rPr>
      </w:pPr>
      <w:r>
        <w:rPr>
          <w:rFonts w:hint="eastAsia" w:ascii="宋体" w:hAnsi="宋体" w:cs="宋体"/>
        </w:rPr>
        <w:t>9、做好控烟工作；</w:t>
      </w:r>
    </w:p>
    <w:p>
      <w:pPr>
        <w:spacing w:line="360" w:lineRule="exact"/>
        <w:ind w:firstLine="420" w:firstLineChars="200"/>
        <w:rPr>
          <w:rFonts w:ascii="宋体" w:hAnsi="宋体" w:cs="宋体"/>
        </w:rPr>
      </w:pPr>
      <w:r>
        <w:rPr>
          <w:rFonts w:hint="eastAsia" w:ascii="宋体" w:hAnsi="宋体" w:cs="宋体"/>
        </w:rPr>
        <w:t>10、员工着装规范，佩戴有相片胸卡，持工作证上岗。</w:t>
      </w:r>
    </w:p>
    <w:p>
      <w:pPr>
        <w:spacing w:line="360" w:lineRule="exact"/>
        <w:rPr>
          <w:rFonts w:ascii="宋体" w:hAnsi="宋体" w:cs="宋体"/>
          <w:b/>
        </w:rPr>
      </w:pPr>
      <w:r>
        <w:rPr>
          <w:rFonts w:hint="eastAsia" w:ascii="宋体" w:hAnsi="宋体" w:cs="宋体"/>
          <w:b/>
        </w:rPr>
        <w:t>（六）人员总体要求：</w:t>
      </w:r>
    </w:p>
    <w:p>
      <w:pPr>
        <w:spacing w:line="360" w:lineRule="exact"/>
        <w:ind w:firstLine="420" w:firstLineChars="200"/>
        <w:rPr>
          <w:rFonts w:ascii="宋体" w:hAnsi="宋体" w:cs="宋体"/>
        </w:rPr>
      </w:pPr>
      <w:r>
        <w:rPr>
          <w:rFonts w:hint="eastAsia" w:ascii="宋体" w:hAnsi="宋体" w:cs="宋体"/>
        </w:rPr>
        <w:t>l、政治素质：拥护党的路线、方针、政策，尊重领导，服从安排，听从指挥，无违法犯罪记录等。爱岗敬业，恪尽职守，遵纪守法，文明执勤，礼貌待人，敢于同违法犯罪现象作斗争；</w:t>
      </w:r>
    </w:p>
    <w:p>
      <w:pPr>
        <w:spacing w:line="360" w:lineRule="exact"/>
        <w:ind w:firstLine="420" w:firstLineChars="200"/>
        <w:rPr>
          <w:rFonts w:ascii="宋体" w:hAnsi="宋体" w:cs="宋体"/>
        </w:rPr>
      </w:pPr>
      <w:r>
        <w:rPr>
          <w:rFonts w:hint="eastAsia" w:ascii="宋体" w:hAnsi="宋体" w:cs="宋体"/>
        </w:rPr>
        <w:t>2、身体条件：要求50%以上安保人员身高不低于165cm，均需有保安上岗证，身体健康，相貌端正，仪表大方，年龄在50周岁及以下（其中特勤人员年龄在45周岁及以下，男性）消控值班员年龄在55周岁以下，有建（构）筑物消防员证，（消控员性别和身高不作要求）。</w:t>
      </w:r>
    </w:p>
    <w:p>
      <w:pPr>
        <w:spacing w:line="360" w:lineRule="exact"/>
        <w:ind w:firstLine="420" w:firstLineChars="200"/>
        <w:rPr>
          <w:rFonts w:ascii="宋体" w:hAnsi="宋体" w:cs="宋体"/>
        </w:rPr>
      </w:pPr>
      <w:r>
        <w:rPr>
          <w:rFonts w:hint="eastAsia" w:ascii="宋体" w:hAnsi="宋体" w:cs="宋体"/>
        </w:rPr>
        <w:t>3、业务技能要求：具备相关法律法规知识及安保知识和消防知识，具备一定的语言和文字表达能力；具备一定的急救技能。</w:t>
      </w:r>
    </w:p>
    <w:p>
      <w:pPr>
        <w:spacing w:line="360" w:lineRule="exact"/>
        <w:ind w:firstLine="420" w:firstLineChars="200"/>
        <w:rPr>
          <w:rFonts w:ascii="宋体" w:hAnsi="宋体" w:cs="宋体"/>
        </w:rPr>
      </w:pPr>
      <w:r>
        <w:rPr>
          <w:rFonts w:hint="eastAsia" w:ascii="宋体" w:hAnsi="宋体" w:cs="宋体"/>
        </w:rPr>
        <w:t>4、有正常劳动技能，初中以上文化程度，具备良好的语言表达及沟通协调能力；</w:t>
      </w:r>
    </w:p>
    <w:p>
      <w:pPr>
        <w:spacing w:line="360" w:lineRule="exact"/>
        <w:ind w:firstLine="420" w:firstLineChars="200"/>
        <w:rPr>
          <w:rFonts w:ascii="宋体" w:hAnsi="宋体" w:cs="宋体"/>
        </w:rPr>
      </w:pPr>
      <w:r>
        <w:rPr>
          <w:rFonts w:hint="eastAsia" w:ascii="宋体" w:hAnsi="宋体" w:cs="宋体"/>
        </w:rPr>
        <w:t>5、各岗位具有有效的上岗证，无传染病或卫生部门规定服务行业限制的其它疾病；</w:t>
      </w:r>
    </w:p>
    <w:p>
      <w:pPr>
        <w:spacing w:line="360" w:lineRule="exact"/>
        <w:ind w:firstLine="420" w:firstLineChars="200"/>
        <w:rPr>
          <w:rFonts w:ascii="宋体" w:hAnsi="宋体" w:cs="宋体"/>
        </w:rPr>
      </w:pPr>
      <w:r>
        <w:rPr>
          <w:rFonts w:hint="eastAsia" w:ascii="宋体" w:hAnsi="宋体" w:cs="宋体"/>
        </w:rPr>
        <w:t>6、项目负责人应持有保安员三级/高级工证具备有较高的政治思想素养和业务水平，有较强的组织协调能力，受过专门的保安业务培训，有一定保安管理经验。年龄在50周岁及以下，身体健康，没有传染病及精神病等不能控制自己行为能力的疾病病史，体貌端正，没有犯罪记录，具有高中及以上文化程度。</w:t>
      </w:r>
    </w:p>
    <w:p>
      <w:pPr>
        <w:spacing w:line="360" w:lineRule="exact"/>
        <w:rPr>
          <w:rFonts w:ascii="宋体" w:hAnsi="宋体" w:cs="宋体"/>
          <w:b/>
        </w:rPr>
      </w:pPr>
      <w:r>
        <w:rPr>
          <w:rFonts w:hint="eastAsia" w:ascii="宋体" w:hAnsi="宋体" w:cs="宋体"/>
          <w:b/>
        </w:rPr>
        <w:t>▲（七）安保人员岗位需求及主要职责见下表</w:t>
      </w:r>
    </w:p>
    <w:p>
      <w:pPr>
        <w:jc w:val="center"/>
        <w:rPr>
          <w:rFonts w:ascii="宋体" w:hAnsi="宋体" w:cs="宋体"/>
          <w:bCs/>
          <w:szCs w:val="21"/>
        </w:rPr>
      </w:pPr>
    </w:p>
    <w:tbl>
      <w:tblPr>
        <w:tblStyle w:val="62"/>
        <w:tblW w:w="9066" w:type="dxa"/>
        <w:tblInd w:w="114" w:type="dxa"/>
        <w:tblLayout w:type="fixed"/>
        <w:tblCellMar>
          <w:top w:w="0" w:type="dxa"/>
          <w:left w:w="108" w:type="dxa"/>
          <w:bottom w:w="0" w:type="dxa"/>
          <w:right w:w="108" w:type="dxa"/>
        </w:tblCellMar>
      </w:tblPr>
      <w:tblGrid>
        <w:gridCol w:w="705"/>
        <w:gridCol w:w="990"/>
        <w:gridCol w:w="709"/>
        <w:gridCol w:w="4394"/>
        <w:gridCol w:w="2268"/>
      </w:tblGrid>
      <w:tr>
        <w:tblPrEx>
          <w:tblCellMar>
            <w:top w:w="0" w:type="dxa"/>
            <w:left w:w="108" w:type="dxa"/>
            <w:bottom w:w="0" w:type="dxa"/>
            <w:right w:w="108" w:type="dxa"/>
          </w:tblCellMar>
        </w:tblPrEx>
        <w:trPr>
          <w:trHeight w:val="851" w:hRule="exact"/>
        </w:trPr>
        <w:tc>
          <w:tcPr>
            <w:tcW w:w="16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岗位位置</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Cs w:val="21"/>
              </w:rPr>
            </w:pPr>
            <w:r>
              <w:rPr>
                <w:rFonts w:hint="eastAsia" w:ascii="宋体" w:hAnsi="宋体" w:cs="宋体"/>
                <w:b/>
                <w:bCs/>
                <w:szCs w:val="21"/>
              </w:rPr>
              <w:t>岗位</w:t>
            </w:r>
          </w:p>
          <w:p>
            <w:pPr>
              <w:jc w:val="center"/>
              <w:rPr>
                <w:rFonts w:ascii="宋体" w:hAnsi="宋体" w:cs="宋体"/>
                <w:b/>
                <w:bCs/>
                <w:szCs w:val="21"/>
              </w:rPr>
            </w:pPr>
            <w:r>
              <w:rPr>
                <w:rFonts w:hint="eastAsia" w:ascii="宋体" w:hAnsi="宋体" w:cs="宋体"/>
                <w:b/>
                <w:bCs/>
                <w:szCs w:val="21"/>
              </w:rPr>
              <w:t>人数</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主要职责</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Cs w:val="21"/>
              </w:rPr>
            </w:pPr>
            <w:r>
              <w:rPr>
                <w:rFonts w:hint="eastAsia" w:ascii="宋体" w:hAnsi="宋体" w:cs="宋体"/>
                <w:b/>
                <w:bCs/>
                <w:szCs w:val="21"/>
              </w:rPr>
              <w:t>作息时间</w:t>
            </w:r>
          </w:p>
        </w:tc>
      </w:tr>
      <w:tr>
        <w:tblPrEx>
          <w:tblCellMar>
            <w:top w:w="0" w:type="dxa"/>
            <w:left w:w="108" w:type="dxa"/>
            <w:bottom w:w="0" w:type="dxa"/>
            <w:right w:w="108" w:type="dxa"/>
          </w:tblCellMar>
        </w:tblPrEx>
        <w:trPr>
          <w:trHeight w:val="1641" w:hRule="exact"/>
        </w:trPr>
        <w:tc>
          <w:tcPr>
            <w:tcW w:w="169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保安队长</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Cs w:val="21"/>
              </w:rPr>
            </w:pPr>
            <w:r>
              <w:rPr>
                <w:rFonts w:hint="eastAsia" w:ascii="宋体" w:hAnsi="宋体" w:cs="宋体"/>
                <w:szCs w:val="21"/>
              </w:rPr>
              <w:t>1人</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服从医院管理，协助相关负责人做好医院安保队伍管理工作，加强对安保人员的检查和考核，确保各类防护器械能正常使用，及时处理矛盾纠纷，定期组织开展反恐防暴应急演练。</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cs="宋体"/>
                <w:szCs w:val="21"/>
              </w:rPr>
            </w:pPr>
            <w:bookmarkStart w:id="30" w:name="OLE_LINK1"/>
            <w:r>
              <w:rPr>
                <w:rFonts w:hint="eastAsia" w:ascii="宋体" w:hAnsi="宋体" w:cs="宋体"/>
                <w:szCs w:val="21"/>
              </w:rPr>
              <w:t>原则上行政时间，特殊情况应随叫随到。</w:t>
            </w:r>
          </w:p>
          <w:p>
            <w:pPr>
              <w:spacing w:line="320" w:lineRule="exact"/>
              <w:jc w:val="center"/>
              <w:rPr>
                <w:rFonts w:ascii="宋体" w:hAnsi="宋体" w:cs="宋体"/>
                <w:szCs w:val="21"/>
              </w:rPr>
            </w:pPr>
            <w:r>
              <w:rPr>
                <w:rFonts w:hint="eastAsia" w:ascii="宋体" w:hAnsi="宋体" w:cs="宋体"/>
                <w:szCs w:val="21"/>
              </w:rPr>
              <w:t>上午 07:30-11:30</w:t>
            </w:r>
          </w:p>
          <w:p>
            <w:pPr>
              <w:spacing w:line="320" w:lineRule="exact"/>
              <w:jc w:val="center"/>
              <w:rPr>
                <w:rFonts w:ascii="宋体" w:hAnsi="宋体" w:cs="宋体"/>
                <w:szCs w:val="21"/>
              </w:rPr>
            </w:pPr>
            <w:r>
              <w:rPr>
                <w:rFonts w:hint="eastAsia" w:ascii="宋体" w:hAnsi="宋体" w:cs="宋体"/>
                <w:szCs w:val="21"/>
              </w:rPr>
              <w:t>下午 13:00-17:00</w:t>
            </w:r>
            <w:bookmarkEnd w:id="30"/>
          </w:p>
        </w:tc>
      </w:tr>
      <w:tr>
        <w:tblPrEx>
          <w:tblCellMar>
            <w:top w:w="0" w:type="dxa"/>
            <w:left w:w="108" w:type="dxa"/>
            <w:bottom w:w="0" w:type="dxa"/>
            <w:right w:w="108" w:type="dxa"/>
          </w:tblCellMar>
        </w:tblPrEx>
        <w:trPr>
          <w:trHeight w:val="1422" w:hRule="exact"/>
        </w:trPr>
        <w:tc>
          <w:tcPr>
            <w:tcW w:w="705" w:type="dxa"/>
            <w:vMerge w:val="restart"/>
            <w:tcBorders>
              <w:left w:val="single" w:color="000000"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保安人员</w:t>
            </w:r>
          </w:p>
        </w:tc>
        <w:tc>
          <w:tcPr>
            <w:tcW w:w="9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西大门出口</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3人</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负责西大门进出人员车辆的通行秩序；管控西大门的治安状况，对可疑人员及物品进行检查，发生应急事件时控制大门，及时上报；配合公安做好相关工作。</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p>
          <w:p>
            <w:pPr>
              <w:spacing w:line="320" w:lineRule="exact"/>
              <w:jc w:val="center"/>
              <w:rPr>
                <w:rFonts w:ascii="宋体" w:hAnsi="宋体" w:cs="宋体"/>
                <w:szCs w:val="21"/>
              </w:rPr>
            </w:pPr>
            <w:r>
              <w:rPr>
                <w:rFonts w:hint="eastAsia" w:ascii="宋体" w:hAnsi="宋体" w:cs="宋体"/>
                <w:szCs w:val="21"/>
              </w:rPr>
              <w:t>7:00-次日7:00（1岗）</w:t>
            </w:r>
          </w:p>
        </w:tc>
      </w:tr>
      <w:tr>
        <w:tblPrEx>
          <w:tblCellMar>
            <w:top w:w="0" w:type="dxa"/>
            <w:left w:w="108" w:type="dxa"/>
            <w:bottom w:w="0" w:type="dxa"/>
            <w:right w:w="108" w:type="dxa"/>
          </w:tblCellMar>
        </w:tblPrEx>
        <w:trPr>
          <w:trHeight w:val="1131"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东大门出口</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1人</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负责离院车辆、进出人员的通行秩序；做好治安防范，对可疑人员及物品进行检查，发生应急事件时控制大门，及时上报。</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 xml:space="preserve">上午 07:30-11:30 </w:t>
            </w:r>
          </w:p>
          <w:p>
            <w:pPr>
              <w:spacing w:line="320" w:lineRule="exact"/>
              <w:jc w:val="center"/>
              <w:rPr>
                <w:rFonts w:ascii="宋体" w:hAnsi="宋体" w:cs="宋体"/>
                <w:szCs w:val="21"/>
              </w:rPr>
            </w:pPr>
            <w:r>
              <w:rPr>
                <w:rFonts w:hint="eastAsia" w:ascii="宋体" w:hAnsi="宋体" w:cs="宋体"/>
                <w:szCs w:val="21"/>
              </w:rPr>
              <w:t>下午 13:00-17:00</w:t>
            </w:r>
          </w:p>
        </w:tc>
      </w:tr>
      <w:tr>
        <w:tblPrEx>
          <w:tblCellMar>
            <w:top w:w="0" w:type="dxa"/>
            <w:left w:w="108" w:type="dxa"/>
            <w:bottom w:w="0" w:type="dxa"/>
            <w:right w:w="108" w:type="dxa"/>
          </w:tblCellMar>
        </w:tblPrEx>
        <w:trPr>
          <w:trHeight w:val="1133"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医院</w:t>
            </w:r>
          </w:p>
          <w:p>
            <w:pPr>
              <w:spacing w:line="320" w:lineRule="exact"/>
              <w:jc w:val="center"/>
              <w:rPr>
                <w:rFonts w:ascii="宋体" w:hAnsi="宋体" w:cs="宋体"/>
                <w:szCs w:val="21"/>
              </w:rPr>
            </w:pPr>
            <w:r>
              <w:rPr>
                <w:rFonts w:hint="eastAsia" w:ascii="宋体" w:hAnsi="宋体" w:cs="宋体"/>
                <w:szCs w:val="21"/>
              </w:rPr>
              <w:t>广场</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2人</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负责维护广场秩序，引导车辆停放、通行，及时劝阻吸烟人员，协助处置各类突发事件。</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 xml:space="preserve">上午 07:30-11:30 </w:t>
            </w:r>
          </w:p>
          <w:p>
            <w:pPr>
              <w:spacing w:line="320" w:lineRule="exact"/>
              <w:jc w:val="center"/>
              <w:rPr>
                <w:rFonts w:ascii="宋体" w:hAnsi="宋体" w:cs="宋体"/>
                <w:szCs w:val="21"/>
              </w:rPr>
            </w:pPr>
            <w:r>
              <w:rPr>
                <w:rFonts w:hint="eastAsia" w:ascii="宋体" w:hAnsi="宋体" w:cs="宋体"/>
                <w:szCs w:val="21"/>
              </w:rPr>
              <w:t>下午 13:00-17:00</w:t>
            </w:r>
          </w:p>
        </w:tc>
      </w:tr>
      <w:tr>
        <w:tblPrEx>
          <w:tblCellMar>
            <w:top w:w="0" w:type="dxa"/>
            <w:left w:w="108" w:type="dxa"/>
            <w:bottom w:w="0" w:type="dxa"/>
            <w:right w:w="108" w:type="dxa"/>
          </w:tblCellMar>
        </w:tblPrEx>
        <w:trPr>
          <w:trHeight w:val="851"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门急诊门口</w:t>
            </w:r>
          </w:p>
        </w:tc>
        <w:tc>
          <w:tcPr>
            <w:tcW w:w="709"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1人</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负责管辖区域秩序和安全，确保120及特殊车辆通行通畅，协助处置突发事件。</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 xml:space="preserve">上午 07:30-11:30 </w:t>
            </w:r>
          </w:p>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szCs w:val="21"/>
              </w:rPr>
              <w:t>下午 13:00-17:00</w:t>
            </w:r>
          </w:p>
        </w:tc>
      </w:tr>
      <w:tr>
        <w:tblPrEx>
          <w:tblCellMar>
            <w:top w:w="0" w:type="dxa"/>
            <w:left w:w="108" w:type="dxa"/>
            <w:bottom w:w="0" w:type="dxa"/>
            <w:right w:w="108" w:type="dxa"/>
          </w:tblCellMar>
        </w:tblPrEx>
        <w:trPr>
          <w:trHeight w:val="860"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急诊</w:t>
            </w:r>
          </w:p>
          <w:p>
            <w:pPr>
              <w:spacing w:line="320" w:lineRule="exact"/>
              <w:jc w:val="center"/>
              <w:rPr>
                <w:rFonts w:ascii="宋体" w:hAnsi="宋体" w:cs="宋体"/>
                <w:szCs w:val="21"/>
              </w:rPr>
            </w:pPr>
            <w:r>
              <w:rPr>
                <w:rFonts w:hint="eastAsia" w:ascii="宋体" w:hAnsi="宋体" w:cs="宋体"/>
                <w:szCs w:val="21"/>
              </w:rPr>
              <w:t>大厅</w:t>
            </w:r>
          </w:p>
        </w:tc>
        <w:tc>
          <w:tcPr>
            <w:tcW w:w="709"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3人</w:t>
            </w:r>
          </w:p>
        </w:tc>
        <w:tc>
          <w:tcPr>
            <w:tcW w:w="4394" w:type="dxa"/>
            <w:tcBorders>
              <w:top w:val="single" w:color="000000" w:sz="4" w:space="0"/>
              <w:left w:val="single" w:color="auto"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负责管辖区域秩序和安全，协助医务人员抢救转运患者，提供服务指导，及时处置突发事件。</w:t>
            </w:r>
          </w:p>
        </w:tc>
        <w:tc>
          <w:tcPr>
            <w:tcW w:w="2268" w:type="dxa"/>
            <w:tcBorders>
              <w:top w:val="single" w:color="000000" w:sz="4" w:space="0"/>
              <w:left w:val="single" w:color="000000" w:sz="4" w:space="0"/>
              <w:right w:val="single" w:color="000000"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7:00-次日7:00（1岗)</w:t>
            </w:r>
          </w:p>
        </w:tc>
      </w:tr>
      <w:tr>
        <w:tblPrEx>
          <w:tblCellMar>
            <w:top w:w="0" w:type="dxa"/>
            <w:left w:w="108" w:type="dxa"/>
            <w:bottom w:w="0" w:type="dxa"/>
            <w:right w:w="108" w:type="dxa"/>
          </w:tblCellMar>
        </w:tblPrEx>
        <w:trPr>
          <w:trHeight w:val="1552"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特勤</w:t>
            </w:r>
          </w:p>
          <w:p>
            <w:pPr>
              <w:spacing w:line="320" w:lineRule="exact"/>
              <w:jc w:val="center"/>
              <w:rPr>
                <w:rFonts w:ascii="宋体" w:hAnsi="宋体" w:cs="宋体"/>
                <w:szCs w:val="21"/>
              </w:rPr>
            </w:pPr>
            <w:r>
              <w:rPr>
                <w:rFonts w:hint="eastAsia" w:ascii="宋体" w:hAnsi="宋体" w:cs="宋体"/>
                <w:szCs w:val="21"/>
              </w:rPr>
              <w:t>机动</w:t>
            </w:r>
          </w:p>
        </w:tc>
        <w:tc>
          <w:tcPr>
            <w:tcW w:w="709" w:type="dxa"/>
            <w:tcBorders>
              <w:top w:val="single" w:color="auto" w:sz="4" w:space="0"/>
              <w:left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3人</w:t>
            </w:r>
          </w:p>
        </w:tc>
        <w:tc>
          <w:tcPr>
            <w:tcW w:w="4394" w:type="dxa"/>
            <w:tcBorders>
              <w:top w:val="single" w:color="000000" w:sz="4" w:space="0"/>
              <w:left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负责每2小时对全院进行消防、治安巡查，维持行政时间门诊大厅秩序，负责全院突发事件的处置，为微型消防站灭火战斗员，及其他招标人安排的工作。</w:t>
            </w:r>
          </w:p>
        </w:tc>
        <w:tc>
          <w:tcPr>
            <w:tcW w:w="2268" w:type="dxa"/>
            <w:tcBorders>
              <w:top w:val="single" w:color="000000" w:sz="4" w:space="0"/>
              <w:left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color w:val="000000" w:themeColor="text1"/>
                <w:szCs w:val="21"/>
                <w14:textFill>
                  <w14:solidFill>
                    <w14:schemeClr w14:val="tx1"/>
                  </w14:solidFill>
                </w14:textFill>
              </w:rPr>
              <w:t>7:00-次日7:00（1岗)</w:t>
            </w:r>
          </w:p>
        </w:tc>
      </w:tr>
      <w:tr>
        <w:tblPrEx>
          <w:tblCellMar>
            <w:top w:w="0" w:type="dxa"/>
            <w:left w:w="108" w:type="dxa"/>
            <w:bottom w:w="0" w:type="dxa"/>
            <w:right w:w="108" w:type="dxa"/>
          </w:tblCellMar>
        </w:tblPrEx>
        <w:trPr>
          <w:trHeight w:val="423"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消控</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3人</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负责消控室值班。</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7:00-次日7:00（1岗）</w:t>
            </w:r>
          </w:p>
        </w:tc>
      </w:tr>
      <w:tr>
        <w:tblPrEx>
          <w:tblCellMar>
            <w:top w:w="0" w:type="dxa"/>
            <w:left w:w="108" w:type="dxa"/>
            <w:bottom w:w="0" w:type="dxa"/>
            <w:right w:w="108" w:type="dxa"/>
          </w:tblCellMar>
        </w:tblPrEx>
        <w:trPr>
          <w:trHeight w:val="851" w:hRule="exact"/>
        </w:trPr>
        <w:tc>
          <w:tcPr>
            <w:tcW w:w="705" w:type="dxa"/>
            <w:vMerge w:val="continue"/>
            <w:tcBorders>
              <w:left w:val="single" w:color="000000" w:sz="4" w:space="0"/>
              <w:right w:val="single" w:color="auto" w:sz="4" w:space="0"/>
            </w:tcBorders>
            <w:vAlign w:val="center"/>
          </w:tcPr>
          <w:p>
            <w:pPr>
              <w:spacing w:line="320" w:lineRule="exact"/>
              <w:jc w:val="center"/>
              <w:rPr>
                <w:rFonts w:ascii="宋体" w:hAnsi="宋体" w:cs="宋体"/>
                <w:szCs w:val="21"/>
              </w:rPr>
            </w:pPr>
          </w:p>
        </w:tc>
        <w:tc>
          <w:tcPr>
            <w:tcW w:w="9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合计</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r>
              <w:rPr>
                <w:rFonts w:hint="eastAsia" w:ascii="宋体" w:hAnsi="宋体" w:cs="宋体"/>
                <w:szCs w:val="21"/>
              </w:rPr>
              <w:t>17</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Cs w:val="21"/>
              </w:rPr>
            </w:pPr>
            <w:r>
              <w:rPr>
                <w:rFonts w:hint="eastAsia" w:ascii="宋体" w:hAnsi="宋体" w:cs="宋体"/>
                <w:szCs w:val="21"/>
              </w:rPr>
              <w:t>实际到岗人员。</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p>
        </w:tc>
      </w:tr>
      <w:tr>
        <w:tblPrEx>
          <w:tblCellMar>
            <w:top w:w="0" w:type="dxa"/>
            <w:left w:w="108" w:type="dxa"/>
            <w:bottom w:w="0" w:type="dxa"/>
            <w:right w:w="108" w:type="dxa"/>
          </w:tblCellMar>
        </w:tblPrEx>
        <w:trPr>
          <w:trHeight w:val="851" w:hRule="exact"/>
        </w:trPr>
        <w:tc>
          <w:tcPr>
            <w:tcW w:w="705" w:type="dxa"/>
            <w:vMerge w:val="continue"/>
            <w:tcBorders>
              <w:left w:val="single" w:color="000000"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8361" w:type="dxa"/>
            <w:gridSpan w:val="4"/>
            <w:tcBorders>
              <w:top w:val="single" w:color="000000" w:sz="4" w:space="0"/>
              <w:left w:val="single" w:color="auto" w:sz="4" w:space="0"/>
              <w:bottom w:val="single" w:color="auto" w:sz="4" w:space="0"/>
              <w:right w:val="single" w:color="000000" w:sz="4" w:space="0"/>
            </w:tcBorders>
            <w:vAlign w:val="center"/>
          </w:tcPr>
          <w:p>
            <w:pPr>
              <w:spacing w:line="320" w:lineRule="exact"/>
              <w:rPr>
                <w:rFonts w:ascii="宋体" w:hAnsi="宋体" w:cs="宋体"/>
                <w:b/>
                <w:bCs/>
                <w:szCs w:val="21"/>
              </w:rPr>
            </w:pPr>
            <w:r>
              <w:rPr>
                <w:rFonts w:hint="eastAsia" w:ascii="宋体" w:hAnsi="宋体" w:cs="宋体"/>
                <w:b/>
                <w:bCs/>
                <w:szCs w:val="21"/>
              </w:rPr>
              <w:t>项目每天需要保安17名，合理配备保安人数不少于20名，确保每周休息1日天。</w:t>
            </w:r>
          </w:p>
          <w:p>
            <w:pPr>
              <w:spacing w:line="320" w:lineRule="exact"/>
              <w:rPr>
                <w:rFonts w:ascii="宋体" w:hAnsi="宋体" w:cs="宋体"/>
                <w:b/>
                <w:bCs/>
                <w:szCs w:val="21"/>
              </w:rPr>
            </w:pPr>
            <w:r>
              <w:rPr>
                <w:rFonts w:hint="eastAsia" w:ascii="宋体" w:hAnsi="宋体" w:cs="宋体"/>
                <w:b/>
                <w:bCs/>
                <w:szCs w:val="21"/>
              </w:rPr>
              <w:t>其中要求女保安一名，50周岁以下；男性要求55周岁以下，消控室要求有消控证。</w:t>
            </w:r>
          </w:p>
        </w:tc>
      </w:tr>
    </w:tbl>
    <w:p>
      <w:pPr>
        <w:ind w:firstLine="211" w:firstLineChars="100"/>
        <w:rPr>
          <w:rFonts w:ascii="宋体" w:hAnsi="宋体" w:cs="宋体"/>
          <w:b/>
          <w:bCs/>
        </w:rPr>
      </w:pPr>
      <w:r>
        <w:rPr>
          <w:rFonts w:hint="eastAsia" w:ascii="宋体" w:hAnsi="宋体" w:cs="宋体"/>
          <w:b/>
          <w:bCs/>
        </w:rPr>
        <w:t>注：</w:t>
      </w:r>
      <w:r>
        <w:rPr>
          <w:rFonts w:hint="eastAsia" w:ascii="宋体" w:hAnsi="宋体" w:cs="宋体"/>
        </w:rPr>
        <w:t>▲</w:t>
      </w:r>
      <w:r>
        <w:rPr>
          <w:rFonts w:hint="eastAsia" w:ascii="宋体" w:hAnsi="宋体" w:cs="宋体"/>
          <w:b/>
          <w:bCs/>
        </w:rPr>
        <w:t>1、投标人必须保证上述时间段及相应岗位都有相应人员在执勤，具体见《</w:t>
      </w:r>
      <w:r>
        <w:rPr>
          <w:rFonts w:hint="eastAsia" w:ascii="宋体" w:hAnsi="宋体" w:cs="宋体"/>
          <w:b/>
        </w:rPr>
        <w:t>安保人员岗位需求及主要职责</w:t>
      </w:r>
      <w:r>
        <w:rPr>
          <w:rFonts w:hint="eastAsia" w:ascii="宋体" w:hAnsi="宋体" w:cs="宋体"/>
          <w:b/>
          <w:bCs/>
        </w:rPr>
        <w:t xml:space="preserve">》表，中标人须在投标文件中提供人员配备情况,并承诺在中标后15天内配齐相关人员且符合国家相关要求，中标后项目负责人更换需经采购人同意。） </w:t>
      </w:r>
    </w:p>
    <w:p>
      <w:pPr>
        <w:rPr>
          <w:rFonts w:ascii="宋体" w:hAnsi="宋体" w:cs="宋体"/>
          <w:b/>
        </w:rPr>
      </w:pPr>
      <w:r>
        <w:rPr>
          <w:rFonts w:hint="eastAsia" w:ascii="宋体" w:hAnsi="宋体" w:cs="宋体"/>
          <w:b/>
        </w:rPr>
        <w:t>（八）其他说明</w:t>
      </w:r>
    </w:p>
    <w:p>
      <w:pPr>
        <w:ind w:firstLine="420" w:firstLineChars="200"/>
        <w:rPr>
          <w:rFonts w:ascii="宋体" w:hAnsi="宋体" w:cs="宋体"/>
        </w:rPr>
      </w:pPr>
      <w:r>
        <w:rPr>
          <w:rFonts w:hint="eastAsia" w:ascii="宋体" w:hAnsi="宋体" w:cs="宋体"/>
        </w:rPr>
        <w:t>1、投标文件内承诺配置的项目管理人员不得随意更换，如须更换的应经采购人同意；</w:t>
      </w:r>
    </w:p>
    <w:p>
      <w:pPr>
        <w:ind w:firstLine="420" w:firstLineChars="200"/>
        <w:rPr>
          <w:rFonts w:ascii="宋体" w:hAnsi="宋体" w:cs="宋体"/>
        </w:rPr>
      </w:pPr>
      <w:r>
        <w:rPr>
          <w:rFonts w:hint="eastAsia" w:ascii="宋体" w:hAnsi="宋体" w:cs="宋体"/>
        </w:rPr>
        <w:t>2、中标人必须按照与员工的约定按期支付工资。依法办理各类社会保险，一旦发现中标人存在拖欠工资或未交社保等情况，影响采购人安保服务质量的，采购人将从安保费中扣除相应金额，直接支付给员工。</w:t>
      </w:r>
    </w:p>
    <w:p>
      <w:pPr>
        <w:ind w:firstLine="420" w:firstLineChars="200"/>
        <w:rPr>
          <w:rFonts w:ascii="宋体" w:hAnsi="宋体" w:cs="宋体"/>
        </w:rPr>
      </w:pPr>
      <w:r>
        <w:rPr>
          <w:rFonts w:hint="eastAsia" w:ascii="宋体" w:hAnsi="宋体" w:cs="宋体"/>
        </w:rPr>
        <w:t>3、中标人要及时完成采购人各项指令性突击性任务；及时处理整改落实各项投拆，不能因节假日而拖延；</w:t>
      </w:r>
    </w:p>
    <w:p>
      <w:pPr>
        <w:ind w:firstLine="420" w:firstLineChars="200"/>
        <w:rPr>
          <w:rFonts w:ascii="宋体" w:hAnsi="宋体" w:cs="宋体"/>
        </w:rPr>
      </w:pPr>
      <w:r>
        <w:rPr>
          <w:rFonts w:hint="eastAsia" w:ascii="宋体" w:hAnsi="宋体" w:cs="宋体"/>
        </w:rPr>
        <w:t>4、中标人应做好医院的消防设施、安保设施、日常检查工作，发现问题及时上报并记录；</w:t>
      </w:r>
    </w:p>
    <w:p>
      <w:pPr>
        <w:ind w:firstLine="420" w:firstLineChars="200"/>
        <w:rPr>
          <w:rFonts w:ascii="宋体" w:hAnsi="宋体" w:cs="宋体"/>
        </w:rPr>
      </w:pPr>
      <w:r>
        <w:rPr>
          <w:rFonts w:hint="eastAsia" w:ascii="宋体" w:hAnsi="宋体" w:cs="宋体"/>
        </w:rPr>
        <w:t>5、安保、车管人员在采购人区域内自身造成的纠纷、意外事件由中标人自行解决处理与医院无涉；</w:t>
      </w:r>
    </w:p>
    <w:p>
      <w:pPr>
        <w:ind w:firstLine="420" w:firstLineChars="200"/>
        <w:rPr>
          <w:rFonts w:ascii="宋体" w:hAnsi="宋体" w:cs="宋体"/>
        </w:rPr>
      </w:pPr>
      <w:r>
        <w:rPr>
          <w:rFonts w:hint="eastAsia" w:ascii="宋体" w:hAnsi="宋体" w:cs="宋体"/>
        </w:rPr>
        <w:t>▲6、投标报价组成必须按医院岗位要求进行报价；</w:t>
      </w:r>
    </w:p>
    <w:p>
      <w:pPr>
        <w:ind w:firstLine="420" w:firstLineChars="200"/>
        <w:rPr>
          <w:rFonts w:ascii="宋体" w:hAnsi="宋体" w:cs="宋体"/>
        </w:rPr>
      </w:pPr>
      <w:r>
        <w:rPr>
          <w:rFonts w:hint="eastAsia" w:ascii="宋体" w:hAnsi="宋体" w:cs="宋体"/>
        </w:rPr>
        <w:t>7、符合招标文件中的承诺和响应医院安保、**、消防、车辆管理服务的标准和内容；</w:t>
      </w:r>
    </w:p>
    <w:p>
      <w:pPr>
        <w:ind w:firstLine="420" w:firstLineChars="200"/>
        <w:rPr>
          <w:rFonts w:ascii="宋体" w:hAnsi="宋体" w:cs="宋体"/>
        </w:rPr>
      </w:pPr>
      <w:r>
        <w:rPr>
          <w:rFonts w:hint="eastAsia" w:ascii="宋体" w:hAnsi="宋体" w:cs="宋体"/>
        </w:rPr>
        <w:t>8、中标人负责提供进驻保安人员值勤所需的个人装备、器材、通讯设备、常用办公耗材包括对讲机、橡皮棒、手电筒、雨衣雨鞋等，费用由中标人自理（计入相应人员的综合单价中）。</w:t>
      </w:r>
    </w:p>
    <w:p>
      <w:pPr>
        <w:ind w:firstLine="420" w:firstLineChars="200"/>
        <w:rPr>
          <w:rFonts w:ascii="宋体" w:hAnsi="宋体" w:cs="宋体"/>
        </w:rPr>
      </w:pPr>
      <w:r>
        <w:rPr>
          <w:rFonts w:hint="eastAsia" w:ascii="宋体" w:hAnsi="宋体" w:cs="宋体"/>
        </w:rPr>
        <w:t>9、若采购人有需求，中标人需协助采购人做好太平间管理工作,须接受采购人的指令性任务。</w:t>
      </w:r>
    </w:p>
    <w:p>
      <w:pPr>
        <w:ind w:firstLine="420" w:firstLineChars="200"/>
        <w:rPr>
          <w:rFonts w:hint="eastAsia" w:ascii="宋体" w:hAnsi="宋体" w:cs="宋体"/>
        </w:rPr>
      </w:pPr>
      <w:r>
        <w:rPr>
          <w:rFonts w:hint="eastAsia" w:ascii="宋体" w:hAnsi="宋体" w:cs="宋体"/>
        </w:rPr>
        <w:t>10、维护电瓶车停放秩序及安全隐患排查。</w:t>
      </w:r>
    </w:p>
    <w:p>
      <w:pPr>
        <w:pStyle w:val="2"/>
      </w:pPr>
    </w:p>
    <w:p>
      <w:pPr>
        <w:rPr>
          <w:rFonts w:ascii="宋体" w:hAnsi="宋体" w:cs="宋体"/>
        </w:rPr>
      </w:pPr>
      <w:r>
        <w:rPr>
          <w:rFonts w:hint="eastAsia" w:ascii="宋体" w:hAnsi="宋体" w:cs="宋体"/>
        </w:rPr>
        <w:br w:type="page"/>
      </w:r>
    </w:p>
    <w:p>
      <w:pPr>
        <w:spacing w:line="360" w:lineRule="auto"/>
        <w:rPr>
          <w:rFonts w:ascii="宋体" w:hAnsi="宋体" w:cs="宋体"/>
          <w:b/>
        </w:rPr>
      </w:pPr>
      <w:r>
        <w:rPr>
          <w:rFonts w:hint="eastAsia" w:ascii="宋体" w:hAnsi="宋体" w:cs="宋体"/>
          <w:b/>
        </w:rPr>
        <w:t>附件一：杭州市萧山区第二人民医院（安保）服务综合考核内容和方法：</w:t>
      </w:r>
    </w:p>
    <w:p>
      <w:pPr>
        <w:rPr>
          <w:rFonts w:ascii="宋体" w:hAnsi="宋体" w:cs="宋体"/>
        </w:rPr>
      </w:pPr>
      <w:r>
        <w:rPr>
          <w:rFonts w:hint="eastAsia" w:ascii="宋体" w:hAnsi="宋体" w:cs="宋体"/>
        </w:rPr>
        <w:t>(一)  考核目的：</w:t>
      </w:r>
    </w:p>
    <w:p>
      <w:pPr>
        <w:ind w:firstLine="420" w:firstLineChars="200"/>
        <w:rPr>
          <w:rFonts w:ascii="宋体" w:hAnsi="宋体" w:cs="宋体"/>
        </w:rPr>
      </w:pPr>
      <w:r>
        <w:rPr>
          <w:rFonts w:hint="eastAsia" w:ascii="宋体" w:hAnsi="宋体" w:cs="宋体"/>
        </w:rPr>
        <w:t>对保安、消防、车辆管理人员工作的评定。督促保安人员执行院纪、院规、医院保安、消防、车辆管理制度、履行保安、消防、车辆管理职责，处置突发事件和协助处理医患纠纷等工作，保持医院正常的医疗秩序，有效保护医务人员的人身安全，保障医院重大活动，保障医院内财物及所有人员的安全和消防安全。</w:t>
      </w:r>
    </w:p>
    <w:p>
      <w:pPr>
        <w:rPr>
          <w:rFonts w:ascii="宋体" w:hAnsi="宋体" w:cs="宋体"/>
        </w:rPr>
      </w:pPr>
      <w:r>
        <w:rPr>
          <w:rFonts w:hint="eastAsia" w:ascii="宋体" w:hAnsi="宋体" w:cs="宋体"/>
        </w:rPr>
        <w:t>(二)  考核内容：</w:t>
      </w:r>
    </w:p>
    <w:p>
      <w:pPr>
        <w:rPr>
          <w:rFonts w:ascii="宋体" w:hAnsi="宋体" w:cs="宋体"/>
        </w:rPr>
      </w:pPr>
      <w:r>
        <w:rPr>
          <w:rFonts w:hint="eastAsia" w:ascii="宋体" w:hAnsi="宋体" w:cs="宋体"/>
        </w:rPr>
        <w:t xml:space="preserve">  1、对医院规章制度、保安消防管理规定及车辆管理有关规定的贯彻执行情况，符合医院招标文件细则和人员管理及考核的标准；</w:t>
      </w:r>
    </w:p>
    <w:p>
      <w:pPr>
        <w:rPr>
          <w:rFonts w:ascii="宋体" w:hAnsi="宋体" w:cs="宋体"/>
        </w:rPr>
      </w:pPr>
      <w:r>
        <w:rPr>
          <w:rFonts w:hint="eastAsia" w:ascii="宋体" w:hAnsi="宋体" w:cs="宋体"/>
        </w:rPr>
        <w:t xml:space="preserve">  2、管理组织健全，工作制度落实，安保、**、消防、车辆管理分工管理措施合理，实行全员保消结合的管理模式；</w:t>
      </w:r>
    </w:p>
    <w:p>
      <w:pPr>
        <w:rPr>
          <w:rFonts w:ascii="宋体" w:hAnsi="宋体" w:cs="宋体"/>
        </w:rPr>
      </w:pPr>
      <w:r>
        <w:rPr>
          <w:rFonts w:hint="eastAsia" w:ascii="宋体" w:hAnsi="宋体" w:cs="宋体"/>
        </w:rPr>
        <w:t xml:space="preserve">  3、保安队伍、车辆管理人员服从医院执勤日程安排，严格执行收费标准，杜绝乱收费、不收费行为，做好收费财务制度。认真做好交接班制度和巡查制度，填写好值班日志和巡查记录。消防监控室人员必须全部具备建（构）筑物消防员证，并做好监控记录和监控消防中心设施管理，具备应急操作能力。消防专管人员做好日常巡查和设施管理维护，并做好记录。员工值班时间内，不得做与工作无关的事，禁止上班时间喝酒。</w:t>
      </w:r>
    </w:p>
    <w:p>
      <w:pPr>
        <w:rPr>
          <w:rFonts w:ascii="宋体" w:hAnsi="宋体" w:cs="宋体"/>
        </w:rPr>
      </w:pPr>
      <w:r>
        <w:rPr>
          <w:rFonts w:hint="eastAsia" w:ascii="宋体" w:hAnsi="宋体" w:cs="宋体"/>
        </w:rPr>
        <w:t xml:space="preserve">  4、协同处置突发事件和协助处理医患纠纷等工作，保障医院正常的医疗秩序，保障医院重大活动。维护医务人员和病人的人身安全，及时处置治安和消防隐患，具有有效及时的保卫行为和措施；</w:t>
      </w:r>
    </w:p>
    <w:p>
      <w:pPr>
        <w:ind w:firstLine="210" w:firstLineChars="100"/>
        <w:rPr>
          <w:rFonts w:ascii="宋体" w:hAnsi="宋体" w:cs="宋体"/>
        </w:rPr>
      </w:pPr>
      <w:r>
        <w:rPr>
          <w:rFonts w:hint="eastAsia" w:ascii="宋体" w:hAnsi="宋体" w:cs="宋体"/>
        </w:rPr>
        <w:t>5、车辆管理人员必须服从管理，坚守工作岗位，上岗时要举止端庄、精神饱满，严禁酒后上岗、脱岗和干与工作无关的事项。坚持文明服务，使用文明用语。院内严格控制出租车候客的数量和地点。杜绝黑车在院内侯客。</w:t>
      </w:r>
    </w:p>
    <w:p>
      <w:pPr>
        <w:rPr>
          <w:rFonts w:ascii="宋体" w:hAnsi="宋体" w:cs="宋体"/>
        </w:rPr>
      </w:pPr>
      <w:r>
        <w:rPr>
          <w:rFonts w:hint="eastAsia" w:ascii="宋体" w:hAnsi="宋体" w:cs="宋体"/>
        </w:rPr>
        <w:t xml:space="preserve">  6、定期进行员工保安消防专业知识培训及技能训练(队列、消防演练，擒敌、体能)，成立十人以上义务消防队伍；</w:t>
      </w:r>
    </w:p>
    <w:p>
      <w:pPr>
        <w:rPr>
          <w:rFonts w:ascii="宋体" w:hAnsi="宋体" w:cs="宋体"/>
        </w:rPr>
      </w:pPr>
      <w:r>
        <w:rPr>
          <w:rFonts w:hint="eastAsia" w:ascii="宋体" w:hAnsi="宋体" w:cs="宋体"/>
        </w:rPr>
        <w:t xml:space="preserve">  7、品行端正，言行诚信，忠于职守。遵守员工手册，对医院工作人员和病人及家属应注重礼貌，热情接待。按规定着装，穿制服、打领带、扎腰带、戴帽子，注重个人仪容、仪表的整洁及保安室周围的卫生；</w:t>
      </w:r>
    </w:p>
    <w:p>
      <w:pPr>
        <w:rPr>
          <w:rFonts w:ascii="宋体" w:hAnsi="宋体" w:cs="宋体"/>
        </w:rPr>
      </w:pPr>
      <w:r>
        <w:rPr>
          <w:rFonts w:hint="eastAsia" w:ascii="宋体" w:hAnsi="宋体" w:cs="宋体"/>
        </w:rPr>
        <w:t xml:space="preserve">  8、做好医院重要部位的巡查到位和维护就诊秩序，如门诊收费、候诊、医疗检查区，急诊、输液室、手术室等人流众多的医疗区域。保持良好的就诊和治疗环境，有一定的反扒应对能力。对消防巡查工作实行谁发现、谁汇报的工作方式，并能有及时有效的处置措施；</w:t>
      </w:r>
    </w:p>
    <w:p>
      <w:pPr>
        <w:rPr>
          <w:rFonts w:ascii="宋体" w:hAnsi="宋体" w:cs="宋体"/>
        </w:rPr>
      </w:pPr>
      <w:r>
        <w:rPr>
          <w:rFonts w:hint="eastAsia" w:ascii="宋体" w:hAnsi="宋体" w:cs="宋体"/>
        </w:rPr>
        <w:t>（三）  考核方法：</w:t>
      </w:r>
    </w:p>
    <w:p>
      <w:pPr>
        <w:rPr>
          <w:rFonts w:ascii="宋体" w:hAnsi="宋体" w:cs="宋体"/>
        </w:rPr>
      </w:pPr>
      <w:r>
        <w:rPr>
          <w:rFonts w:hint="eastAsia" w:ascii="宋体" w:hAnsi="宋体" w:cs="宋体"/>
        </w:rPr>
        <w:t xml:space="preserve">   1、日常考核由采购人实施(两人及以上督查)；</w:t>
      </w:r>
    </w:p>
    <w:p>
      <w:pPr>
        <w:rPr>
          <w:rFonts w:ascii="宋体" w:hAnsi="宋体" w:cs="宋体"/>
        </w:rPr>
      </w:pPr>
      <w:r>
        <w:rPr>
          <w:rFonts w:hint="eastAsia" w:ascii="宋体" w:hAnsi="宋体" w:cs="宋体"/>
        </w:rPr>
        <w:t xml:space="preserve">   2、采购人对中标人考核，由主管科室召集相关人员定期与不定期考核，</w:t>
      </w:r>
      <w:bookmarkStart w:id="31" w:name="_Hlk170938986"/>
      <w:r>
        <w:rPr>
          <w:rFonts w:hint="eastAsia" w:ascii="宋体" w:hAnsi="宋体" w:cs="宋体"/>
        </w:rPr>
        <w:t>《杭州市萧山区第二人民医院（安保）服务综合考核》</w:t>
      </w:r>
      <w:bookmarkEnd w:id="31"/>
      <w:r>
        <w:rPr>
          <w:rFonts w:hint="eastAsia" w:ascii="宋体" w:hAnsi="宋体" w:cs="宋体"/>
        </w:rPr>
        <w:t>；</w:t>
      </w:r>
    </w:p>
    <w:p>
      <w:pPr>
        <w:rPr>
          <w:rFonts w:ascii="宋体" w:hAnsi="宋体" w:cs="宋体"/>
        </w:rPr>
      </w:pPr>
      <w:r>
        <w:rPr>
          <w:rFonts w:hint="eastAsia" w:ascii="宋体" w:hAnsi="宋体" w:cs="宋体"/>
        </w:rPr>
        <w:t xml:space="preserve">   3、日常考核中发现问题当面告知当事人(或中标人管理员)；</w:t>
      </w:r>
    </w:p>
    <w:p>
      <w:pPr>
        <w:rPr>
          <w:rFonts w:ascii="宋体" w:hAnsi="宋体" w:cs="宋体"/>
        </w:rPr>
      </w:pPr>
      <w:r>
        <w:rPr>
          <w:rFonts w:hint="eastAsia" w:ascii="宋体" w:hAnsi="宋体" w:cs="宋体"/>
        </w:rPr>
        <w:t xml:space="preserve">   4、现场填写考核回执，并交当事人签字(或中标人管理员)，告知中标人负责人；</w:t>
      </w:r>
    </w:p>
    <w:p>
      <w:pPr>
        <w:rPr>
          <w:rFonts w:ascii="宋体" w:hAnsi="宋体" w:cs="宋体"/>
        </w:rPr>
      </w:pPr>
      <w:r>
        <w:rPr>
          <w:rFonts w:hint="eastAsia" w:ascii="宋体" w:hAnsi="宋体" w:cs="宋体"/>
        </w:rPr>
        <w:t xml:space="preserve">   5、做好考核记录，并在下次结算承包款时兑现考核奖罚。</w:t>
      </w:r>
    </w:p>
    <w:p>
      <w:pPr>
        <w:spacing w:line="360" w:lineRule="auto"/>
        <w:ind w:firstLine="420" w:firstLineChars="200"/>
        <w:rPr>
          <w:rFonts w:ascii="宋体" w:hAnsi="宋体" w:cs="宋体"/>
          <w:bCs/>
        </w:rPr>
        <w:sectPr>
          <w:headerReference r:id="rId8" w:type="default"/>
          <w:footerReference r:id="rId9" w:type="default"/>
          <w:pgSz w:w="11906" w:h="16838"/>
          <w:pgMar w:top="1474" w:right="991" w:bottom="1247" w:left="1797" w:header="851" w:footer="851" w:gutter="0"/>
          <w:cols w:space="720" w:num="1"/>
          <w:docGrid w:linePitch="312" w:charSpace="0"/>
        </w:sectPr>
      </w:pPr>
    </w:p>
    <w:p>
      <w:pPr>
        <w:spacing w:line="360" w:lineRule="auto"/>
        <w:rPr>
          <w:rFonts w:ascii="宋体" w:hAnsi="宋体" w:cs="宋体"/>
          <w:b/>
          <w:szCs w:val="21"/>
        </w:rPr>
      </w:pPr>
      <w:r>
        <w:rPr>
          <w:rFonts w:hint="eastAsia" w:ascii="宋体" w:hAnsi="宋体" w:cs="宋体"/>
          <w:b/>
          <w:szCs w:val="21"/>
        </w:rPr>
        <w:t>《杭州市萧山区第二人民医院（安保）服务综合考核》</w:t>
      </w:r>
    </w:p>
    <w:tbl>
      <w:tblPr>
        <w:tblStyle w:val="63"/>
        <w:tblpPr w:leftFromText="180" w:rightFromText="180" w:vertAnchor="text" w:horzAnchor="page" w:tblpX="1853" w:tblpY="330"/>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5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rPr>
            </w:pPr>
            <w:r>
              <w:rPr>
                <w:rFonts w:hint="eastAsia" w:ascii="宋体" w:hAnsi="宋体" w:cs="宋体"/>
              </w:rPr>
              <w:t>内容</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rPr>
            </w:pPr>
            <w:r>
              <w:rPr>
                <w:rFonts w:hint="eastAsia" w:ascii="宋体" w:hAnsi="宋体" w:cs="宋体"/>
              </w:rPr>
              <w:t>奖罚</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考核</w:t>
            </w:r>
          </w:p>
          <w:p>
            <w:pPr>
              <w:spacing w:line="240" w:lineRule="exact"/>
              <w:rPr>
                <w:rFonts w:ascii="宋体" w:hAnsi="宋体" w:cs="宋体"/>
              </w:rPr>
            </w:pPr>
            <w:r>
              <w:rPr>
                <w:rFonts w:hint="eastAsia" w:ascii="宋体" w:hAnsi="宋体" w:cs="宋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组织架构健全，各级职责明确；建立安保服务制度、考核等制度。</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组织架构不健全，各级职责不明确；未建立安保服务制度、考核等制度每缺一项扣1000元。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消控、安保人员持有有效的上岗证上岗</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未持有效上岗证上岗扣每人500元/月（新入职安保人员15天内提供安保证有效佐证资料）。</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人员管理规范，新员工需经培训合格后上岗；岗位职责明确</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未经培训合格后上岗扣200元/每人；培训内容掌握低于80%每人/次扣 50元，一周后再次考核，内容掌握仍低于80%每人/次扣 100元，再一周后再次考核掌握仍低于80%的，需辞退。岗位职责不明确每人/次扣50元。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个人形象规范，严格履行岗位职责，坚守工作岗位。</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在岗期间仪表不端、着装不整齐、早退、迟到、离岗、打牌、酒后上岗、吸烟，发现一次一项扣50元。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定期对队员开展培训（消防训练、业务技能培训、岗前培训、军训等）并有记录，每月5号前将上一月记录、每月25号前将下一月培训计划交保卫科保存</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未按计划开展培训每次100元；台账资料未及时上交医院保卫科每次扣500元。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遇紧急突发事件发生、医患纠纷、火灾火险、恐怖事件等情况，有积极作为</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院内发生各种突发事件，保安人员在接到通知后5分钟内未赶到现场，未保护好医护人员，每发现一起处罚金200元；现场未阻止不法暴力行为的，造成医务人员伤害的，每发现一起处罚800元。造成医院重大损失的按法律法规要求进行扣款。</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公司定期收集和听取保卫科及医院的意见建议，并作出反馈，改进工作</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在规定时间内未作出整改每次扣1000—3000元，情节特别严重的，或连续3个月未整改到位的终止合同。</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不发生有责投诉</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个人被新闻媒体点名曝光，损害医院声誉，每次扣500-1000元；违纪违规性质恶劣扣500-1000元；发生有责投诉，院外投诉扣（信访、市长公开电话、卫健委等）每次扣1000元；院级投诉每次扣500元；投诉不及时处理的每次300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其他不符合同要求</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根据性质每处100-1000元酌情扣款。</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有明确奖惩制度</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r>
              <w:rPr>
                <w:rFonts w:hint="eastAsia" w:ascii="宋体" w:hAnsi="宋体" w:cs="宋体"/>
              </w:rPr>
              <w:t>对好人好事有表彰有奖励措施</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rPr>
            </w:pPr>
          </w:p>
        </w:tc>
      </w:tr>
    </w:tbl>
    <w:p>
      <w:pPr>
        <w:rPr>
          <w:rFonts w:ascii="宋体" w:hAnsi="宋体" w:cs="宋体"/>
        </w:rPr>
      </w:pPr>
    </w:p>
    <w:tbl>
      <w:tblPr>
        <w:tblStyle w:val="62"/>
        <w:tblpPr w:leftFromText="180" w:rightFromText="180" w:vertAnchor="text" w:horzAnchor="page" w:tblpX="1384" w:tblpY="-342"/>
        <w:tblOverlap w:val="never"/>
        <w:tblW w:w="9465" w:type="dxa"/>
        <w:tblInd w:w="0" w:type="dxa"/>
        <w:tblLayout w:type="fixed"/>
        <w:tblCellMar>
          <w:top w:w="0" w:type="dxa"/>
          <w:left w:w="108" w:type="dxa"/>
          <w:bottom w:w="0" w:type="dxa"/>
          <w:right w:w="108" w:type="dxa"/>
        </w:tblCellMar>
      </w:tblPr>
      <w:tblGrid>
        <w:gridCol w:w="9465"/>
      </w:tblGrid>
      <w:tr>
        <w:tblPrEx>
          <w:tblCellMar>
            <w:top w:w="0" w:type="dxa"/>
            <w:left w:w="108" w:type="dxa"/>
            <w:bottom w:w="0" w:type="dxa"/>
            <w:right w:w="108" w:type="dxa"/>
          </w:tblCellMar>
        </w:tblPrEx>
        <w:trPr>
          <w:trHeight w:val="285" w:hRule="atLeast"/>
        </w:trPr>
        <w:tc>
          <w:tcPr>
            <w:tcW w:w="9465" w:type="dxa"/>
            <w:tcBorders>
              <w:top w:val="nil"/>
              <w:left w:val="nil"/>
              <w:bottom w:val="nil"/>
              <w:right w:val="nil"/>
            </w:tcBorders>
            <w:vAlign w:val="bottom"/>
          </w:tcPr>
          <w:p>
            <w:pPr>
              <w:rPr>
                <w:rFonts w:ascii="宋体" w:hAnsi="宋体" w:cs="宋体"/>
                <w:lang w:bidi="ar"/>
              </w:rPr>
            </w:pPr>
            <w:r>
              <w:rPr>
                <w:rFonts w:hint="eastAsia" w:ascii="宋体" w:hAnsi="宋体" w:cs="宋体"/>
                <w:lang w:bidi="ar"/>
              </w:rPr>
              <w:t xml:space="preserve">                                                    </w:t>
            </w:r>
          </w:p>
          <w:p>
            <w:pPr>
              <w:pStyle w:val="2"/>
              <w:rPr>
                <w:lang w:bidi="ar"/>
              </w:rPr>
            </w:pPr>
          </w:p>
        </w:tc>
      </w:tr>
    </w:tbl>
    <w:p>
      <w:pPr>
        <w:rPr>
          <w:rFonts w:ascii="宋体" w:hAnsi="宋体" w:cs="宋体"/>
          <w:lang w:bidi="ar"/>
        </w:rPr>
      </w:pPr>
      <w:r>
        <w:rPr>
          <w:rFonts w:hint="eastAsia" w:ascii="宋体" w:hAnsi="宋体" w:cs="宋体"/>
          <w:lang w:bidi="ar"/>
        </w:rPr>
        <w:t>安保公司负责人签名：</w:t>
      </w:r>
    </w:p>
    <w:p>
      <w:pPr>
        <w:rPr>
          <w:rFonts w:ascii="宋体" w:hAnsi="宋体" w:cs="宋体"/>
          <w:lang w:bidi="ar"/>
        </w:rPr>
      </w:pPr>
    </w:p>
    <w:p>
      <w:pPr>
        <w:rPr>
          <w:rFonts w:ascii="宋体" w:hAnsi="宋体" w:cs="宋体"/>
        </w:rPr>
      </w:pPr>
      <w:r>
        <w:rPr>
          <w:rFonts w:hint="eastAsia" w:ascii="宋体" w:hAnsi="宋体" w:cs="宋体"/>
          <w:lang w:bidi="ar"/>
        </w:rPr>
        <w:t>医院考核人签名：                         年   月    日</w:t>
      </w:r>
      <w:r>
        <w:rPr>
          <w:rFonts w:hint="eastAsia" w:ascii="宋体" w:hAnsi="宋体" w:cs="宋体"/>
        </w:rPr>
        <w:br w:type="page"/>
      </w:r>
      <w:r>
        <w:rPr>
          <w:rFonts w:hint="eastAsia" w:ascii="宋体" w:hAnsi="宋体" w:cs="宋体"/>
          <w:b/>
        </w:rPr>
        <w:t xml:space="preserve"> 二、商务需求</w:t>
      </w:r>
    </w:p>
    <w:p>
      <w:pPr>
        <w:spacing w:line="360" w:lineRule="auto"/>
        <w:ind w:firstLine="420" w:firstLineChars="200"/>
        <w:rPr>
          <w:rFonts w:ascii="宋体" w:hAnsi="宋体" w:cs="宋体"/>
        </w:rPr>
      </w:pPr>
      <w:r>
        <w:rPr>
          <w:rFonts w:hint="eastAsia" w:ascii="宋体" w:hAnsi="宋体" w:cs="宋体"/>
        </w:rPr>
        <w:t>1、服务期限及地点</w:t>
      </w:r>
    </w:p>
    <w:p>
      <w:pPr>
        <w:spacing w:line="360" w:lineRule="auto"/>
        <w:ind w:firstLine="420" w:firstLineChars="200"/>
        <w:rPr>
          <w:rFonts w:ascii="宋体" w:hAnsi="宋体" w:cs="宋体"/>
        </w:rPr>
      </w:pPr>
      <w:r>
        <w:rPr>
          <w:rFonts w:hint="eastAsia" w:ascii="宋体" w:hAnsi="宋体" w:cs="宋体"/>
        </w:rPr>
        <w:t>(1) ▲服务期限：1年（具体时间根据招标进度以合同签订生效日为准）。</w:t>
      </w:r>
    </w:p>
    <w:p>
      <w:pPr>
        <w:spacing w:line="360" w:lineRule="auto"/>
        <w:ind w:firstLine="420" w:firstLineChars="200"/>
        <w:rPr>
          <w:rFonts w:ascii="宋体" w:hAnsi="宋体" w:cs="宋体"/>
        </w:rPr>
      </w:pPr>
      <w:r>
        <w:rPr>
          <w:rFonts w:hint="eastAsia" w:ascii="宋体" w:hAnsi="宋体" w:cs="宋体"/>
        </w:rPr>
        <w:t>(2)合同履行完毕后，在未找到接替公司前，中标人应延续1-2个月的服务，费用按原合同签订的月度费用标准支付。合同期满后，妥善处理退场移交、人员安置，如果出现劳资纠纷，责任在中标人。</w:t>
      </w:r>
    </w:p>
    <w:p>
      <w:pPr>
        <w:spacing w:line="360" w:lineRule="auto"/>
        <w:ind w:firstLine="420" w:firstLineChars="200"/>
        <w:rPr>
          <w:rFonts w:ascii="宋体" w:hAnsi="宋体" w:cs="宋体"/>
        </w:rPr>
      </w:pPr>
      <w:r>
        <w:rPr>
          <w:rFonts w:hint="eastAsia" w:ascii="宋体" w:hAnsi="宋体" w:cs="宋体"/>
        </w:rPr>
        <w:t>(3)服务地点：杭州市萧山区瓜沥镇东灵路47号。</w:t>
      </w:r>
    </w:p>
    <w:p>
      <w:pPr>
        <w:spacing w:line="360" w:lineRule="auto"/>
        <w:ind w:firstLine="420" w:firstLineChars="200"/>
        <w:rPr>
          <w:rFonts w:ascii="宋体" w:hAnsi="宋体" w:cs="宋体"/>
        </w:rPr>
      </w:pPr>
      <w:r>
        <w:rPr>
          <w:rFonts w:hint="eastAsia" w:ascii="宋体" w:hAnsi="宋体" w:cs="宋体"/>
        </w:rPr>
        <w:t>2、▲付款方式：安保服务费按一月一考核一支付的方式进行，中标人需通过工作和考核之后（每一次），并根据双方确认的保安服务费结算金额，开出发票，采购人在收到发票后付款。具体条款以合同签订为准。</w:t>
      </w:r>
    </w:p>
    <w:p>
      <w:pPr>
        <w:spacing w:line="360" w:lineRule="auto"/>
        <w:ind w:firstLine="420" w:firstLineChars="200"/>
        <w:rPr>
          <w:rFonts w:ascii="宋体" w:hAnsi="宋体" w:cs="宋体"/>
        </w:rPr>
      </w:pPr>
      <w:r>
        <w:rPr>
          <w:rFonts w:hint="eastAsia" w:ascii="宋体" w:hAnsi="宋体" w:cs="宋体"/>
        </w:rPr>
        <w:t>注：</w:t>
      </w:r>
    </w:p>
    <w:p>
      <w:pPr>
        <w:spacing w:line="360" w:lineRule="auto"/>
        <w:ind w:firstLine="422" w:firstLineChars="200"/>
        <w:rPr>
          <w:rFonts w:ascii="宋体" w:hAnsi="宋体" w:cs="宋体"/>
          <w:b/>
        </w:rPr>
      </w:pPr>
      <w:r>
        <w:rPr>
          <w:rFonts w:hint="eastAsia" w:ascii="宋体" w:hAnsi="宋体" w:cs="宋体"/>
          <w:b/>
        </w:rPr>
        <w:t>1.除采购文件标注的参考品牌外，欢迎其它能满足本项目技术需求且性能与所注品牌相当的产品参与。</w:t>
      </w:r>
    </w:p>
    <w:p>
      <w:pPr>
        <w:spacing w:line="360" w:lineRule="auto"/>
        <w:ind w:firstLine="420" w:firstLineChars="200"/>
        <w:rPr>
          <w:rFonts w:ascii="宋体" w:hAnsi="宋体" w:cs="宋体"/>
        </w:rPr>
      </w:pPr>
      <w:r>
        <w:rPr>
          <w:rFonts w:hint="eastAsia" w:ascii="宋体" w:hAnsi="宋体" w:cs="宋体"/>
        </w:rPr>
        <w:t>2.如有附图，仅作参考。</w:t>
      </w:r>
    </w:p>
    <w:p>
      <w:pPr>
        <w:spacing w:line="360" w:lineRule="auto"/>
        <w:ind w:firstLine="420" w:firstLineChars="200"/>
        <w:rPr>
          <w:rFonts w:ascii="宋体" w:hAnsi="宋体" w:cs="宋体"/>
        </w:rPr>
      </w:pPr>
      <w:r>
        <w:rPr>
          <w:rFonts w:hint="eastAsia" w:ascii="宋体" w:hAnsi="宋体" w:cs="宋体"/>
        </w:rPr>
        <w:t>3.招标文件中打▲内容为实质性要求，不允许有负偏离，否则将以涉及无效投标条款作无效投标。</w:t>
      </w:r>
    </w:p>
    <w:p>
      <w:pPr>
        <w:spacing w:line="360" w:lineRule="auto"/>
        <w:ind w:firstLine="420" w:firstLineChars="200"/>
        <w:rPr>
          <w:rFonts w:ascii="宋体" w:hAnsi="宋体" w:cs="宋体"/>
        </w:rPr>
      </w:pPr>
      <w:r>
        <w:rPr>
          <w:rFonts w:hint="eastAsia" w:ascii="宋体" w:hAnsi="宋体" w:cs="宋体"/>
        </w:rPr>
        <w:t>4、中标供应商所提供的货物、服务须与投标承诺一致，不得以次充好、偷工减料，若在项目验收中发现有上述情况，将向有关部门举报，根据相关规定进行处理。</w:t>
      </w:r>
    </w:p>
    <w:p>
      <w:pPr>
        <w:spacing w:line="360" w:lineRule="auto"/>
        <w:ind w:firstLine="420" w:firstLineChars="200"/>
        <w:rPr>
          <w:rFonts w:ascii="宋体" w:hAnsi="宋体" w:cs="宋体"/>
          <w:u w:val="single"/>
        </w:rPr>
      </w:pPr>
      <w:r>
        <w:rPr>
          <w:rFonts w:hint="eastAsia" w:ascii="宋体" w:hAnsi="宋体" w:cs="宋体"/>
        </w:rPr>
        <w:t>5、质疑受理电话：</w:t>
      </w:r>
      <w:r>
        <w:rPr>
          <w:rFonts w:hint="eastAsia" w:ascii="宋体" w:hAnsi="宋体" w:cs="宋体"/>
          <w:u w:val="single"/>
        </w:rPr>
        <w:t>0571-82858325</w:t>
      </w:r>
    </w:p>
    <w:p>
      <w:pPr>
        <w:spacing w:line="500" w:lineRule="exact"/>
        <w:ind w:firstLine="840" w:firstLineChars="400"/>
        <w:rPr>
          <w:rFonts w:ascii="宋体" w:hAnsi="宋体" w:cs="宋体"/>
        </w:rPr>
      </w:pPr>
      <w:r>
        <w:rPr>
          <w:rFonts w:hint="eastAsia" w:ascii="宋体" w:hAnsi="宋体" w:cs="宋体"/>
        </w:rPr>
        <w:t>投诉受理电话：</w:t>
      </w:r>
      <w:r>
        <w:rPr>
          <w:rFonts w:hint="eastAsia" w:ascii="宋体" w:hAnsi="宋体" w:cs="宋体"/>
          <w:u w:val="single"/>
        </w:rPr>
        <w:t>0571-82756122</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0330"/>
      <w:bookmarkEnd w:id="32"/>
      <w:bookmarkStart w:id="33" w:name="_Toc184308106"/>
      <w:bookmarkEnd w:id="33"/>
      <w:bookmarkStart w:id="34" w:name="_Toc184312074"/>
      <w:bookmarkEnd w:id="34"/>
      <w:bookmarkStart w:id="35" w:name="_Toc184312080"/>
      <w:bookmarkEnd w:id="35"/>
      <w:bookmarkStart w:id="36" w:name="_Toc184308059"/>
      <w:bookmarkEnd w:id="36"/>
      <w:bookmarkStart w:id="37" w:name="_Toc184313253"/>
      <w:bookmarkEnd w:id="37"/>
      <w:bookmarkStart w:id="38" w:name="_Toc184312108"/>
      <w:bookmarkEnd w:id="38"/>
      <w:bookmarkStart w:id="39" w:name="_Toc184314457"/>
      <w:bookmarkEnd w:id="39"/>
      <w:bookmarkStart w:id="40" w:name="_Toc184308088"/>
      <w:bookmarkEnd w:id="40"/>
      <w:bookmarkStart w:id="41" w:name="_Toc184310332"/>
      <w:bookmarkEnd w:id="41"/>
      <w:bookmarkStart w:id="42" w:name="_Toc184314412"/>
      <w:bookmarkEnd w:id="42"/>
      <w:bookmarkStart w:id="43" w:name="_Toc184308082"/>
      <w:bookmarkEnd w:id="43"/>
      <w:bookmarkStart w:id="44" w:name="_Toc184312111"/>
      <w:bookmarkEnd w:id="44"/>
      <w:bookmarkStart w:id="45" w:name="_Toc184308085"/>
      <w:bookmarkEnd w:id="45"/>
      <w:bookmarkStart w:id="46" w:name="_Toc184310307"/>
      <w:bookmarkEnd w:id="46"/>
      <w:bookmarkStart w:id="47" w:name="_Toc184310300"/>
      <w:bookmarkEnd w:id="47"/>
      <w:bookmarkStart w:id="48" w:name="_Toc184314466"/>
      <w:bookmarkEnd w:id="48"/>
      <w:bookmarkStart w:id="49" w:name="_Toc184314420"/>
      <w:bookmarkEnd w:id="49"/>
      <w:bookmarkStart w:id="50" w:name="_Toc184313250"/>
      <w:bookmarkEnd w:id="50"/>
      <w:bookmarkStart w:id="51" w:name="_Toc184308098"/>
      <w:bookmarkEnd w:id="51"/>
      <w:bookmarkStart w:id="52" w:name="_Toc184313303"/>
      <w:bookmarkEnd w:id="52"/>
      <w:bookmarkStart w:id="53" w:name="_Toc184314454"/>
      <w:bookmarkEnd w:id="53"/>
      <w:bookmarkStart w:id="54" w:name="_Toc184308102"/>
      <w:bookmarkEnd w:id="54"/>
      <w:bookmarkStart w:id="55" w:name="_Toc184308076"/>
      <w:bookmarkEnd w:id="55"/>
      <w:bookmarkStart w:id="56" w:name="_Toc184313251"/>
      <w:bookmarkEnd w:id="56"/>
      <w:bookmarkStart w:id="57" w:name="_Toc184308073"/>
      <w:bookmarkEnd w:id="57"/>
      <w:bookmarkStart w:id="58" w:name="_Toc184312120"/>
      <w:bookmarkEnd w:id="58"/>
      <w:bookmarkStart w:id="59" w:name="_Toc184314475"/>
      <w:bookmarkEnd w:id="59"/>
      <w:bookmarkStart w:id="60" w:name="_Toc184312112"/>
      <w:bookmarkEnd w:id="60"/>
      <w:bookmarkStart w:id="61" w:name="_Toc184312067"/>
      <w:bookmarkEnd w:id="61"/>
      <w:bookmarkStart w:id="62" w:name="_Toc184313266"/>
      <w:bookmarkEnd w:id="62"/>
      <w:bookmarkStart w:id="63" w:name="_Toc184308089"/>
      <w:bookmarkEnd w:id="63"/>
      <w:bookmarkStart w:id="64" w:name="_Toc184308056"/>
      <w:bookmarkEnd w:id="64"/>
      <w:bookmarkStart w:id="65" w:name="_Toc184314453"/>
      <w:bookmarkEnd w:id="65"/>
      <w:bookmarkStart w:id="66" w:name="_Toc184308080"/>
      <w:bookmarkEnd w:id="66"/>
      <w:bookmarkStart w:id="67" w:name="_Toc184314425"/>
      <w:bookmarkEnd w:id="67"/>
      <w:bookmarkStart w:id="68" w:name="_Toc184308037"/>
      <w:bookmarkEnd w:id="68"/>
      <w:bookmarkStart w:id="69" w:name="_Toc184308064"/>
      <w:bookmarkEnd w:id="69"/>
      <w:bookmarkStart w:id="70" w:name="_Toc184314423"/>
      <w:bookmarkEnd w:id="70"/>
      <w:bookmarkStart w:id="71" w:name="_Toc184313272"/>
      <w:bookmarkEnd w:id="71"/>
      <w:bookmarkStart w:id="72" w:name="_Toc184312107"/>
      <w:bookmarkEnd w:id="72"/>
      <w:bookmarkStart w:id="73" w:name="_Toc184313247"/>
      <w:bookmarkEnd w:id="73"/>
      <w:bookmarkStart w:id="74" w:name="_Toc184312109"/>
      <w:bookmarkEnd w:id="74"/>
      <w:bookmarkStart w:id="75" w:name="_Toc184313298"/>
      <w:bookmarkEnd w:id="75"/>
      <w:bookmarkStart w:id="76" w:name="_Toc184313292"/>
      <w:bookmarkEnd w:id="76"/>
      <w:bookmarkStart w:id="77" w:name="_Toc184312075"/>
      <w:bookmarkEnd w:id="77"/>
      <w:bookmarkStart w:id="78" w:name="_Toc184313304"/>
      <w:bookmarkEnd w:id="78"/>
      <w:bookmarkStart w:id="79" w:name="_Toc184310328"/>
      <w:bookmarkEnd w:id="79"/>
      <w:bookmarkStart w:id="80" w:name="_Toc184313309"/>
      <w:bookmarkEnd w:id="80"/>
      <w:bookmarkStart w:id="81" w:name="_Toc184310333"/>
      <w:bookmarkEnd w:id="81"/>
      <w:bookmarkStart w:id="82" w:name="_Toc184308096"/>
      <w:bookmarkEnd w:id="82"/>
      <w:bookmarkStart w:id="83" w:name="_Toc184310310"/>
      <w:bookmarkEnd w:id="83"/>
      <w:bookmarkStart w:id="84" w:name="_Toc184310296"/>
      <w:bookmarkEnd w:id="84"/>
      <w:bookmarkStart w:id="85" w:name="_Toc184313278"/>
      <w:bookmarkEnd w:id="85"/>
      <w:bookmarkStart w:id="86" w:name="_Toc184313295"/>
      <w:bookmarkEnd w:id="86"/>
      <w:bookmarkStart w:id="87" w:name="_Toc184308067"/>
      <w:bookmarkEnd w:id="87"/>
      <w:bookmarkStart w:id="88" w:name="_Toc184314410"/>
      <w:bookmarkEnd w:id="88"/>
      <w:bookmarkStart w:id="89" w:name="_Toc184310325"/>
      <w:bookmarkEnd w:id="89"/>
      <w:bookmarkStart w:id="90" w:name="_Toc184308074"/>
      <w:bookmarkEnd w:id="90"/>
      <w:bookmarkStart w:id="91" w:name="_Toc184310326"/>
      <w:bookmarkEnd w:id="91"/>
      <w:bookmarkStart w:id="92" w:name="_Toc184312092"/>
      <w:bookmarkEnd w:id="92"/>
      <w:bookmarkStart w:id="93" w:name="_Toc184312082"/>
      <w:bookmarkEnd w:id="93"/>
      <w:bookmarkStart w:id="94" w:name="_Toc184310293"/>
      <w:bookmarkEnd w:id="94"/>
      <w:bookmarkStart w:id="95" w:name="_Toc184312121"/>
      <w:bookmarkEnd w:id="95"/>
      <w:bookmarkStart w:id="96" w:name="_Toc184313259"/>
      <w:bookmarkEnd w:id="96"/>
      <w:bookmarkStart w:id="97" w:name="_Toc184308097"/>
      <w:bookmarkEnd w:id="97"/>
      <w:bookmarkStart w:id="98" w:name="_Toc184308072"/>
      <w:bookmarkEnd w:id="98"/>
      <w:bookmarkStart w:id="99" w:name="_Toc184308103"/>
      <w:bookmarkEnd w:id="99"/>
      <w:bookmarkStart w:id="100" w:name="_Toc184313245"/>
      <w:bookmarkEnd w:id="100"/>
      <w:bookmarkStart w:id="101" w:name="_Toc184313243"/>
      <w:bookmarkEnd w:id="101"/>
      <w:bookmarkStart w:id="102" w:name="_Toc184314443"/>
      <w:bookmarkEnd w:id="102"/>
      <w:bookmarkStart w:id="103" w:name="_Toc184312117"/>
      <w:bookmarkEnd w:id="103"/>
      <w:bookmarkStart w:id="104" w:name="_Toc184314464"/>
      <w:bookmarkEnd w:id="104"/>
      <w:bookmarkStart w:id="105" w:name="_Toc184313273"/>
      <w:bookmarkEnd w:id="105"/>
      <w:bookmarkStart w:id="106" w:name="_Toc184308100"/>
      <w:bookmarkEnd w:id="106"/>
      <w:bookmarkStart w:id="107" w:name="_Toc184308092"/>
      <w:bookmarkEnd w:id="107"/>
      <w:bookmarkStart w:id="108" w:name="_Toc184310308"/>
      <w:bookmarkEnd w:id="108"/>
      <w:bookmarkStart w:id="109" w:name="_Toc184310321"/>
      <w:bookmarkEnd w:id="109"/>
      <w:bookmarkStart w:id="110" w:name="_Toc184312083"/>
      <w:bookmarkEnd w:id="110"/>
      <w:bookmarkStart w:id="111" w:name="_Toc184313263"/>
      <w:bookmarkEnd w:id="111"/>
      <w:bookmarkStart w:id="112" w:name="_Toc184312070"/>
      <w:bookmarkEnd w:id="112"/>
      <w:bookmarkStart w:id="113" w:name="_Toc184313306"/>
      <w:bookmarkEnd w:id="113"/>
      <w:bookmarkStart w:id="114" w:name="_Toc184310288"/>
      <w:bookmarkEnd w:id="114"/>
      <w:bookmarkStart w:id="115" w:name="_Toc184314424"/>
      <w:bookmarkEnd w:id="115"/>
      <w:bookmarkStart w:id="116" w:name="_Toc184310281"/>
      <w:bookmarkEnd w:id="116"/>
      <w:bookmarkStart w:id="117" w:name="_Toc184314446"/>
      <w:bookmarkEnd w:id="117"/>
      <w:bookmarkStart w:id="118" w:name="_Toc184310304"/>
      <w:bookmarkEnd w:id="118"/>
      <w:bookmarkStart w:id="119" w:name="_Toc184310302"/>
      <w:bookmarkEnd w:id="119"/>
      <w:bookmarkStart w:id="120" w:name="_Toc184308107"/>
      <w:bookmarkEnd w:id="120"/>
      <w:bookmarkStart w:id="121" w:name="_Toc184313241"/>
      <w:bookmarkEnd w:id="121"/>
      <w:bookmarkStart w:id="122" w:name="_Toc184314413"/>
      <w:bookmarkEnd w:id="122"/>
      <w:bookmarkStart w:id="123" w:name="_Toc184313268"/>
      <w:bookmarkEnd w:id="123"/>
      <w:bookmarkStart w:id="124" w:name="_Toc184314422"/>
      <w:bookmarkEnd w:id="124"/>
      <w:bookmarkStart w:id="125" w:name="_Toc184310320"/>
      <w:bookmarkEnd w:id="125"/>
      <w:bookmarkStart w:id="126" w:name="_Toc184310344"/>
      <w:bookmarkEnd w:id="126"/>
      <w:bookmarkStart w:id="127" w:name="_Toc184313296"/>
      <w:bookmarkEnd w:id="127"/>
      <w:bookmarkStart w:id="128" w:name="_Toc184310280"/>
      <w:bookmarkEnd w:id="128"/>
      <w:bookmarkStart w:id="129" w:name="_Toc184310294"/>
      <w:bookmarkEnd w:id="129"/>
      <w:bookmarkStart w:id="130" w:name="_Toc184308099"/>
      <w:bookmarkEnd w:id="130"/>
      <w:bookmarkStart w:id="131" w:name="_Toc184313305"/>
      <w:bookmarkEnd w:id="131"/>
      <w:bookmarkStart w:id="132" w:name="_Toc184313275"/>
      <w:bookmarkEnd w:id="132"/>
      <w:bookmarkStart w:id="133" w:name="_Toc184312110"/>
      <w:bookmarkEnd w:id="133"/>
      <w:bookmarkStart w:id="134" w:name="_Toc184310319"/>
      <w:bookmarkEnd w:id="134"/>
      <w:bookmarkStart w:id="135" w:name="_Toc184314415"/>
      <w:bookmarkEnd w:id="135"/>
      <w:bookmarkStart w:id="136" w:name="_Toc184312085"/>
      <w:bookmarkEnd w:id="136"/>
      <w:bookmarkStart w:id="137" w:name="_Toc184314414"/>
      <w:bookmarkEnd w:id="137"/>
      <w:bookmarkStart w:id="138" w:name="_Toc184310277"/>
      <w:bookmarkEnd w:id="138"/>
      <w:bookmarkStart w:id="139" w:name="_Toc184312096"/>
      <w:bookmarkEnd w:id="139"/>
      <w:bookmarkStart w:id="140" w:name="_Toc184312126"/>
      <w:bookmarkEnd w:id="140"/>
      <w:bookmarkStart w:id="141" w:name="_Toc184310299"/>
      <w:bookmarkEnd w:id="141"/>
      <w:bookmarkStart w:id="142" w:name="_Toc184313289"/>
      <w:bookmarkEnd w:id="142"/>
      <w:bookmarkStart w:id="143" w:name="_Toc184313239"/>
      <w:bookmarkEnd w:id="143"/>
      <w:bookmarkStart w:id="144" w:name="_Toc184310339"/>
      <w:bookmarkEnd w:id="144"/>
      <w:bookmarkStart w:id="145" w:name="_Toc184308061"/>
      <w:bookmarkEnd w:id="145"/>
      <w:bookmarkStart w:id="146" w:name="_Toc184310291"/>
      <w:bookmarkEnd w:id="146"/>
      <w:bookmarkStart w:id="147" w:name="_Toc184310313"/>
      <w:bookmarkEnd w:id="147"/>
      <w:bookmarkStart w:id="148" w:name="_Toc184310298"/>
      <w:bookmarkEnd w:id="148"/>
      <w:bookmarkStart w:id="149" w:name="_Toc184312130"/>
      <w:bookmarkEnd w:id="149"/>
      <w:bookmarkStart w:id="150" w:name="_Toc184313262"/>
      <w:bookmarkEnd w:id="150"/>
      <w:bookmarkStart w:id="151" w:name="_Toc184312128"/>
      <w:bookmarkEnd w:id="151"/>
      <w:bookmarkStart w:id="152" w:name="_Toc184312094"/>
      <w:bookmarkEnd w:id="152"/>
      <w:bookmarkStart w:id="153" w:name="_Toc184310338"/>
      <w:bookmarkEnd w:id="153"/>
      <w:bookmarkStart w:id="154" w:name="_Toc184308042"/>
      <w:bookmarkEnd w:id="154"/>
      <w:bookmarkStart w:id="155" w:name="_Toc184314431"/>
      <w:bookmarkEnd w:id="155"/>
      <w:bookmarkStart w:id="156" w:name="_Toc184308048"/>
      <w:bookmarkEnd w:id="156"/>
      <w:bookmarkStart w:id="157" w:name="_Toc184310334"/>
      <w:bookmarkEnd w:id="157"/>
      <w:bookmarkStart w:id="158" w:name="_Toc184314461"/>
      <w:bookmarkEnd w:id="158"/>
      <w:bookmarkStart w:id="159" w:name="_Toc184310317"/>
      <w:bookmarkEnd w:id="159"/>
      <w:bookmarkStart w:id="160" w:name="_Toc184312076"/>
      <w:bookmarkEnd w:id="160"/>
      <w:bookmarkStart w:id="161" w:name="_Toc184310283"/>
      <w:bookmarkEnd w:id="161"/>
      <w:bookmarkStart w:id="162" w:name="_Toc184313238"/>
      <w:bookmarkEnd w:id="162"/>
      <w:bookmarkStart w:id="163" w:name="_Toc184308094"/>
      <w:bookmarkEnd w:id="163"/>
      <w:bookmarkStart w:id="164" w:name="_Toc184308044"/>
      <w:bookmarkEnd w:id="164"/>
      <w:bookmarkStart w:id="165" w:name="_Toc184313294"/>
      <w:bookmarkEnd w:id="165"/>
      <w:bookmarkStart w:id="166" w:name="_Toc184313284"/>
      <w:bookmarkEnd w:id="166"/>
      <w:bookmarkStart w:id="167" w:name="_Toc184312136"/>
      <w:bookmarkEnd w:id="167"/>
      <w:bookmarkStart w:id="168" w:name="_Toc184313249"/>
      <w:bookmarkEnd w:id="168"/>
      <w:bookmarkStart w:id="169" w:name="_Toc184310336"/>
      <w:bookmarkEnd w:id="169"/>
      <w:bookmarkStart w:id="170" w:name="_Toc184313254"/>
      <w:bookmarkEnd w:id="170"/>
      <w:bookmarkStart w:id="171" w:name="_Toc184313276"/>
      <w:bookmarkEnd w:id="171"/>
      <w:bookmarkStart w:id="172" w:name="_Toc184310309"/>
      <w:bookmarkEnd w:id="172"/>
      <w:bookmarkStart w:id="173" w:name="_Toc184314421"/>
      <w:bookmarkEnd w:id="173"/>
      <w:bookmarkStart w:id="174" w:name="_Toc184312135"/>
      <w:bookmarkEnd w:id="174"/>
      <w:bookmarkStart w:id="175" w:name="_Toc184312073"/>
      <w:bookmarkEnd w:id="175"/>
      <w:bookmarkStart w:id="176" w:name="_Toc184314477"/>
      <w:bookmarkEnd w:id="176"/>
      <w:bookmarkStart w:id="177" w:name="_Toc184313288"/>
      <w:bookmarkEnd w:id="177"/>
      <w:bookmarkStart w:id="178" w:name="_Toc184313260"/>
      <w:bookmarkEnd w:id="178"/>
      <w:bookmarkStart w:id="179" w:name="_Toc184314482"/>
      <w:bookmarkEnd w:id="179"/>
      <w:bookmarkStart w:id="180" w:name="_Toc184310311"/>
      <w:bookmarkEnd w:id="180"/>
      <w:bookmarkStart w:id="181" w:name="_Toc184312133"/>
      <w:bookmarkEnd w:id="181"/>
      <w:bookmarkStart w:id="182" w:name="_Toc184313290"/>
      <w:bookmarkEnd w:id="182"/>
      <w:bookmarkStart w:id="183" w:name="_Toc184310285"/>
      <w:bookmarkEnd w:id="183"/>
      <w:bookmarkStart w:id="184" w:name="_Toc184314450"/>
      <w:bookmarkEnd w:id="184"/>
      <w:bookmarkStart w:id="185" w:name="_Toc184310342"/>
      <w:bookmarkEnd w:id="185"/>
      <w:bookmarkStart w:id="186" w:name="_Toc184312079"/>
      <w:bookmarkEnd w:id="186"/>
      <w:bookmarkStart w:id="187" w:name="_Toc184314452"/>
      <w:bookmarkEnd w:id="187"/>
      <w:bookmarkStart w:id="188" w:name="_Toc184312099"/>
      <w:bookmarkEnd w:id="188"/>
      <w:bookmarkStart w:id="189" w:name="_Toc184313265"/>
      <w:bookmarkEnd w:id="189"/>
      <w:bookmarkStart w:id="190" w:name="_Toc184312086"/>
      <w:bookmarkEnd w:id="190"/>
      <w:bookmarkStart w:id="191" w:name="_Toc184312101"/>
      <w:bookmarkEnd w:id="191"/>
      <w:bookmarkStart w:id="192" w:name="_Toc184308066"/>
      <w:bookmarkEnd w:id="192"/>
      <w:bookmarkStart w:id="193" w:name="_Toc184313279"/>
      <w:bookmarkEnd w:id="193"/>
      <w:bookmarkStart w:id="194" w:name="_Toc184312139"/>
      <w:bookmarkEnd w:id="194"/>
      <w:bookmarkStart w:id="195" w:name="_Toc184312087"/>
      <w:bookmarkEnd w:id="195"/>
      <w:bookmarkStart w:id="196" w:name="_Toc184313301"/>
      <w:bookmarkEnd w:id="196"/>
      <w:bookmarkStart w:id="197" w:name="_Toc184313302"/>
      <w:bookmarkEnd w:id="197"/>
      <w:bookmarkStart w:id="198" w:name="_Toc184313274"/>
      <w:bookmarkEnd w:id="198"/>
      <w:bookmarkStart w:id="199" w:name="_Toc184308060"/>
      <w:bookmarkEnd w:id="199"/>
      <w:bookmarkStart w:id="200" w:name="_Toc184314479"/>
      <w:bookmarkEnd w:id="200"/>
      <w:bookmarkStart w:id="201" w:name="_Toc184313269"/>
      <w:bookmarkEnd w:id="201"/>
      <w:bookmarkStart w:id="202" w:name="_Toc184314469"/>
      <w:bookmarkEnd w:id="202"/>
      <w:bookmarkStart w:id="203" w:name="_Toc184312071"/>
      <w:bookmarkEnd w:id="203"/>
      <w:bookmarkStart w:id="204" w:name="_Toc184308052"/>
      <w:bookmarkEnd w:id="204"/>
      <w:bookmarkStart w:id="205" w:name="_Toc184308058"/>
      <w:bookmarkEnd w:id="205"/>
      <w:bookmarkStart w:id="206" w:name="_Toc184308065"/>
      <w:bookmarkEnd w:id="206"/>
      <w:bookmarkStart w:id="207" w:name="_Toc184314441"/>
      <w:bookmarkEnd w:id="207"/>
      <w:bookmarkStart w:id="208" w:name="_Toc184312093"/>
      <w:bookmarkEnd w:id="208"/>
      <w:bookmarkStart w:id="209" w:name="_Toc184313261"/>
      <w:bookmarkEnd w:id="209"/>
      <w:bookmarkStart w:id="210" w:name="_Toc184312103"/>
      <w:bookmarkEnd w:id="210"/>
      <w:bookmarkStart w:id="211" w:name="_Toc184314471"/>
      <w:bookmarkEnd w:id="211"/>
      <w:bookmarkStart w:id="212" w:name="_Toc184308070"/>
      <w:bookmarkEnd w:id="212"/>
      <w:bookmarkStart w:id="213" w:name="_Toc184313252"/>
      <w:bookmarkEnd w:id="213"/>
      <w:bookmarkStart w:id="214" w:name="_Toc184313281"/>
      <w:bookmarkEnd w:id="214"/>
      <w:bookmarkStart w:id="215" w:name="_Toc184308063"/>
      <w:bookmarkEnd w:id="215"/>
      <w:bookmarkStart w:id="216" w:name="_Toc184310273"/>
      <w:bookmarkEnd w:id="216"/>
      <w:bookmarkStart w:id="217" w:name="_Toc184308038"/>
      <w:bookmarkEnd w:id="217"/>
      <w:bookmarkStart w:id="218" w:name="_Toc184312077"/>
      <w:bookmarkEnd w:id="218"/>
      <w:bookmarkStart w:id="219" w:name="_Toc184314476"/>
      <w:bookmarkEnd w:id="219"/>
      <w:bookmarkStart w:id="220" w:name="_Toc184310301"/>
      <w:bookmarkEnd w:id="220"/>
      <w:bookmarkStart w:id="221" w:name="_Toc184314472"/>
      <w:bookmarkEnd w:id="221"/>
      <w:bookmarkStart w:id="222" w:name="_Toc184310322"/>
      <w:bookmarkEnd w:id="222"/>
      <w:bookmarkStart w:id="223" w:name="_Toc184314480"/>
      <w:bookmarkEnd w:id="223"/>
      <w:bookmarkStart w:id="224" w:name="_Toc184314411"/>
      <w:bookmarkEnd w:id="224"/>
      <w:bookmarkStart w:id="225" w:name="_Toc184313242"/>
      <w:bookmarkEnd w:id="225"/>
      <w:bookmarkStart w:id="226" w:name="_Toc184310318"/>
      <w:bookmarkEnd w:id="226"/>
      <w:bookmarkStart w:id="227" w:name="_Toc184310312"/>
      <w:bookmarkEnd w:id="227"/>
      <w:bookmarkStart w:id="228" w:name="_Toc184314467"/>
      <w:bookmarkEnd w:id="228"/>
      <w:bookmarkStart w:id="229" w:name="_Toc184314449"/>
      <w:bookmarkEnd w:id="229"/>
      <w:bookmarkStart w:id="230" w:name="_Toc184310276"/>
      <w:bookmarkEnd w:id="230"/>
      <w:bookmarkStart w:id="231" w:name="_Toc184313291"/>
      <w:bookmarkEnd w:id="231"/>
      <w:bookmarkStart w:id="232" w:name="_Toc184314419"/>
      <w:bookmarkEnd w:id="232"/>
      <w:bookmarkStart w:id="233" w:name="_Toc184314474"/>
      <w:bookmarkEnd w:id="233"/>
      <w:bookmarkStart w:id="234" w:name="_Toc184312105"/>
      <w:bookmarkEnd w:id="234"/>
      <w:bookmarkStart w:id="235" w:name="_Toc184314438"/>
      <w:bookmarkEnd w:id="235"/>
      <w:bookmarkStart w:id="236" w:name="_Toc184313244"/>
      <w:bookmarkEnd w:id="236"/>
      <w:bookmarkStart w:id="237" w:name="_Toc184308071"/>
      <w:bookmarkEnd w:id="237"/>
      <w:bookmarkStart w:id="238" w:name="_Toc184310327"/>
      <w:bookmarkEnd w:id="238"/>
      <w:bookmarkStart w:id="239" w:name="_Toc184314455"/>
      <w:bookmarkEnd w:id="239"/>
      <w:bookmarkStart w:id="240" w:name="_Toc184313299"/>
      <w:bookmarkEnd w:id="240"/>
      <w:bookmarkStart w:id="241" w:name="_Toc184314465"/>
      <w:bookmarkEnd w:id="241"/>
      <w:bookmarkStart w:id="242" w:name="_Toc184310335"/>
      <w:bookmarkEnd w:id="242"/>
      <w:bookmarkStart w:id="243" w:name="_Toc184312118"/>
      <w:bookmarkEnd w:id="243"/>
      <w:bookmarkStart w:id="244" w:name="_Toc184310286"/>
      <w:bookmarkEnd w:id="244"/>
      <w:bookmarkStart w:id="245" w:name="_Toc184312089"/>
      <w:bookmarkEnd w:id="245"/>
      <w:bookmarkStart w:id="246" w:name="_Toc184308046"/>
      <w:bookmarkEnd w:id="246"/>
      <w:bookmarkStart w:id="247" w:name="_Toc184314462"/>
      <w:bookmarkEnd w:id="247"/>
      <w:bookmarkStart w:id="248" w:name="_Toc184310282"/>
      <w:bookmarkEnd w:id="248"/>
      <w:bookmarkStart w:id="249" w:name="_Toc184308086"/>
      <w:bookmarkEnd w:id="249"/>
      <w:bookmarkStart w:id="250" w:name="_Toc184312119"/>
      <w:bookmarkEnd w:id="250"/>
      <w:bookmarkStart w:id="251" w:name="_Toc184310324"/>
      <w:bookmarkEnd w:id="251"/>
      <w:bookmarkStart w:id="252" w:name="_Toc184313282"/>
      <w:bookmarkEnd w:id="252"/>
      <w:bookmarkStart w:id="253" w:name="_Toc184312090"/>
      <w:bookmarkEnd w:id="253"/>
      <w:bookmarkStart w:id="254" w:name="_Toc184308041"/>
      <w:bookmarkEnd w:id="254"/>
      <w:bookmarkStart w:id="255" w:name="_Toc184308105"/>
      <w:bookmarkEnd w:id="255"/>
      <w:bookmarkStart w:id="256" w:name="_Toc184312069"/>
      <w:bookmarkEnd w:id="256"/>
      <w:bookmarkStart w:id="257" w:name="_Toc184310274"/>
      <w:bookmarkEnd w:id="257"/>
      <w:bookmarkStart w:id="258" w:name="_Toc184312116"/>
      <w:bookmarkEnd w:id="258"/>
      <w:bookmarkStart w:id="259" w:name="_Toc184314440"/>
      <w:bookmarkEnd w:id="259"/>
      <w:bookmarkStart w:id="260" w:name="_Toc184314416"/>
      <w:bookmarkEnd w:id="260"/>
      <w:bookmarkStart w:id="261" w:name="_Toc184308050"/>
      <w:bookmarkEnd w:id="261"/>
      <w:bookmarkStart w:id="262" w:name="_Toc184313285"/>
      <w:bookmarkEnd w:id="262"/>
      <w:bookmarkStart w:id="263" w:name="_Toc184312127"/>
      <w:bookmarkEnd w:id="263"/>
      <w:bookmarkStart w:id="264" w:name="_Toc184314430"/>
      <w:bookmarkEnd w:id="264"/>
      <w:bookmarkStart w:id="265" w:name="_Toc184312106"/>
      <w:bookmarkEnd w:id="265"/>
      <w:bookmarkStart w:id="266" w:name="_Toc184310287"/>
      <w:bookmarkEnd w:id="266"/>
      <w:bookmarkStart w:id="267" w:name="_Toc184314478"/>
      <w:bookmarkEnd w:id="267"/>
      <w:bookmarkStart w:id="268" w:name="_Toc184313257"/>
      <w:bookmarkEnd w:id="268"/>
      <w:bookmarkStart w:id="269" w:name="_Toc184313297"/>
      <w:bookmarkEnd w:id="269"/>
      <w:bookmarkStart w:id="270" w:name="_Toc184314473"/>
      <w:bookmarkEnd w:id="270"/>
      <w:bookmarkStart w:id="271" w:name="_Toc184313267"/>
      <w:bookmarkEnd w:id="271"/>
      <w:bookmarkStart w:id="272" w:name="_Toc184312132"/>
      <w:bookmarkEnd w:id="272"/>
      <w:bookmarkStart w:id="273" w:name="_Toc184313255"/>
      <w:bookmarkEnd w:id="273"/>
      <w:bookmarkStart w:id="274" w:name="_Toc184314445"/>
      <w:bookmarkEnd w:id="274"/>
      <w:bookmarkStart w:id="275" w:name="_Toc184310305"/>
      <w:bookmarkEnd w:id="275"/>
      <w:bookmarkStart w:id="276" w:name="_Toc184314432"/>
      <w:bookmarkEnd w:id="276"/>
      <w:bookmarkStart w:id="277" w:name="_Toc184312124"/>
      <w:bookmarkEnd w:id="277"/>
      <w:bookmarkStart w:id="278" w:name="_Toc184312088"/>
      <w:bookmarkEnd w:id="278"/>
      <w:bookmarkStart w:id="279" w:name="_Toc184310297"/>
      <w:bookmarkEnd w:id="279"/>
      <w:bookmarkStart w:id="280" w:name="_Toc184312114"/>
      <w:bookmarkEnd w:id="280"/>
      <w:bookmarkStart w:id="281" w:name="_Toc184308108"/>
      <w:bookmarkEnd w:id="281"/>
      <w:bookmarkStart w:id="282" w:name="_Toc184314460"/>
      <w:bookmarkEnd w:id="282"/>
      <w:bookmarkStart w:id="283" w:name="_Toc184308069"/>
      <w:bookmarkEnd w:id="283"/>
      <w:bookmarkStart w:id="284" w:name="_Toc184312137"/>
      <w:bookmarkEnd w:id="284"/>
      <w:bookmarkStart w:id="285" w:name="_Toc184308081"/>
      <w:bookmarkEnd w:id="285"/>
      <w:bookmarkStart w:id="286" w:name="_Toc184310343"/>
      <w:bookmarkEnd w:id="286"/>
      <w:bookmarkStart w:id="287" w:name="_Toc184308091"/>
      <w:bookmarkEnd w:id="287"/>
      <w:bookmarkStart w:id="288" w:name="_Toc184314418"/>
      <w:bookmarkEnd w:id="288"/>
      <w:bookmarkStart w:id="289" w:name="_Toc184313310"/>
      <w:bookmarkEnd w:id="289"/>
      <w:bookmarkStart w:id="290" w:name="_Toc184308087"/>
      <w:bookmarkEnd w:id="290"/>
      <w:bookmarkStart w:id="291" w:name="_Toc184308068"/>
      <w:bookmarkEnd w:id="291"/>
      <w:bookmarkStart w:id="292" w:name="_Toc184314435"/>
      <w:bookmarkEnd w:id="292"/>
      <w:bookmarkStart w:id="293" w:name="_Toc184314433"/>
      <w:bookmarkEnd w:id="293"/>
      <w:bookmarkStart w:id="294" w:name="_Toc184310340"/>
      <w:bookmarkEnd w:id="294"/>
      <w:bookmarkStart w:id="295" w:name="_Toc184310316"/>
      <w:bookmarkEnd w:id="295"/>
      <w:bookmarkStart w:id="296" w:name="_Toc184310329"/>
      <w:bookmarkEnd w:id="296"/>
      <w:bookmarkStart w:id="297" w:name="_Toc184310314"/>
      <w:bookmarkEnd w:id="297"/>
      <w:bookmarkStart w:id="298" w:name="_Toc184312123"/>
      <w:bookmarkEnd w:id="298"/>
      <w:bookmarkStart w:id="299" w:name="_Toc184310306"/>
      <w:bookmarkEnd w:id="299"/>
      <w:bookmarkStart w:id="300" w:name="_Toc184314427"/>
      <w:bookmarkEnd w:id="300"/>
      <w:bookmarkStart w:id="301" w:name="_Toc184314444"/>
      <w:bookmarkEnd w:id="301"/>
      <w:bookmarkStart w:id="302" w:name="_Toc184313277"/>
      <w:bookmarkEnd w:id="302"/>
      <w:bookmarkStart w:id="303" w:name="_Toc184312084"/>
      <w:bookmarkEnd w:id="303"/>
      <w:bookmarkStart w:id="304" w:name="_Toc184314442"/>
      <w:bookmarkEnd w:id="304"/>
      <w:bookmarkStart w:id="305" w:name="_Toc184310275"/>
      <w:bookmarkEnd w:id="305"/>
      <w:bookmarkStart w:id="306" w:name="_Toc184314439"/>
      <w:bookmarkEnd w:id="306"/>
      <w:bookmarkStart w:id="307" w:name="_Toc184313264"/>
      <w:bookmarkEnd w:id="307"/>
      <w:bookmarkStart w:id="308" w:name="_Toc184314437"/>
      <w:bookmarkEnd w:id="308"/>
      <w:bookmarkStart w:id="309" w:name="_Toc184308084"/>
      <w:bookmarkEnd w:id="309"/>
      <w:bookmarkStart w:id="310" w:name="_Toc184308047"/>
      <w:bookmarkEnd w:id="310"/>
      <w:bookmarkStart w:id="311" w:name="_Toc184308093"/>
      <w:bookmarkEnd w:id="311"/>
      <w:bookmarkStart w:id="312" w:name="_Toc184313308"/>
      <w:bookmarkEnd w:id="312"/>
      <w:bookmarkStart w:id="313" w:name="_Toc184314451"/>
      <w:bookmarkEnd w:id="313"/>
      <w:bookmarkStart w:id="314" w:name="_Toc184314470"/>
      <w:bookmarkEnd w:id="314"/>
      <w:bookmarkStart w:id="315" w:name="_Toc184314468"/>
      <w:bookmarkEnd w:id="315"/>
      <w:bookmarkStart w:id="316" w:name="_Toc184308051"/>
      <w:bookmarkEnd w:id="316"/>
      <w:bookmarkStart w:id="317" w:name="_Toc184313240"/>
      <w:bookmarkEnd w:id="317"/>
      <w:bookmarkStart w:id="318" w:name="_Toc184314428"/>
      <w:bookmarkEnd w:id="318"/>
      <w:bookmarkStart w:id="319" w:name="_Toc184308101"/>
      <w:bookmarkEnd w:id="319"/>
      <w:bookmarkStart w:id="320" w:name="_Toc184308036"/>
      <w:bookmarkEnd w:id="320"/>
      <w:bookmarkStart w:id="321" w:name="_Toc184313283"/>
      <w:bookmarkEnd w:id="321"/>
      <w:bookmarkStart w:id="322" w:name="_Toc184313286"/>
      <w:bookmarkEnd w:id="322"/>
      <w:bookmarkStart w:id="323" w:name="_Toc184313271"/>
      <w:bookmarkEnd w:id="323"/>
      <w:bookmarkStart w:id="324" w:name="_Toc184308077"/>
      <w:bookmarkEnd w:id="324"/>
      <w:bookmarkStart w:id="325" w:name="_Toc184314429"/>
      <w:bookmarkEnd w:id="325"/>
      <w:bookmarkStart w:id="326" w:name="_Toc184308095"/>
      <w:bookmarkEnd w:id="326"/>
      <w:bookmarkStart w:id="327" w:name="_Toc184314426"/>
      <w:bookmarkEnd w:id="327"/>
      <w:bookmarkStart w:id="328" w:name="_Toc184314436"/>
      <w:bookmarkEnd w:id="328"/>
      <w:bookmarkStart w:id="329" w:name="_Toc184312122"/>
      <w:bookmarkEnd w:id="329"/>
      <w:bookmarkStart w:id="330" w:name="_Toc184308062"/>
      <w:bookmarkEnd w:id="330"/>
      <w:bookmarkStart w:id="331" w:name="_Toc184310331"/>
      <w:bookmarkEnd w:id="331"/>
      <w:bookmarkStart w:id="332" w:name="_Toc184312095"/>
      <w:bookmarkEnd w:id="332"/>
      <w:bookmarkStart w:id="333" w:name="_Toc184312125"/>
      <w:bookmarkEnd w:id="333"/>
      <w:bookmarkStart w:id="334" w:name="_Toc184308045"/>
      <w:bookmarkEnd w:id="334"/>
      <w:bookmarkStart w:id="335" w:name="_Toc184313287"/>
      <w:bookmarkEnd w:id="335"/>
      <w:bookmarkStart w:id="336" w:name="_Toc184312091"/>
      <w:bookmarkEnd w:id="336"/>
      <w:bookmarkStart w:id="337" w:name="_Toc184312098"/>
      <w:bookmarkEnd w:id="337"/>
      <w:bookmarkStart w:id="338" w:name="_Toc184313293"/>
      <w:bookmarkEnd w:id="338"/>
      <w:bookmarkStart w:id="339" w:name="_Toc184310341"/>
      <w:bookmarkEnd w:id="339"/>
      <w:bookmarkStart w:id="340" w:name="_Toc184312138"/>
      <w:bookmarkEnd w:id="340"/>
      <w:bookmarkStart w:id="341" w:name="_Toc184310292"/>
      <w:bookmarkEnd w:id="341"/>
      <w:bookmarkStart w:id="342" w:name="_Toc184312100"/>
      <w:bookmarkEnd w:id="342"/>
      <w:bookmarkStart w:id="343" w:name="_Toc184312097"/>
      <w:bookmarkEnd w:id="343"/>
      <w:bookmarkStart w:id="344" w:name="_Toc184312129"/>
      <w:bookmarkEnd w:id="344"/>
      <w:bookmarkStart w:id="345" w:name="_Toc184312131"/>
      <w:bookmarkEnd w:id="345"/>
      <w:bookmarkStart w:id="346" w:name="_Toc184314417"/>
      <w:bookmarkEnd w:id="346"/>
      <w:bookmarkStart w:id="347" w:name="_Toc184308053"/>
      <w:bookmarkEnd w:id="347"/>
      <w:bookmarkStart w:id="348" w:name="_Toc184314456"/>
      <w:bookmarkEnd w:id="348"/>
      <w:bookmarkStart w:id="349" w:name="_Toc184313280"/>
      <w:bookmarkEnd w:id="349"/>
      <w:bookmarkStart w:id="350" w:name="_Toc184308104"/>
      <w:bookmarkEnd w:id="350"/>
      <w:bookmarkStart w:id="351" w:name="_Toc184312134"/>
      <w:bookmarkEnd w:id="351"/>
      <w:bookmarkStart w:id="352" w:name="_Toc184308083"/>
      <w:bookmarkEnd w:id="352"/>
      <w:bookmarkStart w:id="353" w:name="_Toc184312072"/>
      <w:bookmarkEnd w:id="353"/>
      <w:bookmarkStart w:id="354" w:name="_Toc184310303"/>
      <w:bookmarkEnd w:id="354"/>
      <w:bookmarkStart w:id="355" w:name="_Toc184312115"/>
      <w:bookmarkEnd w:id="355"/>
      <w:bookmarkStart w:id="356" w:name="_Toc184310279"/>
      <w:bookmarkEnd w:id="356"/>
      <w:bookmarkStart w:id="357" w:name="_Toc184313307"/>
      <w:bookmarkEnd w:id="357"/>
      <w:bookmarkStart w:id="358" w:name="_Toc184308078"/>
      <w:bookmarkEnd w:id="358"/>
      <w:bookmarkStart w:id="359" w:name="_Toc184312102"/>
      <w:bookmarkEnd w:id="359"/>
      <w:bookmarkStart w:id="360" w:name="_Toc184308057"/>
      <w:bookmarkEnd w:id="360"/>
      <w:bookmarkStart w:id="361" w:name="_Toc184313248"/>
      <w:bookmarkEnd w:id="361"/>
      <w:bookmarkStart w:id="362" w:name="_Toc184312104"/>
      <w:bookmarkEnd w:id="362"/>
      <w:bookmarkStart w:id="363" w:name="_Toc184310337"/>
      <w:bookmarkEnd w:id="363"/>
      <w:bookmarkStart w:id="364" w:name="_Toc184308040"/>
      <w:bookmarkEnd w:id="364"/>
      <w:bookmarkStart w:id="365" w:name="_Toc184310278"/>
      <w:bookmarkEnd w:id="365"/>
      <w:bookmarkStart w:id="366" w:name="_Toc184312078"/>
      <w:bookmarkEnd w:id="366"/>
      <w:bookmarkStart w:id="367" w:name="_Toc184314459"/>
      <w:bookmarkEnd w:id="367"/>
      <w:bookmarkStart w:id="368" w:name="_Toc184308055"/>
      <w:bookmarkEnd w:id="368"/>
      <w:bookmarkStart w:id="369" w:name="_Toc184308039"/>
      <w:bookmarkEnd w:id="369"/>
      <w:bookmarkStart w:id="370" w:name="_Toc184313270"/>
      <w:bookmarkEnd w:id="370"/>
      <w:bookmarkStart w:id="371" w:name="_Toc184314434"/>
      <w:bookmarkEnd w:id="371"/>
      <w:bookmarkStart w:id="372" w:name="_Toc184310289"/>
      <w:bookmarkEnd w:id="372"/>
      <w:bookmarkStart w:id="373" w:name="_Toc184312068"/>
      <w:bookmarkEnd w:id="373"/>
      <w:bookmarkStart w:id="374" w:name="_Toc184313246"/>
      <w:bookmarkEnd w:id="374"/>
      <w:bookmarkStart w:id="375" w:name="_Toc184313300"/>
      <w:bookmarkEnd w:id="375"/>
      <w:bookmarkStart w:id="376" w:name="_Toc184308090"/>
      <w:bookmarkEnd w:id="376"/>
      <w:bookmarkStart w:id="377" w:name="_Toc184308043"/>
      <w:bookmarkEnd w:id="377"/>
      <w:bookmarkStart w:id="378" w:name="_Toc184310323"/>
      <w:bookmarkEnd w:id="378"/>
      <w:bookmarkStart w:id="379" w:name="_Toc184313258"/>
      <w:bookmarkEnd w:id="379"/>
      <w:bookmarkStart w:id="380" w:name="_Toc184313256"/>
      <w:bookmarkEnd w:id="380"/>
      <w:bookmarkStart w:id="381" w:name="_Toc184308075"/>
      <w:bookmarkEnd w:id="381"/>
      <w:bookmarkStart w:id="382" w:name="_Toc184312081"/>
      <w:bookmarkEnd w:id="382"/>
      <w:bookmarkStart w:id="383" w:name="_Toc184314447"/>
      <w:bookmarkEnd w:id="383"/>
      <w:bookmarkStart w:id="384" w:name="_Toc184308079"/>
      <w:bookmarkEnd w:id="384"/>
      <w:bookmarkStart w:id="385" w:name="_Toc184312113"/>
      <w:bookmarkEnd w:id="385"/>
      <w:bookmarkStart w:id="386" w:name="_Toc184310315"/>
      <w:bookmarkEnd w:id="386"/>
      <w:bookmarkStart w:id="387" w:name="_Toc184308054"/>
      <w:bookmarkEnd w:id="387"/>
      <w:bookmarkStart w:id="388" w:name="_Toc184310272"/>
      <w:bookmarkEnd w:id="388"/>
      <w:bookmarkStart w:id="389" w:name="_Toc184314463"/>
      <w:bookmarkEnd w:id="389"/>
      <w:bookmarkStart w:id="390" w:name="_Toc184310295"/>
      <w:bookmarkEnd w:id="390"/>
      <w:bookmarkStart w:id="391" w:name="_Toc184310290"/>
      <w:bookmarkEnd w:id="391"/>
      <w:bookmarkStart w:id="392" w:name="_Toc184314448"/>
      <w:bookmarkEnd w:id="392"/>
      <w:bookmarkStart w:id="393" w:name="_Toc184314481"/>
      <w:bookmarkEnd w:id="393"/>
      <w:bookmarkStart w:id="394" w:name="_Toc184308049"/>
      <w:bookmarkEnd w:id="394"/>
      <w:bookmarkStart w:id="395" w:name="_Toc184310284"/>
      <w:bookmarkEnd w:id="395"/>
      <w:bookmarkStart w:id="396" w:name="_Toc184314458"/>
      <w:bookmarkEnd w:id="396"/>
      <w:r>
        <w:rPr>
          <w:rFonts w:hint="eastAsia" w:ascii="宋体" w:hAnsi="宋体" w:cs="宋体"/>
          <w:b/>
          <w:sz w:val="36"/>
          <w:szCs w:val="36"/>
        </w:rPr>
        <w:t>评标办法</w:t>
      </w:r>
    </w:p>
    <w:p>
      <w:pPr>
        <w:jc w:val="center"/>
        <w:rPr>
          <w:rFonts w:ascii="宋体" w:hAnsi="宋体" w:cs="宋体"/>
          <w:b/>
          <w:sz w:val="32"/>
          <w:szCs w:val="20"/>
        </w:rPr>
      </w:pPr>
      <w:r>
        <w:rPr>
          <w:rFonts w:hint="eastAsia" w:ascii="宋体" w:hAnsi="宋体" w:cs="宋体"/>
          <w:b/>
          <w:sz w:val="32"/>
          <w:szCs w:val="20"/>
        </w:rPr>
        <w:t>评标办法前附表</w:t>
      </w:r>
    </w:p>
    <w:p>
      <w:pPr>
        <w:rPr>
          <w:rFonts w:ascii="宋体" w:hAnsi="宋体" w:cs="宋体"/>
          <w:b/>
          <w:bCs/>
        </w:rPr>
      </w:pPr>
      <w:r>
        <w:rPr>
          <w:rFonts w:hint="eastAsia" w:ascii="宋体" w:hAnsi="宋体" w:cs="宋体"/>
          <w:b/>
          <w:bCs/>
        </w:rPr>
        <w:t>1、商务资信（10分）</w:t>
      </w:r>
    </w:p>
    <w:tbl>
      <w:tblPr>
        <w:tblStyle w:val="62"/>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991"/>
        <w:gridCol w:w="42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9" w:type="dxa"/>
            <w:vAlign w:val="center"/>
          </w:tcPr>
          <w:p>
            <w:pPr>
              <w:spacing w:line="280" w:lineRule="exact"/>
              <w:jc w:val="center"/>
              <w:rPr>
                <w:rFonts w:ascii="宋体" w:hAnsi="宋体" w:cs="宋体"/>
                <w:sz w:val="24"/>
              </w:rPr>
            </w:pPr>
            <w:r>
              <w:rPr>
                <w:rFonts w:hint="eastAsia" w:ascii="宋体" w:hAnsi="宋体" w:cs="宋体"/>
                <w:sz w:val="24"/>
              </w:rPr>
              <w:t>序号</w:t>
            </w:r>
          </w:p>
        </w:tc>
        <w:tc>
          <w:tcPr>
            <w:tcW w:w="6991" w:type="dxa"/>
            <w:vAlign w:val="center"/>
          </w:tcPr>
          <w:p>
            <w:pPr>
              <w:spacing w:line="280" w:lineRule="exact"/>
              <w:jc w:val="center"/>
              <w:rPr>
                <w:rFonts w:ascii="宋体" w:hAnsi="宋体" w:cs="宋体"/>
                <w:sz w:val="24"/>
              </w:rPr>
            </w:pPr>
            <w:r>
              <w:rPr>
                <w:rFonts w:hint="eastAsia" w:ascii="宋体" w:hAnsi="宋体" w:cs="宋体"/>
                <w:sz w:val="24"/>
              </w:rPr>
              <w:t>评分内容和标准</w:t>
            </w:r>
          </w:p>
        </w:tc>
        <w:tc>
          <w:tcPr>
            <w:tcW w:w="425" w:type="dxa"/>
            <w:vAlign w:val="center"/>
          </w:tcPr>
          <w:p>
            <w:pPr>
              <w:spacing w:line="280" w:lineRule="exact"/>
              <w:jc w:val="center"/>
              <w:rPr>
                <w:rFonts w:ascii="宋体" w:hAnsi="宋体" w:cs="宋体"/>
                <w:sz w:val="24"/>
              </w:rPr>
            </w:pPr>
            <w:r>
              <w:rPr>
                <w:rFonts w:hint="eastAsia" w:ascii="宋体" w:hAnsi="宋体" w:cs="宋体"/>
                <w:sz w:val="24"/>
              </w:rPr>
              <w:t>权重</w:t>
            </w:r>
          </w:p>
        </w:tc>
        <w:tc>
          <w:tcPr>
            <w:tcW w:w="1191" w:type="dxa"/>
            <w:vAlign w:val="center"/>
          </w:tcPr>
          <w:p>
            <w:pPr>
              <w:spacing w:line="280" w:lineRule="exact"/>
              <w:jc w:val="center"/>
              <w:rPr>
                <w:rFonts w:ascii="宋体" w:hAnsi="宋体" w:cs="宋体"/>
                <w:sz w:val="24"/>
              </w:rPr>
            </w:pPr>
            <w:r>
              <w:rPr>
                <w:rFonts w:hint="eastAsia" w:ascii="宋体" w:hAnsi="宋体" w:cs="宋体"/>
                <w:sz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89" w:type="dxa"/>
            <w:vMerge w:val="restart"/>
            <w:vAlign w:val="center"/>
          </w:tcPr>
          <w:p>
            <w:pPr>
              <w:spacing w:line="280" w:lineRule="exact"/>
              <w:jc w:val="center"/>
              <w:rPr>
                <w:rFonts w:ascii="宋体" w:hAnsi="宋体" w:cs="宋体"/>
                <w:sz w:val="24"/>
              </w:rPr>
            </w:pPr>
            <w:r>
              <w:rPr>
                <w:rFonts w:hint="eastAsia" w:ascii="宋体" w:hAnsi="宋体" w:cs="宋体"/>
                <w:sz w:val="24"/>
              </w:rPr>
              <w:t>商务资信（10分）</w:t>
            </w:r>
          </w:p>
        </w:tc>
        <w:tc>
          <w:tcPr>
            <w:tcW w:w="6991" w:type="dxa"/>
          </w:tcPr>
          <w:p>
            <w:pPr>
              <w:pStyle w:val="24"/>
              <w:widowControl/>
              <w:spacing w:line="400" w:lineRule="exact"/>
              <w:ind w:firstLine="0" w:firstLineChars="0"/>
              <w:rPr>
                <w:rFonts w:cs="宋体"/>
              </w:rPr>
            </w:pPr>
            <w:r>
              <w:rPr>
                <w:rFonts w:hint="eastAsia" w:cs="宋体"/>
              </w:rPr>
              <w:t>投标人具有公安机关颁发的《保安服务许可证》的，得3分，没有证书不得分。</w:t>
            </w:r>
          </w:p>
          <w:p>
            <w:pPr>
              <w:pStyle w:val="24"/>
              <w:widowControl/>
              <w:spacing w:line="400" w:lineRule="exact"/>
              <w:ind w:firstLine="0" w:firstLineChars="0"/>
              <w:rPr>
                <w:rFonts w:cs="宋体"/>
              </w:rPr>
            </w:pPr>
            <w:r>
              <w:rPr>
                <w:rFonts w:hint="eastAsia" w:cs="宋体"/>
              </w:rPr>
              <w:t>（投标文件中提供证书复印件，不提供不得分）</w:t>
            </w:r>
          </w:p>
        </w:tc>
        <w:tc>
          <w:tcPr>
            <w:tcW w:w="425" w:type="dxa"/>
            <w:vAlign w:val="center"/>
          </w:tcPr>
          <w:p>
            <w:pPr>
              <w:spacing w:line="280" w:lineRule="exact"/>
              <w:jc w:val="center"/>
              <w:rPr>
                <w:rFonts w:ascii="宋体" w:hAnsi="宋体" w:cs="宋体"/>
                <w:sz w:val="24"/>
              </w:rPr>
            </w:pPr>
            <w:r>
              <w:rPr>
                <w:rFonts w:hint="eastAsia" w:ascii="宋体" w:hAnsi="宋体" w:cs="宋体"/>
                <w:sz w:val="24"/>
              </w:rPr>
              <w:t>3</w:t>
            </w:r>
          </w:p>
        </w:tc>
        <w:tc>
          <w:tcPr>
            <w:tcW w:w="1191" w:type="dxa"/>
            <w:vAlign w:val="center"/>
          </w:tcPr>
          <w:p>
            <w:pPr>
              <w:spacing w:line="280" w:lineRule="exact"/>
              <w:jc w:val="center"/>
              <w:rPr>
                <w:rFonts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089" w:type="dxa"/>
            <w:vMerge w:val="continue"/>
            <w:vAlign w:val="center"/>
          </w:tcPr>
          <w:p>
            <w:pPr>
              <w:spacing w:line="280" w:lineRule="exact"/>
              <w:jc w:val="center"/>
              <w:rPr>
                <w:rFonts w:ascii="宋体" w:hAnsi="宋体" w:cs="宋体"/>
                <w:sz w:val="24"/>
              </w:rPr>
            </w:pPr>
          </w:p>
        </w:tc>
        <w:tc>
          <w:tcPr>
            <w:tcW w:w="6991" w:type="dxa"/>
            <w:vAlign w:val="center"/>
          </w:tcPr>
          <w:p>
            <w:pPr>
              <w:pStyle w:val="24"/>
              <w:widowControl/>
              <w:spacing w:line="400" w:lineRule="exact"/>
              <w:ind w:firstLine="0" w:firstLineChars="0"/>
              <w:rPr>
                <w:rFonts w:cs="宋体"/>
              </w:rPr>
            </w:pPr>
            <w:r>
              <w:rPr>
                <w:rFonts w:hint="eastAsia" w:cs="宋体"/>
              </w:rPr>
              <w:t>根据投标人2021年1月1日至投标文件递交截止时间类似保安服务项目业绩案例综合评定，每提供1个安保服务合同案例得0.5分，满分1分。（投标文件提供有效的服务合同复印件，合同完整、清晰可见，不提供或不清晰不得分）</w:t>
            </w:r>
          </w:p>
        </w:tc>
        <w:tc>
          <w:tcPr>
            <w:tcW w:w="425" w:type="dxa"/>
            <w:vAlign w:val="center"/>
          </w:tcPr>
          <w:p>
            <w:pPr>
              <w:spacing w:line="280" w:lineRule="exact"/>
              <w:jc w:val="center"/>
              <w:rPr>
                <w:rFonts w:ascii="宋体" w:hAnsi="宋体" w:cs="宋体"/>
                <w:sz w:val="24"/>
              </w:rPr>
            </w:pPr>
            <w:r>
              <w:rPr>
                <w:rFonts w:hint="eastAsia" w:ascii="宋体" w:hAnsi="宋体" w:cs="宋体"/>
                <w:sz w:val="24"/>
              </w:rPr>
              <w:t>1</w:t>
            </w:r>
          </w:p>
        </w:tc>
        <w:tc>
          <w:tcPr>
            <w:tcW w:w="1191" w:type="dxa"/>
            <w:vAlign w:val="center"/>
          </w:tcPr>
          <w:p>
            <w:pPr>
              <w:spacing w:line="280" w:lineRule="exact"/>
              <w:jc w:val="center"/>
              <w:rPr>
                <w:rFonts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089" w:type="dxa"/>
            <w:vMerge w:val="continue"/>
            <w:vAlign w:val="center"/>
          </w:tcPr>
          <w:p>
            <w:pPr>
              <w:spacing w:line="280" w:lineRule="exact"/>
              <w:jc w:val="center"/>
              <w:rPr>
                <w:rFonts w:ascii="宋体" w:hAnsi="宋体" w:cs="宋体"/>
                <w:sz w:val="24"/>
              </w:rPr>
            </w:pPr>
          </w:p>
        </w:tc>
        <w:tc>
          <w:tcPr>
            <w:tcW w:w="6991" w:type="dxa"/>
            <w:vAlign w:val="center"/>
          </w:tcPr>
          <w:p>
            <w:pPr>
              <w:pStyle w:val="24"/>
              <w:widowControl/>
              <w:spacing w:line="400" w:lineRule="exact"/>
              <w:ind w:firstLine="0" w:firstLineChars="0"/>
              <w:rPr>
                <w:rFonts w:cs="宋体"/>
              </w:rPr>
            </w:pPr>
            <w:r>
              <w:rPr>
                <w:rFonts w:hint="eastAsia" w:cs="宋体"/>
              </w:rPr>
              <w:t>投标人具有有效的质量管理体系认证证书的得2分，具有有效的职业健康安全管理认证证书得2分，具有有效的环境管理体系认证证书得2分。（投标文件提供“全国认证认可信息公共服务平台http://cx.cnca.cn/网站” 查询的认证证书信息网页截图，未提供或不符合要求不得分）</w:t>
            </w:r>
          </w:p>
        </w:tc>
        <w:tc>
          <w:tcPr>
            <w:tcW w:w="425" w:type="dxa"/>
            <w:vAlign w:val="center"/>
          </w:tcPr>
          <w:p>
            <w:pPr>
              <w:spacing w:line="280" w:lineRule="exact"/>
              <w:jc w:val="center"/>
              <w:rPr>
                <w:rFonts w:ascii="宋体" w:hAnsi="宋体" w:cs="宋体"/>
                <w:sz w:val="24"/>
              </w:rPr>
            </w:pPr>
            <w:r>
              <w:rPr>
                <w:rFonts w:hint="eastAsia" w:ascii="宋体" w:hAnsi="宋体" w:cs="宋体"/>
                <w:sz w:val="24"/>
              </w:rPr>
              <w:t>6</w:t>
            </w:r>
          </w:p>
        </w:tc>
        <w:tc>
          <w:tcPr>
            <w:tcW w:w="1191" w:type="dxa"/>
            <w:vAlign w:val="center"/>
          </w:tcPr>
          <w:p>
            <w:pPr>
              <w:spacing w:line="280" w:lineRule="exact"/>
              <w:jc w:val="center"/>
              <w:rPr>
                <w:rFonts w:ascii="宋体" w:hAnsi="宋体" w:cs="宋体"/>
                <w:sz w:val="24"/>
              </w:rPr>
            </w:pPr>
            <w:r>
              <w:rPr>
                <w:rFonts w:hint="eastAsia" w:ascii="宋体" w:hAnsi="宋体" w:cs="宋体"/>
                <w:sz w:val="24"/>
              </w:rPr>
              <w:t>客观分</w:t>
            </w:r>
          </w:p>
        </w:tc>
      </w:tr>
    </w:tbl>
    <w:p>
      <w:pPr>
        <w:rPr>
          <w:rFonts w:ascii="宋体" w:hAnsi="宋体" w:cs="宋体"/>
          <w:b/>
          <w:bCs/>
          <w:sz w:val="24"/>
        </w:rPr>
      </w:pPr>
      <w:r>
        <w:rPr>
          <w:rFonts w:hint="eastAsia" w:ascii="宋体" w:hAnsi="宋体" w:cs="宋体"/>
          <w:b/>
          <w:bCs/>
          <w:sz w:val="24"/>
        </w:rPr>
        <w:t>2.技术部分（80分）：</w:t>
      </w:r>
    </w:p>
    <w:tbl>
      <w:tblPr>
        <w:tblStyle w:val="62"/>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18"/>
        <w:gridCol w:w="6229"/>
        <w:gridCol w:w="45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51" w:type="dxa"/>
            <w:vAlign w:val="center"/>
          </w:tcPr>
          <w:p>
            <w:pPr>
              <w:jc w:val="center"/>
              <w:rPr>
                <w:rFonts w:ascii="宋体" w:hAnsi="宋体" w:cs="宋体"/>
                <w:sz w:val="24"/>
              </w:rPr>
            </w:pPr>
            <w:r>
              <w:rPr>
                <w:rFonts w:hint="eastAsia" w:ascii="宋体" w:hAnsi="宋体" w:cs="宋体"/>
                <w:sz w:val="24"/>
              </w:rPr>
              <w:t>序号</w:t>
            </w:r>
          </w:p>
        </w:tc>
        <w:tc>
          <w:tcPr>
            <w:tcW w:w="1418" w:type="dxa"/>
            <w:vAlign w:val="center"/>
          </w:tcPr>
          <w:p>
            <w:pPr>
              <w:jc w:val="center"/>
              <w:rPr>
                <w:rFonts w:ascii="宋体" w:hAnsi="宋体" w:cs="宋体"/>
                <w:sz w:val="24"/>
              </w:rPr>
            </w:pPr>
            <w:r>
              <w:rPr>
                <w:rFonts w:hint="eastAsia" w:ascii="宋体" w:hAnsi="宋体" w:cs="宋体"/>
                <w:sz w:val="24"/>
              </w:rPr>
              <w:t>评分内容和标准</w:t>
            </w:r>
          </w:p>
        </w:tc>
        <w:tc>
          <w:tcPr>
            <w:tcW w:w="6229" w:type="dxa"/>
            <w:vAlign w:val="center"/>
          </w:tcPr>
          <w:p>
            <w:pPr>
              <w:jc w:val="center"/>
              <w:rPr>
                <w:rFonts w:ascii="宋体" w:hAnsi="宋体" w:cs="宋体"/>
                <w:sz w:val="24"/>
              </w:rPr>
            </w:pPr>
            <w:r>
              <w:rPr>
                <w:rFonts w:hint="eastAsia" w:ascii="宋体" w:hAnsi="宋体" w:cs="宋体"/>
                <w:sz w:val="24"/>
              </w:rPr>
              <w:t>具体描述</w:t>
            </w:r>
          </w:p>
        </w:tc>
        <w:tc>
          <w:tcPr>
            <w:tcW w:w="456" w:type="dxa"/>
            <w:vAlign w:val="center"/>
          </w:tcPr>
          <w:p>
            <w:pPr>
              <w:jc w:val="center"/>
              <w:rPr>
                <w:rFonts w:ascii="宋体" w:hAnsi="宋体" w:cs="宋体"/>
                <w:sz w:val="24"/>
              </w:rPr>
            </w:pPr>
            <w:r>
              <w:rPr>
                <w:rFonts w:hint="eastAsia" w:ascii="宋体" w:hAnsi="宋体" w:cs="宋体"/>
                <w:sz w:val="24"/>
              </w:rPr>
              <w:t>权重</w:t>
            </w:r>
          </w:p>
        </w:tc>
        <w:tc>
          <w:tcPr>
            <w:tcW w:w="827" w:type="dxa"/>
            <w:vAlign w:val="center"/>
          </w:tcPr>
          <w:p>
            <w:pPr>
              <w:rPr>
                <w:rFonts w:ascii="宋体" w:hAnsi="宋体" w:cs="宋体"/>
                <w:sz w:val="24"/>
              </w:rPr>
            </w:pPr>
            <w:r>
              <w:rPr>
                <w:rFonts w:hint="eastAsia" w:ascii="宋体" w:hAnsi="宋体" w:cs="宋体"/>
                <w:sz w:val="24"/>
              </w:rPr>
              <w:t>主客</w:t>
            </w:r>
          </w:p>
          <w:p>
            <w:pPr>
              <w:rPr>
                <w:rFonts w:ascii="宋体" w:hAnsi="宋体" w:cs="宋体"/>
                <w:sz w:val="24"/>
              </w:rPr>
            </w:pPr>
            <w:r>
              <w:rPr>
                <w:rFonts w:hint="eastAsia" w:ascii="宋体" w:hAnsi="宋体" w:cs="宋体"/>
                <w:sz w:val="24"/>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1" w:type="dxa"/>
            <w:vMerge w:val="restart"/>
            <w:vAlign w:val="center"/>
          </w:tcPr>
          <w:p>
            <w:pPr>
              <w:rPr>
                <w:rFonts w:ascii="宋体" w:hAnsi="宋体" w:cs="宋体"/>
                <w:sz w:val="24"/>
              </w:rPr>
            </w:pPr>
            <w:r>
              <w:rPr>
                <w:rFonts w:hint="eastAsia" w:ascii="宋体" w:hAnsi="宋体" w:cs="宋体"/>
                <w:sz w:val="24"/>
              </w:rPr>
              <w:t>技术分（80分）</w:t>
            </w:r>
          </w:p>
        </w:tc>
        <w:tc>
          <w:tcPr>
            <w:tcW w:w="1418" w:type="dxa"/>
            <w:vMerge w:val="restart"/>
            <w:vAlign w:val="center"/>
          </w:tcPr>
          <w:p>
            <w:pPr>
              <w:rPr>
                <w:rFonts w:ascii="宋体" w:hAnsi="宋体" w:cs="宋体"/>
                <w:sz w:val="24"/>
              </w:rPr>
            </w:pPr>
            <w:r>
              <w:rPr>
                <w:rFonts w:hint="eastAsia" w:ascii="宋体" w:hAnsi="宋体" w:cs="宋体"/>
                <w:sz w:val="24"/>
              </w:rPr>
              <w:t>安保管理服务理念、组织架构及管理制度情况</w:t>
            </w:r>
          </w:p>
        </w:tc>
        <w:tc>
          <w:tcPr>
            <w:tcW w:w="6229" w:type="dxa"/>
          </w:tcPr>
          <w:p>
            <w:pPr>
              <w:rPr>
                <w:rFonts w:ascii="宋体" w:hAnsi="宋体" w:cs="宋体"/>
                <w:sz w:val="24"/>
              </w:rPr>
            </w:pPr>
            <w:r>
              <w:rPr>
                <w:rFonts w:hint="eastAsia" w:ascii="宋体" w:hAnsi="宋体" w:cs="宋体"/>
                <w:sz w:val="24"/>
              </w:rPr>
              <w:t>根据本项目使用特点提出合理的管理服务理念，提出服务定位、目标，投标人的管理模式能够切合实际，且安全可行，保密性、安全性、文明服务的计划及承诺情况。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ind w:firstLine="480" w:firstLineChars="200"/>
              <w:rPr>
                <w:rFonts w:ascii="宋体" w:hAnsi="宋体" w:cs="宋体"/>
                <w:sz w:val="24"/>
              </w:rPr>
            </w:pPr>
          </w:p>
        </w:tc>
        <w:tc>
          <w:tcPr>
            <w:tcW w:w="6229" w:type="dxa"/>
          </w:tcPr>
          <w:p>
            <w:pPr>
              <w:rPr>
                <w:rFonts w:ascii="宋体" w:hAnsi="宋体" w:cs="宋体"/>
                <w:sz w:val="24"/>
              </w:rPr>
            </w:pPr>
            <w:r>
              <w:rPr>
                <w:rFonts w:hint="eastAsia" w:ascii="宋体" w:hAnsi="宋体" w:cs="宋体"/>
                <w:sz w:val="24"/>
              </w:rPr>
              <w:t>有比较完善的组织架构，清晰简练地列出主要管理流程，包括对机构设置、运作流程图、激励机制、监督机制、自我约束机制、信息反馈渠道及处理机制，管理指标承诺达到安保管理标准。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ind w:firstLine="480" w:firstLineChars="200"/>
              <w:rPr>
                <w:rFonts w:ascii="宋体" w:hAnsi="宋体" w:cs="宋体"/>
                <w:sz w:val="24"/>
              </w:rPr>
            </w:pPr>
          </w:p>
        </w:tc>
        <w:tc>
          <w:tcPr>
            <w:tcW w:w="6229" w:type="dxa"/>
          </w:tcPr>
          <w:p>
            <w:pPr>
              <w:rPr>
                <w:rFonts w:ascii="宋体" w:hAnsi="宋体" w:cs="宋体"/>
                <w:sz w:val="24"/>
              </w:rPr>
            </w:pPr>
            <w:r>
              <w:rPr>
                <w:rFonts w:hint="eastAsia" w:ascii="宋体" w:hAnsi="宋体" w:cs="宋体"/>
                <w:sz w:val="24"/>
              </w:rPr>
              <w:t>有完善的管理制度、作业流程及工作计划、实施时间，并建立和完善档案管理制度、公众制度、安保管理制度及其配套设施权属清册等，体现标准化服务，管理服务水平是否符合国家和行业标准。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ind w:firstLine="480" w:firstLineChars="200"/>
              <w:rPr>
                <w:rFonts w:ascii="宋体" w:hAnsi="宋体" w:cs="宋体"/>
                <w:sz w:val="24"/>
              </w:rPr>
            </w:pPr>
          </w:p>
        </w:tc>
        <w:tc>
          <w:tcPr>
            <w:tcW w:w="6229" w:type="dxa"/>
          </w:tcPr>
          <w:p>
            <w:pPr>
              <w:rPr>
                <w:rFonts w:ascii="宋体" w:hAnsi="宋体" w:cs="宋体"/>
                <w:sz w:val="24"/>
              </w:rPr>
            </w:pPr>
            <w:r>
              <w:rPr>
                <w:rFonts w:hint="eastAsia" w:ascii="宋体" w:hAnsi="宋体" w:cs="宋体"/>
                <w:sz w:val="24"/>
              </w:rPr>
              <w:t>投标方案是否充分考虑用户的日常用途和需求，对本次安保服务内容的目标是否有较深入的理解和渗透。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restart"/>
            <w:vAlign w:val="center"/>
          </w:tcPr>
          <w:p>
            <w:pPr>
              <w:jc w:val="center"/>
              <w:rPr>
                <w:rFonts w:ascii="宋体" w:hAnsi="宋体" w:cs="宋体"/>
                <w:sz w:val="24"/>
              </w:rPr>
            </w:pPr>
            <w:r>
              <w:rPr>
                <w:rFonts w:hint="eastAsia" w:ascii="宋体" w:hAnsi="宋体" w:cs="宋体"/>
                <w:sz w:val="24"/>
              </w:rPr>
              <w:t>安保管理与服务方案</w:t>
            </w:r>
          </w:p>
        </w:tc>
        <w:tc>
          <w:tcPr>
            <w:tcW w:w="6229" w:type="dxa"/>
          </w:tcPr>
          <w:p>
            <w:pPr>
              <w:rPr>
                <w:rFonts w:ascii="宋体" w:hAnsi="宋体" w:cs="宋体"/>
                <w:sz w:val="24"/>
              </w:rPr>
            </w:pPr>
            <w:r>
              <w:rPr>
                <w:rFonts w:hint="eastAsia" w:ascii="宋体" w:hAnsi="宋体" w:cs="宋体"/>
                <w:sz w:val="24"/>
              </w:rPr>
              <w:t>穿戴统一制服，装备佩戴规范，当值时坐姿挺直，站岗时不倚不靠；文明执勤，训练有素，言语规范，礼貌待客，认真负责；配备对讲装置和其他必备的安全护卫器械。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tcPr>
          <w:p>
            <w:pPr>
              <w:rPr>
                <w:rFonts w:ascii="宋体" w:hAnsi="宋体" w:cs="宋体"/>
                <w:sz w:val="24"/>
              </w:rPr>
            </w:pPr>
            <w:r>
              <w:rPr>
                <w:rFonts w:hint="eastAsia" w:ascii="宋体" w:hAnsi="宋体" w:cs="宋体"/>
                <w:sz w:val="24"/>
              </w:rPr>
              <w:t>全院范围内安排24小时巡查。有明确巡查工作职责，规范的巡视工作流程，制定相对固定合理的巡视路线，对重要区域、部位、设备机房进行重点巡视并记录巡视情况，及时发现和处理各种安全和事故隐患。巡视时必须使用巡更设备。在接到监控室发出的指令后，巡视人员应及时到达事发现场，采取相应措施妥善处理；如巡视时发现异常情况，应立即通知有关部门并在现场采取必要措施，随时准备启动并执行相应的应急预案。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tcPr>
          <w:p>
            <w:pPr>
              <w:rPr>
                <w:rFonts w:ascii="宋体" w:hAnsi="宋体" w:cs="宋体"/>
                <w:sz w:val="24"/>
              </w:rPr>
            </w:pPr>
            <w:r>
              <w:rPr>
                <w:rFonts w:hint="eastAsia" w:ascii="宋体" w:hAnsi="宋体" w:cs="宋体"/>
                <w:sz w:val="24"/>
              </w:rPr>
              <w:t>管辖区域设置行车指示标志，规定车辆行驶路线，指定车辆停放区域，非机动车应实行定点停放。对进出管辖区域的各类车辆进行管理，维护交通秩序，保证车辆有序通行、有序停放。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tcPr>
          <w:p>
            <w:pPr>
              <w:rPr>
                <w:rFonts w:ascii="宋体" w:hAnsi="宋体" w:cs="宋体"/>
                <w:sz w:val="24"/>
              </w:rPr>
            </w:pPr>
            <w:r>
              <w:rPr>
                <w:rFonts w:hint="eastAsia" w:ascii="宋体" w:hAnsi="宋体" w:cs="宋体"/>
                <w:sz w:val="24"/>
              </w:rPr>
              <w:t>车库应保持良好通风，无易燃、易爆等物品存放，地面、墙面按要求设立明显指示牌和地标，车库已安装感应灯及定时亮灯开关，其它时段按要求做到及时关灯。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tcPr>
          <w:p>
            <w:pPr>
              <w:rPr>
                <w:rFonts w:ascii="宋体" w:hAnsi="宋体" w:cs="宋体"/>
                <w:sz w:val="24"/>
              </w:rPr>
            </w:pPr>
            <w:r>
              <w:rPr>
                <w:rFonts w:hint="eastAsia" w:ascii="宋体" w:hAnsi="宋体" w:cs="宋体"/>
                <w:sz w:val="24"/>
              </w:rPr>
              <w:t>是否按照要求制订各类突发事件应急预案，并将预案内容在保安室、监控室、机房等处张榜悬挂。在各楼层固定位置悬挂疏散示意图及引路标志，每年组织不少于2次的突发事件应急演习。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tcPr>
          <w:p>
            <w:pPr>
              <w:rPr>
                <w:rFonts w:ascii="宋体" w:hAnsi="宋体" w:cs="宋体"/>
                <w:sz w:val="24"/>
              </w:rPr>
            </w:pPr>
            <w:r>
              <w:rPr>
                <w:rFonts w:hint="eastAsia" w:ascii="宋体" w:hAnsi="宋体" w:cs="宋体"/>
                <w:sz w:val="24"/>
              </w:rPr>
              <w:t>当发生台风、暴雨等灾害性天气及其他危害公共安全的突发事件时，是否能够采取以下应急措施：对设备机房、停车场等露天设施进行检查和加固。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tcPr>
          <w:p>
            <w:pPr>
              <w:rPr>
                <w:rFonts w:ascii="宋体" w:hAnsi="宋体" w:cs="宋体"/>
                <w:sz w:val="24"/>
              </w:rPr>
            </w:pPr>
            <w:r>
              <w:rPr>
                <w:rFonts w:hint="eastAsia" w:ascii="宋体" w:hAnsi="宋体" w:cs="宋体"/>
                <w:sz w:val="24"/>
              </w:rPr>
              <w:t>是否制定措施，保证各岗位人员按规定实行岗位警戒，根据不同突发事件的现场情况进行应变处理，在有关部门到达现场前，确保人身安全，减少财产损失，并全力协助处理相关事宜；对待上 访人员做到耐心说服，及时报告有关部门予以妥善处置。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restart"/>
            <w:vAlign w:val="center"/>
          </w:tcPr>
          <w:p>
            <w:pPr>
              <w:jc w:val="center"/>
              <w:rPr>
                <w:rFonts w:ascii="宋体" w:hAnsi="宋体" w:cs="宋体"/>
                <w:sz w:val="24"/>
              </w:rPr>
            </w:pPr>
            <w:r>
              <w:rPr>
                <w:rFonts w:hint="eastAsia" w:ascii="宋体" w:hAnsi="宋体" w:cs="宋体"/>
                <w:sz w:val="24"/>
              </w:rPr>
              <w:t>投标方案</w:t>
            </w:r>
          </w:p>
          <w:p>
            <w:pPr>
              <w:jc w:val="center"/>
              <w:rPr>
                <w:rFonts w:ascii="宋体" w:hAnsi="宋体" w:cs="宋体"/>
                <w:sz w:val="24"/>
                <w:lang w:val="zh-CN"/>
              </w:rPr>
            </w:pPr>
            <w:r>
              <w:rPr>
                <w:rFonts w:hint="eastAsia" w:ascii="宋体" w:hAnsi="宋体" w:cs="宋体"/>
                <w:sz w:val="24"/>
              </w:rPr>
              <w:t>情况</w:t>
            </w:r>
          </w:p>
        </w:tc>
        <w:tc>
          <w:tcPr>
            <w:tcW w:w="6229" w:type="dxa"/>
            <w:vAlign w:val="center"/>
          </w:tcPr>
          <w:p>
            <w:pPr>
              <w:snapToGrid w:val="0"/>
              <w:rPr>
                <w:rFonts w:ascii="宋体" w:hAnsi="宋体" w:cs="宋体"/>
                <w:sz w:val="24"/>
              </w:rPr>
            </w:pPr>
            <w:r>
              <w:rPr>
                <w:rFonts w:hint="eastAsia" w:ascii="宋体" w:hAnsi="宋体" w:cs="宋体"/>
                <w:sz w:val="24"/>
              </w:rPr>
              <w:t>包括对投标方案是否清晰、完整，对投标人自身的介绍（包括公司管理经营模式等方面）情况、项目实施和管理优势等方面因素，与项目需求的吻合程度以及偏差情况。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vAlign w:val="center"/>
          </w:tcPr>
          <w:p>
            <w:pPr>
              <w:rPr>
                <w:rFonts w:ascii="宋体" w:hAnsi="宋体" w:cs="宋体"/>
                <w:sz w:val="24"/>
              </w:rPr>
            </w:pPr>
            <w:r>
              <w:rPr>
                <w:rFonts w:hint="eastAsia" w:ascii="宋体" w:hAnsi="宋体" w:cs="宋体"/>
                <w:sz w:val="24"/>
              </w:rPr>
              <w:t>对列入本次采购的安保服务内容是否有切实可行的方案。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ascii="宋体" w:hAnsi="宋体" w:cs="宋体"/>
                <w:sz w:val="24"/>
              </w:rPr>
            </w:pPr>
          </w:p>
        </w:tc>
        <w:tc>
          <w:tcPr>
            <w:tcW w:w="1418" w:type="dxa"/>
            <w:vMerge w:val="continue"/>
            <w:vAlign w:val="center"/>
          </w:tcPr>
          <w:p>
            <w:pPr>
              <w:rPr>
                <w:rFonts w:ascii="宋体" w:hAnsi="宋体" w:cs="宋体"/>
                <w:sz w:val="24"/>
              </w:rPr>
            </w:pPr>
          </w:p>
        </w:tc>
        <w:tc>
          <w:tcPr>
            <w:tcW w:w="6229" w:type="dxa"/>
            <w:vAlign w:val="center"/>
          </w:tcPr>
          <w:p>
            <w:pPr>
              <w:rPr>
                <w:rFonts w:ascii="宋体" w:hAnsi="宋体" w:cs="宋体"/>
                <w:sz w:val="24"/>
              </w:rPr>
            </w:pPr>
            <w:r>
              <w:rPr>
                <w:rFonts w:hint="eastAsia" w:ascii="宋体" w:hAnsi="宋体" w:cs="宋体"/>
                <w:sz w:val="24"/>
              </w:rPr>
              <w:t>投标人方案是否全面、科学、合理。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vMerge w:val="continue"/>
            <w:vAlign w:val="center"/>
          </w:tcPr>
          <w:p>
            <w:pPr>
              <w:ind w:firstLine="480" w:firstLineChars="200"/>
              <w:rPr>
                <w:rFonts w:ascii="宋体" w:hAnsi="宋体" w:cs="宋体"/>
                <w:sz w:val="24"/>
              </w:rPr>
            </w:pPr>
          </w:p>
        </w:tc>
        <w:tc>
          <w:tcPr>
            <w:tcW w:w="1418" w:type="dxa"/>
            <w:vAlign w:val="center"/>
          </w:tcPr>
          <w:p>
            <w:pPr>
              <w:snapToGrid w:val="0"/>
              <w:jc w:val="center"/>
              <w:rPr>
                <w:rFonts w:ascii="宋体" w:hAnsi="宋体" w:cs="宋体"/>
                <w:sz w:val="24"/>
              </w:rPr>
            </w:pPr>
            <w:r>
              <w:rPr>
                <w:rFonts w:hint="eastAsia" w:ascii="宋体" w:hAnsi="宋体" w:cs="宋体"/>
                <w:sz w:val="24"/>
              </w:rPr>
              <w:t>组织实施方案</w:t>
            </w:r>
          </w:p>
        </w:tc>
        <w:tc>
          <w:tcPr>
            <w:tcW w:w="6229" w:type="dxa"/>
            <w:vAlign w:val="center"/>
          </w:tcPr>
          <w:p>
            <w:pPr>
              <w:snapToGrid w:val="0"/>
              <w:rPr>
                <w:rFonts w:ascii="宋体" w:hAnsi="宋体" w:cs="宋体"/>
                <w:sz w:val="24"/>
              </w:rPr>
            </w:pPr>
            <w:r>
              <w:rPr>
                <w:rFonts w:hint="eastAsia" w:ascii="宋体" w:hAnsi="宋体" w:cs="宋体"/>
                <w:sz w:val="24"/>
              </w:rPr>
              <w:t>组织实施方案的科学性、合理性、规范性、可操作性等，包括项目管理机构及管理制度编制、工作职能组织运行图，阐述项目负责人的管理职责、内部管理的职责分工、日常管理制度和考核办法目录、管理和协调方法、关键步骤的思路和要点等。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snapToGrid w:val="0"/>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51" w:type="dxa"/>
            <w:vMerge w:val="continue"/>
            <w:vAlign w:val="center"/>
          </w:tcPr>
          <w:p>
            <w:pPr>
              <w:ind w:firstLine="480" w:firstLineChars="200"/>
              <w:rPr>
                <w:rFonts w:ascii="宋体" w:hAnsi="宋体" w:cs="宋体"/>
                <w:sz w:val="24"/>
              </w:rPr>
            </w:pPr>
          </w:p>
        </w:tc>
        <w:tc>
          <w:tcPr>
            <w:tcW w:w="1418" w:type="dxa"/>
            <w:vAlign w:val="center"/>
          </w:tcPr>
          <w:p>
            <w:pPr>
              <w:snapToGrid w:val="0"/>
              <w:jc w:val="center"/>
              <w:rPr>
                <w:rFonts w:ascii="宋体" w:hAnsi="宋体" w:cs="宋体"/>
                <w:sz w:val="24"/>
              </w:rPr>
            </w:pPr>
            <w:r>
              <w:rPr>
                <w:rFonts w:hint="eastAsia" w:ascii="宋体" w:hAnsi="宋体" w:cs="宋体"/>
                <w:sz w:val="24"/>
              </w:rPr>
              <w:t>人员要求</w:t>
            </w:r>
          </w:p>
        </w:tc>
        <w:tc>
          <w:tcPr>
            <w:tcW w:w="6229" w:type="dxa"/>
            <w:vAlign w:val="center"/>
          </w:tcPr>
          <w:p>
            <w:pPr>
              <w:snapToGrid w:val="0"/>
              <w:rPr>
                <w:rFonts w:ascii="宋体" w:hAnsi="宋体" w:cs="宋体"/>
                <w:sz w:val="24"/>
              </w:rPr>
            </w:pPr>
            <w:r>
              <w:rPr>
                <w:rFonts w:hint="eastAsia" w:ascii="宋体" w:hAnsi="宋体" w:cs="宋体"/>
                <w:sz w:val="24"/>
              </w:rPr>
              <w:t>管理人员的配置、管理人员的培训和发展计划。包括培训计划、方式、目标等。要点内容清晰、完整，完全吻合项目需求的得5分；要点内容略有瑕疵，基本满足项目需求的得4分；要点内容简单明确得3分；要点内容不清晰，内容缺失的得2分；要点内容混乱，内容缺失严重的得1分；未提供服务方案的不得分。</w:t>
            </w:r>
          </w:p>
        </w:tc>
        <w:tc>
          <w:tcPr>
            <w:tcW w:w="456" w:type="dxa"/>
            <w:vAlign w:val="center"/>
          </w:tcPr>
          <w:p>
            <w:pPr>
              <w:jc w:val="center"/>
              <w:rPr>
                <w:rFonts w:ascii="宋体" w:hAnsi="宋体" w:cs="宋体"/>
                <w:sz w:val="24"/>
              </w:rPr>
            </w:pPr>
            <w:r>
              <w:rPr>
                <w:rFonts w:hint="eastAsia" w:ascii="宋体" w:hAnsi="宋体" w:cs="宋体"/>
                <w:sz w:val="24"/>
              </w:rPr>
              <w:t>5</w:t>
            </w:r>
          </w:p>
        </w:tc>
        <w:tc>
          <w:tcPr>
            <w:tcW w:w="827" w:type="dxa"/>
            <w:vAlign w:val="center"/>
          </w:tcPr>
          <w:p>
            <w:pPr>
              <w:jc w:val="center"/>
              <w:rPr>
                <w:rFonts w:ascii="宋体" w:hAnsi="宋体" w:cs="宋体"/>
                <w:sz w:val="24"/>
              </w:rPr>
            </w:pPr>
            <w:r>
              <w:rPr>
                <w:rFonts w:hint="eastAsia" w:ascii="宋体" w:hAnsi="宋体" w:cs="宋体"/>
                <w:sz w:val="24"/>
              </w:rPr>
              <w:t>主观分</w:t>
            </w:r>
          </w:p>
        </w:tc>
      </w:tr>
    </w:tbl>
    <w:p>
      <w:pPr>
        <w:rPr>
          <w:rFonts w:ascii="宋体" w:hAnsi="宋体" w:cs="宋体"/>
        </w:rPr>
      </w:pPr>
    </w:p>
    <w:p>
      <w:pPr>
        <w:rPr>
          <w:rFonts w:ascii="宋体" w:hAnsi="宋体" w:cs="宋体"/>
        </w:rPr>
      </w:pPr>
    </w:p>
    <w:p>
      <w:pPr>
        <w:spacing w:line="360" w:lineRule="auto"/>
        <w:rPr>
          <w:rFonts w:ascii="宋体" w:hAnsi="宋体" w:cs="宋体"/>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 xml:space="preserve">1、投标人编制投标文件（商务技术文件部分）时，建议按此目录（序号和内容）提供评标标准相应的商务技术资料。 </w:t>
      </w:r>
    </w:p>
    <w:p>
      <w:pPr>
        <w:spacing w:line="360" w:lineRule="auto"/>
        <w:rPr>
          <w:rFonts w:ascii="宋体" w:hAnsi="宋体" w:cs="宋体"/>
          <w:sz w:val="24"/>
        </w:rPr>
      </w:pPr>
      <w:r>
        <w:rPr>
          <w:rFonts w:hint="eastAsia" w:ascii="宋体" w:hAnsi="宋体" w:cs="宋体"/>
          <w:sz w:val="24"/>
        </w:rPr>
        <w:t>2、评分条款中涉及的业绩、荣誉、人员、社保等分公司均有效。涉及社保、劳动关系证明关系的，如人员为法人代表，则无需提供相关证明，提供营业执照及身份证即可。</w:t>
      </w:r>
    </w:p>
    <w:p>
      <w:pPr>
        <w:spacing w:line="360" w:lineRule="auto"/>
        <w:rPr>
          <w:rFonts w:ascii="宋体" w:hAnsi="宋体" w:cs="宋体"/>
          <w:sz w:val="24"/>
        </w:rPr>
      </w:pPr>
      <w:r>
        <w:rPr>
          <w:rFonts w:hint="eastAsia" w:ascii="宋体" w:hAnsi="宋体" w:cs="宋体"/>
          <w:sz w:val="24"/>
        </w:rPr>
        <w:t>3、投标文件中如附有外文资料，必须逐一对应翻译成中文并加盖投标人公章后附在相关外文资料后面，否则外文资料不予认可。</w:t>
      </w:r>
    </w:p>
    <w:p>
      <w:pPr>
        <w:spacing w:line="300" w:lineRule="exact"/>
        <w:ind w:firstLine="480" w:firstLineChars="200"/>
        <w:rPr>
          <w:rFonts w:ascii="宋体" w:hAnsi="宋体" w:cs="宋体"/>
          <w:sz w:val="24"/>
        </w:rPr>
      </w:pPr>
      <w:r>
        <w:rPr>
          <w:rFonts w:hint="eastAsia" w:ascii="宋体" w:hAnsi="宋体" w:cs="宋体"/>
          <w:sz w:val="24"/>
        </w:rPr>
        <w:t>3.价格分（10分）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价格权值=0.1</w:t>
            </w:r>
          </w:p>
        </w:tc>
        <w:tc>
          <w:tcPr>
            <w:tcW w:w="659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最低有效投标价格为评标基准价</w:t>
            </w:r>
          </w:p>
          <w:p>
            <w:pPr>
              <w:rPr>
                <w:rFonts w:ascii="宋体" w:hAnsi="宋体" w:cs="宋体"/>
                <w:sz w:val="24"/>
              </w:rPr>
            </w:pPr>
            <w:r>
              <w:rPr>
                <w:rFonts w:hint="eastAsia" w:ascii="宋体" w:hAnsi="宋体" w:cs="宋体"/>
                <w:sz w:val="24"/>
              </w:rPr>
              <w:t xml:space="preserve">投标报价得分=(评标基准价／投标报价)×价格权值×100 </w:t>
            </w:r>
          </w:p>
          <w:p>
            <w:pPr>
              <w:rPr>
                <w:rFonts w:ascii="宋体" w:hAnsi="宋体" w:cs="宋体"/>
                <w:sz w:val="24"/>
              </w:rPr>
            </w:pPr>
            <w:r>
              <w:rPr>
                <w:rFonts w:hint="eastAsia" w:ascii="宋体" w:hAnsi="宋体" w:cs="宋体"/>
                <w:sz w:val="24"/>
              </w:rPr>
              <w:t>（计算得分保留小数点后2位）</w:t>
            </w:r>
          </w:p>
        </w:tc>
      </w:tr>
    </w:tbl>
    <w:p>
      <w:pPr>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cs="仿宋_GB2312"/>
        </w:rPr>
        <w:t>投标人编制投标文件（商务技术文件部分）时，建议按此目录（序号和内容）提供评标标准相应的商务技术资料。</w:t>
      </w:r>
      <w:r>
        <w:rPr>
          <w:rFonts w:cs="仿宋_GB2312"/>
        </w:rPr>
        <w:t>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cyan"/>
        </w:rPr>
      </w:pPr>
      <w:r>
        <w:rPr>
          <w:rFonts w:hint="eastAsia" w:ascii="宋体" w:hAnsi="宋体" w:cs="宋体"/>
          <w:kern w:val="0"/>
          <w:sz w:val="24"/>
          <w:highlight w:val="cyan"/>
        </w:rPr>
        <w:t>4.2.13投标人未提供样品或提供的样品不满足采购需求实质性条件的，投标无效；</w:t>
      </w:r>
    </w:p>
    <w:p>
      <w:pPr>
        <w:pStyle w:val="4"/>
        <w:ind w:left="862" w:leftChars="205"/>
        <w:rPr>
          <w:highlight w:val="cyan"/>
        </w:rPr>
      </w:pPr>
      <w:r>
        <w:rPr>
          <w:rFonts w:hint="eastAsia" w:ascii="宋体" w:hAnsi="宋体" w:eastAsia="宋体" w:cs="宋体"/>
          <w:b w:val="0"/>
          <w:bCs w:val="0"/>
          <w:kern w:val="0"/>
          <w:sz w:val="24"/>
          <w:szCs w:val="24"/>
          <w:highlight w:val="cyan"/>
          <w:lang w:val="en-US"/>
        </w:rPr>
        <w:t>4.2.14 投标文件不满足招标文件的实质性要求的；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9"/>
      <w:bookmarkStart w:id="397" w:name="第五部分"/>
      <w:bookmarkStart w:id="398" w:name="_Toc86217003"/>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10" w:type="default"/>
          <w:footerReference r:id="rId11" w:type="default"/>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杭州市萧山区第二人民医全院保安服务采购项目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9" w:name="_Toc22967"/>
      <w:bookmarkStart w:id="400" w:name="_Toc15367"/>
      <w:bookmarkStart w:id="401" w:name="_Toc19273"/>
      <w:bookmarkStart w:id="402" w:name="_Toc20421"/>
      <w:bookmarkStart w:id="403" w:name="_Toc28855"/>
      <w:r>
        <w:rPr>
          <w:rFonts w:ascii="宋体" w:hAnsi="宋体"/>
          <w:b/>
          <w:sz w:val="24"/>
        </w:rPr>
        <w:t xml:space="preserve">1.1 </w:t>
      </w:r>
      <w:r>
        <w:rPr>
          <w:rFonts w:hint="eastAsia" w:ascii="宋体" w:hAnsi="宋体"/>
          <w:b/>
          <w:sz w:val="24"/>
        </w:rPr>
        <w:t>合同组成部分</w:t>
      </w:r>
      <w:bookmarkEnd w:id="399"/>
      <w:bookmarkEnd w:id="400"/>
      <w:bookmarkEnd w:id="401"/>
      <w:bookmarkEnd w:id="402"/>
      <w:bookmarkEnd w:id="40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4" w:name="_Toc22185"/>
      <w:bookmarkStart w:id="405" w:name="_Toc2918"/>
      <w:bookmarkStart w:id="406" w:name="_Toc6773"/>
      <w:bookmarkStart w:id="407" w:name="_Toc18585"/>
      <w:bookmarkStart w:id="408" w:name="_Toc6311"/>
      <w:r>
        <w:rPr>
          <w:rFonts w:ascii="宋体" w:hAnsi="宋体"/>
          <w:b/>
          <w:sz w:val="24"/>
        </w:rPr>
        <w:t xml:space="preserve">1.2 </w:t>
      </w:r>
      <w:r>
        <w:rPr>
          <w:rFonts w:hint="eastAsia" w:ascii="宋体" w:hAnsi="宋体"/>
          <w:b/>
          <w:sz w:val="24"/>
        </w:rPr>
        <w:t>标的</w:t>
      </w:r>
      <w:bookmarkEnd w:id="404"/>
      <w:bookmarkEnd w:id="405"/>
      <w:bookmarkEnd w:id="406"/>
      <w:bookmarkEnd w:id="407"/>
      <w:bookmarkEnd w:id="40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9" w:name="_Toc5635"/>
      <w:bookmarkStart w:id="410" w:name="_Toc4929"/>
      <w:bookmarkStart w:id="411" w:name="_Toc13918"/>
      <w:bookmarkStart w:id="412" w:name="_Toc21124"/>
      <w:bookmarkStart w:id="413"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9"/>
      <w:bookmarkEnd w:id="410"/>
      <w:bookmarkEnd w:id="411"/>
      <w:bookmarkEnd w:id="412"/>
      <w:bookmarkEnd w:id="413"/>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4" w:name="_Toc26916"/>
      <w:bookmarkStart w:id="415" w:name="_Toc3654"/>
      <w:bookmarkStart w:id="416" w:name="_Toc30158"/>
      <w:bookmarkStart w:id="417" w:name="_Toc14993"/>
      <w:bookmarkStart w:id="418"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4"/>
    <w:bookmarkEnd w:id="415"/>
    <w:bookmarkEnd w:id="416"/>
    <w:bookmarkEnd w:id="417"/>
    <w:bookmarkEnd w:id="418"/>
    <w:p>
      <w:pPr>
        <w:pStyle w:val="957"/>
        <w:spacing w:before="0" w:beforeAutospacing="0" w:after="0" w:afterAutospacing="0" w:line="360" w:lineRule="auto"/>
        <w:ind w:firstLine="480"/>
        <w:rPr>
          <w:b/>
        </w:rPr>
      </w:pPr>
      <w:bookmarkStart w:id="419" w:name="_Toc22618"/>
      <w:bookmarkStart w:id="420" w:name="_Toc1814"/>
      <w:bookmarkStart w:id="421" w:name="_Toc10340"/>
      <w:bookmarkStart w:id="422" w:name="_Toc11108"/>
      <w:bookmarkStart w:id="423" w:name="_Toc4760"/>
      <w:bookmarkStart w:id="424" w:name="_Toc8772"/>
      <w:bookmarkStart w:id="425" w:name="_Toc3625"/>
      <w:bookmarkStart w:id="426" w:name="_Toc31421"/>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9"/>
      <w:bookmarkEnd w:id="420"/>
      <w:bookmarkEnd w:id="421"/>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2"/>
      <w:bookmarkEnd w:id="423"/>
      <w:bookmarkEnd w:id="424"/>
      <w:bookmarkEnd w:id="425"/>
      <w:bookmarkEnd w:id="426"/>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7" w:name="_Toc2375"/>
      <w:bookmarkStart w:id="428" w:name="_Toc24662"/>
      <w:bookmarkStart w:id="429" w:name="_Toc3079"/>
      <w:bookmarkStart w:id="430" w:name="_Toc5698"/>
      <w:bookmarkStart w:id="431"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7"/>
      <w:bookmarkEnd w:id="428"/>
      <w:bookmarkEnd w:id="429"/>
      <w:bookmarkEnd w:id="430"/>
      <w:bookmarkEnd w:id="431"/>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2" w:name="_Toc9497"/>
      <w:bookmarkStart w:id="433" w:name="_Toc26807"/>
      <w:bookmarkStart w:id="434" w:name="_Toc30329"/>
      <w:bookmarkStart w:id="435" w:name="_Toc18683"/>
      <w:bookmarkStart w:id="436"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2"/>
    <w:bookmarkEnd w:id="433"/>
    <w:bookmarkEnd w:id="434"/>
    <w:bookmarkEnd w:id="435"/>
    <w:bookmarkEnd w:id="436"/>
    <w:p>
      <w:pPr>
        <w:spacing w:line="560" w:lineRule="exact"/>
        <w:ind w:firstLine="482" w:firstLineChars="200"/>
        <w:outlineLvl w:val="0"/>
        <w:rPr>
          <w:rFonts w:ascii="宋体" w:hAnsi="宋体" w:cs="宋体"/>
          <w:b/>
          <w:sz w:val="24"/>
        </w:rPr>
      </w:pPr>
      <w:bookmarkStart w:id="437" w:name="_Toc15583"/>
      <w:bookmarkStart w:id="438" w:name="_Toc28375"/>
      <w:bookmarkStart w:id="439" w:name="_Toc16021"/>
      <w:r>
        <w:rPr>
          <w:rFonts w:hint="eastAsia" w:ascii="宋体" w:hAnsi="宋体" w:cs="宋体"/>
          <w:b/>
          <w:sz w:val="24"/>
        </w:rPr>
        <w:t>1.9合同争议的解决</w:t>
      </w:r>
      <w:bookmarkEnd w:id="437"/>
      <w:bookmarkEnd w:id="438"/>
      <w:bookmarkEnd w:id="43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40" w:name="_Toc11173"/>
      <w:bookmarkStart w:id="441" w:name="_Toc7245"/>
      <w:bookmarkStart w:id="442" w:name="_Toc15322"/>
      <w:r>
        <w:rPr>
          <w:rFonts w:hint="eastAsia" w:ascii="宋体" w:hAnsi="宋体" w:cs="宋体"/>
          <w:b/>
          <w:sz w:val="24"/>
        </w:rPr>
        <w:t>2.0 合同生效</w:t>
      </w:r>
      <w:bookmarkEnd w:id="440"/>
      <w:bookmarkEnd w:id="441"/>
      <w:bookmarkEnd w:id="44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3" w:name="_Toc14021"/>
      <w:bookmarkStart w:id="444" w:name="_Toc19680"/>
      <w:bookmarkStart w:id="445" w:name="_Toc5228"/>
      <w:bookmarkStart w:id="446" w:name="_Toc31297"/>
      <w:bookmarkStart w:id="447" w:name="_Toc25079"/>
      <w:r>
        <w:rPr>
          <w:rFonts w:ascii="宋体" w:hAnsi="宋体"/>
          <w:b/>
          <w:sz w:val="24"/>
        </w:rPr>
        <w:t>2.1 定义</w:t>
      </w:r>
      <w:bookmarkEnd w:id="443"/>
      <w:bookmarkEnd w:id="444"/>
      <w:bookmarkEnd w:id="445"/>
      <w:bookmarkEnd w:id="446"/>
      <w:bookmarkEnd w:id="447"/>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8" w:name="_Toc31402"/>
      <w:bookmarkStart w:id="449" w:name="_Toc23289"/>
      <w:bookmarkStart w:id="450" w:name="_Toc16752"/>
      <w:bookmarkStart w:id="451" w:name="_Toc3769"/>
      <w:bookmarkStart w:id="452" w:name="_Toc19539"/>
      <w:r>
        <w:rPr>
          <w:rFonts w:ascii="宋体" w:hAnsi="宋体"/>
          <w:b/>
          <w:sz w:val="24"/>
        </w:rPr>
        <w:t>2.2 技术规范</w:t>
      </w:r>
      <w:bookmarkEnd w:id="448"/>
      <w:bookmarkEnd w:id="449"/>
      <w:bookmarkEnd w:id="450"/>
      <w:bookmarkEnd w:id="451"/>
      <w:bookmarkEnd w:id="452"/>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3" w:name="_Toc9161"/>
      <w:bookmarkStart w:id="454" w:name="_Toc13673"/>
      <w:bookmarkStart w:id="455" w:name="_Toc27945"/>
      <w:bookmarkStart w:id="456" w:name="_Toc12412"/>
      <w:bookmarkStart w:id="457" w:name="_Toc4133"/>
      <w:r>
        <w:rPr>
          <w:rFonts w:ascii="宋体" w:hAnsi="宋体"/>
          <w:b/>
          <w:sz w:val="24"/>
        </w:rPr>
        <w:t>2.3 知识产权</w:t>
      </w:r>
      <w:bookmarkEnd w:id="453"/>
      <w:bookmarkEnd w:id="454"/>
      <w:bookmarkEnd w:id="455"/>
      <w:bookmarkEnd w:id="456"/>
      <w:bookmarkEnd w:id="457"/>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8" w:name="_Toc22011"/>
      <w:bookmarkStart w:id="459" w:name="_Toc31233"/>
      <w:bookmarkStart w:id="460" w:name="_Toc15447"/>
      <w:bookmarkStart w:id="461" w:name="_Toc32670"/>
      <w:bookmarkStart w:id="462" w:name="_Toc26555"/>
      <w:r>
        <w:rPr>
          <w:rFonts w:ascii="宋体" w:hAnsi="宋体"/>
          <w:b/>
          <w:sz w:val="24"/>
        </w:rPr>
        <w:t>2.5 结算方式和付款条件</w:t>
      </w:r>
      <w:bookmarkEnd w:id="458"/>
      <w:bookmarkEnd w:id="459"/>
      <w:bookmarkEnd w:id="460"/>
      <w:bookmarkEnd w:id="461"/>
      <w:bookmarkEnd w:id="462"/>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3" w:name="_Toc30507"/>
      <w:bookmarkStart w:id="464" w:name="_Toc13154"/>
      <w:bookmarkStart w:id="465" w:name="_Toc18990"/>
      <w:bookmarkStart w:id="466" w:name="_Toc16163"/>
      <w:bookmarkStart w:id="467" w:name="_Toc13467"/>
      <w:r>
        <w:rPr>
          <w:rFonts w:ascii="宋体" w:hAnsi="宋体"/>
          <w:b/>
          <w:sz w:val="24"/>
        </w:rPr>
        <w:t>2.6 技术资料和保密义务</w:t>
      </w:r>
      <w:bookmarkEnd w:id="463"/>
      <w:bookmarkEnd w:id="464"/>
      <w:bookmarkEnd w:id="465"/>
      <w:bookmarkEnd w:id="466"/>
      <w:bookmarkEnd w:id="467"/>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8" w:name="_Toc19069"/>
      <w:r>
        <w:rPr>
          <w:rFonts w:ascii="宋体" w:hAnsi="宋体"/>
          <w:b/>
          <w:sz w:val="24"/>
        </w:rPr>
        <w:t xml:space="preserve">2.7 </w:t>
      </w:r>
      <w:r>
        <w:rPr>
          <w:rFonts w:hint="eastAsia" w:ascii="宋体" w:hAnsi="宋体"/>
          <w:b/>
          <w:sz w:val="24"/>
        </w:rPr>
        <w:t>质量保证</w:t>
      </w:r>
      <w:bookmarkEnd w:id="468"/>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9" w:name="_Toc22267"/>
      <w:r>
        <w:rPr>
          <w:rFonts w:ascii="宋体" w:hAnsi="宋体"/>
          <w:b/>
          <w:sz w:val="24"/>
        </w:rPr>
        <w:t xml:space="preserve">2.8 </w:t>
      </w:r>
      <w:r>
        <w:rPr>
          <w:rFonts w:hint="eastAsia" w:ascii="宋体" w:hAnsi="宋体"/>
          <w:b/>
          <w:sz w:val="24"/>
        </w:rPr>
        <w:t>延迟履行</w:t>
      </w:r>
      <w:bookmarkEnd w:id="469"/>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70" w:name="_Toc10611"/>
      <w:r>
        <w:rPr>
          <w:rFonts w:ascii="宋体" w:hAnsi="宋体"/>
          <w:b/>
          <w:sz w:val="24"/>
        </w:rPr>
        <w:t xml:space="preserve">2.9 </w:t>
      </w:r>
      <w:r>
        <w:rPr>
          <w:rFonts w:hint="eastAsia" w:ascii="宋体" w:hAnsi="宋体"/>
          <w:b/>
          <w:sz w:val="24"/>
        </w:rPr>
        <w:t>合同变更</w:t>
      </w:r>
      <w:bookmarkEnd w:id="470"/>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71" w:name="_Toc26689"/>
      <w:bookmarkStart w:id="472" w:name="_Toc10663"/>
      <w:bookmarkStart w:id="473" w:name="_Toc21830"/>
      <w:bookmarkStart w:id="474" w:name="_Toc23368"/>
      <w:bookmarkStart w:id="475" w:name="_Toc42"/>
      <w:r>
        <w:rPr>
          <w:rFonts w:ascii="宋体" w:hAnsi="宋体"/>
          <w:b/>
          <w:sz w:val="24"/>
        </w:rPr>
        <w:t>2.10 合同转让和分包</w:t>
      </w:r>
      <w:bookmarkEnd w:id="471"/>
      <w:bookmarkEnd w:id="472"/>
      <w:bookmarkEnd w:id="473"/>
      <w:bookmarkEnd w:id="474"/>
      <w:bookmarkEnd w:id="475"/>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6" w:name="_Toc4720"/>
      <w:bookmarkStart w:id="477" w:name="_Toc14371"/>
      <w:bookmarkStart w:id="478" w:name="_Toc32494"/>
      <w:bookmarkStart w:id="479" w:name="_Toc26633"/>
      <w:bookmarkStart w:id="480" w:name="_Toc25571"/>
      <w:r>
        <w:rPr>
          <w:rFonts w:ascii="宋体" w:hAnsi="宋体"/>
          <w:b/>
          <w:sz w:val="24"/>
        </w:rPr>
        <w:t>2.11 不可抗力</w:t>
      </w:r>
      <w:bookmarkEnd w:id="476"/>
      <w:bookmarkEnd w:id="477"/>
      <w:bookmarkEnd w:id="478"/>
      <w:bookmarkEnd w:id="479"/>
      <w:bookmarkEnd w:id="480"/>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81" w:name="_Toc24465"/>
      <w:bookmarkStart w:id="482" w:name="_Toc3638"/>
      <w:bookmarkStart w:id="483" w:name="_Toc14115"/>
      <w:bookmarkStart w:id="484" w:name="_Toc23854"/>
      <w:bookmarkStart w:id="485" w:name="_Toc25783"/>
      <w:r>
        <w:rPr>
          <w:rFonts w:ascii="宋体" w:hAnsi="宋体"/>
          <w:b/>
          <w:sz w:val="24"/>
        </w:rPr>
        <w:t>2.12 税费</w:t>
      </w:r>
      <w:bookmarkEnd w:id="481"/>
      <w:bookmarkEnd w:id="482"/>
      <w:bookmarkEnd w:id="483"/>
      <w:bookmarkEnd w:id="484"/>
      <w:bookmarkEnd w:id="485"/>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6" w:name="_Toc25525"/>
      <w:bookmarkStart w:id="487" w:name="_Toc14814"/>
      <w:bookmarkStart w:id="488" w:name="_Toc7315"/>
      <w:bookmarkStart w:id="489" w:name="_Toc26883"/>
      <w:bookmarkStart w:id="490" w:name="_Toc30105"/>
      <w:r>
        <w:rPr>
          <w:rFonts w:ascii="宋体" w:hAnsi="宋体"/>
          <w:b/>
          <w:sz w:val="24"/>
        </w:rPr>
        <w:t>2.13 乙方破产</w:t>
      </w:r>
      <w:bookmarkEnd w:id="486"/>
      <w:bookmarkEnd w:id="487"/>
      <w:bookmarkEnd w:id="488"/>
      <w:bookmarkEnd w:id="489"/>
      <w:bookmarkEnd w:id="490"/>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91" w:name="_Toc1123"/>
      <w:bookmarkStart w:id="492" w:name="_Toc23323"/>
      <w:bookmarkStart w:id="493" w:name="_Toc2016"/>
      <w:r>
        <w:rPr>
          <w:rFonts w:ascii="宋体" w:hAnsi="宋体"/>
          <w:b/>
          <w:sz w:val="24"/>
        </w:rPr>
        <w:t>2.14 合同中止、终止</w:t>
      </w:r>
      <w:bookmarkEnd w:id="491"/>
      <w:bookmarkEnd w:id="492"/>
      <w:bookmarkEnd w:id="493"/>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4" w:name="_Toc14525"/>
      <w:bookmarkStart w:id="495" w:name="_Toc17363"/>
      <w:bookmarkStart w:id="496" w:name="_Toc1969"/>
      <w:r>
        <w:rPr>
          <w:rFonts w:ascii="宋体" w:hAnsi="宋体"/>
          <w:b/>
          <w:sz w:val="24"/>
        </w:rPr>
        <w:t>2.15 检验和验收</w:t>
      </w:r>
      <w:bookmarkEnd w:id="494"/>
      <w:bookmarkEnd w:id="495"/>
      <w:bookmarkEnd w:id="496"/>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7" w:name="_Toc25198"/>
      <w:bookmarkStart w:id="498" w:name="_Toc2308"/>
      <w:bookmarkStart w:id="499" w:name="_Toc31892"/>
      <w:bookmarkStart w:id="500" w:name="_Toc12666"/>
      <w:bookmarkStart w:id="501" w:name="_Toc9808"/>
      <w:r>
        <w:rPr>
          <w:rFonts w:ascii="宋体" w:hAnsi="宋体"/>
          <w:b/>
          <w:sz w:val="24"/>
        </w:rPr>
        <w:t>2.16 通知和送达</w:t>
      </w:r>
      <w:bookmarkEnd w:id="497"/>
      <w:bookmarkEnd w:id="498"/>
      <w:bookmarkEnd w:id="499"/>
      <w:bookmarkEnd w:id="500"/>
      <w:bookmarkEnd w:id="501"/>
    </w:p>
    <w:p>
      <w:pPr>
        <w:spacing w:line="560" w:lineRule="exact"/>
        <w:ind w:firstLine="480" w:firstLineChars="200"/>
        <w:rPr>
          <w:rFonts w:ascii="宋体" w:hAnsi="宋体"/>
          <w:sz w:val="24"/>
        </w:rPr>
      </w:pPr>
      <w:bookmarkStart w:id="502" w:name="_Toc27674"/>
      <w:bookmarkStart w:id="503"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2"/>
      <w:bookmarkEnd w:id="503"/>
    </w:p>
    <w:p>
      <w:pPr>
        <w:spacing w:line="560" w:lineRule="exact"/>
        <w:ind w:firstLine="482" w:firstLineChars="200"/>
        <w:outlineLvl w:val="0"/>
        <w:rPr>
          <w:rFonts w:ascii="宋体" w:hAnsi="宋体"/>
          <w:b/>
          <w:sz w:val="24"/>
        </w:rPr>
      </w:pPr>
      <w:bookmarkStart w:id="504" w:name="_Toc28906"/>
      <w:bookmarkStart w:id="505" w:name="_Toc12254"/>
      <w:bookmarkStart w:id="506" w:name="_Toc5063"/>
      <w:bookmarkStart w:id="507" w:name="_Toc27644"/>
      <w:bookmarkStart w:id="508"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4"/>
      <w:bookmarkEnd w:id="505"/>
      <w:bookmarkEnd w:id="506"/>
      <w:bookmarkEnd w:id="507"/>
      <w:bookmarkEnd w:id="508"/>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9" w:name="_Toc4355"/>
      <w:bookmarkStart w:id="510" w:name="_Toc30599"/>
      <w:bookmarkStart w:id="511" w:name="_Toc18540"/>
      <w:r>
        <w:rPr>
          <w:rFonts w:hint="eastAsia" w:ascii="宋体" w:hAnsi="宋体" w:cs="宋体"/>
          <w:b/>
          <w:sz w:val="24"/>
        </w:rPr>
        <w:t>2.18 计量单位</w:t>
      </w:r>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2" w:name="_Toc331685784"/>
      <w:r>
        <w:rPr>
          <w:rFonts w:hint="eastAsia" w:ascii="宋体" w:hAnsi="宋体" w:cs="宋体"/>
          <w:b/>
          <w:sz w:val="24"/>
        </w:rPr>
        <w:t xml:space="preserve"> </w:t>
      </w:r>
      <w:bookmarkEnd w:id="512"/>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jc w:val="center"/>
        <w:outlineLvl w:val="0"/>
        <w:rPr>
          <w:rFonts w:ascii="宋体" w:hAnsi="宋体" w:cs="宋体"/>
          <w:sz w:val="24"/>
        </w:rPr>
      </w:pPr>
    </w:p>
    <w:p>
      <w:pPr>
        <w:pStyle w:val="4"/>
        <w:ind w:left="0" w:firstLine="0"/>
        <w:rPr>
          <w:rFonts w:ascii="宋体" w:hAnsi="宋体" w:cs="宋体"/>
          <w:sz w:val="24"/>
        </w:rPr>
      </w:pPr>
    </w:p>
    <w:p/>
    <w:p>
      <w:pPr>
        <w:widowControl/>
        <w:adjustRightInd/>
        <w:jc w:val="center"/>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559" w:firstLineChars="233"/>
        <w:jc w:val="left"/>
        <w:rPr>
          <w:rFonts w:ascii="宋体" w:hAnsi="宋体" w:cs="宋体"/>
          <w:b/>
          <w:kern w:val="0"/>
          <w:sz w:val="32"/>
          <w:szCs w:val="32"/>
        </w:rPr>
      </w:pPr>
      <w:r>
        <w:rPr>
          <w:rFonts w:hint="eastAsia" w:cs="仿宋_GB2312" w:asciiTheme="minorEastAsia" w:hAnsiTheme="minorEastAsia" w:eastAsiaTheme="minorEastAsia"/>
          <w:sz w:val="24"/>
          <w:highlight w:val="cyan"/>
        </w:rPr>
        <w:t>注：根据《</w:t>
      </w:r>
      <w:r>
        <w:rPr>
          <w:rFonts w:cs="仿宋_GB2312" w:asciiTheme="minorEastAsia" w:hAnsiTheme="minorEastAsia" w:eastAsiaTheme="minorEastAsia"/>
          <w:sz w:val="24"/>
          <w:highlight w:val="cyan"/>
        </w:rPr>
        <w:t>关于规范政府采购供应商资格设定及资格审查的通知</w:t>
      </w:r>
      <w:r>
        <w:rPr>
          <w:rFonts w:hint="eastAsia" w:cs="仿宋_GB2312" w:asciiTheme="minorEastAsia" w:hAnsiTheme="minorEastAsia" w:eastAsiaTheme="minorEastAsia"/>
          <w:sz w:val="24"/>
          <w:highlight w:val="cyan"/>
        </w:rPr>
        <w:t>》（</w:t>
      </w:r>
      <w:r>
        <w:rPr>
          <w:rFonts w:cs="仿宋_GB2312" w:asciiTheme="minorEastAsia" w:hAnsiTheme="minorEastAsia" w:eastAsiaTheme="minorEastAsia"/>
          <w:sz w:val="24"/>
          <w:highlight w:val="cyan"/>
        </w:rPr>
        <w:t>浙财采监[2013]24号</w:t>
      </w:r>
      <w:r>
        <w:rPr>
          <w:rFonts w:hint="eastAsia" w:cs="仿宋_GB2312" w:asciiTheme="minorEastAsia" w:hAnsiTheme="minorEastAsia" w:eastAsiaTheme="minorEastAsia"/>
          <w:sz w:val="24"/>
          <w:highlight w:val="cyan"/>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cyan"/>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3" w:name="_Hlk101257010"/>
      <w:r>
        <w:rPr>
          <w:rFonts w:hint="eastAsia" w:ascii="宋体" w:hAnsi="宋体" w:cs="宋体"/>
          <w:color w:val="FF0000"/>
          <w:sz w:val="24"/>
        </w:rPr>
        <w:t>（如果有)</w:t>
      </w:r>
      <w:bookmarkEnd w:id="513"/>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ind w:firstLine="480" w:firstLineChars="200"/>
        <w:rPr>
          <w:rFonts w:ascii="宋体" w:hAnsi="宋体" w:cs="宋体"/>
          <w:kern w:val="0"/>
          <w:sz w:val="24"/>
          <w:lang w:val="zh-CN"/>
        </w:rPr>
      </w:pPr>
      <w:r>
        <w:rPr>
          <w:rFonts w:hint="eastAsia" w:ascii="宋体" w:hAnsi="宋体" w:cs="宋体"/>
          <w:sz w:val="24"/>
        </w:rPr>
        <w:t xml:space="preserve"> </w:t>
      </w:r>
      <w:r>
        <w:rPr>
          <w:rFonts w:hint="eastAsia" w:ascii="宋体" w:hAnsi="宋体" w:cs="宋体"/>
          <w:kern w:val="0"/>
          <w:sz w:val="24"/>
          <w:highlight w:val="cyan"/>
          <w:lang w:val="zh-CN"/>
        </w:rPr>
        <w:t>注：</w:t>
      </w:r>
      <w:r>
        <w:rPr>
          <w:rFonts w:hint="eastAsia" w:ascii="宋体" w:hAnsi="宋体" w:cs="宋体"/>
          <w:kern w:val="0"/>
          <w:sz w:val="24"/>
          <w:highlight w:val="red"/>
          <w:lang w:val="zh-CN"/>
        </w:rPr>
        <w:t>▲</w:t>
      </w:r>
      <w:r>
        <w:rPr>
          <w:rFonts w:hint="eastAsia" w:ascii="宋体" w:hAnsi="宋体" w:cs="宋体"/>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45"/>
        <w:gridCol w:w="2045"/>
        <w:gridCol w:w="1580"/>
        <w:gridCol w:w="465"/>
        <w:gridCol w:w="2045"/>
        <w:gridCol w:w="2045"/>
        <w:gridCol w:w="204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2045"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045"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045" w:type="dxa"/>
            <w:gridSpan w:val="2"/>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045"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045"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045" w:type="dxa"/>
            <w:vAlign w:val="center"/>
          </w:tcPr>
          <w:p>
            <w:pPr>
              <w:spacing w:line="360" w:lineRule="auto"/>
              <w:jc w:val="center"/>
              <w:rPr>
                <w:rFonts w:ascii="宋体" w:hAnsi="宋体" w:cs="宋体"/>
                <w:b/>
                <w:sz w:val="24"/>
              </w:rPr>
            </w:pPr>
            <w:r>
              <w:rPr>
                <w:rFonts w:hint="eastAsia" w:ascii="宋体" w:hAnsi="宋体" w:cs="宋体"/>
                <w:b/>
                <w:sz w:val="24"/>
              </w:rPr>
              <w:t>服务人数</w:t>
            </w:r>
          </w:p>
        </w:tc>
        <w:tc>
          <w:tcPr>
            <w:tcW w:w="2047"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2045"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045" w:type="dxa"/>
            <w:vAlign w:val="center"/>
          </w:tcPr>
          <w:p>
            <w:pPr>
              <w:snapToGrid w:val="0"/>
              <w:spacing w:line="360" w:lineRule="auto"/>
              <w:jc w:val="center"/>
              <w:rPr>
                <w:rFonts w:ascii="宋体" w:hAnsi="宋体" w:cs="宋体"/>
                <w:sz w:val="24"/>
              </w:rPr>
            </w:pPr>
          </w:p>
        </w:tc>
        <w:tc>
          <w:tcPr>
            <w:tcW w:w="2045" w:type="dxa"/>
            <w:gridSpan w:val="2"/>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7"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2045"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045" w:type="dxa"/>
            <w:vAlign w:val="center"/>
          </w:tcPr>
          <w:p>
            <w:pPr>
              <w:snapToGrid w:val="0"/>
              <w:spacing w:line="360" w:lineRule="auto"/>
              <w:jc w:val="center"/>
              <w:rPr>
                <w:rFonts w:ascii="宋体" w:hAnsi="宋体" w:cs="宋体"/>
                <w:sz w:val="24"/>
              </w:rPr>
            </w:pPr>
          </w:p>
        </w:tc>
        <w:tc>
          <w:tcPr>
            <w:tcW w:w="2045" w:type="dxa"/>
            <w:gridSpan w:val="2"/>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7"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2045" w:type="dxa"/>
            <w:vAlign w:val="center"/>
          </w:tcPr>
          <w:p>
            <w:pPr>
              <w:snapToGrid w:val="0"/>
              <w:spacing w:line="360" w:lineRule="auto"/>
              <w:jc w:val="center"/>
              <w:rPr>
                <w:rFonts w:ascii="宋体" w:hAnsi="宋体" w:cs="宋体"/>
                <w:color w:val="0000FF"/>
                <w:sz w:val="24"/>
              </w:rPr>
            </w:pPr>
          </w:p>
        </w:tc>
        <w:tc>
          <w:tcPr>
            <w:tcW w:w="2045" w:type="dxa"/>
            <w:vAlign w:val="center"/>
          </w:tcPr>
          <w:p>
            <w:pPr>
              <w:snapToGrid w:val="0"/>
              <w:spacing w:line="360" w:lineRule="auto"/>
              <w:jc w:val="center"/>
              <w:rPr>
                <w:rFonts w:ascii="宋体" w:hAnsi="宋体" w:cs="宋体"/>
                <w:sz w:val="24"/>
              </w:rPr>
            </w:pPr>
          </w:p>
        </w:tc>
        <w:tc>
          <w:tcPr>
            <w:tcW w:w="2045" w:type="dxa"/>
            <w:gridSpan w:val="2"/>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7"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gridSpan w:val="2"/>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7"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gridSpan w:val="2"/>
            <w:vAlign w:val="center"/>
          </w:tcPr>
          <w:p>
            <w:pPr>
              <w:snapToGrid w:val="0"/>
              <w:spacing w:line="360" w:lineRule="auto"/>
              <w:jc w:val="center"/>
              <w:rPr>
                <w:rFonts w:ascii="宋体" w:hAnsi="宋体" w:cs="宋体"/>
                <w:sz w:val="24"/>
              </w:rPr>
            </w:pPr>
          </w:p>
        </w:tc>
        <w:tc>
          <w:tcPr>
            <w:tcW w:w="2045" w:type="dxa"/>
            <w:vAlign w:val="center"/>
          </w:tcPr>
          <w:p>
            <w:pPr>
              <w:snapToGrid w:val="0"/>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5" w:type="dxa"/>
            <w:vAlign w:val="center"/>
          </w:tcPr>
          <w:p>
            <w:pPr>
              <w:spacing w:line="360" w:lineRule="auto"/>
              <w:jc w:val="center"/>
              <w:rPr>
                <w:rFonts w:ascii="宋体" w:hAnsi="宋体" w:cs="宋体"/>
                <w:sz w:val="24"/>
              </w:rPr>
            </w:pPr>
          </w:p>
        </w:tc>
        <w:tc>
          <w:tcPr>
            <w:tcW w:w="2047"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5"/>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5"/>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b/>
          <w:sz w:val="24"/>
        </w:rPr>
      </w:pPr>
      <w:r>
        <w:rPr>
          <w:rFonts w:hint="eastAsia" w:ascii="宋体" w:hAnsi="宋体" w:cs="宋体"/>
          <w:kern w:val="0"/>
          <w:sz w:val="24"/>
          <w:highlight w:val="cyan"/>
          <w:lang w:val="zh-CN"/>
        </w:rPr>
        <w:t>2、有关本项目实施所涉及的一切费用均计入报价。</w:t>
      </w:r>
      <w:r>
        <w:rPr>
          <w:rFonts w:hint="eastAsia" w:ascii="宋体" w:hAnsi="宋体" w:cs="宋体"/>
          <w:b/>
          <w:kern w:val="0"/>
          <w:sz w:val="24"/>
          <w:highlight w:val="cyan"/>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cyan"/>
        </w:rPr>
        <w:t>视为</w:t>
      </w:r>
      <w:r>
        <w:rPr>
          <w:rFonts w:hint="eastAsia" w:ascii="宋体" w:hAnsi="宋体" w:cs="宋体"/>
          <w:b/>
          <w:sz w:val="24"/>
          <w:highlight w:val="cyan"/>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cyan"/>
        </w:rPr>
      </w:pPr>
      <w:r>
        <w:rPr>
          <w:rFonts w:hint="eastAsia" w:ascii="宋体" w:hAnsi="宋体" w:cs="宋体"/>
          <w:b/>
          <w:sz w:val="24"/>
          <w:highlight w:val="cyan"/>
        </w:rPr>
        <w:t>5、特别说明：</w:t>
      </w:r>
      <w:r>
        <w:rPr>
          <w:rFonts w:hint="eastAsia" w:ascii="宋体" w:hAnsi="宋体" w:cs="宋体"/>
          <w:b/>
          <w:sz w:val="24"/>
          <w:highlight w:val="red"/>
        </w:rPr>
        <w:t>▲</w:t>
      </w:r>
      <w:r>
        <w:rPr>
          <w:rFonts w:hint="eastAsia" w:ascii="宋体" w:hAnsi="宋体" w:cs="宋体"/>
          <w:b/>
          <w:sz w:val="24"/>
          <w:highlight w:val="cyan"/>
        </w:rPr>
        <w:t>供应商报价低于项目预算50%的，应当在报价文件中详细阐述不影响产品质量或者诚信履约的具体原因，未做阐述说明的，投标无效。</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4" w:name="OLE_LINK14"/>
      <w:bookmarkStart w:id="515" w:name="OLE_LINK13"/>
      <w:r>
        <w:rPr>
          <w:rFonts w:hint="eastAsia" w:ascii="宋体" w:hAnsi="宋体" w:cs="宋体"/>
          <w:b/>
          <w:spacing w:val="6"/>
          <w:sz w:val="32"/>
          <w:szCs w:val="32"/>
        </w:rPr>
        <w:t>残疾人福利性单位声明函</w:t>
      </w:r>
    </w:p>
    <w:bookmarkEnd w:id="514"/>
    <w:bookmarkEnd w:id="515"/>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6"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6"/>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7"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7"/>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8"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8"/>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sz w:val="24"/>
        </w:rPr>
      </w:pPr>
      <w:r>
        <w:rPr>
          <w:rFonts w:hint="eastAsia" w:ascii="宋体" w:hAnsi="宋体" w:cs="宋体"/>
          <w:sz w:val="24"/>
        </w:rPr>
        <w:br w:type="page"/>
      </w:r>
    </w:p>
    <w:p>
      <w:pPr>
        <w:pStyle w:val="4"/>
        <w:rPr>
          <w:rFonts w:cs="仿宋_GB2312"/>
          <w:sz w:val="24"/>
        </w:rPr>
      </w:pPr>
      <w:r>
        <w:rPr>
          <w:rFonts w:hint="eastAsia"/>
        </w:rPr>
        <w:t>附件</w:t>
      </w:r>
      <w:r>
        <w:rPr>
          <w:rFonts w:hint="eastAsia"/>
          <w:lang w:val="en-US"/>
        </w:rPr>
        <w:t>8</w:t>
      </w:r>
      <w:r>
        <w:rPr>
          <w:rFonts w:hint="eastAsia"/>
        </w:rPr>
        <w:t>样品（演示）授权委托书</w:t>
      </w:r>
    </w:p>
    <w:p>
      <w:pPr>
        <w:jc w:val="center"/>
        <w:rPr>
          <w:sz w:val="40"/>
        </w:rPr>
      </w:pPr>
      <w:r>
        <w:rPr>
          <w:rFonts w:hint="eastAsia"/>
          <w:sz w:val="40"/>
        </w:rPr>
        <w:t>样品（演示）授权委托书</w:t>
      </w:r>
    </w:p>
    <w:p>
      <w:pPr>
        <w:jc w:val="center"/>
        <w:rPr>
          <w:sz w:val="40"/>
        </w:rPr>
      </w:pPr>
    </w:p>
    <w:p>
      <w:pPr>
        <w:snapToGrid w:val="0"/>
        <w:spacing w:line="360" w:lineRule="auto"/>
        <w:rPr>
          <w:rFonts w:cs="仿宋"/>
          <w:color w:val="000000"/>
        </w:rPr>
      </w:pPr>
      <w:r>
        <w:rPr>
          <w:rFonts w:hint="eastAsia" w:cs="仿宋_GB2312"/>
          <w:color w:val="000000"/>
        </w:rPr>
        <w:t>XXX（单位名称或采购机构名称）</w:t>
      </w:r>
      <w:r>
        <w:rPr>
          <w:rFonts w:hint="eastAsia" w:cs="仿宋"/>
          <w:color w:val="000000"/>
          <w:lang w:val="zh-CN"/>
        </w:rPr>
        <w:t>：</w:t>
      </w:r>
    </w:p>
    <w:p>
      <w:pPr>
        <w:snapToGrid w:val="0"/>
        <w:spacing w:line="360" w:lineRule="auto"/>
        <w:ind w:left="254" w:leftChars="121" w:firstLine="420" w:firstLineChars="200"/>
        <w:rPr>
          <w:rFonts w:cs="仿宋"/>
          <w:color w:val="000000"/>
          <w:u w:val="single"/>
          <w:lang w:val="zh-CN"/>
        </w:rPr>
      </w:pPr>
      <w:r>
        <w:rPr>
          <w:rFonts w:hint="eastAsia" w:cs="仿宋"/>
          <w:color w:val="000000"/>
          <w:lang w:val="zh-CN"/>
        </w:rPr>
        <w:t>兹委派</w:t>
      </w:r>
      <w:r>
        <w:rPr>
          <w:rFonts w:hint="eastAsia" w:cs="仿宋"/>
          <w:color w:val="000000"/>
          <w:u w:val="single"/>
          <w:lang w:val="zh-CN"/>
        </w:rPr>
        <w:t xml:space="preserve">                </w:t>
      </w:r>
      <w:r>
        <w:rPr>
          <w:rFonts w:hint="eastAsia" w:cs="仿宋"/>
          <w:color w:val="000000"/>
          <w:lang w:val="zh-CN"/>
        </w:rPr>
        <w:t>先生/女士，身份证号：</w:t>
      </w:r>
      <w:r>
        <w:rPr>
          <w:rFonts w:hint="eastAsia" w:cs="仿宋"/>
          <w:color w:val="000000"/>
          <w:u w:val="single"/>
          <w:lang w:val="zh-CN"/>
        </w:rPr>
        <w:t xml:space="preserve"> </w:t>
      </w:r>
      <w:r>
        <w:rPr>
          <w:rFonts w:cs="仿宋"/>
          <w:color w:val="000000"/>
          <w:u w:val="single"/>
          <w:lang w:val="zh-CN"/>
        </w:rPr>
        <w:t xml:space="preserve">                  </w:t>
      </w:r>
    </w:p>
    <w:p>
      <w:pPr>
        <w:snapToGrid w:val="0"/>
        <w:spacing w:line="360" w:lineRule="auto"/>
        <w:ind w:left="254" w:leftChars="121" w:firstLine="420" w:firstLineChars="200"/>
        <w:rPr>
          <w:rFonts w:cs="仿宋"/>
          <w:color w:val="000000"/>
        </w:rPr>
      </w:pPr>
      <w:r>
        <w:rPr>
          <w:rFonts w:hint="eastAsia" w:cs="仿宋"/>
          <w:color w:val="000000"/>
          <w:lang w:val="zh-CN"/>
        </w:rPr>
        <w:t>手机：</w:t>
      </w:r>
      <w:r>
        <w:rPr>
          <w:rFonts w:hint="eastAsia" w:cs="仿宋"/>
          <w:color w:val="000000"/>
          <w:u w:val="single"/>
          <w:lang w:val="zh-CN"/>
        </w:rPr>
        <w:t xml:space="preserve">      </w:t>
      </w:r>
      <w:r>
        <w:rPr>
          <w:rFonts w:cs="仿宋"/>
          <w:color w:val="000000"/>
          <w:u w:val="single"/>
          <w:lang w:val="zh-CN"/>
        </w:rPr>
        <w:t xml:space="preserve">     </w:t>
      </w:r>
      <w:r>
        <w:rPr>
          <w:rFonts w:hint="eastAsia" w:cs="仿宋"/>
          <w:color w:val="000000"/>
          <w:u w:val="single"/>
          <w:lang w:val="zh-CN"/>
        </w:rPr>
        <w:t xml:space="preserve">  </w:t>
      </w:r>
      <w:r>
        <w:rPr>
          <w:rFonts w:hint="eastAsia" w:cs="仿宋"/>
          <w:color w:val="000000"/>
          <w:lang w:val="zh-CN"/>
        </w:rPr>
        <w:t>，代表我公司前来递交</w:t>
      </w:r>
      <w:r>
        <w:rPr>
          <w:rFonts w:cs="仿宋"/>
          <w:color w:val="000000"/>
          <w:u w:val="single"/>
          <w:lang w:val="zh-CN"/>
        </w:rPr>
        <w:t xml:space="preserve">                           </w:t>
      </w:r>
      <w:r>
        <w:rPr>
          <w:rFonts w:hint="eastAsia" w:cs="仿宋"/>
          <w:color w:val="000000"/>
          <w:u w:val="single"/>
          <w:lang w:val="zh-CN"/>
        </w:rPr>
        <w:t>采购项目</w:t>
      </w:r>
      <w:r>
        <w:rPr>
          <w:rFonts w:hint="eastAsia" w:cs="仿宋"/>
          <w:color w:val="000000"/>
          <w:lang w:val="zh-CN"/>
        </w:rPr>
        <w:t>【项目编号：</w:t>
      </w:r>
      <w:r>
        <w:rPr>
          <w:rFonts w:cs="仿宋"/>
          <w:color w:val="000000"/>
          <w:lang w:val="zh-CN"/>
        </w:rPr>
        <w:t xml:space="preserve">              </w:t>
      </w:r>
      <w:r>
        <w:rPr>
          <w:rFonts w:hint="eastAsia" w:cs="仿宋"/>
          <w:color w:val="000000"/>
          <w:lang w:val="zh-CN"/>
        </w:rPr>
        <w:t xml:space="preserve">】（标项号： </w:t>
      </w:r>
      <w:r>
        <w:rPr>
          <w:rFonts w:cs="仿宋"/>
          <w:color w:val="000000"/>
          <w:lang w:val="zh-CN"/>
        </w:rPr>
        <w:t xml:space="preserve"> </w:t>
      </w:r>
      <w:r>
        <w:rPr>
          <w:rFonts w:hint="eastAsia" w:cs="仿宋"/>
          <w:color w:val="000000"/>
          <w:lang w:val="zh-CN"/>
        </w:rPr>
        <w:t>）投标</w:t>
      </w:r>
      <w:r>
        <w:rPr>
          <w:rFonts w:hint="eastAsia" w:cs="仿宋"/>
          <w:color w:val="0000FF"/>
          <w:lang w:val="zh-CN"/>
        </w:rPr>
        <w:t>样品或参加演示</w:t>
      </w:r>
      <w:r>
        <w:rPr>
          <w:rFonts w:hint="eastAsia" w:cs="仿宋"/>
          <w:color w:val="000000"/>
          <w:lang w:val="zh-CN"/>
        </w:rPr>
        <w:t>，并全权负责标后取回样品等其他处理事宜。</w:t>
      </w:r>
    </w:p>
    <w:p>
      <w:pPr>
        <w:snapToGrid w:val="0"/>
        <w:spacing w:line="360" w:lineRule="auto"/>
        <w:rPr>
          <w:rFonts w:cs="仿宋"/>
          <w:color w:val="000000"/>
          <w:lang w:val="zh-CN"/>
        </w:rPr>
      </w:pPr>
      <w:r>
        <w:rPr>
          <w:rFonts w:hint="eastAsia" w:cs="仿宋"/>
          <w:color w:val="000000"/>
          <w:lang w:val="zh-CN"/>
        </w:rPr>
        <w:t xml:space="preserve">  </w:t>
      </w:r>
    </w:p>
    <w:p>
      <w:pPr>
        <w:snapToGrid w:val="0"/>
        <w:spacing w:line="360" w:lineRule="auto"/>
        <w:rPr>
          <w:rFonts w:cs="仿宋"/>
          <w:color w:val="000000"/>
        </w:rPr>
      </w:pPr>
      <w:r>
        <w:rPr>
          <w:rFonts w:hint="eastAsia" w:cs="仿宋"/>
          <w:color w:val="000000"/>
          <w:lang w:val="zh-CN"/>
        </w:rPr>
        <w:t xml:space="preserve">    特此告知。</w:t>
      </w:r>
    </w:p>
    <w:p>
      <w:pPr>
        <w:snapToGrid w:val="0"/>
        <w:spacing w:line="360" w:lineRule="auto"/>
        <w:rPr>
          <w:rFonts w:cs="仿宋"/>
          <w:color w:val="000000"/>
        </w:rPr>
      </w:pPr>
      <w:r>
        <w:rPr>
          <w:rFonts w:hint="eastAsia" w:cs="仿宋"/>
          <w:color w:val="000000"/>
          <w:lang w:val="zh-CN"/>
        </w:rPr>
        <w:t xml:space="preserve">                                                  投标人名称(公章)：</w:t>
      </w:r>
    </w:p>
    <w:p>
      <w:pPr>
        <w:snapToGrid w:val="0"/>
        <w:spacing w:line="360" w:lineRule="auto"/>
        <w:rPr>
          <w:rFonts w:cs="仿宋"/>
          <w:color w:val="000000"/>
        </w:rPr>
      </w:pPr>
      <w:r>
        <w:rPr>
          <w:rFonts w:hint="eastAsia" w:cs="仿宋"/>
          <w:color w:val="000000"/>
          <w:lang w:val="zh-CN"/>
        </w:rPr>
        <w:t xml:space="preserve">                                                  </w:t>
      </w:r>
    </w:p>
    <w:p>
      <w:pPr>
        <w:snapToGrid w:val="0"/>
        <w:spacing w:line="360" w:lineRule="auto"/>
        <w:ind w:right="240"/>
        <w:jc w:val="right"/>
        <w:rPr>
          <w:rFonts w:cs="仿宋"/>
          <w:color w:val="000000"/>
          <w:lang w:val="zh-CN"/>
        </w:rPr>
      </w:pPr>
      <w:r>
        <w:rPr>
          <w:rFonts w:hint="eastAsia" w:cs="仿宋"/>
          <w:color w:val="000000"/>
          <w:lang w:val="zh-CN"/>
        </w:rPr>
        <w:t>签发日期：  年  月   日</w:t>
      </w:r>
    </w:p>
    <w:p>
      <w:pPr>
        <w:snapToGrid w:val="0"/>
        <w:spacing w:line="360" w:lineRule="auto"/>
        <w:ind w:right="240"/>
        <w:jc w:val="right"/>
        <w:rPr>
          <w:rFonts w:cs="仿宋"/>
          <w:color w:val="000000"/>
          <w:lang w:val="zh-CN"/>
        </w:rPr>
      </w:pPr>
    </w:p>
    <w:p>
      <w:pPr>
        <w:snapToGrid w:val="0"/>
        <w:spacing w:line="360" w:lineRule="auto"/>
        <w:ind w:right="1920"/>
        <w:rPr>
          <w:rFonts w:cs="仿宋"/>
          <w:color w:val="000000"/>
          <w:lang w:val="zh-CN"/>
        </w:rPr>
      </w:pPr>
    </w:p>
    <w:p>
      <w:pPr>
        <w:snapToGrid w:val="0"/>
        <w:spacing w:line="360" w:lineRule="auto"/>
        <w:ind w:right="240"/>
        <w:jc w:val="right"/>
        <w:rPr>
          <w:rFonts w:cs="仿宋"/>
          <w:color w:val="000000"/>
          <w:lang w:val="zh-CN"/>
        </w:rPr>
      </w:pPr>
    </w:p>
    <w:p>
      <w:pPr>
        <w:snapToGrid w:val="0"/>
        <w:spacing w:line="360" w:lineRule="auto"/>
        <w:ind w:right="240"/>
        <w:rPr>
          <w:rFonts w:cs="仿宋"/>
          <w:color w:val="000000"/>
          <w:lang w:val="zh-CN"/>
        </w:rPr>
      </w:pPr>
      <w:r>
        <w:rPr>
          <w:rFonts w:hint="eastAsia" w:cs="仿宋"/>
          <w:color w:val="000000"/>
        </w:rPr>
        <w:t>受委托人</w:t>
      </w:r>
      <w:r>
        <w:rPr>
          <w:rFonts w:hint="eastAsia" w:cs="仿宋"/>
          <w:color w:val="000000"/>
          <w:lang w:val="zh-CN"/>
        </w:rPr>
        <w:t>身份证复印件：</w:t>
      </w:r>
    </w:p>
    <w:p>
      <w:pPr>
        <w:snapToGrid w:val="0"/>
        <w:spacing w:line="360" w:lineRule="auto"/>
        <w:ind w:right="240"/>
        <w:rPr>
          <w:rFonts w:cs="仿宋"/>
          <w:color w:val="000000"/>
          <w:lang w:val="zh-CN"/>
        </w:rPr>
      </w:pPr>
    </w:p>
    <w:p>
      <w:pPr>
        <w:snapToGrid w:val="0"/>
        <w:spacing w:line="360" w:lineRule="auto"/>
        <w:ind w:right="240"/>
        <w:rPr>
          <w:rFonts w:cs="仿宋"/>
          <w:color w:val="000000"/>
          <w:lang w:val="zh-CN"/>
        </w:rPr>
      </w:pPr>
      <w:r>
        <w:rPr>
          <w:rFonts w:hint="eastAsia" w:cs="仿宋"/>
          <w:color w:val="000000"/>
          <w:lang w:val="zh-CN"/>
        </w:rPr>
        <w:t>说明：本委托书在有样品或演示时由受委托人携带至指定地点。</w:t>
      </w:r>
    </w:p>
    <w:p>
      <w:pPr>
        <w:spacing w:line="360" w:lineRule="auto"/>
        <w:rPr>
          <w:rFonts w:cs="仿宋_GB2312"/>
          <w:b/>
          <w:color w:val="000000"/>
        </w:rPr>
      </w:pPr>
      <w:r>
        <w:rPr>
          <w:rFonts w:cs="仿宋_GB2312"/>
          <w:b/>
          <w:color w:val="000000"/>
        </w:rPr>
        <w:t>同时有样品和演示的</w:t>
      </w:r>
      <w:r>
        <w:rPr>
          <w:rFonts w:hint="eastAsia" w:cs="仿宋_GB2312"/>
          <w:b/>
          <w:color w:val="000000"/>
        </w:rPr>
        <w:t>，</w:t>
      </w:r>
      <w:r>
        <w:rPr>
          <w:rFonts w:cs="仿宋_GB2312"/>
          <w:b/>
          <w:color w:val="000000"/>
        </w:rPr>
        <w:t>可委托不同人员</w:t>
      </w:r>
      <w:r>
        <w:rPr>
          <w:rFonts w:hint="eastAsia" w:cs="仿宋_GB2312"/>
          <w:b/>
          <w:color w:val="000000"/>
        </w:rPr>
        <w:t>。</w:t>
      </w:r>
    </w:p>
    <w:p>
      <w:pPr>
        <w:pStyle w:val="4"/>
      </w:pPr>
    </w:p>
    <w:p>
      <w:pPr>
        <w:spacing w:line="360" w:lineRule="auto"/>
        <w:jc w:val="center"/>
        <w:rPr>
          <w:rFonts w:ascii="宋体" w:hAnsi="宋体" w:cs="宋体"/>
          <w:b/>
          <w:sz w:val="32"/>
          <w:szCs w:val="32"/>
        </w:rPr>
      </w:pPr>
    </w:p>
    <w:p>
      <w:pPr>
        <w:pStyle w:val="4"/>
      </w:pP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9" w:name="_Toc36110187"/>
    <w:bookmarkStart w:id="520" w:name="_Toc164085800"/>
    <w:bookmarkStart w:id="521" w:name="_Toc131845147"/>
    <w:bookmarkStart w:id="522" w:name="_Toc91899912"/>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2336" behindDoc="0" locked="0" layoutInCell="1" allowOverlap="1">
              <wp:simplePos x="0" y="0"/>
              <wp:positionH relativeFrom="margin">
                <wp:posOffset>2621280</wp:posOffset>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39"/>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06.4pt;margin-top:0pt;height:10.35pt;width:9.05pt;mso-position-horizontal-relative:margin;mso-wrap-style:none;z-index:251662336;mso-width-relative:page;mso-height-relative:page;" filled="f" stroked="f" coordsize="21600,21600" o:gfxdata="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kQfAdcAAAAHAQAADwAAAAAAAAABACAA&#10;AAAiAAAAZHJzL2Rvd25yZXYueG1sUEsBAhQAFAAAAAgAh07iQF/KAa7VAQAAowMAAA4AAAAAAAAA&#10;AQAgAAAAJgEAAGRycy9lMm9Eb2MueG1sUEsFBgAAAAAGAAYAWQEAAG0FAAAAAA==&#10;">
              <v:fill on="f" focussize="0,0"/>
              <v:stroke on="f" weight="1.2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1312" behindDoc="0" locked="0" layoutInCell="1" allowOverlap="1">
              <wp:simplePos x="0" y="0"/>
              <wp:positionH relativeFrom="margin">
                <wp:posOffset>2621280</wp:posOffset>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39"/>
                          </w:pPr>
                          <w:r>
                            <w:fldChar w:fldCharType="begin"/>
                          </w:r>
                          <w:r>
                            <w:instrText xml:space="preserve"> PAGE  \* MERGEFORMAT </w:instrText>
                          </w:r>
                          <w:r>
                            <w:fldChar w:fldCharType="separate"/>
                          </w:r>
                          <w:r>
                            <w:t>28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06.4pt;margin-top:0pt;height:10.35pt;width:9.05pt;mso-position-horizontal-relative:margin;mso-wrap-style:none;z-index:251661312;mso-width-relative:page;mso-height-relative:page;" filled="f" stroked="f" coordsize="21600,21600" o:gfxdata="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qRB8B1wAAAAcBAAAPAAAAAAAAAAEAIAAA&#10;ACIAAABkcnMvZG93bnJldi54bWxQSwECFAAUAAAACACHTuJAYZ025tQBAACjAwAADgAAAAAAAAAB&#10;ACAAAAAmAQAAZHJzL2Uyb0RvYy54bWxQSwUGAAAAAAYABgBZAQAAbAUAAAAA&#10;">
              <v:fill on="f" focussize="0,0"/>
              <v:stroke on="f" weight="1.2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公开招标文件</w:t>
    </w:r>
  </w:p>
  <w:p>
    <w:pPr>
      <w:pStyle w:val="40"/>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公开招标文件</w:t>
    </w:r>
  </w:p>
  <w:p>
    <w:pPr>
      <w:pStyle w:val="40"/>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991715B"/>
    <w:multiLevelType w:val="singleLevel"/>
    <w:tmpl w:val="6991715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50"/>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3D7F"/>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EB4"/>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1C7"/>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5BA4"/>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339"/>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9C2"/>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9D6"/>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0D"/>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D05"/>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A16"/>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5C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612"/>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97B"/>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8D629E"/>
    <w:rsid w:val="14904B4F"/>
    <w:rsid w:val="14982588"/>
    <w:rsid w:val="149A5AD9"/>
    <w:rsid w:val="14A7619D"/>
    <w:rsid w:val="150536C3"/>
    <w:rsid w:val="150C1963"/>
    <w:rsid w:val="151447A0"/>
    <w:rsid w:val="154A6454"/>
    <w:rsid w:val="15762120"/>
    <w:rsid w:val="15977D0E"/>
    <w:rsid w:val="15C10692"/>
    <w:rsid w:val="16252F14"/>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8BD7EDC"/>
    <w:rsid w:val="19932372"/>
    <w:rsid w:val="19A20DD5"/>
    <w:rsid w:val="19AE03F1"/>
    <w:rsid w:val="19C60433"/>
    <w:rsid w:val="1A071A03"/>
    <w:rsid w:val="1A197394"/>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0F12C87"/>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942439"/>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A0CEB"/>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8132A3"/>
    <w:rsid w:val="2CE82D6F"/>
    <w:rsid w:val="2D343236"/>
    <w:rsid w:val="2DD15014"/>
    <w:rsid w:val="2DF72DE4"/>
    <w:rsid w:val="2E0220AF"/>
    <w:rsid w:val="2E4B082A"/>
    <w:rsid w:val="2E4E5530"/>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9C7318"/>
    <w:rsid w:val="31AC537E"/>
    <w:rsid w:val="31E3679B"/>
    <w:rsid w:val="31E732FD"/>
    <w:rsid w:val="3210081E"/>
    <w:rsid w:val="32517576"/>
    <w:rsid w:val="32BE5C2C"/>
    <w:rsid w:val="32FB6478"/>
    <w:rsid w:val="33263B3F"/>
    <w:rsid w:val="336963EB"/>
    <w:rsid w:val="33816EEB"/>
    <w:rsid w:val="33EB55CD"/>
    <w:rsid w:val="33EC4C02"/>
    <w:rsid w:val="340D2360"/>
    <w:rsid w:val="3410665D"/>
    <w:rsid w:val="34211214"/>
    <w:rsid w:val="342E63AB"/>
    <w:rsid w:val="346E6803"/>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12BA9"/>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88038E"/>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F5113"/>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25388"/>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CF67846"/>
    <w:rsid w:val="4D077F3C"/>
    <w:rsid w:val="4D123355"/>
    <w:rsid w:val="4D2A3B31"/>
    <w:rsid w:val="4D312C52"/>
    <w:rsid w:val="4D905305"/>
    <w:rsid w:val="4D964A72"/>
    <w:rsid w:val="4D9C1254"/>
    <w:rsid w:val="4E11343B"/>
    <w:rsid w:val="4E793892"/>
    <w:rsid w:val="4E800872"/>
    <w:rsid w:val="4EAD7AD0"/>
    <w:rsid w:val="4EC569ED"/>
    <w:rsid w:val="4ED50EA1"/>
    <w:rsid w:val="4EEC050C"/>
    <w:rsid w:val="4F104EC3"/>
    <w:rsid w:val="4F47354A"/>
    <w:rsid w:val="4F911C54"/>
    <w:rsid w:val="4FE625E0"/>
    <w:rsid w:val="5008617A"/>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40196"/>
    <w:rsid w:val="563558F4"/>
    <w:rsid w:val="566B6D1E"/>
    <w:rsid w:val="57032A2C"/>
    <w:rsid w:val="570F5219"/>
    <w:rsid w:val="575D12B5"/>
    <w:rsid w:val="57610A87"/>
    <w:rsid w:val="577B1140"/>
    <w:rsid w:val="577B7F21"/>
    <w:rsid w:val="577F181B"/>
    <w:rsid w:val="57921984"/>
    <w:rsid w:val="579737F0"/>
    <w:rsid w:val="57A43141"/>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E4569C"/>
    <w:rsid w:val="59F80043"/>
    <w:rsid w:val="5A09252F"/>
    <w:rsid w:val="5A0B2778"/>
    <w:rsid w:val="5A166ED9"/>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BF1920"/>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560D0A"/>
    <w:rsid w:val="668B6A45"/>
    <w:rsid w:val="67011F07"/>
    <w:rsid w:val="672F3F24"/>
    <w:rsid w:val="673E055F"/>
    <w:rsid w:val="67551CE3"/>
    <w:rsid w:val="67A22552"/>
    <w:rsid w:val="67B22DCC"/>
    <w:rsid w:val="67BE71AA"/>
    <w:rsid w:val="67D90273"/>
    <w:rsid w:val="67DE5875"/>
    <w:rsid w:val="67E55852"/>
    <w:rsid w:val="67EB1AB4"/>
    <w:rsid w:val="67FA1285"/>
    <w:rsid w:val="683D69F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477EFB"/>
    <w:rsid w:val="74706664"/>
    <w:rsid w:val="747F3682"/>
    <w:rsid w:val="749C4185"/>
    <w:rsid w:val="75067759"/>
    <w:rsid w:val="752E6DCD"/>
    <w:rsid w:val="7551380D"/>
    <w:rsid w:val="75600BE5"/>
    <w:rsid w:val="7564475C"/>
    <w:rsid w:val="7583797F"/>
    <w:rsid w:val="75D20F1D"/>
    <w:rsid w:val="75DA2C18"/>
    <w:rsid w:val="75F54412"/>
    <w:rsid w:val="761D08E0"/>
    <w:rsid w:val="764A782F"/>
    <w:rsid w:val="765D347C"/>
    <w:rsid w:val="76826699"/>
    <w:rsid w:val="76C87133"/>
    <w:rsid w:val="76CD08D5"/>
    <w:rsid w:val="76DB4B92"/>
    <w:rsid w:val="77052AA4"/>
    <w:rsid w:val="770FEEE6"/>
    <w:rsid w:val="77136511"/>
    <w:rsid w:val="77340A39"/>
    <w:rsid w:val="77351FD0"/>
    <w:rsid w:val="77472422"/>
    <w:rsid w:val="777F31F2"/>
    <w:rsid w:val="77D1700D"/>
    <w:rsid w:val="77EC04CC"/>
    <w:rsid w:val="782D7408"/>
    <w:rsid w:val="783F0EE9"/>
    <w:rsid w:val="78775729"/>
    <w:rsid w:val="78A42DB0"/>
    <w:rsid w:val="78A656AB"/>
    <w:rsid w:val="78B2245C"/>
    <w:rsid w:val="78E172CC"/>
    <w:rsid w:val="78EA1D1F"/>
    <w:rsid w:val="78FD502C"/>
    <w:rsid w:val="7904172F"/>
    <w:rsid w:val="790F7E27"/>
    <w:rsid w:val="792A231A"/>
    <w:rsid w:val="79316829"/>
    <w:rsid w:val="797E66A9"/>
    <w:rsid w:val="798518A4"/>
    <w:rsid w:val="798B7D85"/>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C4AE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8"/>
    <w:autoRedefine/>
    <w:qFormat/>
    <w:uiPriority w:val="0"/>
    <w:pPr>
      <w:ind w:left="100" w:leftChars="2500"/>
    </w:pPr>
    <w:rPr>
      <w:rFonts w:ascii="宋体"/>
      <w:sz w:val="24"/>
      <w:szCs w:val="21"/>
      <w:lang w:val="zh-CN"/>
    </w:rPr>
  </w:style>
  <w:style w:type="paragraph" w:styleId="36">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5"/>
    <w:autoRedefine/>
    <w:qFormat/>
    <w:uiPriority w:val="0"/>
    <w:rPr>
      <w:sz w:val="18"/>
      <w:szCs w:val="18"/>
    </w:rPr>
  </w:style>
  <w:style w:type="paragraph" w:styleId="39">
    <w:name w:val="footer"/>
    <w:basedOn w:val="1"/>
    <w:link w:val="380"/>
    <w:autoRedefine/>
    <w:qFormat/>
    <w:uiPriority w:val="99"/>
    <w:pPr>
      <w:tabs>
        <w:tab w:val="center" w:pos="4153"/>
        <w:tab w:val="right" w:pos="8306"/>
      </w:tabs>
      <w:snapToGrid w:val="0"/>
      <w:jc w:val="left"/>
    </w:pPr>
    <w:rPr>
      <w:sz w:val="18"/>
      <w:szCs w:val="18"/>
    </w:rPr>
  </w:style>
  <w:style w:type="paragraph" w:styleId="40">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autoRedefine/>
    <w:qFormat/>
    <w:uiPriority w:val="0"/>
    <w:rPr>
      <w:b/>
      <w:bCs/>
    </w:rPr>
  </w:style>
  <w:style w:type="paragraph" w:styleId="60">
    <w:name w:val="Body Text First Indent"/>
    <w:basedOn w:val="23"/>
    <w:link w:val="318"/>
    <w:autoRedefine/>
    <w:qFormat/>
    <w:uiPriority w:val="0"/>
    <w:pPr>
      <w:ind w:firstLine="420"/>
    </w:pPr>
    <w:rPr>
      <w:rFonts w:hAnsi="Calibri" w:cs="Times New Roman"/>
      <w:snapToGrid/>
      <w:szCs w:val="20"/>
    </w:rPr>
  </w:style>
  <w:style w:type="paragraph" w:styleId="61">
    <w:name w:val="Body Text First Indent 2"/>
    <w:basedOn w:val="24"/>
    <w:next w:val="1"/>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basedOn w:val="69"/>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字符"/>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字符"/>
    <w:link w:val="46"/>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字符"/>
    <w:link w:val="7"/>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4"/>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字符"/>
    <w:link w:val="35"/>
    <w:autoRedefine/>
    <w:qFormat/>
    <w:uiPriority w:val="0"/>
    <w:rPr>
      <w:rFonts w:ascii="宋体"/>
      <w:kern w:val="2"/>
      <w:sz w:val="24"/>
      <w:szCs w:val="21"/>
      <w:lang w:val="zh-CN"/>
    </w:rPr>
  </w:style>
  <w:style w:type="character" w:customStyle="1" w:styleId="179">
    <w:name w:val="标题 9 字符"/>
    <w:link w:val="10"/>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字符1"/>
    <w:link w:val="38"/>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2"/>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字符"/>
    <w:link w:val="18"/>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字符"/>
    <w:link w:val="29"/>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5"/>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字符1"/>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字符1"/>
    <w:link w:val="3"/>
    <w:autoRedefine/>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字符"/>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字符"/>
    <w:link w:val="6"/>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字符"/>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字符"/>
    <w:link w:val="56"/>
    <w:autoRedefine/>
    <w:qFormat/>
    <w:uiPriority w:val="0"/>
    <w:rPr>
      <w:rFonts w:ascii="黑体" w:hAnsi="Courier New" w:eastAsia="黑体"/>
    </w:rPr>
  </w:style>
  <w:style w:type="character" w:customStyle="1" w:styleId="299">
    <w:name w:val="正文文本 2 字符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5"/>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字符"/>
    <w:link w:val="8"/>
    <w:qFormat/>
    <w:uiPriority w:val="0"/>
    <w:rPr>
      <w:b/>
      <w:bCs/>
      <w:kern w:val="2"/>
      <w:sz w:val="24"/>
      <w:szCs w:val="24"/>
    </w:rPr>
  </w:style>
  <w:style w:type="character" w:customStyle="1" w:styleId="305">
    <w:name w:val="正文文本缩进 2 字符"/>
    <w:link w:val="36"/>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字符"/>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字符1"/>
    <w:link w:val="5"/>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autoRedefine/>
    <w:qFormat/>
    <w:uiPriority w:val="99"/>
    <w:rPr>
      <w:kern w:val="2"/>
      <w:sz w:val="21"/>
      <w:szCs w:val="24"/>
    </w:rPr>
  </w:style>
  <w:style w:type="character" w:customStyle="1" w:styleId="342">
    <w:name w:val="签名 字符"/>
    <w:link w:val="41"/>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9"/>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字符"/>
    <w:link w:val="52"/>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字符2"/>
    <w:link w:val="39"/>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字符2"/>
    <w:link w:val="40"/>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1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2"/>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2"/>
    <w:autoRedefine/>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2"/>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2"/>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2"/>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7547</Words>
  <Characters>43018</Characters>
  <Lines>358</Lines>
  <Paragraphs>100</Paragraphs>
  <TotalTime>34</TotalTime>
  <ScaleCrop>false</ScaleCrop>
  <LinksUpToDate>false</LinksUpToDate>
  <CharactersWithSpaces>50465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wyn</cp:lastModifiedBy>
  <cp:lastPrinted>2021-12-30T11:06:00Z</cp:lastPrinted>
  <dcterms:modified xsi:type="dcterms:W3CDTF">2024-07-03T15:34:41Z</dcterms:modified>
  <dc:title>杭州市市民卡扩大发卡工程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ABB1E0FD6D224906A31A5742D8F2F184_13</vt:lpwstr>
  </property>
</Properties>
</file>