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60" w:lineRule="auto"/>
        <w:jc w:val="center"/>
        <w:rPr>
          <w:rFonts w:cs="宋体" w:asciiTheme="majorEastAsia" w:hAnsiTheme="majorEastAsia" w:eastAsiaTheme="majorEastAsia"/>
          <w:b/>
          <w:sz w:val="24"/>
        </w:rPr>
      </w:pPr>
    </w:p>
    <w:p>
      <w:pPr>
        <w:spacing w:line="360" w:lineRule="auto"/>
        <w:jc w:val="center"/>
        <w:rPr>
          <w:rFonts w:cs="宋体" w:asciiTheme="majorEastAsia" w:hAnsiTheme="majorEastAsia" w:eastAsiaTheme="majorEastAsia"/>
          <w:b/>
          <w:sz w:val="24"/>
        </w:rPr>
      </w:pPr>
    </w:p>
    <w:p>
      <w:pPr>
        <w:adjustRightInd/>
        <w:spacing w:line="360" w:lineRule="auto"/>
        <w:jc w:val="center"/>
        <w:rPr>
          <w:rFonts w:cs="宋体" w:asciiTheme="majorEastAsia" w:hAnsiTheme="majorEastAsia" w:eastAsiaTheme="majorEastAsia"/>
          <w:b/>
          <w:color w:val="auto"/>
          <w:sz w:val="48"/>
          <w:szCs w:val="48"/>
        </w:rPr>
      </w:pPr>
    </w:p>
    <w:p>
      <w:pPr>
        <w:adjustRightInd/>
        <w:spacing w:line="360" w:lineRule="auto"/>
        <w:jc w:val="center"/>
        <w:rPr>
          <w:rFonts w:hint="eastAsia" w:cs="宋体" w:asciiTheme="majorEastAsia" w:hAnsiTheme="majorEastAsia" w:eastAsiaTheme="majorEastAsia"/>
          <w:color w:val="auto"/>
          <w:sz w:val="48"/>
          <w:szCs w:val="48"/>
          <w:lang w:eastAsia="zh-CN"/>
        </w:rPr>
      </w:pPr>
      <w:r>
        <w:rPr>
          <w:rFonts w:hint="eastAsia" w:cs="宋体" w:asciiTheme="majorEastAsia" w:hAnsiTheme="majorEastAsia" w:eastAsiaTheme="majorEastAsia"/>
          <w:color w:val="auto"/>
          <w:sz w:val="44"/>
          <w:szCs w:val="44"/>
          <w:lang w:eastAsia="zh-CN"/>
        </w:rPr>
        <w:t>2024年茅乡景区及仁寿山园林养护服务采购</w:t>
      </w:r>
    </w:p>
    <w:p>
      <w:pPr>
        <w:adjustRightInd/>
        <w:spacing w:line="360" w:lineRule="auto"/>
        <w:jc w:val="center"/>
        <w:rPr>
          <w:rFonts w:cs="宋体" w:asciiTheme="majorEastAsia" w:hAnsiTheme="majorEastAsia" w:eastAsiaTheme="majorEastAsia"/>
          <w:color w:val="auto"/>
          <w:sz w:val="48"/>
          <w:szCs w:val="48"/>
        </w:rPr>
      </w:pPr>
      <w:r>
        <w:rPr>
          <w:rFonts w:hint="eastAsia" w:cs="宋体" w:asciiTheme="majorEastAsia" w:hAnsiTheme="majorEastAsia" w:eastAsiaTheme="majorEastAsia"/>
          <w:color w:val="auto"/>
          <w:sz w:val="48"/>
          <w:szCs w:val="48"/>
        </w:rPr>
        <w:t xml:space="preserve">招标文件 </w:t>
      </w:r>
    </w:p>
    <w:p>
      <w:pPr>
        <w:adjustRightInd/>
        <w:spacing w:line="360" w:lineRule="auto"/>
        <w:jc w:val="center"/>
        <w:rPr>
          <w:rFonts w:cs="宋体" w:asciiTheme="majorEastAsia" w:hAnsiTheme="majorEastAsia" w:eastAsiaTheme="majorEastAsia"/>
          <w:b/>
          <w:color w:val="auto"/>
          <w:sz w:val="44"/>
          <w:szCs w:val="44"/>
        </w:rPr>
      </w:pPr>
      <w:r>
        <w:rPr>
          <w:rFonts w:hint="eastAsia" w:cs="宋体" w:asciiTheme="majorEastAsia" w:hAnsiTheme="majorEastAsia" w:eastAsiaTheme="majorEastAsia"/>
          <w:b/>
          <w:color w:val="auto"/>
          <w:sz w:val="44"/>
          <w:szCs w:val="44"/>
        </w:rPr>
        <w:t xml:space="preserve"> （电子招投标）</w:t>
      </w:r>
    </w:p>
    <w:p>
      <w:pPr>
        <w:snapToGrid w:val="0"/>
        <w:spacing w:line="360" w:lineRule="auto"/>
        <w:jc w:val="center"/>
        <w:rPr>
          <w:rFonts w:hint="default" w:cs="宋体" w:asciiTheme="majorEastAsia" w:hAnsiTheme="majorEastAsia" w:eastAsiaTheme="majorEastAsia"/>
          <w:color w:val="auto"/>
          <w:sz w:val="30"/>
          <w:szCs w:val="30"/>
          <w:lang w:val="en-US" w:eastAsia="zh-CN"/>
        </w:rPr>
      </w:pPr>
      <w:r>
        <w:rPr>
          <w:rFonts w:hint="eastAsia" w:cs="宋体" w:asciiTheme="majorEastAsia" w:hAnsiTheme="majorEastAsia" w:eastAsiaTheme="majorEastAsia"/>
          <w:color w:val="auto"/>
          <w:sz w:val="30"/>
          <w:szCs w:val="30"/>
        </w:rPr>
        <w:t>编号:FYC012</w:t>
      </w:r>
      <w:r>
        <w:rPr>
          <w:rFonts w:hint="eastAsia" w:cs="宋体" w:asciiTheme="majorEastAsia" w:hAnsiTheme="majorEastAsia" w:eastAsiaTheme="majorEastAsia"/>
          <w:color w:val="auto"/>
          <w:sz w:val="30"/>
          <w:szCs w:val="30"/>
          <w:lang w:val="en-US" w:eastAsia="zh-CN"/>
        </w:rPr>
        <w:t>407</w:t>
      </w:r>
      <w:r>
        <w:rPr>
          <w:rFonts w:hint="eastAsia" w:cs="宋体" w:asciiTheme="majorEastAsia" w:hAnsiTheme="majorEastAsia" w:eastAsiaTheme="majorEastAsia"/>
          <w:color w:val="auto"/>
          <w:sz w:val="30"/>
          <w:szCs w:val="30"/>
        </w:rPr>
        <w:t>-</w:t>
      </w:r>
      <w:r>
        <w:rPr>
          <w:rFonts w:hint="eastAsia" w:cs="宋体" w:asciiTheme="majorEastAsia" w:hAnsiTheme="majorEastAsia" w:eastAsiaTheme="majorEastAsia"/>
          <w:color w:val="auto"/>
          <w:sz w:val="30"/>
          <w:szCs w:val="30"/>
          <w:lang w:val="en-US" w:eastAsia="zh-CN"/>
        </w:rPr>
        <w:t>125</w:t>
      </w:r>
    </w:p>
    <w:p>
      <w:pPr>
        <w:adjustRightInd/>
        <w:spacing w:line="360" w:lineRule="auto"/>
        <w:rPr>
          <w:rFonts w:cs="宋体" w:asciiTheme="majorEastAsia" w:hAnsiTheme="majorEastAsia" w:eastAsiaTheme="majorEastAsia"/>
          <w:color w:val="auto"/>
          <w:sz w:val="28"/>
          <w:szCs w:val="20"/>
        </w:rPr>
      </w:pPr>
    </w:p>
    <w:p>
      <w:pPr>
        <w:spacing w:line="360" w:lineRule="auto"/>
        <w:jc w:val="center"/>
        <w:rPr>
          <w:rFonts w:cs="宋体" w:asciiTheme="majorEastAsia" w:hAnsiTheme="majorEastAsia" w:eastAsiaTheme="majorEastAsia"/>
          <w:b/>
          <w:color w:val="auto"/>
          <w:sz w:val="44"/>
          <w:szCs w:val="44"/>
        </w:rPr>
      </w:pPr>
    </w:p>
    <w:p>
      <w:pPr>
        <w:spacing w:line="360" w:lineRule="auto"/>
        <w:jc w:val="center"/>
        <w:rPr>
          <w:rFonts w:cs="宋体" w:asciiTheme="majorEastAsia" w:hAnsiTheme="majorEastAsia" w:eastAsiaTheme="majorEastAsia"/>
          <w:b/>
          <w:color w:val="auto"/>
          <w:sz w:val="44"/>
          <w:szCs w:val="44"/>
        </w:rPr>
      </w:pPr>
    </w:p>
    <w:p>
      <w:pPr>
        <w:spacing w:line="360" w:lineRule="auto"/>
        <w:jc w:val="center"/>
        <w:rPr>
          <w:rFonts w:cs="宋体" w:asciiTheme="majorEastAsia" w:hAnsiTheme="majorEastAsia" w:eastAsiaTheme="majorEastAsia"/>
          <w:color w:val="auto"/>
          <w:sz w:val="24"/>
        </w:rPr>
      </w:pPr>
    </w:p>
    <w:p>
      <w:pPr>
        <w:pStyle w:val="3"/>
        <w:rPr>
          <w:rFonts w:cs="宋体" w:asciiTheme="majorEastAsia" w:hAnsiTheme="majorEastAsia" w:eastAsiaTheme="majorEastAsia"/>
          <w:color w:val="auto"/>
        </w:rPr>
      </w:pPr>
    </w:p>
    <w:p>
      <w:pPr>
        <w:rPr>
          <w:rFonts w:cs="宋体" w:asciiTheme="majorEastAsia" w:hAnsiTheme="majorEastAsia" w:eastAsiaTheme="majorEastAsia"/>
          <w:color w:val="auto"/>
          <w:sz w:val="24"/>
        </w:rPr>
      </w:pPr>
    </w:p>
    <w:p>
      <w:pPr>
        <w:pStyle w:val="3"/>
        <w:rPr>
          <w:rFonts w:cs="宋体" w:asciiTheme="majorEastAsia" w:hAnsiTheme="majorEastAsia" w:eastAsiaTheme="majorEastAsia"/>
          <w:color w:val="auto"/>
        </w:rPr>
      </w:pPr>
    </w:p>
    <w:p>
      <w:pPr>
        <w:rPr>
          <w:rFonts w:cs="宋体" w:asciiTheme="majorEastAsia" w:hAnsiTheme="majorEastAsia" w:eastAsiaTheme="majorEastAsia"/>
          <w:color w:val="auto"/>
          <w:sz w:val="24"/>
        </w:rPr>
      </w:pPr>
    </w:p>
    <w:p>
      <w:pPr>
        <w:pStyle w:val="3"/>
        <w:rPr>
          <w:rFonts w:cs="宋体" w:asciiTheme="majorEastAsia" w:hAnsiTheme="majorEastAsia" w:eastAsiaTheme="majorEastAsia"/>
          <w:color w:val="auto"/>
        </w:rPr>
      </w:pPr>
    </w:p>
    <w:p>
      <w:pPr>
        <w:rPr>
          <w:rFonts w:cs="宋体" w:asciiTheme="majorEastAsia" w:hAnsiTheme="majorEastAsia" w:eastAsiaTheme="majorEastAsia"/>
          <w:color w:val="auto"/>
          <w:sz w:val="24"/>
        </w:rPr>
      </w:pPr>
    </w:p>
    <w:p>
      <w:pPr>
        <w:spacing w:line="360" w:lineRule="auto"/>
        <w:rPr>
          <w:rFonts w:cs="宋体" w:asciiTheme="majorEastAsia" w:hAnsiTheme="majorEastAsia" w:eastAsiaTheme="majorEastAsia"/>
          <w:color w:val="auto"/>
          <w:sz w:val="32"/>
          <w:szCs w:val="32"/>
        </w:rPr>
      </w:pPr>
    </w:p>
    <w:p>
      <w:pPr>
        <w:spacing w:line="360" w:lineRule="auto"/>
        <w:jc w:val="center"/>
        <w:rPr>
          <w:rFonts w:hint="eastAsia" w:cs="宋体" w:asciiTheme="majorEastAsia" w:hAnsiTheme="majorEastAsia" w:eastAsiaTheme="majorEastAsia"/>
          <w:bCs/>
          <w:color w:val="auto"/>
          <w:sz w:val="32"/>
          <w:szCs w:val="32"/>
          <w:lang w:eastAsia="zh-CN"/>
        </w:rPr>
      </w:pPr>
      <w:r>
        <w:rPr>
          <w:rFonts w:hint="eastAsia" w:cs="宋体" w:asciiTheme="majorEastAsia" w:hAnsiTheme="majorEastAsia" w:eastAsiaTheme="majorEastAsia"/>
          <w:bCs/>
          <w:color w:val="auto"/>
          <w:sz w:val="32"/>
          <w:szCs w:val="32"/>
          <w:lang w:eastAsia="zh-CN"/>
        </w:rPr>
        <w:t>杭州西湖风景名胜区灵隐管理处</w:t>
      </w:r>
    </w:p>
    <w:p>
      <w:pPr>
        <w:spacing w:line="360" w:lineRule="auto"/>
        <w:jc w:val="center"/>
        <w:rPr>
          <w:rFonts w:cs="宋体" w:asciiTheme="majorEastAsia" w:hAnsiTheme="majorEastAsia" w:eastAsiaTheme="majorEastAsia"/>
          <w:bCs/>
          <w:color w:val="auto"/>
          <w:sz w:val="32"/>
          <w:szCs w:val="32"/>
        </w:rPr>
      </w:pPr>
      <w:r>
        <w:rPr>
          <w:rFonts w:hint="eastAsia" w:cs="宋体" w:asciiTheme="majorEastAsia" w:hAnsiTheme="majorEastAsia" w:eastAsiaTheme="majorEastAsia"/>
          <w:bCs/>
          <w:color w:val="auto"/>
          <w:sz w:val="32"/>
          <w:szCs w:val="32"/>
        </w:rPr>
        <w:t>浙江泛亚工程咨询有限公司</w:t>
      </w:r>
    </w:p>
    <w:p>
      <w:pPr>
        <w:snapToGrid w:val="0"/>
        <w:spacing w:line="360" w:lineRule="auto"/>
        <w:jc w:val="center"/>
        <w:rPr>
          <w:rFonts w:cs="宋体" w:asciiTheme="majorEastAsia" w:hAnsiTheme="majorEastAsia" w:eastAsiaTheme="majorEastAsia"/>
          <w:bCs/>
          <w:color w:val="auto"/>
          <w:sz w:val="32"/>
          <w:szCs w:val="32"/>
        </w:rPr>
      </w:pPr>
      <w:r>
        <w:rPr>
          <w:rFonts w:hint="eastAsia" w:cs="宋体" w:asciiTheme="majorEastAsia" w:hAnsiTheme="majorEastAsia" w:eastAsiaTheme="majorEastAsia"/>
          <w:bCs/>
          <w:color w:val="auto"/>
          <w:sz w:val="32"/>
          <w:szCs w:val="32"/>
        </w:rPr>
        <w:t>二〇二</w:t>
      </w:r>
      <w:r>
        <w:rPr>
          <w:rFonts w:hint="eastAsia" w:cs="宋体" w:asciiTheme="majorEastAsia" w:hAnsiTheme="majorEastAsia" w:eastAsiaTheme="majorEastAsia"/>
          <w:bCs/>
          <w:color w:val="auto"/>
          <w:sz w:val="32"/>
          <w:szCs w:val="32"/>
          <w:lang w:eastAsia="zh-CN"/>
        </w:rPr>
        <w:t>四</w:t>
      </w:r>
      <w:r>
        <w:rPr>
          <w:rFonts w:hint="eastAsia" w:cs="宋体" w:asciiTheme="majorEastAsia" w:hAnsiTheme="majorEastAsia" w:eastAsiaTheme="majorEastAsia"/>
          <w:bCs/>
          <w:color w:val="auto"/>
          <w:sz w:val="32"/>
          <w:szCs w:val="32"/>
        </w:rPr>
        <w:t>年</w:t>
      </w:r>
      <w:r>
        <w:rPr>
          <w:rFonts w:hint="eastAsia" w:cs="宋体" w:asciiTheme="majorEastAsia" w:hAnsiTheme="majorEastAsia" w:eastAsiaTheme="majorEastAsia"/>
          <w:bCs/>
          <w:color w:val="auto"/>
          <w:sz w:val="32"/>
          <w:szCs w:val="32"/>
          <w:lang w:val="en-US" w:eastAsia="zh-CN"/>
        </w:rPr>
        <w:t>七</w:t>
      </w:r>
      <w:r>
        <w:rPr>
          <w:rFonts w:hint="eastAsia" w:cs="宋体" w:asciiTheme="majorEastAsia" w:hAnsiTheme="majorEastAsia" w:eastAsiaTheme="majorEastAsia"/>
          <w:bCs/>
          <w:color w:val="auto"/>
          <w:sz w:val="32"/>
          <w:szCs w:val="32"/>
        </w:rPr>
        <w:t>月</w:t>
      </w:r>
      <w:r>
        <w:rPr>
          <w:rFonts w:hint="eastAsia" w:cs="宋体" w:asciiTheme="majorEastAsia" w:hAnsiTheme="majorEastAsia" w:eastAsiaTheme="majorEastAsia"/>
          <w:bCs/>
          <w:color w:val="auto"/>
          <w:sz w:val="32"/>
          <w:szCs w:val="32"/>
          <w:lang w:eastAsia="zh-CN"/>
        </w:rPr>
        <w:t>八</w:t>
      </w:r>
      <w:r>
        <w:rPr>
          <w:rFonts w:hint="eastAsia" w:cs="宋体" w:asciiTheme="majorEastAsia" w:hAnsiTheme="majorEastAsia" w:eastAsiaTheme="majorEastAsia"/>
          <w:bCs/>
          <w:color w:val="auto"/>
          <w:sz w:val="32"/>
          <w:szCs w:val="32"/>
        </w:rPr>
        <w:t>日</w:t>
      </w:r>
    </w:p>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br w:type="page"/>
      </w:r>
      <w:bookmarkStart w:id="0" w:name="_Hlt67893495"/>
      <w:bookmarkEnd w:id="0"/>
    </w:p>
    <w:p>
      <w:pPr>
        <w:pStyle w:val="637"/>
        <w:rPr>
          <w:rFonts w:cs="宋体" w:asciiTheme="majorEastAsia" w:hAnsiTheme="majorEastAsia" w:eastAsiaTheme="majorEastAsia"/>
        </w:rPr>
      </w:pPr>
    </w:p>
    <w:p>
      <w:pPr>
        <w:spacing w:line="360" w:lineRule="auto"/>
        <w:jc w:val="center"/>
        <w:rPr>
          <w:rFonts w:cs="宋体" w:asciiTheme="majorEastAsia" w:hAnsiTheme="majorEastAsia" w:eastAsiaTheme="majorEastAsia"/>
          <w:b/>
          <w:sz w:val="48"/>
          <w:szCs w:val="48"/>
        </w:rPr>
      </w:pPr>
      <w:r>
        <w:rPr>
          <w:rFonts w:hint="eastAsia" w:cs="宋体" w:asciiTheme="majorEastAsia" w:hAnsiTheme="majorEastAsia" w:eastAsiaTheme="majorEastAsia"/>
          <w:b/>
          <w:sz w:val="48"/>
          <w:szCs w:val="48"/>
        </w:rPr>
        <w:t>目  录</w:t>
      </w:r>
    </w:p>
    <w:p>
      <w:pPr>
        <w:spacing w:line="360" w:lineRule="auto"/>
        <w:rPr>
          <w:rFonts w:cs="宋体" w:asciiTheme="majorEastAsia" w:hAnsiTheme="majorEastAsia" w:eastAsiaTheme="majorEastAsia"/>
          <w:sz w:val="32"/>
          <w:szCs w:val="32"/>
        </w:rPr>
      </w:pPr>
    </w:p>
    <w:p>
      <w:pPr>
        <w:spacing w:line="360" w:lineRule="auto"/>
        <w:rPr>
          <w:rFonts w:cs="宋体" w:asciiTheme="majorEastAsia" w:hAnsiTheme="majorEastAsia" w:eastAsiaTheme="majorEastAsia"/>
          <w:sz w:val="32"/>
          <w:szCs w:val="32"/>
        </w:rPr>
      </w:pPr>
    </w:p>
    <w:p>
      <w:pPr>
        <w:spacing w:line="360" w:lineRule="auto"/>
        <w:ind w:firstLine="1280" w:firstLineChars="400"/>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第一部分      招标公告</w:t>
      </w:r>
    </w:p>
    <w:p>
      <w:pPr>
        <w:spacing w:line="360" w:lineRule="auto"/>
        <w:ind w:firstLine="1280" w:firstLineChars="400"/>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第二部分      投标人须知</w:t>
      </w:r>
    </w:p>
    <w:p>
      <w:pPr>
        <w:spacing w:line="360" w:lineRule="auto"/>
        <w:ind w:firstLine="1280" w:firstLineChars="400"/>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第三部分      采购需求</w:t>
      </w:r>
    </w:p>
    <w:p>
      <w:pPr>
        <w:spacing w:line="360" w:lineRule="auto"/>
        <w:ind w:firstLine="1280" w:firstLineChars="400"/>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第四部分      评标办法</w:t>
      </w:r>
    </w:p>
    <w:p>
      <w:pPr>
        <w:spacing w:line="360" w:lineRule="auto"/>
        <w:ind w:firstLine="1280" w:firstLineChars="400"/>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第五部分      拟签订的合同文本</w:t>
      </w:r>
    </w:p>
    <w:p>
      <w:pPr>
        <w:spacing w:line="360" w:lineRule="auto"/>
        <w:ind w:firstLine="1280" w:firstLineChars="400"/>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第六部分      应提交的有关格式范例</w:t>
      </w:r>
    </w:p>
    <w:p>
      <w:pPr>
        <w:spacing w:line="360" w:lineRule="auto"/>
        <w:ind w:firstLine="549" w:firstLineChars="229"/>
        <w:rPr>
          <w:rFonts w:cs="宋体" w:asciiTheme="majorEastAsia" w:hAnsiTheme="majorEastAsia" w:eastAsiaTheme="majorEastAsia"/>
          <w:sz w:val="24"/>
        </w:rPr>
      </w:pPr>
      <w:bookmarkStart w:id="1" w:name="_Hlt91233176"/>
      <w:bookmarkEnd w:id="1"/>
      <w:bookmarkStart w:id="2" w:name="_Toc91899869"/>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ind w:firstLine="549" w:firstLineChars="229"/>
        <w:rPr>
          <w:rFonts w:cs="宋体" w:asciiTheme="majorEastAsia" w:hAnsiTheme="majorEastAsia" w:eastAsiaTheme="majorEastAsia"/>
          <w:sz w:val="24"/>
        </w:rPr>
      </w:pPr>
    </w:p>
    <w:p>
      <w:pPr>
        <w:spacing w:line="360" w:lineRule="auto"/>
        <w:rPr>
          <w:rFonts w:cs="宋体" w:asciiTheme="majorEastAsia" w:hAnsiTheme="majorEastAsia" w:eastAsiaTheme="majorEastAsia"/>
          <w:sz w:val="24"/>
        </w:rPr>
      </w:pPr>
    </w:p>
    <w:p>
      <w:pPr>
        <w:adjustRightInd/>
        <w:spacing w:line="360" w:lineRule="auto"/>
        <w:jc w:val="center"/>
        <w:outlineLvl w:val="0"/>
        <w:rPr>
          <w:rFonts w:cs="宋体" w:asciiTheme="majorEastAsia" w:hAnsiTheme="majorEastAsia" w:eastAsiaTheme="majorEastAsia"/>
          <w:b/>
          <w:sz w:val="36"/>
          <w:szCs w:val="20"/>
        </w:rPr>
      </w:pPr>
      <w:bookmarkStart w:id="3" w:name="第一部分"/>
      <w:r>
        <w:rPr>
          <w:rFonts w:hint="eastAsia" w:cs="宋体" w:asciiTheme="majorEastAsia" w:hAnsiTheme="majorEastAsia" w:eastAsiaTheme="majorEastAsia"/>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cs="宋体" w:asciiTheme="majorEastAsia" w:hAnsiTheme="majorEastAsia" w:eastAsiaTheme="majorEastAsia"/>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宋体" w:asciiTheme="majorEastAsia" w:hAnsiTheme="majorEastAsia" w:eastAsiaTheme="majorEastAsia"/>
          <w:color w:val="auto"/>
          <w:sz w:val="24"/>
          <w:highlight w:val="none"/>
          <w:u w:val="single"/>
        </w:rPr>
      </w:pPr>
      <w:r>
        <w:rPr>
          <w:rFonts w:hint="eastAsia" w:cs="宋体" w:asciiTheme="majorEastAsia" w:hAnsiTheme="majorEastAsia" w:eastAsiaTheme="majorEastAsia"/>
          <w:color w:val="auto"/>
          <w:sz w:val="24"/>
          <w:highlight w:val="none"/>
          <w:u w:val="none"/>
          <w:lang w:eastAsia="zh-CN"/>
        </w:rPr>
        <w:t>2024年茅乡景区及仁寿山园林养护服务采购</w:t>
      </w:r>
      <w:r>
        <w:rPr>
          <w:rFonts w:hint="eastAsia" w:cs="宋体" w:asciiTheme="majorEastAsia" w:hAnsiTheme="majorEastAsia" w:eastAsiaTheme="majorEastAsia"/>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cs="宋体" w:asciiTheme="majorEastAsia" w:hAnsiTheme="majorEastAsia" w:eastAsiaTheme="majorEastAsia"/>
          <w:snapToGrid/>
          <w:color w:val="auto"/>
          <w:kern w:val="2"/>
          <w:sz w:val="24"/>
          <w:szCs w:val="24"/>
          <w:highlight w:val="none"/>
        </w:rPr>
        <w:t>https://www.zcygov.cn/）获取（下载）招标文件，并于2024年</w:t>
      </w:r>
      <w:r>
        <w:rPr>
          <w:rStyle w:val="76"/>
          <w:rFonts w:hint="eastAsia" w:cs="宋体" w:asciiTheme="majorEastAsia" w:hAnsiTheme="majorEastAsia" w:eastAsiaTheme="majorEastAsia"/>
          <w:snapToGrid/>
          <w:color w:val="auto"/>
          <w:kern w:val="2"/>
          <w:sz w:val="24"/>
          <w:szCs w:val="24"/>
          <w:highlight w:val="none"/>
          <w:lang w:val="en-US" w:eastAsia="zh-CN"/>
        </w:rPr>
        <w:t>07</w:t>
      </w:r>
      <w:r>
        <w:rPr>
          <w:rStyle w:val="76"/>
          <w:rFonts w:hint="eastAsia" w:cs="宋体" w:asciiTheme="majorEastAsia" w:hAnsiTheme="majorEastAsia" w:eastAsiaTheme="majorEastAsia"/>
          <w:snapToGrid/>
          <w:color w:val="auto"/>
          <w:kern w:val="2"/>
          <w:sz w:val="24"/>
          <w:szCs w:val="24"/>
          <w:highlight w:val="none"/>
        </w:rPr>
        <w:t>月</w:t>
      </w:r>
      <w:r>
        <w:rPr>
          <w:rStyle w:val="76"/>
          <w:rFonts w:hint="eastAsia" w:cs="宋体" w:asciiTheme="majorEastAsia" w:hAnsiTheme="majorEastAsia" w:eastAsiaTheme="majorEastAsia"/>
          <w:snapToGrid/>
          <w:color w:val="auto"/>
          <w:kern w:val="2"/>
          <w:sz w:val="24"/>
          <w:szCs w:val="24"/>
          <w:highlight w:val="none"/>
          <w:lang w:val="en-US" w:eastAsia="zh-CN"/>
        </w:rPr>
        <w:t>29</w:t>
      </w:r>
      <w:r>
        <w:rPr>
          <w:rStyle w:val="76"/>
          <w:rFonts w:hint="eastAsia" w:cs="宋体" w:asciiTheme="majorEastAsia" w:hAnsiTheme="majorEastAsia" w:eastAsiaTheme="majorEastAsia"/>
          <w:snapToGrid/>
          <w:color w:val="auto"/>
          <w:kern w:val="2"/>
          <w:sz w:val="24"/>
          <w:szCs w:val="24"/>
          <w:highlight w:val="none"/>
        </w:rPr>
        <w:t>日</w:t>
      </w:r>
      <w:r>
        <w:rPr>
          <w:rStyle w:val="76"/>
          <w:rFonts w:hint="eastAsia" w:cs="宋体" w:asciiTheme="majorEastAsia" w:hAnsiTheme="majorEastAsia" w:eastAsiaTheme="majorEastAsia"/>
          <w:snapToGrid/>
          <w:color w:val="auto"/>
          <w:kern w:val="2"/>
          <w:sz w:val="24"/>
          <w:szCs w:val="24"/>
          <w:highlight w:val="none"/>
          <w:lang w:val="en-US" w:eastAsia="zh-CN"/>
        </w:rPr>
        <w:t>1</w:t>
      </w:r>
      <w:r>
        <w:rPr>
          <w:rStyle w:val="76"/>
          <w:rFonts w:hint="eastAsia" w:cs="宋体" w:asciiTheme="majorEastAsia" w:hAnsiTheme="majorEastAsia" w:eastAsiaTheme="majorEastAsia"/>
          <w:bCs/>
          <w:snapToGrid/>
          <w:color w:val="auto"/>
          <w:kern w:val="2"/>
          <w:sz w:val="24"/>
          <w:szCs w:val="24"/>
          <w:highlight w:val="none"/>
        </w:rPr>
        <w:fldChar w:fldCharType="end"/>
      </w:r>
      <w:r>
        <w:rPr>
          <w:rStyle w:val="76"/>
          <w:rFonts w:hint="eastAsia" w:cs="宋体" w:asciiTheme="majorEastAsia" w:hAnsiTheme="majorEastAsia" w:eastAsiaTheme="majorEastAsia"/>
          <w:bCs/>
          <w:snapToGrid/>
          <w:color w:val="auto"/>
          <w:kern w:val="2"/>
          <w:sz w:val="24"/>
          <w:szCs w:val="24"/>
          <w:highlight w:val="none"/>
          <w:lang w:val="en-US" w:eastAsia="zh-CN"/>
        </w:rPr>
        <w:t>4:00</w:t>
      </w:r>
      <w:r>
        <w:rPr>
          <w:rFonts w:hint="eastAsia" w:cs="宋体" w:asciiTheme="majorEastAsia" w:hAnsiTheme="majorEastAsia" w:eastAsiaTheme="majorEastAsia"/>
          <w:bCs/>
          <w:color w:val="auto"/>
          <w:sz w:val="24"/>
          <w:highlight w:val="none"/>
        </w:rPr>
        <w:t>（北京时间）前</w:t>
      </w:r>
      <w:r>
        <w:rPr>
          <w:rFonts w:hint="eastAsia" w:cs="宋体" w:asciiTheme="majorEastAsia" w:hAnsiTheme="majorEastAsia" w:eastAsiaTheme="majorEastAsia"/>
          <w:color w:val="auto"/>
          <w:sz w:val="24"/>
          <w:highlight w:val="none"/>
        </w:rPr>
        <w:t>递交（上传）投标文件。</w:t>
      </w:r>
    </w:p>
    <w:p>
      <w:pPr>
        <w:spacing w:line="360" w:lineRule="auto"/>
        <w:rPr>
          <w:rFonts w:cs="宋体" w:asciiTheme="majorEastAsia" w:hAnsiTheme="majorEastAsia" w:eastAsiaTheme="majorEastAsia"/>
          <w:b/>
          <w:color w:val="auto"/>
          <w:sz w:val="24"/>
          <w:highlight w:val="none"/>
        </w:rPr>
      </w:pPr>
      <w:r>
        <w:rPr>
          <w:rFonts w:hint="eastAsia" w:cs="宋体" w:asciiTheme="majorEastAsia" w:hAnsiTheme="majorEastAsia" w:eastAsiaTheme="majorEastAsia"/>
          <w:b/>
          <w:color w:val="auto"/>
          <w:sz w:val="24"/>
          <w:highlight w:val="none"/>
        </w:rPr>
        <w:t xml:space="preserve">一、项目基本情况                                            </w:t>
      </w:r>
    </w:p>
    <w:p>
      <w:pPr>
        <w:spacing w:line="360" w:lineRule="auto"/>
        <w:ind w:firstLine="470" w:firstLineChars="196"/>
        <w:rPr>
          <w:rFonts w:hint="default" w:cs="宋体" w:asciiTheme="majorEastAsia" w:hAnsiTheme="majorEastAsia" w:eastAsiaTheme="majorEastAsia"/>
          <w:b w:val="0"/>
          <w:bCs/>
          <w:snapToGrid w:val="0"/>
          <w:color w:val="auto"/>
          <w:kern w:val="28"/>
          <w:sz w:val="24"/>
          <w:szCs w:val="20"/>
          <w:highlight w:val="none"/>
          <w:lang w:val="en-US" w:eastAsia="zh-CN" w:bidi="ar-SA"/>
        </w:rPr>
      </w:pPr>
      <w:r>
        <w:rPr>
          <w:rFonts w:hint="eastAsia" w:cs="宋体" w:asciiTheme="majorEastAsia" w:hAnsiTheme="majorEastAsia" w:eastAsiaTheme="majorEastAsia"/>
          <w:b w:val="0"/>
          <w:bCs/>
          <w:color w:val="auto"/>
          <w:sz w:val="24"/>
          <w:highlight w:val="none"/>
        </w:rPr>
        <w:t>项目编号：</w:t>
      </w:r>
      <w:r>
        <w:rPr>
          <w:rFonts w:hint="eastAsia" w:cs="宋体" w:asciiTheme="majorEastAsia" w:hAnsiTheme="majorEastAsia" w:eastAsiaTheme="majorEastAsia"/>
          <w:b w:val="0"/>
          <w:bCs/>
          <w:snapToGrid w:val="0"/>
          <w:color w:val="auto"/>
          <w:kern w:val="28"/>
          <w:sz w:val="24"/>
          <w:szCs w:val="20"/>
          <w:highlight w:val="none"/>
          <w:lang w:val="en-US" w:eastAsia="zh-CN" w:bidi="ar-SA"/>
        </w:rPr>
        <w:t>FYC012407-125</w:t>
      </w:r>
    </w:p>
    <w:p>
      <w:pPr>
        <w:spacing w:line="360" w:lineRule="auto"/>
        <w:ind w:firstLine="470" w:firstLineChars="196"/>
        <w:rPr>
          <w:rFonts w:hint="eastAsia" w:cs="宋体" w:asciiTheme="majorEastAsia" w:hAnsiTheme="majorEastAsia" w:eastAsiaTheme="majorEastAsia"/>
          <w:b w:val="0"/>
          <w:bCs/>
          <w:snapToGrid w:val="0"/>
          <w:color w:val="auto"/>
          <w:kern w:val="28"/>
          <w:sz w:val="24"/>
          <w:szCs w:val="20"/>
          <w:highlight w:val="none"/>
          <w:lang w:val="en-US" w:eastAsia="zh-CN" w:bidi="ar-SA"/>
        </w:rPr>
      </w:pPr>
      <w:r>
        <w:rPr>
          <w:rFonts w:hint="eastAsia" w:cs="宋体" w:asciiTheme="majorEastAsia" w:hAnsiTheme="majorEastAsia" w:eastAsiaTheme="majorEastAsia"/>
          <w:b w:val="0"/>
          <w:bCs/>
          <w:color w:val="auto"/>
          <w:sz w:val="24"/>
          <w:highlight w:val="none"/>
        </w:rPr>
        <w:t>项目名称：</w:t>
      </w:r>
      <w:r>
        <w:rPr>
          <w:rFonts w:hint="eastAsia" w:cs="宋体" w:asciiTheme="majorEastAsia" w:hAnsiTheme="majorEastAsia" w:eastAsiaTheme="majorEastAsia"/>
          <w:b w:val="0"/>
          <w:bCs/>
          <w:snapToGrid w:val="0"/>
          <w:color w:val="auto"/>
          <w:kern w:val="28"/>
          <w:sz w:val="24"/>
          <w:szCs w:val="20"/>
          <w:highlight w:val="none"/>
          <w:lang w:val="en-US" w:eastAsia="zh-CN" w:bidi="ar-SA"/>
        </w:rPr>
        <w:t>2024年茅乡景区及仁寿山园林养护服务采购</w:t>
      </w:r>
    </w:p>
    <w:p>
      <w:pPr>
        <w:spacing w:line="360" w:lineRule="auto"/>
        <w:ind w:firstLine="470" w:firstLineChars="196"/>
        <w:rPr>
          <w:rFonts w:hint="default" w:cs="宋体" w:asciiTheme="majorEastAsia" w:hAnsiTheme="majorEastAsia" w:eastAsiaTheme="majorEastAsia"/>
          <w:b w:val="0"/>
          <w:bCs/>
          <w:color w:val="auto"/>
          <w:sz w:val="24"/>
          <w:highlight w:val="none"/>
          <w:lang w:val="en-US" w:eastAsia="zh-CN"/>
        </w:rPr>
      </w:pPr>
      <w:r>
        <w:rPr>
          <w:rFonts w:hint="eastAsia" w:cs="宋体" w:asciiTheme="majorEastAsia" w:hAnsiTheme="majorEastAsia" w:eastAsiaTheme="majorEastAsia"/>
          <w:b w:val="0"/>
          <w:bCs/>
          <w:color w:val="auto"/>
          <w:sz w:val="24"/>
          <w:highlight w:val="none"/>
        </w:rPr>
        <w:t>预算金额（元）：</w:t>
      </w:r>
      <w:r>
        <w:rPr>
          <w:rFonts w:hint="eastAsia" w:cs="宋体" w:asciiTheme="majorEastAsia" w:hAnsiTheme="majorEastAsia" w:eastAsiaTheme="majorEastAsia"/>
          <w:b w:val="0"/>
          <w:bCs/>
          <w:color w:val="auto"/>
          <w:sz w:val="24"/>
          <w:highlight w:val="none"/>
          <w:lang w:val="en-US" w:eastAsia="zh-CN"/>
        </w:rPr>
        <w:t>800300</w:t>
      </w:r>
    </w:p>
    <w:p>
      <w:pPr>
        <w:spacing w:line="360" w:lineRule="auto"/>
        <w:ind w:firstLine="480"/>
        <w:rPr>
          <w:rFonts w:hint="default" w:cs="宋体" w:asciiTheme="majorEastAsia" w:hAnsiTheme="majorEastAsia" w:eastAsiaTheme="majorEastAsia"/>
          <w:b w:val="0"/>
          <w:bCs/>
          <w:color w:val="auto"/>
          <w:sz w:val="24"/>
          <w:highlight w:val="none"/>
          <w:lang w:val="en-US" w:eastAsia="zh-CN"/>
        </w:rPr>
      </w:pPr>
      <w:r>
        <w:rPr>
          <w:rFonts w:hint="eastAsia" w:cs="宋体" w:asciiTheme="majorEastAsia" w:hAnsiTheme="majorEastAsia" w:eastAsiaTheme="majorEastAsia"/>
          <w:b w:val="0"/>
          <w:bCs/>
          <w:color w:val="auto"/>
          <w:sz w:val="24"/>
          <w:highlight w:val="none"/>
        </w:rPr>
        <w:t>最高限价</w:t>
      </w:r>
      <w:r>
        <w:rPr>
          <w:rFonts w:hint="eastAsia" w:cs="宋体" w:asciiTheme="majorEastAsia" w:hAnsiTheme="majorEastAsia" w:eastAsiaTheme="majorEastAsia"/>
          <w:b w:val="0"/>
          <w:bCs/>
          <w:color w:val="auto"/>
          <w:sz w:val="24"/>
          <w:highlight w:val="none"/>
          <w:lang w:eastAsia="zh-CN"/>
        </w:rPr>
        <w:t>（元）</w:t>
      </w:r>
      <w:r>
        <w:rPr>
          <w:rFonts w:hint="eastAsia" w:cs="宋体" w:asciiTheme="majorEastAsia" w:hAnsiTheme="majorEastAsia" w:eastAsiaTheme="majorEastAsia"/>
          <w:b w:val="0"/>
          <w:bCs/>
          <w:color w:val="auto"/>
          <w:sz w:val="24"/>
          <w:highlight w:val="none"/>
        </w:rPr>
        <w:t>：</w:t>
      </w:r>
      <w:r>
        <w:rPr>
          <w:rFonts w:hint="eastAsia" w:cs="宋体" w:asciiTheme="majorEastAsia" w:hAnsiTheme="majorEastAsia" w:eastAsiaTheme="majorEastAsia"/>
          <w:b w:val="0"/>
          <w:bCs/>
          <w:color w:val="auto"/>
          <w:sz w:val="24"/>
          <w:highlight w:val="none"/>
          <w:lang w:val="en-US" w:eastAsia="zh-CN"/>
        </w:rPr>
        <w:t>800300</w:t>
      </w:r>
    </w:p>
    <w:p>
      <w:pPr>
        <w:pStyle w:val="8"/>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cs="宋体" w:asciiTheme="majorEastAsia" w:hAnsiTheme="majorEastAsia" w:eastAsiaTheme="majorEastAsia"/>
          <w:b w:val="0"/>
          <w:bCs/>
          <w:color w:val="auto"/>
          <w:sz w:val="24"/>
          <w:highlight w:val="none"/>
        </w:rPr>
      </w:pPr>
      <w:r>
        <w:rPr>
          <w:rFonts w:hint="eastAsia" w:cs="宋体" w:asciiTheme="majorEastAsia" w:hAnsiTheme="majorEastAsia" w:eastAsiaTheme="majorEastAsia"/>
          <w:b w:val="0"/>
          <w:bCs/>
          <w:color w:val="auto"/>
          <w:sz w:val="24"/>
          <w:highlight w:val="none"/>
        </w:rPr>
        <w:t>采购需求：</w:t>
      </w:r>
    </w:p>
    <w:p>
      <w:pPr>
        <w:pStyle w:val="8"/>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cs="宋体" w:asciiTheme="majorEastAsia" w:hAnsiTheme="majorEastAsia" w:eastAsiaTheme="majorEastAsia"/>
          <w:b w:val="0"/>
          <w:bCs/>
          <w:color w:val="auto"/>
          <w:sz w:val="24"/>
          <w:highlight w:val="none"/>
        </w:rPr>
      </w:pPr>
    </w:p>
    <w:p>
      <w:pPr>
        <w:pStyle w:val="8"/>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cs="宋体" w:asciiTheme="majorEastAsia" w:hAnsiTheme="majorEastAsia" w:eastAsiaTheme="majorEastAsia"/>
          <w:b w:val="0"/>
          <w:bCs/>
          <w:snapToGrid w:val="0"/>
          <w:color w:val="auto"/>
          <w:kern w:val="28"/>
          <w:sz w:val="24"/>
          <w:szCs w:val="20"/>
          <w:highlight w:val="none"/>
          <w:lang w:val="en-US" w:eastAsia="zh-CN" w:bidi="ar-SA"/>
        </w:rPr>
      </w:pPr>
      <w:r>
        <w:rPr>
          <w:rFonts w:hint="eastAsia" w:cs="宋体" w:asciiTheme="majorEastAsia" w:hAnsiTheme="majorEastAsia" w:eastAsiaTheme="majorEastAsia"/>
          <w:b w:val="0"/>
          <w:bCs/>
          <w:color w:val="auto"/>
          <w:sz w:val="24"/>
          <w:highlight w:val="none"/>
          <w:lang w:val="en-US" w:eastAsia="zh-CN"/>
        </w:rPr>
        <w:t>标项名称：</w:t>
      </w:r>
      <w:r>
        <w:rPr>
          <w:rFonts w:hint="eastAsia" w:cs="宋体" w:asciiTheme="majorEastAsia" w:hAnsiTheme="majorEastAsia" w:eastAsiaTheme="majorEastAsia"/>
          <w:b w:val="0"/>
          <w:bCs/>
          <w:snapToGrid w:val="0"/>
          <w:color w:val="auto"/>
          <w:kern w:val="28"/>
          <w:sz w:val="24"/>
          <w:szCs w:val="20"/>
          <w:highlight w:val="none"/>
          <w:lang w:val="en-US" w:eastAsia="zh-CN" w:bidi="ar-SA"/>
        </w:rPr>
        <w:t>2024年茅乡景区及仁寿山园林养护服务采购</w:t>
      </w:r>
    </w:p>
    <w:p>
      <w:pPr>
        <w:pStyle w:val="8"/>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cs="宋体" w:asciiTheme="majorEastAsia" w:hAnsiTheme="majorEastAsia" w:eastAsiaTheme="majorEastAsia"/>
          <w:b w:val="0"/>
          <w:bCs/>
          <w:snapToGrid w:val="0"/>
          <w:color w:val="auto"/>
          <w:kern w:val="28"/>
          <w:sz w:val="24"/>
          <w:szCs w:val="20"/>
          <w:highlight w:val="none"/>
          <w:lang w:val="en-US" w:eastAsia="zh-CN" w:bidi="ar-SA"/>
        </w:rPr>
      </w:pPr>
      <w:r>
        <w:rPr>
          <w:rFonts w:hint="eastAsia" w:cs="宋体" w:asciiTheme="majorEastAsia" w:hAnsiTheme="majorEastAsia" w:eastAsiaTheme="majorEastAsia"/>
          <w:b w:val="0"/>
          <w:bCs/>
          <w:snapToGrid w:val="0"/>
          <w:color w:val="auto"/>
          <w:kern w:val="28"/>
          <w:sz w:val="24"/>
          <w:szCs w:val="20"/>
          <w:highlight w:val="none"/>
          <w:lang w:val="en-US" w:eastAsia="zh-CN" w:bidi="ar-SA"/>
        </w:rPr>
        <w:t>中小企业政策：小微企业预留</w:t>
      </w:r>
    </w:p>
    <w:p>
      <w:pPr>
        <w:pStyle w:val="8"/>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cs="宋体" w:asciiTheme="majorEastAsia" w:hAnsiTheme="majorEastAsia" w:eastAsiaTheme="majorEastAsia"/>
          <w:b w:val="0"/>
          <w:bCs/>
          <w:snapToGrid w:val="0"/>
          <w:color w:val="auto"/>
          <w:kern w:val="28"/>
          <w:sz w:val="24"/>
          <w:szCs w:val="20"/>
          <w:highlight w:val="none"/>
          <w:lang w:val="en-US" w:eastAsia="zh-CN" w:bidi="ar-SA"/>
        </w:rPr>
      </w:pPr>
      <w:r>
        <w:rPr>
          <w:rFonts w:hint="eastAsia" w:cs="宋体" w:asciiTheme="majorEastAsia" w:hAnsiTheme="majorEastAsia" w:eastAsiaTheme="majorEastAsia"/>
          <w:b w:val="0"/>
          <w:bCs/>
          <w:snapToGrid w:val="0"/>
          <w:color w:val="auto"/>
          <w:kern w:val="28"/>
          <w:sz w:val="24"/>
          <w:szCs w:val="20"/>
          <w:highlight w:val="none"/>
          <w:lang w:val="en-US" w:eastAsia="zh-CN" w:bidi="ar-SA"/>
        </w:rPr>
        <w:t>数量：1</w:t>
      </w:r>
    </w:p>
    <w:p>
      <w:pPr>
        <w:pStyle w:val="8"/>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default" w:cs="宋体" w:asciiTheme="majorEastAsia" w:hAnsiTheme="majorEastAsia" w:eastAsiaTheme="majorEastAsia"/>
          <w:b w:val="0"/>
          <w:bCs/>
          <w:color w:val="auto"/>
          <w:sz w:val="24"/>
          <w:highlight w:val="none"/>
          <w:lang w:val="en-US" w:eastAsia="zh-CN"/>
        </w:rPr>
      </w:pPr>
      <w:r>
        <w:rPr>
          <w:rFonts w:hint="eastAsia" w:cs="宋体" w:asciiTheme="majorEastAsia" w:hAnsiTheme="majorEastAsia" w:eastAsiaTheme="majorEastAsia"/>
          <w:b w:val="0"/>
          <w:bCs/>
          <w:color w:val="auto"/>
          <w:sz w:val="24"/>
          <w:highlight w:val="none"/>
        </w:rPr>
        <w:t>预算金额（元）：</w:t>
      </w:r>
      <w:r>
        <w:rPr>
          <w:rFonts w:hint="eastAsia" w:cs="宋体" w:asciiTheme="majorEastAsia" w:hAnsiTheme="majorEastAsia" w:eastAsiaTheme="majorEastAsia"/>
          <w:b w:val="0"/>
          <w:bCs/>
          <w:color w:val="auto"/>
          <w:sz w:val="24"/>
          <w:highlight w:val="none"/>
          <w:lang w:val="en-US" w:eastAsia="zh-CN"/>
        </w:rPr>
        <w:t>800300</w:t>
      </w:r>
    </w:p>
    <w:p>
      <w:pPr>
        <w:pStyle w:val="8"/>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default" w:cs="宋体" w:asciiTheme="majorEastAsia" w:hAnsiTheme="majorEastAsia" w:eastAsiaTheme="majorEastAsia"/>
          <w:b w:val="0"/>
          <w:bCs/>
          <w:color w:val="auto"/>
          <w:sz w:val="24"/>
          <w:highlight w:val="none"/>
          <w:lang w:val="en-US" w:eastAsia="zh-CN"/>
        </w:rPr>
      </w:pPr>
      <w:r>
        <w:rPr>
          <w:rFonts w:hint="eastAsia" w:cs="宋体" w:asciiTheme="majorEastAsia" w:hAnsiTheme="majorEastAsia" w:eastAsiaTheme="majorEastAsia"/>
          <w:b w:val="0"/>
          <w:bCs/>
          <w:color w:val="auto"/>
          <w:sz w:val="24"/>
          <w:highlight w:val="none"/>
        </w:rPr>
        <w:t>简要规格描述或项目基本概况介绍、用途：详见招标文件</w:t>
      </w:r>
    </w:p>
    <w:p>
      <w:pPr>
        <w:pStyle w:val="8"/>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cs="宋体" w:asciiTheme="majorEastAsia" w:hAnsiTheme="majorEastAsia" w:eastAsiaTheme="majorEastAsia"/>
          <w:b w:val="0"/>
          <w:bCs/>
          <w:color w:val="auto"/>
          <w:sz w:val="24"/>
          <w:highlight w:val="none"/>
          <w:lang w:eastAsia="zh-CN"/>
        </w:rPr>
      </w:pPr>
      <w:r>
        <w:rPr>
          <w:rFonts w:hint="eastAsia" w:cs="宋体" w:asciiTheme="majorEastAsia" w:hAnsiTheme="majorEastAsia" w:eastAsiaTheme="majorEastAsia"/>
          <w:b w:val="0"/>
          <w:bCs/>
          <w:color w:val="auto"/>
          <w:sz w:val="24"/>
          <w:highlight w:val="none"/>
          <w:lang w:eastAsia="zh-CN"/>
        </w:rPr>
        <w:t>备注：</w:t>
      </w:r>
    </w:p>
    <w:p>
      <w:pPr>
        <w:pStyle w:val="8"/>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cs="宋体" w:asciiTheme="majorEastAsia" w:hAnsiTheme="majorEastAsia" w:eastAsiaTheme="majorEastAsia"/>
          <w:b w:val="0"/>
          <w:bCs/>
          <w:color w:val="auto"/>
          <w:sz w:val="24"/>
          <w:highlight w:val="none"/>
        </w:rPr>
      </w:pPr>
      <w:r>
        <w:rPr>
          <w:rFonts w:hint="eastAsia" w:cs="宋体" w:asciiTheme="majorEastAsia" w:hAnsiTheme="majorEastAsia" w:eastAsiaTheme="majorEastAsia"/>
          <w:b w:val="0"/>
          <w:bCs/>
          <w:color w:val="auto"/>
          <w:sz w:val="24"/>
          <w:highlight w:val="none"/>
        </w:rPr>
        <w:t>合同履约期限：标项1，一年（具体以合同约定时间为准）</w:t>
      </w:r>
    </w:p>
    <w:p>
      <w:pPr>
        <w:pStyle w:val="8"/>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cs="宋体" w:asciiTheme="majorEastAsia" w:hAnsiTheme="majorEastAsia" w:eastAsiaTheme="majorEastAsia"/>
          <w:b w:val="0"/>
          <w:bCs/>
          <w:color w:val="auto"/>
          <w:sz w:val="24"/>
          <w:highlight w:val="none"/>
          <w:lang w:eastAsia="zh-CN"/>
        </w:rPr>
      </w:pPr>
      <w:r>
        <w:rPr>
          <w:rFonts w:hint="eastAsia" w:cs="宋体" w:asciiTheme="majorEastAsia" w:hAnsiTheme="majorEastAsia" w:eastAsiaTheme="majorEastAsia"/>
          <w:b w:val="0"/>
          <w:bCs/>
          <w:color w:val="auto"/>
          <w:sz w:val="24"/>
          <w:highlight w:val="none"/>
        </w:rPr>
        <w:t>本项目（</w:t>
      </w:r>
      <w:r>
        <w:rPr>
          <w:rFonts w:hint="eastAsia" w:cs="宋体" w:asciiTheme="majorEastAsia" w:hAnsiTheme="majorEastAsia" w:eastAsiaTheme="majorEastAsia"/>
          <w:b w:val="0"/>
          <w:bCs/>
          <w:color w:val="auto"/>
          <w:sz w:val="24"/>
          <w:highlight w:val="none"/>
          <w:lang w:val="en-US" w:eastAsia="zh-CN"/>
        </w:rPr>
        <w:t>是</w:t>
      </w:r>
      <w:r>
        <w:rPr>
          <w:rFonts w:hint="eastAsia" w:cs="宋体" w:asciiTheme="majorEastAsia" w:hAnsiTheme="majorEastAsia" w:eastAsiaTheme="majorEastAsia"/>
          <w:b w:val="0"/>
          <w:bCs/>
          <w:color w:val="auto"/>
          <w:sz w:val="24"/>
          <w:highlight w:val="none"/>
        </w:rPr>
        <w:t>）接受联合体投标。</w:t>
      </w:r>
    </w:p>
    <w:p>
      <w:pPr>
        <w:keepNext w:val="0"/>
        <w:keepLines w:val="0"/>
        <w:pageBreakBefore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b/>
          <w:color w:val="auto"/>
          <w:sz w:val="24"/>
          <w:highlight w:val="none"/>
        </w:rPr>
      </w:pPr>
      <w:r>
        <w:rPr>
          <w:rFonts w:hint="eastAsia" w:cs="宋体" w:asciiTheme="majorEastAsia" w:hAnsiTheme="majorEastAsia" w:eastAsiaTheme="majorEastAsia"/>
          <w:b/>
          <w:color w:val="auto"/>
          <w:sz w:val="24"/>
          <w:highlight w:val="none"/>
        </w:rPr>
        <w:t>二、申请人的资格要求：</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cs="宋体" w:asciiTheme="majorEastAsia" w:hAnsiTheme="majorEastAsia" w:eastAsiaTheme="majorEastAsia"/>
          <w:snapToGrid w:val="0"/>
          <w:color w:val="auto"/>
          <w:kern w:val="28"/>
          <w:sz w:val="24"/>
          <w:szCs w:val="20"/>
          <w:highlight w:val="none"/>
        </w:rPr>
      </w:pPr>
      <w:r>
        <w:rPr>
          <w:rFonts w:hint="eastAsia" w:cs="宋体" w:asciiTheme="majorEastAsia" w:hAnsiTheme="majorEastAsia" w:eastAsiaTheme="majorEastAsia"/>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color w:val="auto"/>
          <w:sz w:val="24"/>
          <w:highlight w:val="none"/>
        </w:rPr>
      </w:pPr>
      <w:r>
        <w:rPr>
          <w:rFonts w:hint="eastAsia" w:cs="宋体" w:asciiTheme="majorEastAsia" w:hAnsiTheme="majorEastAsia" w:eastAsiaTheme="majorEastAsia"/>
          <w:snapToGrid w:val="0"/>
          <w:color w:val="auto"/>
          <w:kern w:val="28"/>
          <w:sz w:val="24"/>
          <w:szCs w:val="20"/>
          <w:highlight w:val="none"/>
          <w:lang w:val="en-US" w:eastAsia="zh-CN"/>
        </w:rPr>
        <w:t>2</w:t>
      </w:r>
      <w:r>
        <w:rPr>
          <w:rFonts w:hint="eastAsia" w:cs="宋体" w:asciiTheme="majorEastAsia" w:hAnsiTheme="majorEastAsia" w:eastAsiaTheme="majorEastAsia"/>
          <w:snapToGrid w:val="0"/>
          <w:color w:val="auto"/>
          <w:kern w:val="28"/>
          <w:sz w:val="24"/>
          <w:szCs w:val="20"/>
          <w:highlight w:val="none"/>
        </w:rPr>
        <w:t>.落实政府采购政策需满足的资格要求：标项1：</w:t>
      </w:r>
      <w:r>
        <w:rPr>
          <w:rFonts w:hint="eastAsia" w:cs="宋体" w:asciiTheme="majorEastAsia" w:hAnsiTheme="majorEastAsia" w:eastAsiaTheme="majorEastAsia"/>
          <w:color w:val="auto"/>
          <w:kern w:val="0"/>
          <w:sz w:val="24"/>
          <w:highlight w:val="none"/>
        </w:rPr>
        <w:t>专</w:t>
      </w:r>
      <w:r>
        <w:rPr>
          <w:rFonts w:hint="eastAsia" w:cs="宋体" w:asciiTheme="majorEastAsia" w:hAnsiTheme="majorEastAsia" w:eastAsiaTheme="majorEastAsia"/>
          <w:color w:val="auto"/>
          <w:sz w:val="24"/>
          <w:highlight w:val="none"/>
        </w:rPr>
        <w:t>门面向中小企业</w:t>
      </w:r>
      <w:r>
        <w:rPr>
          <w:rFonts w:hint="eastAsia" w:cs="宋体" w:asciiTheme="majorEastAsia" w:hAnsiTheme="majorEastAsia" w:eastAsiaTheme="majorEastAsia"/>
          <w:color w:val="auto"/>
          <w:sz w:val="24"/>
          <w:highlight w:val="none"/>
          <w:lang w:eastAsia="zh-CN"/>
        </w:rPr>
        <w:t>，</w:t>
      </w:r>
      <w:r>
        <w:rPr>
          <w:rFonts w:hint="eastAsia" w:cs="宋体" w:asciiTheme="majorEastAsia" w:hAnsiTheme="majorEastAsia" w:eastAsiaTheme="majorEastAsia"/>
          <w:color w:val="auto"/>
          <w:sz w:val="24"/>
          <w:highlight w:val="none"/>
        </w:rPr>
        <w:t>服务全部由符合政策要求的</w:t>
      </w:r>
      <w:r>
        <w:rPr>
          <w:rFonts w:hint="eastAsia" w:cs="宋体" w:asciiTheme="majorEastAsia" w:hAnsiTheme="majorEastAsia" w:eastAsiaTheme="majorEastAsia"/>
          <w:color w:val="auto"/>
          <w:sz w:val="24"/>
          <w:highlight w:val="none"/>
          <w:lang w:val="en-US" w:eastAsia="zh-CN"/>
        </w:rPr>
        <w:t>小微</w:t>
      </w:r>
      <w:r>
        <w:rPr>
          <w:rFonts w:hint="eastAsia" w:cs="宋体" w:asciiTheme="majorEastAsia" w:hAnsiTheme="majorEastAsia" w:eastAsiaTheme="majorEastAsia"/>
          <w:color w:val="auto"/>
          <w:sz w:val="24"/>
          <w:highlight w:val="none"/>
        </w:rPr>
        <w:t>企业承接，提供中小企业声明函；</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cs="宋体" w:asciiTheme="majorEastAsia" w:hAnsiTheme="majorEastAsia" w:eastAsiaTheme="majorEastAsia"/>
          <w:color w:val="auto"/>
          <w:sz w:val="24"/>
          <w:highlight w:val="none"/>
          <w:lang w:eastAsia="zh-CN"/>
        </w:rPr>
      </w:pPr>
      <w:r>
        <w:rPr>
          <w:rFonts w:hint="eastAsia" w:cs="宋体" w:asciiTheme="majorEastAsia" w:hAnsiTheme="majorEastAsia" w:eastAsiaTheme="majorEastAsia"/>
          <w:color w:val="auto"/>
          <w:sz w:val="24"/>
          <w:highlight w:val="none"/>
          <w:lang w:val="en-US" w:eastAsia="zh-CN"/>
        </w:rPr>
        <w:t>3.</w:t>
      </w:r>
      <w:r>
        <w:rPr>
          <w:rFonts w:hint="eastAsia" w:cs="宋体" w:asciiTheme="majorEastAsia" w:hAnsiTheme="majorEastAsia" w:eastAsiaTheme="majorEastAsia"/>
          <w:color w:val="auto"/>
          <w:sz w:val="24"/>
          <w:highlight w:val="none"/>
        </w:rPr>
        <w:t>本项目的特定资格要求：无</w:t>
      </w:r>
      <w:r>
        <w:rPr>
          <w:rFonts w:hint="eastAsia" w:cs="宋体" w:asciiTheme="majorEastAsia" w:hAnsiTheme="majorEastAsia" w:eastAsiaTheme="majorEastAsia"/>
          <w:color w:val="auto"/>
          <w:sz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b/>
          <w:color w:val="auto"/>
          <w:sz w:val="24"/>
          <w:highlight w:val="none"/>
        </w:rPr>
      </w:pPr>
      <w:r>
        <w:rPr>
          <w:rFonts w:hint="eastAsia" w:cs="宋体" w:asciiTheme="majorEastAsia" w:hAnsiTheme="majorEastAsia" w:eastAsiaTheme="majorEastAsia"/>
          <w:b/>
          <w:color w:val="auto"/>
          <w:sz w:val="24"/>
          <w:highlight w:val="none"/>
        </w:rPr>
        <w:t xml:space="preserve">三、获取招标文件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color w:val="auto"/>
          <w:sz w:val="24"/>
          <w:highlight w:val="none"/>
        </w:rPr>
      </w:pPr>
      <w:r>
        <w:rPr>
          <w:rFonts w:hint="eastAsia" w:cs="宋体" w:asciiTheme="majorEastAsia" w:hAnsiTheme="majorEastAsia" w:eastAsiaTheme="majorEastAsia"/>
          <w:b w:val="0"/>
          <w:bCs/>
          <w:color w:val="auto"/>
          <w:sz w:val="24"/>
          <w:highlight w:val="none"/>
        </w:rPr>
        <w:t>时间：/至</w:t>
      </w:r>
      <w:r>
        <w:rPr>
          <w:rFonts w:hint="eastAsia" w:cs="宋体" w:asciiTheme="majorEastAsia" w:hAnsiTheme="majorEastAsia" w:eastAsiaTheme="majorEastAsia"/>
          <w:b w:val="0"/>
          <w:bCs/>
          <w:color w:val="auto"/>
          <w:sz w:val="24"/>
          <w:highlight w:val="none"/>
          <w:u w:val="single"/>
        </w:rPr>
        <w:t>202</w:t>
      </w:r>
      <w:r>
        <w:rPr>
          <w:rFonts w:hint="eastAsia" w:cs="宋体" w:asciiTheme="majorEastAsia" w:hAnsiTheme="majorEastAsia" w:eastAsiaTheme="majorEastAsia"/>
          <w:color w:val="auto"/>
          <w:sz w:val="24"/>
          <w:highlight w:val="none"/>
          <w:u w:val="single"/>
        </w:rPr>
        <w:t>4年</w:t>
      </w:r>
      <w:r>
        <w:rPr>
          <w:rFonts w:hint="eastAsia" w:cs="宋体" w:asciiTheme="majorEastAsia" w:hAnsiTheme="majorEastAsia" w:eastAsiaTheme="majorEastAsia"/>
          <w:color w:val="auto"/>
          <w:sz w:val="24"/>
          <w:highlight w:val="none"/>
          <w:u w:val="single"/>
          <w:lang w:val="en-US" w:eastAsia="zh-CN"/>
        </w:rPr>
        <w:t>07</w:t>
      </w:r>
      <w:r>
        <w:rPr>
          <w:rFonts w:hint="eastAsia" w:cs="宋体" w:asciiTheme="majorEastAsia" w:hAnsiTheme="majorEastAsia" w:eastAsiaTheme="majorEastAsia"/>
          <w:color w:val="auto"/>
          <w:sz w:val="24"/>
          <w:highlight w:val="none"/>
          <w:u w:val="single"/>
        </w:rPr>
        <w:t>月</w:t>
      </w:r>
      <w:r>
        <w:rPr>
          <w:rFonts w:hint="eastAsia" w:cs="宋体" w:asciiTheme="majorEastAsia" w:hAnsiTheme="majorEastAsia" w:eastAsiaTheme="majorEastAsia"/>
          <w:color w:val="auto"/>
          <w:sz w:val="24"/>
          <w:highlight w:val="none"/>
          <w:u w:val="single"/>
          <w:lang w:val="en-US" w:eastAsia="zh-CN"/>
        </w:rPr>
        <w:t>29</w:t>
      </w:r>
      <w:r>
        <w:rPr>
          <w:rFonts w:hint="eastAsia" w:cs="宋体" w:asciiTheme="majorEastAsia" w:hAnsiTheme="majorEastAsia" w:eastAsiaTheme="majorEastAsia"/>
          <w:color w:val="auto"/>
          <w:sz w:val="24"/>
          <w:highlight w:val="none"/>
          <w:u w:val="single"/>
        </w:rPr>
        <w:t>日</w:t>
      </w:r>
      <w:r>
        <w:rPr>
          <w:rFonts w:hint="eastAsia" w:cs="宋体" w:asciiTheme="majorEastAsia" w:hAnsiTheme="majorEastAsia" w:eastAsiaTheme="majorEastAsia"/>
          <w:color w:val="auto"/>
          <w:sz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b w:val="0"/>
          <w:bCs/>
          <w:color w:val="auto"/>
          <w:sz w:val="24"/>
          <w:highlight w:val="none"/>
        </w:rPr>
      </w:pPr>
      <w:r>
        <w:rPr>
          <w:rFonts w:hint="eastAsia" w:cs="宋体" w:asciiTheme="majorEastAsia" w:hAnsiTheme="majorEastAsia" w:eastAsiaTheme="majorEastAsia"/>
          <w:b w:val="0"/>
          <w:bCs/>
          <w:color w:val="auto"/>
          <w:sz w:val="24"/>
          <w:highlight w:val="none"/>
        </w:rPr>
        <w:t xml:space="preserve">地点（网址）：政采云平台（https://www.zcygov.cn/）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b w:val="0"/>
          <w:bCs/>
          <w:color w:val="auto"/>
          <w:sz w:val="24"/>
          <w:highlight w:val="none"/>
        </w:rPr>
      </w:pPr>
      <w:r>
        <w:rPr>
          <w:rFonts w:hint="eastAsia" w:cs="宋体" w:asciiTheme="majorEastAsia" w:hAnsiTheme="majorEastAsia" w:eastAsiaTheme="majorEastAsia"/>
          <w:b w:val="0"/>
          <w:bCs/>
          <w:color w:val="auto"/>
          <w:sz w:val="24"/>
          <w:highlight w:val="none"/>
        </w:rPr>
        <w:t xml:space="preserve">方式：供应商登录政采云平台https://www.zcygov.cn/在线申请获取采购文件（进入“项目采购”应用，在获取采购文件菜单中选择项目，申请获取采购文件）。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color w:val="auto"/>
          <w:sz w:val="24"/>
          <w:highlight w:val="none"/>
        </w:rPr>
      </w:pPr>
      <w:r>
        <w:rPr>
          <w:rFonts w:hint="eastAsia" w:cs="宋体" w:asciiTheme="majorEastAsia" w:hAnsiTheme="majorEastAsia" w:eastAsiaTheme="majorEastAsia"/>
          <w:b w:val="0"/>
          <w:bCs/>
          <w:color w:val="auto"/>
          <w:sz w:val="24"/>
          <w:highlight w:val="none"/>
        </w:rPr>
        <w:t xml:space="preserve">售价（元）：0 </w:t>
      </w:r>
      <w:r>
        <w:rPr>
          <w:rFonts w:hint="eastAsia" w:cs="宋体" w:asciiTheme="majorEastAsia" w:hAnsiTheme="majorEastAsia" w:eastAsiaTheme="majorEastAsia"/>
          <w:b w:val="0"/>
          <w:bCs/>
          <w:color w:val="auto"/>
          <w:sz w:val="24"/>
          <w:highlight w:val="none"/>
        </w:rPr>
        <w:tab/>
      </w:r>
    </w:p>
    <w:p>
      <w:pPr>
        <w:keepNext w:val="0"/>
        <w:keepLines w:val="0"/>
        <w:pageBreakBefore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b/>
          <w:color w:val="auto"/>
          <w:sz w:val="24"/>
          <w:highlight w:val="none"/>
        </w:rPr>
      </w:pPr>
      <w:r>
        <w:rPr>
          <w:rFonts w:hint="eastAsia" w:cs="宋体" w:asciiTheme="majorEastAsia" w:hAnsiTheme="majorEastAsia" w:eastAsiaTheme="majorEastAsia"/>
          <w:b/>
          <w:color w:val="auto"/>
          <w:sz w:val="24"/>
          <w:highlight w:val="none"/>
        </w:rPr>
        <w:t>四、提交投标文件截止时间、开标时间和地点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b w:val="0"/>
          <w:bCs/>
          <w:color w:val="auto"/>
          <w:sz w:val="24"/>
          <w:highlight w:val="none"/>
          <w:u w:val="none"/>
        </w:rPr>
      </w:pPr>
      <w:r>
        <w:rPr>
          <w:rFonts w:hint="eastAsia" w:cs="宋体" w:asciiTheme="majorEastAsia" w:hAnsiTheme="majorEastAsia" w:eastAsiaTheme="majorEastAsia"/>
          <w:b w:val="0"/>
          <w:bCs/>
          <w:color w:val="auto"/>
          <w:sz w:val="24"/>
          <w:highlight w:val="none"/>
          <w:u w:val="none"/>
        </w:rPr>
        <w:t>提交投标文件截止时间：2024年</w:t>
      </w:r>
      <w:r>
        <w:rPr>
          <w:rFonts w:hint="eastAsia" w:cs="宋体" w:asciiTheme="majorEastAsia" w:hAnsiTheme="majorEastAsia" w:eastAsiaTheme="majorEastAsia"/>
          <w:b w:val="0"/>
          <w:bCs/>
          <w:color w:val="auto"/>
          <w:sz w:val="24"/>
          <w:highlight w:val="none"/>
          <w:u w:val="none"/>
          <w:lang w:val="en-US" w:eastAsia="zh-CN"/>
        </w:rPr>
        <w:t>07</w:t>
      </w:r>
      <w:r>
        <w:rPr>
          <w:rFonts w:hint="eastAsia" w:cs="宋体" w:asciiTheme="majorEastAsia" w:hAnsiTheme="majorEastAsia" w:eastAsiaTheme="majorEastAsia"/>
          <w:b w:val="0"/>
          <w:bCs/>
          <w:color w:val="auto"/>
          <w:sz w:val="24"/>
          <w:highlight w:val="none"/>
          <w:u w:val="none"/>
        </w:rPr>
        <w:t>月</w:t>
      </w:r>
      <w:r>
        <w:rPr>
          <w:rFonts w:hint="eastAsia" w:cs="宋体" w:asciiTheme="majorEastAsia" w:hAnsiTheme="majorEastAsia" w:eastAsiaTheme="majorEastAsia"/>
          <w:b w:val="0"/>
          <w:bCs/>
          <w:color w:val="auto"/>
          <w:sz w:val="24"/>
          <w:highlight w:val="none"/>
          <w:u w:val="none"/>
          <w:lang w:val="en-US" w:eastAsia="zh-CN"/>
        </w:rPr>
        <w:t>29</w:t>
      </w:r>
      <w:r>
        <w:rPr>
          <w:rFonts w:hint="eastAsia" w:cs="宋体" w:asciiTheme="majorEastAsia" w:hAnsiTheme="majorEastAsia" w:eastAsiaTheme="majorEastAsia"/>
          <w:b w:val="0"/>
          <w:bCs/>
          <w:color w:val="auto"/>
          <w:sz w:val="24"/>
          <w:highlight w:val="none"/>
          <w:u w:val="none"/>
        </w:rPr>
        <w:t>日</w:t>
      </w:r>
      <w:r>
        <w:rPr>
          <w:rFonts w:hint="eastAsia" w:cs="宋体" w:asciiTheme="majorEastAsia" w:hAnsiTheme="majorEastAsia" w:eastAsiaTheme="majorEastAsia"/>
          <w:b w:val="0"/>
          <w:bCs/>
          <w:color w:val="auto"/>
          <w:sz w:val="24"/>
          <w:highlight w:val="none"/>
          <w:u w:val="none"/>
          <w:lang w:val="en-US" w:eastAsia="zh-CN"/>
        </w:rPr>
        <w:t>14:00</w:t>
      </w:r>
      <w:r>
        <w:rPr>
          <w:rFonts w:hint="eastAsia" w:cs="宋体" w:asciiTheme="majorEastAsia" w:hAnsiTheme="majorEastAsia" w:eastAsiaTheme="majorEastAsia"/>
          <w:b w:val="0"/>
          <w:bCs/>
          <w:color w:val="auto"/>
          <w:sz w:val="24"/>
          <w:highlight w:val="none"/>
          <w:u w:val="none"/>
        </w:rPr>
        <w:t>（北京时间）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s="宋体" w:asciiTheme="majorEastAsia" w:hAnsiTheme="majorEastAsia" w:eastAsiaTheme="majorEastAsia"/>
          <w:b w:val="0"/>
          <w:bCs/>
          <w:color w:val="auto"/>
          <w:sz w:val="24"/>
          <w:highlight w:val="none"/>
          <w:u w:val="none"/>
        </w:rPr>
      </w:pPr>
      <w:r>
        <w:rPr>
          <w:rFonts w:hint="eastAsia" w:cs="宋体" w:asciiTheme="majorEastAsia" w:hAnsiTheme="majorEastAsia" w:eastAsiaTheme="majorEastAsia"/>
          <w:b w:val="0"/>
          <w:bCs/>
          <w:color w:val="auto"/>
          <w:sz w:val="24"/>
          <w:highlight w:val="none"/>
          <w:u w:val="none"/>
        </w:rPr>
        <w:t xml:space="preserve">投标地点（网址）：请登录政采云投标客户端投标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cs="宋体" w:asciiTheme="majorEastAsia" w:hAnsiTheme="majorEastAsia" w:eastAsiaTheme="majorEastAsia"/>
          <w:b w:val="0"/>
          <w:bCs/>
          <w:color w:val="auto"/>
          <w:sz w:val="24"/>
          <w:highlight w:val="none"/>
          <w:u w:val="none"/>
          <w:lang w:val="en-US" w:eastAsia="zh-CN"/>
        </w:rPr>
      </w:pPr>
      <w:r>
        <w:rPr>
          <w:rFonts w:hint="eastAsia" w:cs="宋体" w:asciiTheme="majorEastAsia" w:hAnsiTheme="majorEastAsia" w:eastAsiaTheme="majorEastAsia"/>
          <w:b w:val="0"/>
          <w:bCs/>
          <w:color w:val="auto"/>
          <w:sz w:val="24"/>
          <w:highlight w:val="none"/>
          <w:u w:val="none"/>
        </w:rPr>
        <w:t>开标时间：2024年</w:t>
      </w:r>
      <w:r>
        <w:rPr>
          <w:rFonts w:hint="eastAsia" w:cs="宋体" w:asciiTheme="majorEastAsia" w:hAnsiTheme="majorEastAsia" w:eastAsiaTheme="majorEastAsia"/>
          <w:b w:val="0"/>
          <w:bCs/>
          <w:color w:val="auto"/>
          <w:sz w:val="24"/>
          <w:highlight w:val="none"/>
          <w:u w:val="none"/>
          <w:lang w:val="en-US" w:eastAsia="zh-CN"/>
        </w:rPr>
        <w:t>07</w:t>
      </w:r>
      <w:r>
        <w:rPr>
          <w:rFonts w:hint="eastAsia" w:cs="宋体" w:asciiTheme="majorEastAsia" w:hAnsiTheme="majorEastAsia" w:eastAsiaTheme="majorEastAsia"/>
          <w:b w:val="0"/>
          <w:bCs/>
          <w:color w:val="auto"/>
          <w:sz w:val="24"/>
          <w:highlight w:val="none"/>
          <w:u w:val="none"/>
        </w:rPr>
        <w:t>月</w:t>
      </w:r>
      <w:r>
        <w:rPr>
          <w:rFonts w:hint="eastAsia" w:cs="宋体" w:asciiTheme="majorEastAsia" w:hAnsiTheme="majorEastAsia" w:eastAsiaTheme="majorEastAsia"/>
          <w:b w:val="0"/>
          <w:bCs/>
          <w:color w:val="auto"/>
          <w:sz w:val="24"/>
          <w:highlight w:val="none"/>
          <w:u w:val="none"/>
          <w:lang w:val="en-US" w:eastAsia="zh-CN"/>
        </w:rPr>
        <w:t>29</w:t>
      </w:r>
      <w:r>
        <w:rPr>
          <w:rFonts w:hint="eastAsia" w:cs="宋体" w:asciiTheme="majorEastAsia" w:hAnsiTheme="majorEastAsia" w:eastAsiaTheme="majorEastAsia"/>
          <w:b w:val="0"/>
          <w:bCs/>
          <w:color w:val="auto"/>
          <w:sz w:val="24"/>
          <w:highlight w:val="none"/>
          <w:u w:val="none"/>
        </w:rPr>
        <w:t>日</w:t>
      </w:r>
      <w:r>
        <w:rPr>
          <w:rFonts w:hint="eastAsia" w:cs="宋体" w:asciiTheme="majorEastAsia" w:hAnsiTheme="majorEastAsia" w:eastAsiaTheme="majorEastAsia"/>
          <w:b w:val="0"/>
          <w:bCs/>
          <w:color w:val="auto"/>
          <w:sz w:val="24"/>
          <w:highlight w:val="none"/>
          <w:u w:val="none"/>
          <w:lang w:val="en-US" w:eastAsia="zh-CN"/>
        </w:rPr>
        <w:t>14:00</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b w:val="0"/>
          <w:bCs/>
          <w:color w:val="auto"/>
          <w:sz w:val="24"/>
          <w:highlight w:val="none"/>
          <w:u w:val="none"/>
        </w:rPr>
      </w:pPr>
      <w:r>
        <w:rPr>
          <w:rFonts w:hint="eastAsia" w:cs="宋体" w:asciiTheme="majorEastAsia" w:hAnsiTheme="majorEastAsia" w:eastAsiaTheme="majorEastAsia"/>
          <w:b w:val="0"/>
          <w:bCs/>
          <w:color w:val="auto"/>
          <w:sz w:val="24"/>
          <w:highlight w:val="none"/>
          <w:u w:val="none"/>
        </w:rPr>
        <w:t>开标地点（网址）：政采云平台（https://www.zcygov.cn/）</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s="宋体" w:asciiTheme="majorEastAsia" w:hAnsiTheme="majorEastAsia" w:eastAsiaTheme="majorEastAsia"/>
          <w:b/>
          <w:color w:val="auto"/>
          <w:sz w:val="24"/>
          <w:highlight w:val="none"/>
          <w:lang w:eastAsia="zh-CN"/>
        </w:rPr>
      </w:pPr>
      <w:r>
        <w:rPr>
          <w:rFonts w:hint="eastAsia" w:cs="宋体" w:asciiTheme="majorEastAsia" w:hAnsiTheme="majorEastAsia" w:eastAsiaTheme="majorEastAsia"/>
          <w:b/>
          <w:color w:val="auto"/>
          <w:sz w:val="24"/>
          <w:highlight w:val="none"/>
        </w:rPr>
        <w:t>五、</w:t>
      </w:r>
      <w:r>
        <w:rPr>
          <w:rFonts w:hint="eastAsia" w:cs="宋体" w:asciiTheme="majorEastAsia" w:hAnsiTheme="majorEastAsia" w:eastAsiaTheme="majorEastAsia"/>
          <w:b/>
          <w:color w:val="auto"/>
          <w:sz w:val="24"/>
          <w:highlight w:val="none"/>
          <w:lang w:eastAsia="zh-CN"/>
        </w:rPr>
        <w:t>采购意向公开</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color w:val="auto"/>
          <w:sz w:val="24"/>
          <w:highlight w:val="none"/>
          <w:lang w:eastAsia="zh-CN"/>
        </w:rPr>
        <w:t>https://zfcg.czt.zj.gov.cn/site/detail?parentId=600007&amp;articleId=57bgGNXMYB%2F0DvGXzGeLew%3D%3D</w:t>
      </w:r>
    </w:p>
    <w:p>
      <w:pPr>
        <w:keepNext w:val="0"/>
        <w:keepLines w:val="0"/>
        <w:pageBreakBefore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sz w:val="24"/>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 xml:space="preserve">公告期限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自本公告发布之日起5个工作日。</w:t>
      </w:r>
    </w:p>
    <w:p>
      <w:pPr>
        <w:keepNext w:val="0"/>
        <w:keepLines w:val="0"/>
        <w:pageBreakBefore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b/>
          <w:sz w:val="24"/>
        </w:rPr>
      </w:pPr>
      <w:r>
        <w:rPr>
          <w:rFonts w:hint="eastAsia" w:cs="宋体" w:asciiTheme="majorEastAsia" w:hAnsiTheme="majorEastAsia" w:eastAsiaTheme="majorEastAsia"/>
          <w:b/>
          <w:sz w:val="24"/>
          <w:lang w:eastAsia="zh-CN"/>
        </w:rPr>
        <w:t>七</w:t>
      </w:r>
      <w:r>
        <w:rPr>
          <w:rFonts w:hint="eastAsia" w:cs="宋体" w:asciiTheme="majorEastAsia" w:hAnsiTheme="majorEastAsia" w:eastAsiaTheme="majorEastAsia"/>
          <w:b/>
          <w:sz w:val="24"/>
        </w:rPr>
        <w:t>、其他补充事宜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keepNext w:val="0"/>
        <w:keepLines w:val="0"/>
        <w:pageBreakBefore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b/>
          <w:sz w:val="24"/>
        </w:rPr>
      </w:pPr>
      <w:r>
        <w:rPr>
          <w:rFonts w:hint="eastAsia" w:cs="宋体" w:asciiTheme="majorEastAsia" w:hAnsiTheme="majorEastAsia" w:eastAsiaTheme="majorEastAsia"/>
          <w:b/>
          <w:sz w:val="24"/>
          <w:lang w:eastAsia="zh-CN"/>
        </w:rPr>
        <w:t>八</w:t>
      </w:r>
      <w:r>
        <w:rPr>
          <w:rFonts w:hint="eastAsia" w:cs="宋体" w:asciiTheme="majorEastAsia" w:hAnsiTheme="majorEastAsia" w:eastAsiaTheme="majorEastAsia"/>
          <w:b/>
          <w:sz w:val="24"/>
        </w:rPr>
        <w:t>、对本次采购提出询问、质疑、投诉，请按以下方式联系</w:t>
      </w:r>
    </w:p>
    <w:p>
      <w:pPr>
        <w:keepNext w:val="0"/>
        <w:keepLines w:val="0"/>
        <w:pageBreakBefore w:val="0"/>
        <w:kinsoku/>
        <w:wordWrap/>
        <w:overflowPunct/>
        <w:topLinePunct w:val="0"/>
        <w:autoSpaceDE/>
        <w:autoSpaceDN/>
        <w:bidi w:val="0"/>
        <w:adjustRightInd w:val="0"/>
        <w:snapToGrid w:val="0"/>
        <w:spacing w:line="360" w:lineRule="auto"/>
        <w:ind w:firstLine="465"/>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1.采购人信息</w:t>
      </w:r>
    </w:p>
    <w:p>
      <w:pPr>
        <w:keepNext w:val="0"/>
        <w:keepLines w:val="0"/>
        <w:pageBreakBefore w:val="0"/>
        <w:kinsoku/>
        <w:wordWrap/>
        <w:overflowPunct/>
        <w:topLinePunct w:val="0"/>
        <w:autoSpaceDE/>
        <w:autoSpaceDN/>
        <w:bidi w:val="0"/>
        <w:adjustRightInd w:val="0"/>
        <w:snapToGrid w:val="0"/>
        <w:spacing w:line="360" w:lineRule="auto"/>
        <w:ind w:firstLine="465"/>
        <w:textAlignment w:val="auto"/>
        <w:rPr>
          <w:rFonts w:hint="eastAsia" w:cs="宋体" w:asciiTheme="majorEastAsia" w:hAnsiTheme="majorEastAsia" w:eastAsiaTheme="majorEastAsia"/>
          <w:color w:val="auto"/>
          <w:sz w:val="24"/>
          <w:lang w:eastAsia="zh-CN"/>
        </w:rPr>
      </w:pPr>
      <w:r>
        <w:rPr>
          <w:rFonts w:hint="eastAsia" w:cs="宋体" w:asciiTheme="majorEastAsia" w:hAnsiTheme="majorEastAsia" w:eastAsiaTheme="majorEastAsia"/>
          <w:color w:val="auto"/>
          <w:sz w:val="24"/>
        </w:rPr>
        <w:t>名    称：</w:t>
      </w:r>
      <w:r>
        <w:rPr>
          <w:rFonts w:hint="eastAsia" w:ascii="宋体" w:hAnsi="宋体" w:cs="宋体"/>
          <w:i w:val="0"/>
          <w:iCs w:val="0"/>
          <w:caps w:val="0"/>
          <w:color w:val="auto"/>
          <w:spacing w:val="0"/>
          <w:sz w:val="24"/>
          <w:szCs w:val="24"/>
          <w:lang w:eastAsia="zh-CN"/>
        </w:rPr>
        <w:t>杭州西湖风景名胜区灵隐管理处</w:t>
      </w:r>
    </w:p>
    <w:p>
      <w:pPr>
        <w:keepNext w:val="0"/>
        <w:keepLines w:val="0"/>
        <w:pageBreakBefore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 xml:space="preserve">    地    址：</w:t>
      </w:r>
      <w:r>
        <w:rPr>
          <w:rFonts w:hint="eastAsia" w:ascii="宋体" w:hAnsi="宋体" w:cs="宋体"/>
          <w:sz w:val="24"/>
        </w:rPr>
        <w:t>杭州市灵溪南路8号</w:t>
      </w:r>
      <w:r>
        <w:rPr>
          <w:rFonts w:hint="eastAsia" w:cs="宋体" w:asciiTheme="majorEastAsia" w:hAnsiTheme="majorEastAsia" w:eastAsiaTheme="majorEastAsia"/>
          <w:color w:val="auto"/>
          <w:sz w:val="24"/>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传    真： /</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auto"/>
          <w:kern w:val="0"/>
          <w:sz w:val="24"/>
          <w:highlight w:val="none"/>
          <w:lang w:eastAsia="zh-CN"/>
        </w:rPr>
      </w:pPr>
      <w:r>
        <w:rPr>
          <w:rFonts w:hint="eastAsia" w:cs="宋体" w:asciiTheme="majorEastAsia" w:hAnsiTheme="majorEastAsia" w:eastAsiaTheme="majorEastAsia"/>
          <w:color w:val="auto"/>
          <w:sz w:val="24"/>
          <w:highlight w:val="none"/>
        </w:rPr>
        <w:t>项目联系人（询问）：</w:t>
      </w:r>
      <w:r>
        <w:rPr>
          <w:rFonts w:hint="eastAsia" w:ascii="宋体" w:hAnsi="宋体" w:cs="宋体"/>
          <w:color w:val="auto"/>
          <w:kern w:val="0"/>
          <w:sz w:val="24"/>
          <w:highlight w:val="none"/>
        </w:rPr>
        <w:t>倪</w:t>
      </w:r>
      <w:r>
        <w:rPr>
          <w:rFonts w:hint="eastAsia" w:ascii="宋体" w:hAnsi="宋体" w:cs="宋体"/>
          <w:color w:val="auto"/>
          <w:kern w:val="0"/>
          <w:sz w:val="24"/>
          <w:highlight w:val="none"/>
          <w:lang w:eastAsia="zh-CN"/>
        </w:rPr>
        <w:t>科</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color w:val="auto"/>
          <w:kern w:val="0"/>
          <w:sz w:val="24"/>
          <w:highlight w:val="none"/>
        </w:rPr>
      </w:pPr>
      <w:r>
        <w:rPr>
          <w:rFonts w:hint="eastAsia" w:cs="宋体" w:asciiTheme="majorEastAsia" w:hAnsiTheme="majorEastAsia" w:eastAsiaTheme="majorEastAsia"/>
          <w:color w:val="auto"/>
          <w:sz w:val="24"/>
          <w:highlight w:val="none"/>
        </w:rPr>
        <w:t xml:space="preserve">    项目联系方式（询问）：</w:t>
      </w:r>
      <w:r>
        <w:rPr>
          <w:rFonts w:hint="eastAsia" w:ascii="宋体" w:hAnsi="宋体" w:cs="宋体"/>
          <w:color w:val="auto"/>
          <w:kern w:val="0"/>
          <w:sz w:val="24"/>
          <w:highlight w:val="none"/>
        </w:rPr>
        <w:t xml:space="preserve">0571-87999110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color w:val="auto"/>
          <w:kern w:val="0"/>
          <w:sz w:val="24"/>
          <w:highlight w:val="none"/>
          <w:lang w:eastAsia="zh-CN"/>
        </w:rPr>
      </w:pPr>
      <w:r>
        <w:rPr>
          <w:rFonts w:hint="eastAsia" w:cs="宋体" w:asciiTheme="majorEastAsia" w:hAnsiTheme="majorEastAsia" w:eastAsiaTheme="majorEastAsia"/>
          <w:color w:val="auto"/>
          <w:sz w:val="24"/>
          <w:highlight w:val="none"/>
        </w:rPr>
        <w:t xml:space="preserve">    质疑联系人：</w:t>
      </w:r>
      <w:r>
        <w:rPr>
          <w:rFonts w:hint="eastAsia" w:ascii="宋体" w:hAnsi="宋体" w:cs="宋体"/>
          <w:color w:val="auto"/>
          <w:kern w:val="0"/>
          <w:sz w:val="24"/>
          <w:highlight w:val="none"/>
        </w:rPr>
        <w:t>王先生</w:t>
      </w:r>
    </w:p>
    <w:p>
      <w:pPr>
        <w:keepNext w:val="0"/>
        <w:keepLines w:val="0"/>
        <w:pageBreakBefore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color w:val="0000FF"/>
          <w:sz w:val="24"/>
          <w:highlight w:val="yellow"/>
        </w:rPr>
      </w:pPr>
      <w:r>
        <w:rPr>
          <w:rFonts w:hint="eastAsia" w:cs="宋体" w:asciiTheme="majorEastAsia" w:hAnsiTheme="majorEastAsia" w:eastAsiaTheme="majorEastAsia"/>
          <w:color w:val="auto"/>
          <w:sz w:val="24"/>
          <w:highlight w:val="none"/>
        </w:rPr>
        <w:t xml:space="preserve">    质疑联系方式：</w:t>
      </w:r>
      <w:r>
        <w:rPr>
          <w:rFonts w:hint="eastAsia" w:ascii="宋体" w:hAnsi="宋体" w:cs="宋体"/>
          <w:color w:val="auto"/>
          <w:kern w:val="0"/>
          <w:sz w:val="24"/>
          <w:highlight w:val="none"/>
        </w:rPr>
        <w:t>0571-87999110（</w:t>
      </w:r>
      <w:r>
        <w:rPr>
          <w:rFonts w:hint="eastAsia" w:ascii="宋体" w:hAnsi="宋体"/>
          <w:sz w:val="24"/>
          <w:highlight w:val="none"/>
        </w:rPr>
        <w:t>请通过以</w:t>
      </w:r>
      <w:r>
        <w:rPr>
          <w:rFonts w:hint="eastAsia" w:ascii="宋体" w:hAnsi="宋体"/>
          <w:sz w:val="24"/>
        </w:rPr>
        <w:t xml:space="preserve">下路径在线提起质疑：政采云-项目采购-询问质疑投诉-质疑列表） </w:t>
      </w:r>
    </w:p>
    <w:p>
      <w:pPr>
        <w:keepNext w:val="0"/>
        <w:keepLines w:val="0"/>
        <w:pageBreakBefore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 xml:space="preserve">    2.采购代理机构信息            </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名    称：浙江泛亚工程咨询有限公司</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地    址：杭州市天目山路181号天际大厦803</w:t>
      </w:r>
    </w:p>
    <w:p>
      <w:pPr>
        <w:keepNext w:val="0"/>
        <w:keepLines w:val="0"/>
        <w:pageBreakBefore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 xml:space="preserve">    传    真：/</w:t>
      </w:r>
    </w:p>
    <w:p>
      <w:pPr>
        <w:keepNext w:val="0"/>
        <w:keepLines w:val="0"/>
        <w:pageBreakBefore w:val="0"/>
        <w:kinsoku/>
        <w:wordWrap/>
        <w:overflowPunct/>
        <w:topLinePunct w:val="0"/>
        <w:autoSpaceDE/>
        <w:autoSpaceDN/>
        <w:bidi w:val="0"/>
        <w:adjustRightInd w:val="0"/>
        <w:snapToGrid w:val="0"/>
        <w:spacing w:line="360" w:lineRule="auto"/>
        <w:ind w:firstLine="465"/>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项目联系人（询问）：苗月平</w:t>
      </w:r>
    </w:p>
    <w:p>
      <w:pPr>
        <w:keepNext w:val="0"/>
        <w:keepLines w:val="0"/>
        <w:pageBreakBefore w:val="0"/>
        <w:kinsoku/>
        <w:wordWrap/>
        <w:overflowPunct/>
        <w:topLinePunct w:val="0"/>
        <w:autoSpaceDE/>
        <w:autoSpaceDN/>
        <w:bidi w:val="0"/>
        <w:adjustRightInd w:val="0"/>
        <w:snapToGrid w:val="0"/>
        <w:spacing w:line="360" w:lineRule="auto"/>
        <w:ind w:firstLine="465"/>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项目联系方式（询问）：0571-87359305</w:t>
      </w:r>
    </w:p>
    <w:p>
      <w:pPr>
        <w:keepNext w:val="0"/>
        <w:keepLines w:val="0"/>
        <w:pageBreakBefore w:val="0"/>
        <w:kinsoku/>
        <w:wordWrap/>
        <w:overflowPunct/>
        <w:topLinePunct w:val="0"/>
        <w:autoSpaceDE/>
        <w:autoSpaceDN/>
        <w:bidi w:val="0"/>
        <w:adjustRightInd w:val="0"/>
        <w:snapToGrid w:val="0"/>
        <w:spacing w:line="360" w:lineRule="auto"/>
        <w:ind w:firstLine="465"/>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质疑联系人：童晓玲</w:t>
      </w:r>
    </w:p>
    <w:p>
      <w:pPr>
        <w:keepNext w:val="0"/>
        <w:keepLines w:val="0"/>
        <w:pageBreakBefore w:val="0"/>
        <w:kinsoku/>
        <w:wordWrap/>
        <w:overflowPunct/>
        <w:topLinePunct w:val="0"/>
        <w:autoSpaceDE/>
        <w:autoSpaceDN/>
        <w:bidi w:val="0"/>
        <w:adjustRightInd w:val="0"/>
        <w:snapToGrid w:val="0"/>
        <w:spacing w:line="360" w:lineRule="auto"/>
        <w:ind w:firstLine="465"/>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质疑联系方式：0571-87993215</w:t>
      </w:r>
    </w:p>
    <w:p>
      <w:pPr>
        <w:keepNext w:val="0"/>
        <w:keepLines w:val="0"/>
        <w:pageBreakBefore w:val="0"/>
        <w:kinsoku/>
        <w:wordWrap/>
        <w:overflowPunct/>
        <w:topLinePunct w:val="0"/>
        <w:autoSpaceDE/>
        <w:autoSpaceDN/>
        <w:bidi w:val="0"/>
        <w:adjustRightInd w:val="0"/>
        <w:snapToGrid w:val="0"/>
        <w:spacing w:line="360" w:lineRule="auto"/>
        <w:ind w:firstLine="465"/>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3.同级政府采购监督管理部门</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  名  称：杭州西湖风景名胜区管理委员会、浙江省政府采购行政裁决服务中心（杭州）</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  地  址：杭州市上城区四季青街道新业路市民之家G03办公室（快递仅限ems或顺丰）</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  传  真：/</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  联系人：朱女士、王女士</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s="宋体" w:asciiTheme="majorEastAsia" w:hAnsiTheme="majorEastAsia" w:eastAsiaTheme="majorEastAsia"/>
          <w:sz w:val="24"/>
        </w:rPr>
      </w:pPr>
      <w:r>
        <w:rPr>
          <w:rFonts w:hint="eastAsia" w:cs="宋体" w:asciiTheme="majorEastAsia" w:hAnsiTheme="majorEastAsia" w:eastAsiaTheme="majorEastAsia"/>
          <w:sz w:val="24"/>
        </w:rPr>
        <w:t>  监督投诉电话：0571-87179813</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cs="宋体" w:asciiTheme="majorEastAsia" w:hAnsiTheme="majorEastAsia" w:eastAsiaTheme="majorEastAsia"/>
          <w:sz w:val="24"/>
        </w:rPr>
      </w:pP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ajorEastAsia" w:hAnsiTheme="majorEastAsia" w:eastAsiaTheme="majorEastAsia"/>
          <w:sz w:val="24"/>
        </w:rPr>
      </w:pPr>
      <w:r>
        <w:rPr>
          <w:rFonts w:hint="eastAsia" w:cs="宋体" w:asciiTheme="majorEastAsia" w:hAnsiTheme="majorEastAsia" w:eastAsiaTheme="majorEastAsia"/>
          <w:sz w:val="24"/>
        </w:rPr>
        <w:t>CA问题联系电话（人工）：汇信CA 400-888-4636；天谷CA 400-087-8198。</w:t>
      </w:r>
    </w:p>
    <w:p>
      <w:pPr>
        <w:widowControl/>
        <w:adjustRightInd/>
        <w:jc w:val="left"/>
        <w:rPr>
          <w:rFonts w:cs="宋体" w:asciiTheme="majorEastAsia" w:hAnsiTheme="majorEastAsia" w:eastAsiaTheme="majorEastAsia"/>
          <w:b/>
          <w:sz w:val="36"/>
          <w:szCs w:val="20"/>
        </w:rPr>
      </w:pPr>
      <w:r>
        <w:rPr>
          <w:rFonts w:hint="eastAsia" w:cs="宋体" w:asciiTheme="majorEastAsia" w:hAnsiTheme="majorEastAsia" w:eastAsiaTheme="majorEastAsia"/>
          <w:b/>
          <w:sz w:val="36"/>
          <w:szCs w:val="20"/>
        </w:rPr>
        <w:br w:type="page"/>
      </w:r>
    </w:p>
    <w:p>
      <w:pPr>
        <w:adjustRightInd/>
        <w:spacing w:line="360" w:lineRule="auto"/>
        <w:jc w:val="center"/>
        <w:outlineLvl w:val="0"/>
        <w:rPr>
          <w:rFonts w:cs="宋体" w:asciiTheme="majorEastAsia" w:hAnsiTheme="majorEastAsia" w:eastAsiaTheme="majorEastAsia"/>
          <w:b/>
          <w:sz w:val="36"/>
          <w:szCs w:val="20"/>
        </w:rPr>
      </w:pPr>
      <w:r>
        <w:rPr>
          <w:rFonts w:hint="eastAsia" w:cs="宋体" w:asciiTheme="majorEastAsia" w:hAnsiTheme="majorEastAsia" w:eastAsiaTheme="majorEastAsia"/>
          <w:b/>
          <w:sz w:val="36"/>
          <w:szCs w:val="20"/>
        </w:rPr>
        <w:t>第二部分</w:t>
      </w:r>
      <w:bookmarkEnd w:id="8"/>
      <w:r>
        <w:rPr>
          <w:rFonts w:hint="eastAsia" w:cs="宋体" w:asciiTheme="majorEastAsia" w:hAnsiTheme="majorEastAsia" w:eastAsiaTheme="majorEastAsia"/>
          <w:b/>
          <w:sz w:val="36"/>
          <w:szCs w:val="20"/>
        </w:rPr>
        <w:t xml:space="preserve"> 投标人须知</w:t>
      </w:r>
      <w:bookmarkEnd w:id="9"/>
    </w:p>
    <w:p>
      <w:pPr>
        <w:adjustRightInd/>
        <w:spacing w:line="360" w:lineRule="auto"/>
        <w:ind w:firstLine="3845" w:firstLineChars="1197"/>
        <w:outlineLvl w:val="0"/>
        <w:rPr>
          <w:rFonts w:cs="宋体" w:asciiTheme="majorEastAsia" w:hAnsiTheme="majorEastAsia" w:eastAsiaTheme="majorEastAsia"/>
          <w:b/>
          <w:sz w:val="32"/>
          <w:szCs w:val="20"/>
        </w:rPr>
      </w:pPr>
      <w:r>
        <w:rPr>
          <w:rFonts w:hint="eastAsia" w:cs="宋体" w:asciiTheme="majorEastAsia" w:hAnsiTheme="majorEastAsia" w:eastAsiaTheme="majorEastAsia"/>
          <w:b/>
          <w:sz w:val="32"/>
          <w:szCs w:val="20"/>
        </w:rPr>
        <w:t>前附表</w:t>
      </w:r>
    </w:p>
    <w:tbl>
      <w:tblPr>
        <w:tblStyle w:val="62"/>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69"/>
        <w:gridCol w:w="1962"/>
        <w:gridCol w:w="64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7"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序号</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事项</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1</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项目属性</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400" w:lineRule="exact"/>
              <w:rPr>
                <w:rFonts w:cs="宋体" w:asciiTheme="majorEastAsia" w:hAnsiTheme="majorEastAsia" w:eastAsiaTheme="majorEastAsia"/>
                <w:sz w:val="24"/>
              </w:rPr>
            </w:pPr>
            <w:r>
              <w:rPr>
                <w:rFonts w:hint="eastAsia" w:cs="宋体" w:asciiTheme="majorEastAsia" w:hAnsiTheme="majorEastAsia" w:eastAsiaTheme="maj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2</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采购标的及其对应的中小企业划分标准所属行业</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ind w:firstLine="480" w:firstLineChars="200"/>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标的：</w:t>
            </w:r>
            <w:r>
              <w:rPr>
                <w:rFonts w:hint="eastAsia" w:cs="宋体" w:asciiTheme="majorEastAsia" w:hAnsiTheme="majorEastAsia" w:eastAsiaTheme="majorEastAsia"/>
                <w:b w:val="0"/>
                <w:bCs/>
                <w:snapToGrid w:val="0"/>
                <w:color w:val="auto"/>
                <w:kern w:val="28"/>
                <w:sz w:val="24"/>
                <w:szCs w:val="20"/>
                <w:u w:val="single"/>
                <w:lang w:val="en-US" w:eastAsia="zh-CN" w:bidi="ar-SA"/>
              </w:rPr>
              <w:t>茅乡景区及仁寿山园林养护服务</w:t>
            </w:r>
            <w:r>
              <w:rPr>
                <w:rFonts w:hint="eastAsia" w:cs="宋体" w:asciiTheme="majorEastAsia" w:hAnsiTheme="majorEastAsia" w:eastAsiaTheme="majorEastAsia"/>
                <w:color w:val="auto"/>
                <w:kern w:val="0"/>
                <w:sz w:val="24"/>
              </w:rPr>
              <w:t>，属于</w:t>
            </w:r>
            <w:r>
              <w:rPr>
                <w:rFonts w:hint="eastAsia" w:cs="宋体" w:asciiTheme="majorEastAsia" w:hAnsiTheme="majorEastAsia" w:eastAsiaTheme="majorEastAsia"/>
                <w:b w:val="0"/>
                <w:bCs/>
                <w:snapToGrid w:val="0"/>
                <w:color w:val="auto"/>
                <w:kern w:val="28"/>
                <w:sz w:val="24"/>
                <w:szCs w:val="20"/>
                <w:u w:val="single"/>
                <w:lang w:val="en-US" w:eastAsia="zh-CN" w:bidi="ar-SA"/>
              </w:rPr>
              <w:t>租赁和商务服务业</w:t>
            </w:r>
            <w:r>
              <w:rPr>
                <w:rFonts w:hint="eastAsia" w:cs="宋体" w:asciiTheme="majorEastAsia" w:hAnsiTheme="majorEastAsia" w:eastAsiaTheme="majorEastAsia"/>
                <w:color w:val="auto"/>
                <w:kern w:val="0"/>
                <w:sz w:val="24"/>
              </w:rPr>
              <w:t>；</w:t>
            </w:r>
          </w:p>
          <w:p>
            <w:pPr>
              <w:pStyle w:val="3"/>
              <w:spacing w:line="400" w:lineRule="exact"/>
              <w:ind w:firstLine="480" w:firstLineChars="200"/>
              <w:rPr>
                <w:rFonts w:cs="宋体" w:asciiTheme="majorEastAsia" w:hAnsiTheme="majorEastAsia" w:eastAsiaTheme="majorEastAsia"/>
                <w:szCs w:val="24"/>
                <w:lang w:val="en-US"/>
              </w:rPr>
            </w:pPr>
            <w:r>
              <w:rPr>
                <w:rFonts w:hint="eastAsia" w:cs="宋体" w:asciiTheme="majorEastAsia" w:hAnsiTheme="majorEastAsia" w:eastAsiaTheme="majorEastAsia"/>
                <w:snapToGrid/>
                <w:color w:val="auto"/>
                <w:kern w:val="0"/>
                <w:sz w:val="24"/>
                <w:szCs w:val="24"/>
                <w:lang w:val="en-US" w:eastAsia="zh-CN" w:bidi="ar-SA"/>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3</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是否允许采购进口产品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400" w:lineRule="exact"/>
              <w:rPr>
                <w:rFonts w:cs="宋体" w:asciiTheme="majorEastAsia" w:hAnsiTheme="majorEastAsia" w:eastAsiaTheme="majorEastAsia"/>
                <w:sz w:val="24"/>
              </w:rPr>
            </w:pPr>
            <w:r>
              <w:rPr>
                <w:rFonts w:hint="eastAsia" w:cs="宋体" w:asciiTheme="majorEastAsia" w:hAnsiTheme="majorEastAsia" w:eastAsiaTheme="majorEastAsia"/>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8"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4</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分包</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400" w:lineRule="exact"/>
              <w:rPr>
                <w:rFonts w:cs="宋体" w:asciiTheme="majorEastAsia" w:hAnsiTheme="majorEastAsia" w:eastAsiaTheme="majorEastAsia"/>
                <w:sz w:val="24"/>
              </w:rPr>
            </w:pPr>
            <w:r>
              <w:rPr>
                <w:rFonts w:hint="eastAsia" w:cs="宋体" w:asciiTheme="majorEastAsia" w:hAnsiTheme="majorEastAsia" w:eastAsiaTheme="majorEastAsia"/>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77"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5</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开标前答疑会或现场考察</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400" w:lineRule="exact"/>
              <w:rPr>
                <w:rFonts w:cs="宋体" w:asciiTheme="majorEastAsia" w:hAnsiTheme="majorEastAsia" w:eastAsiaTheme="majorEastAsia"/>
                <w:sz w:val="24"/>
              </w:rPr>
            </w:pPr>
            <w:r>
              <w:rPr>
                <w:rFonts w:hint="eastAsia" w:cs="宋体" w:asciiTheme="majorEastAsia" w:hAnsiTheme="majorEastAsia" w:eastAsiaTheme="maj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5"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6</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样品提供</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400" w:lineRule="exact"/>
              <w:rPr>
                <w:rFonts w:cs="宋体" w:asciiTheme="majorEastAsia" w:hAnsiTheme="majorEastAsia" w:eastAsiaTheme="majorEastAsia"/>
                <w:b/>
                <w:sz w:val="24"/>
              </w:rPr>
            </w:pPr>
            <w:r>
              <w:rPr>
                <w:rFonts w:hint="eastAsia" w:cs="宋体" w:asciiTheme="majorEastAsia" w:hAnsiTheme="majorEastAsia" w:eastAsiaTheme="majorEastAsia"/>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7</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Cs/>
                <w:sz w:val="24"/>
              </w:rPr>
            </w:pPr>
            <w:r>
              <w:rPr>
                <w:rFonts w:hint="eastAsia" w:cs="宋体" w:asciiTheme="majorEastAsia" w:hAnsiTheme="majorEastAsia" w:eastAsiaTheme="majorEastAsia"/>
                <w:b/>
                <w:sz w:val="24"/>
              </w:rPr>
              <w:t>方案讲解演示</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400" w:lineRule="exact"/>
              <w:rPr>
                <w:rFonts w:cs="宋体" w:asciiTheme="majorEastAsia" w:hAnsiTheme="majorEastAsia" w:eastAsiaTheme="majorEastAsia"/>
                <w:b/>
                <w:kern w:val="0"/>
                <w:sz w:val="24"/>
                <w:lang w:val="zh-CN"/>
              </w:rPr>
            </w:pPr>
            <w:r>
              <w:rPr>
                <w:rFonts w:hint="eastAsia" w:cs="宋体" w:asciiTheme="majorEastAsia" w:hAnsiTheme="majorEastAsia" w:eastAsiaTheme="maj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367" w:type="pct"/>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8</w:t>
            </w:r>
          </w:p>
        </w:tc>
        <w:tc>
          <w:tcPr>
            <w:tcW w:w="1075" w:type="pct"/>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投标人应当提供的资格、资信证明文件</w:t>
            </w:r>
          </w:p>
        </w:tc>
        <w:tc>
          <w:tcPr>
            <w:tcW w:w="3557" w:type="pct"/>
            <w:tcBorders>
              <w:top w:val="single" w:color="000000" w:sz="8" w:space="0"/>
              <w:left w:val="single" w:color="000000" w:sz="2" w:space="0"/>
              <w:bottom w:val="single" w:color="auto" w:sz="4" w:space="0"/>
              <w:right w:val="single" w:color="000000" w:sz="8" w:space="0"/>
            </w:tcBorders>
            <w:vAlign w:val="center"/>
          </w:tcPr>
          <w:p>
            <w:pPr>
              <w:spacing w:line="40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（1）资格证明文件：见招标文件第二部分11.1。</w:t>
            </w:r>
          </w:p>
          <w:p>
            <w:pPr>
              <w:spacing w:line="400" w:lineRule="exact"/>
              <w:ind w:firstLine="480" w:firstLineChars="200"/>
              <w:rPr>
                <w:rFonts w:cs="宋体" w:asciiTheme="majorEastAsia" w:hAnsiTheme="majorEastAsia" w:eastAsiaTheme="majorEastAsia"/>
                <w:snapToGrid w:val="0"/>
                <w:kern w:val="0"/>
                <w:sz w:val="24"/>
              </w:rPr>
            </w:pPr>
            <w:r>
              <w:rPr>
                <w:rFonts w:hint="eastAsia" w:cs="宋体" w:asciiTheme="majorEastAsia" w:hAnsiTheme="majorEastAsia" w:eastAsiaTheme="maj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1" w:hRule="atLeast"/>
          <w:tblHeader/>
        </w:trPr>
        <w:tc>
          <w:tcPr>
            <w:tcW w:w="367" w:type="pct"/>
            <w:vMerge w:val="continue"/>
            <w:tcBorders>
              <w:left w:val="single" w:color="auto" w:sz="4" w:space="0"/>
              <w:bottom w:val="single" w:color="auto" w:sz="4" w:space="0"/>
              <w:right w:val="single" w:color="auto" w:sz="4" w:space="0"/>
            </w:tcBorders>
          </w:tcPr>
          <w:p>
            <w:pPr>
              <w:snapToGrid w:val="0"/>
              <w:spacing w:line="360" w:lineRule="auto"/>
              <w:jc w:val="center"/>
              <w:rPr>
                <w:rFonts w:cs="宋体" w:asciiTheme="majorEastAsia" w:hAnsiTheme="majorEastAsia" w:eastAsiaTheme="majorEastAsia"/>
                <w:sz w:val="24"/>
              </w:rPr>
            </w:pPr>
          </w:p>
        </w:tc>
        <w:tc>
          <w:tcPr>
            <w:tcW w:w="1075" w:type="pct"/>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p>
        </w:tc>
        <w:tc>
          <w:tcPr>
            <w:tcW w:w="3557" w:type="pct"/>
            <w:tcBorders>
              <w:top w:val="single" w:color="auto" w:sz="4" w:space="0"/>
              <w:left w:val="single" w:color="000000" w:sz="2" w:space="0"/>
              <w:bottom w:val="single" w:color="000000" w:sz="8" w:space="0"/>
              <w:right w:val="single" w:color="000000" w:sz="8" w:space="0"/>
            </w:tcBorders>
            <w:vAlign w:val="center"/>
          </w:tcPr>
          <w:p>
            <w:pPr>
              <w:spacing w:line="40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9</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节能产品、环境标志产品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10</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报价要求</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ind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有关本项目实施所需的所有费用（含税费）均计入报价。</w:t>
            </w:r>
            <w:r>
              <w:rPr>
                <w:rFonts w:hint="eastAsia" w:cs="宋体" w:asciiTheme="majorEastAsia" w:hAnsiTheme="majorEastAsia" w:eastAsiaTheme="majorEastAsia"/>
                <w:b/>
                <w:bCs/>
                <w:kern w:val="0"/>
                <w:sz w:val="24"/>
                <w:lang w:val="zh-CN"/>
              </w:rPr>
              <w:t>投标文件</w:t>
            </w:r>
            <w:r>
              <w:rPr>
                <w:rFonts w:hint="eastAsia" w:cs="宋体" w:asciiTheme="majorEastAsia" w:hAnsiTheme="majorEastAsia" w:eastAsiaTheme="majorEastAsia"/>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cs="宋体" w:asciiTheme="majorEastAsia" w:hAnsiTheme="majorEastAsia" w:eastAsiaTheme="majorEastAsia"/>
                <w:kern w:val="0"/>
                <w:sz w:val="24"/>
                <w:lang w:val="zh-CN"/>
              </w:rPr>
              <w:t>投标文件中价格全部采用人民币报价。招标文件未列明，而投标人认为必需的费用也需列入报价。</w:t>
            </w:r>
          </w:p>
          <w:p>
            <w:pPr>
              <w:snapToGrid w:val="0"/>
              <w:spacing w:line="400" w:lineRule="exact"/>
              <w:ind w:firstLine="482" w:firstLineChars="200"/>
              <w:jc w:val="left"/>
              <w:rPr>
                <w:rFonts w:cs="宋体" w:asciiTheme="majorEastAsia" w:hAnsiTheme="majorEastAsia" w:eastAsiaTheme="majorEastAsia"/>
                <w:b/>
                <w:kern w:val="0"/>
                <w:sz w:val="24"/>
                <w:lang w:val="zh-CN"/>
              </w:rPr>
            </w:pPr>
            <w:r>
              <w:rPr>
                <w:rFonts w:hint="eastAsia" w:cs="宋体" w:asciiTheme="majorEastAsia" w:hAnsiTheme="majorEastAsia" w:eastAsiaTheme="majorEastAsia"/>
                <w:b/>
                <w:kern w:val="0"/>
                <w:sz w:val="24"/>
                <w:lang w:val="zh-CN"/>
              </w:rPr>
              <w:t>投标报价出现下列情形的，投标无效：</w:t>
            </w:r>
          </w:p>
          <w:p>
            <w:pPr>
              <w:snapToGrid w:val="0"/>
              <w:spacing w:line="400" w:lineRule="exact"/>
              <w:ind w:firstLine="482" w:firstLineChars="200"/>
              <w:jc w:val="left"/>
              <w:rPr>
                <w:rFonts w:cs="宋体" w:asciiTheme="majorEastAsia" w:hAnsiTheme="majorEastAsia" w:eastAsiaTheme="majorEastAsia"/>
                <w:b/>
                <w:kern w:val="0"/>
                <w:sz w:val="24"/>
                <w:lang w:val="zh-CN"/>
              </w:rPr>
            </w:pPr>
            <w:r>
              <w:rPr>
                <w:rFonts w:hint="eastAsia" w:cs="宋体" w:asciiTheme="majorEastAsia" w:hAnsiTheme="majorEastAsia" w:eastAsiaTheme="majorEastAsia"/>
                <w:b/>
                <w:kern w:val="0"/>
                <w:sz w:val="24"/>
                <w:lang w:val="zh-CN"/>
              </w:rPr>
              <w:t>（</w:t>
            </w:r>
            <w:r>
              <w:rPr>
                <w:rFonts w:hint="eastAsia" w:cs="宋体" w:asciiTheme="majorEastAsia" w:hAnsiTheme="majorEastAsia" w:eastAsiaTheme="majorEastAsia"/>
                <w:b/>
                <w:kern w:val="0"/>
                <w:sz w:val="24"/>
              </w:rPr>
              <w:t>1）</w:t>
            </w:r>
            <w:r>
              <w:rPr>
                <w:rFonts w:hint="eastAsia" w:cs="宋体" w:asciiTheme="majorEastAsia" w:hAnsiTheme="majorEastAsia" w:eastAsiaTheme="majorEastAsia"/>
                <w:b/>
                <w:kern w:val="0"/>
                <w:sz w:val="24"/>
                <w:lang w:val="zh-CN"/>
              </w:rPr>
              <w:t>投标文件出现不是唯一的、有选择性投标报价的；</w:t>
            </w:r>
          </w:p>
          <w:p>
            <w:pPr>
              <w:snapToGrid w:val="0"/>
              <w:spacing w:line="400" w:lineRule="exact"/>
              <w:ind w:firstLine="482"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b/>
                <w:kern w:val="0"/>
                <w:sz w:val="24"/>
                <w:lang w:val="zh-CN"/>
              </w:rPr>
              <w:t>（</w:t>
            </w:r>
            <w:r>
              <w:rPr>
                <w:rFonts w:hint="eastAsia" w:cs="宋体" w:asciiTheme="majorEastAsia" w:hAnsiTheme="majorEastAsia" w:eastAsiaTheme="majorEastAsia"/>
                <w:b/>
                <w:kern w:val="0"/>
                <w:sz w:val="24"/>
              </w:rPr>
              <w:t>2）</w:t>
            </w:r>
            <w:r>
              <w:rPr>
                <w:rFonts w:hint="eastAsia" w:cs="宋体" w:asciiTheme="majorEastAsia" w:hAnsiTheme="majorEastAsia" w:eastAsiaTheme="majorEastAsia"/>
                <w:b/>
                <w:kern w:val="0"/>
                <w:sz w:val="24"/>
                <w:lang w:val="zh-CN"/>
              </w:rPr>
              <w:t>投标报价超过招标文件中规定的预算金额或者最高限价的；</w:t>
            </w:r>
          </w:p>
          <w:p>
            <w:pPr>
              <w:spacing w:line="400" w:lineRule="exact"/>
              <w:ind w:firstLine="482" w:firstLineChars="200"/>
              <w:rPr>
                <w:rFonts w:cs="宋体" w:asciiTheme="majorEastAsia" w:hAnsiTheme="majorEastAsia" w:eastAsiaTheme="majorEastAsia"/>
                <w:b/>
                <w:sz w:val="24"/>
              </w:rPr>
            </w:pPr>
            <w:r>
              <w:rPr>
                <w:rFonts w:hint="eastAsia" w:cs="宋体" w:asciiTheme="majorEastAsia" w:hAnsiTheme="majorEastAsia" w:eastAsiaTheme="majorEastAsia"/>
                <w:b/>
                <w:kern w:val="0"/>
                <w:sz w:val="24"/>
              </w:rPr>
              <w:t>（3）报价明显低于其他通过符合性审查投标人的报价，有可能影响产品质量或者不能诚信履约的，未能按要求提供书面说明或者提交相关证明材料证明其报价合理性的</w:t>
            </w:r>
            <w:r>
              <w:rPr>
                <w:rFonts w:hint="eastAsia" w:cs="宋体" w:asciiTheme="majorEastAsia" w:hAnsiTheme="majorEastAsia" w:eastAsiaTheme="majorEastAsia"/>
                <w:b/>
                <w:sz w:val="24"/>
              </w:rPr>
              <w:t>；</w:t>
            </w:r>
          </w:p>
          <w:p>
            <w:pPr>
              <w:spacing w:line="400" w:lineRule="exact"/>
              <w:ind w:firstLine="482" w:firstLineChars="200"/>
              <w:rPr>
                <w:rFonts w:cs="宋体" w:asciiTheme="majorEastAsia" w:hAnsiTheme="majorEastAsia" w:eastAsiaTheme="majorEastAsia"/>
                <w:sz w:val="24"/>
              </w:rPr>
            </w:pPr>
            <w:r>
              <w:rPr>
                <w:rFonts w:hint="eastAsia" w:cs="宋体" w:asciiTheme="majorEastAsia" w:hAnsiTheme="majorEastAsia" w:eastAsiaTheme="majorEastAsia"/>
                <w:b/>
                <w:kern w:val="0"/>
                <w:sz w:val="24"/>
              </w:rPr>
              <w:t>（4）投标人对根据修正原则修正后的报价不确认的</w:t>
            </w:r>
            <w:r>
              <w:rPr>
                <w:rFonts w:hint="eastAsia" w:cs="宋体" w:asciiTheme="majorEastAsia" w:hAnsiTheme="majorEastAsia" w:eastAsiaTheme="maj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73" w:hRule="atLeast"/>
          <w:tblHeader/>
        </w:trPr>
        <w:tc>
          <w:tcPr>
            <w:tcW w:w="367" w:type="pc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11</w:t>
            </w:r>
          </w:p>
        </w:tc>
        <w:tc>
          <w:tcPr>
            <w:tcW w:w="1075" w:type="pc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中小企业信用融资</w:t>
            </w:r>
          </w:p>
        </w:tc>
        <w:tc>
          <w:tcPr>
            <w:tcW w:w="3557" w:type="pct"/>
            <w:tcBorders>
              <w:top w:val="single" w:color="000000" w:sz="8" w:space="0"/>
              <w:left w:val="single" w:color="000000" w:sz="2" w:space="0"/>
              <w:right w:val="single" w:color="000000" w:sz="8" w:space="0"/>
            </w:tcBorders>
            <w:vAlign w:val="center"/>
          </w:tcPr>
          <w:p>
            <w:pPr>
              <w:spacing w:line="40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napToGrid w:val="0"/>
                <w:kern w:val="28"/>
                <w:sz w:val="24"/>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12</w:t>
            </w:r>
          </w:p>
        </w:tc>
        <w:tc>
          <w:tcPr>
            <w:tcW w:w="1075" w:type="pct"/>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 xml:space="preserve">备份投标文件送达地点和签收人员 </w:t>
            </w:r>
          </w:p>
        </w:tc>
        <w:tc>
          <w:tcPr>
            <w:tcW w:w="3557" w:type="pct"/>
            <w:tcBorders>
              <w:top w:val="single" w:color="000000" w:sz="8" w:space="0"/>
              <w:left w:val="single" w:color="000000" w:sz="2" w:space="0"/>
              <w:bottom w:val="single" w:color="auto" w:sz="4" w:space="0"/>
              <w:right w:val="single" w:color="000000" w:sz="8" w:space="0"/>
            </w:tcBorders>
            <w:vAlign w:val="center"/>
          </w:tcPr>
          <w:p>
            <w:pPr>
              <w:pStyle w:val="34"/>
              <w:spacing w:line="400" w:lineRule="exact"/>
              <w:ind w:firstLine="480" w:firstLineChars="200"/>
              <w:rPr>
                <w:rFonts w:cs="宋体" w:asciiTheme="majorEastAsia" w:hAnsiTheme="majorEastAsia" w:eastAsiaTheme="majorEastAsia"/>
                <w:b/>
                <w:sz w:val="24"/>
                <w:szCs w:val="24"/>
              </w:rPr>
            </w:pPr>
            <w:r>
              <w:rPr>
                <w:rFonts w:hint="eastAsia" w:cs="宋体" w:asciiTheme="majorEastAsia" w:hAnsiTheme="majorEastAsia" w:eastAsiaTheme="majorEastAsia"/>
                <w:kern w:val="28"/>
                <w:sz w:val="24"/>
                <w:szCs w:val="24"/>
              </w:rPr>
              <w:t>备份投</w:t>
            </w:r>
            <w:r>
              <w:rPr>
                <w:rFonts w:hint="eastAsia" w:cs="宋体" w:asciiTheme="majorEastAsia" w:hAnsiTheme="majorEastAsia" w:eastAsiaTheme="majorEastAsia"/>
                <w:color w:val="auto"/>
                <w:kern w:val="28"/>
                <w:sz w:val="24"/>
                <w:szCs w:val="24"/>
              </w:rPr>
              <w:t>标文件送达地点：</w:t>
            </w:r>
            <w:r>
              <w:rPr>
                <w:rFonts w:hint="eastAsia" w:cs="宋体" w:asciiTheme="majorEastAsia" w:hAnsiTheme="majorEastAsia" w:eastAsiaTheme="majorEastAsia"/>
                <w:color w:val="auto"/>
                <w:sz w:val="24"/>
                <w:szCs w:val="24"/>
                <w:u w:val="single"/>
              </w:rPr>
              <w:t>杭州市天目山路181号天际大厦803</w:t>
            </w:r>
            <w:r>
              <w:rPr>
                <w:rFonts w:hint="eastAsia" w:cs="宋体" w:asciiTheme="majorEastAsia" w:hAnsiTheme="majorEastAsia" w:eastAsiaTheme="majorEastAsia"/>
                <w:color w:val="auto"/>
                <w:kern w:val="28"/>
                <w:sz w:val="24"/>
                <w:szCs w:val="24"/>
              </w:rPr>
              <w:t>；备份投标文件签收人员联系电话：</w:t>
            </w:r>
            <w:r>
              <w:rPr>
                <w:rFonts w:hint="eastAsia" w:cs="宋体" w:asciiTheme="majorEastAsia" w:hAnsiTheme="majorEastAsia" w:eastAsiaTheme="majorEastAsia"/>
                <w:color w:val="auto"/>
                <w:kern w:val="28"/>
                <w:sz w:val="24"/>
                <w:szCs w:val="24"/>
                <w:u w:val="single"/>
              </w:rPr>
              <w:t>苗工、</w:t>
            </w:r>
            <w:r>
              <w:rPr>
                <w:rFonts w:hint="eastAsia" w:cs="宋体" w:asciiTheme="majorEastAsia" w:hAnsiTheme="majorEastAsia" w:eastAsiaTheme="majorEastAsia"/>
                <w:color w:val="auto"/>
                <w:sz w:val="24"/>
                <w:szCs w:val="24"/>
                <w:u w:val="single"/>
              </w:rPr>
              <w:t>13515813122</w:t>
            </w:r>
            <w:r>
              <w:rPr>
                <w:rFonts w:hint="eastAsia" w:cs="宋体" w:asciiTheme="majorEastAsia" w:hAnsiTheme="majorEastAsia" w:eastAsiaTheme="majorEastAsia"/>
                <w:color w:val="auto"/>
                <w:sz w:val="24"/>
                <w:szCs w:val="24"/>
              </w:rPr>
              <w:t>。</w:t>
            </w:r>
            <w:r>
              <w:rPr>
                <w:rFonts w:hint="eastAsia" w:cs="宋体" w:asciiTheme="majorEastAsia" w:hAnsiTheme="majorEastAsia" w:eastAsiaTheme="majorEastAsia"/>
                <w:b/>
                <w:color w:val="auto"/>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lang w:eastAsia="zh-CN"/>
              </w:rPr>
            </w:pPr>
            <w:r>
              <w:rPr>
                <w:rFonts w:hint="eastAsia" w:cs="宋体" w:asciiTheme="majorEastAsia" w:hAnsiTheme="majorEastAsia" w:eastAsiaTheme="majorEastAsia"/>
                <w:sz w:val="24"/>
                <w:highlight w:val="none"/>
              </w:rPr>
              <w:t>1</w:t>
            </w:r>
            <w:r>
              <w:rPr>
                <w:rFonts w:hint="eastAsia" w:cs="宋体" w:asciiTheme="majorEastAsia" w:hAnsiTheme="majorEastAsia" w:eastAsiaTheme="majorEastAsia"/>
                <w:sz w:val="24"/>
                <w:highlight w:val="none"/>
                <w:lang w:val="en-US" w:eastAsia="zh-CN"/>
              </w:rPr>
              <w:t>3</w:t>
            </w:r>
          </w:p>
        </w:tc>
        <w:tc>
          <w:tcPr>
            <w:tcW w:w="107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b/>
                <w:sz w:val="24"/>
                <w:highlight w:val="none"/>
              </w:rPr>
            </w:pPr>
            <w:r>
              <w:rPr>
                <w:rFonts w:hint="eastAsia" w:cs="宋体" w:asciiTheme="majorEastAsia" w:hAnsiTheme="majorEastAsia" w:eastAsiaTheme="majorEastAsia"/>
                <w:b/>
                <w:sz w:val="24"/>
                <w:highlight w:val="none"/>
              </w:rPr>
              <w:t>招标代理服务费</w:t>
            </w:r>
          </w:p>
        </w:tc>
        <w:tc>
          <w:tcPr>
            <w:tcW w:w="3557"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本项</w:t>
            </w:r>
            <w:r>
              <w:rPr>
                <w:rFonts w:hint="eastAsia" w:ascii="宋体" w:hAnsi="宋体" w:cs="宋体"/>
                <w:snapToGrid w:val="0"/>
                <w:color w:val="000000" w:themeColor="text1"/>
                <w:kern w:val="28"/>
                <w:sz w:val="24"/>
                <w:highlight w:val="none"/>
                <w14:textFill>
                  <w14:solidFill>
                    <w14:schemeClr w14:val="tx1"/>
                  </w14:solidFill>
                </w14:textFill>
              </w:rPr>
              <w:t>目招标代理服务费按发改价格[2011]534号文收费标准的</w:t>
            </w:r>
            <w:r>
              <w:rPr>
                <w:rFonts w:hint="eastAsia" w:ascii="宋体" w:hAnsi="宋体" w:cs="宋体"/>
                <w:snapToGrid w:val="0"/>
                <w:color w:val="000000" w:themeColor="text1"/>
                <w:kern w:val="28"/>
                <w:sz w:val="24"/>
                <w:highlight w:val="none"/>
                <w:lang w:val="en-US" w:eastAsia="zh-CN"/>
                <w14:textFill>
                  <w14:solidFill>
                    <w14:schemeClr w14:val="tx1"/>
                  </w14:solidFill>
                </w14:textFill>
              </w:rPr>
              <w:t>8</w:t>
            </w:r>
            <w:r>
              <w:rPr>
                <w:rFonts w:hint="eastAsia" w:ascii="宋体" w:hAnsi="宋体" w:cs="宋体"/>
                <w:snapToGrid w:val="0"/>
                <w:color w:val="000000" w:themeColor="text1"/>
                <w:kern w:val="28"/>
                <w:sz w:val="24"/>
                <w:highlight w:val="none"/>
                <w14:textFill>
                  <w14:solidFill>
                    <w14:schemeClr w14:val="tx1"/>
                  </w14:solidFill>
                </w14:textFill>
              </w:rPr>
              <w:t>0%收取，收费基数以中标价为准，不足</w:t>
            </w:r>
            <w:r>
              <w:rPr>
                <w:rFonts w:hint="eastAsia" w:ascii="宋体" w:hAnsi="宋体" w:cs="宋体"/>
                <w:snapToGrid w:val="0"/>
                <w:color w:val="000000" w:themeColor="text1"/>
                <w:kern w:val="28"/>
                <w:sz w:val="24"/>
                <w:highlight w:val="none"/>
                <w:lang w:val="en-US" w:eastAsia="zh-CN"/>
                <w14:textFill>
                  <w14:solidFill>
                    <w14:schemeClr w14:val="tx1"/>
                  </w14:solidFill>
                </w14:textFill>
              </w:rPr>
              <w:t>7</w:t>
            </w:r>
            <w:r>
              <w:rPr>
                <w:rFonts w:hint="eastAsia" w:ascii="宋体" w:hAnsi="宋体" w:cs="宋体"/>
                <w:snapToGrid w:val="0"/>
                <w:color w:val="000000" w:themeColor="text1"/>
                <w:kern w:val="28"/>
                <w:sz w:val="24"/>
                <w:highlight w:val="none"/>
                <w14:textFill>
                  <w14:solidFill>
                    <w14:schemeClr w14:val="tx1"/>
                  </w14:solidFill>
                </w14:textFill>
              </w:rPr>
              <w:t>000元按</w:t>
            </w:r>
            <w:r>
              <w:rPr>
                <w:rFonts w:hint="eastAsia" w:ascii="宋体" w:hAnsi="宋体" w:cs="宋体"/>
                <w:snapToGrid w:val="0"/>
                <w:color w:val="000000" w:themeColor="text1"/>
                <w:kern w:val="28"/>
                <w:sz w:val="24"/>
                <w:highlight w:val="none"/>
                <w:lang w:val="en-US" w:eastAsia="zh-CN"/>
                <w14:textFill>
                  <w14:solidFill>
                    <w14:schemeClr w14:val="tx1"/>
                  </w14:solidFill>
                </w14:textFill>
              </w:rPr>
              <w:t>7</w:t>
            </w:r>
            <w:r>
              <w:rPr>
                <w:rFonts w:hint="eastAsia" w:ascii="宋体" w:hAnsi="宋体" w:cs="宋体"/>
                <w:snapToGrid w:val="0"/>
                <w:color w:val="000000" w:themeColor="text1"/>
                <w:kern w:val="28"/>
                <w:sz w:val="24"/>
                <w:highlight w:val="none"/>
                <w14:textFill>
                  <w14:solidFill>
                    <w14:schemeClr w14:val="tx1"/>
                  </w14:solidFill>
                </w14:textFill>
              </w:rPr>
              <w:t>000元收取，由中标供应商在领取中标通知书时一次性支付。</w:t>
            </w:r>
          </w:p>
          <w:p>
            <w:pPr>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代理费汇款信息：</w:t>
            </w:r>
          </w:p>
          <w:p>
            <w:pPr>
              <w:pStyle w:val="6"/>
              <w:pageBreakBefore w:val="0"/>
              <w:widowControl w:val="0"/>
              <w:kinsoku/>
              <w:wordWrap/>
              <w:overflowPunct/>
              <w:topLinePunct w:val="0"/>
              <w:autoSpaceDE/>
              <w:autoSpaceDN/>
              <w:bidi w:val="0"/>
              <w:adjustRightInd w:val="0"/>
              <w:snapToGrid w:val="0"/>
              <w:spacing w:line="360" w:lineRule="auto"/>
              <w:textAlignment w:val="auto"/>
              <w:rPr>
                <w:rFonts w:ascii="宋体" w:hAnsi="宋体" w:eastAsia="宋体" w:cs="宋体"/>
                <w:b w:val="0"/>
                <w:bCs w:val="0"/>
                <w:snapToGrid w:val="0"/>
                <w:color w:val="000000" w:themeColor="text1"/>
                <w:kern w:val="28"/>
                <w:sz w:val="24"/>
                <w:szCs w:val="24"/>
                <w:lang w:val="en-US"/>
                <w14:textFill>
                  <w14:solidFill>
                    <w14:schemeClr w14:val="tx1"/>
                  </w14:solidFill>
                </w14:textFill>
              </w:rPr>
            </w:pPr>
            <w:r>
              <w:rPr>
                <w:rFonts w:ascii="宋体" w:hAnsi="宋体" w:eastAsia="宋体" w:cs="宋体"/>
                <w:b w:val="0"/>
                <w:bCs w:val="0"/>
                <w:snapToGrid w:val="0"/>
                <w:color w:val="000000" w:themeColor="text1"/>
                <w:kern w:val="28"/>
                <w:sz w:val="24"/>
                <w:szCs w:val="24"/>
                <w:lang w:val="en-US"/>
                <w14:textFill>
                  <w14:solidFill>
                    <w14:schemeClr w14:val="tx1"/>
                  </w14:solidFill>
                </w14:textFill>
              </w:rPr>
              <w:t>户  名：</w:t>
            </w:r>
            <w:r>
              <w:rPr>
                <w:rFonts w:hint="eastAsia" w:ascii="宋体" w:hAnsi="宋体" w:eastAsia="宋体" w:cs="宋体"/>
                <w:b w:val="0"/>
                <w:bCs w:val="0"/>
                <w:snapToGrid w:val="0"/>
                <w:color w:val="000000" w:themeColor="text1"/>
                <w:kern w:val="28"/>
                <w:sz w:val="24"/>
                <w:szCs w:val="24"/>
                <w:lang w:val="en-US"/>
                <w14:textFill>
                  <w14:solidFill>
                    <w14:schemeClr w14:val="tx1"/>
                  </w14:solidFill>
                </w14:textFill>
              </w:rPr>
              <w:t>浙江</w:t>
            </w:r>
            <w:r>
              <w:rPr>
                <w:rFonts w:ascii="宋体" w:hAnsi="宋体" w:eastAsia="宋体" w:cs="宋体"/>
                <w:b w:val="0"/>
                <w:bCs w:val="0"/>
                <w:snapToGrid w:val="0"/>
                <w:color w:val="000000" w:themeColor="text1"/>
                <w:kern w:val="28"/>
                <w:sz w:val="24"/>
                <w:szCs w:val="24"/>
                <w:lang w:val="en-US"/>
                <w14:textFill>
                  <w14:solidFill>
                    <w14:schemeClr w14:val="tx1"/>
                  </w14:solidFill>
                </w14:textFill>
              </w:rPr>
              <w:t>泛亚工程咨询有限公司</w:t>
            </w:r>
          </w:p>
          <w:p>
            <w:pPr>
              <w:pStyle w:val="6"/>
              <w:pageBreakBefore w:val="0"/>
              <w:widowControl w:val="0"/>
              <w:kinsoku/>
              <w:wordWrap/>
              <w:overflowPunct/>
              <w:topLinePunct w:val="0"/>
              <w:autoSpaceDE/>
              <w:autoSpaceDN/>
              <w:bidi w:val="0"/>
              <w:adjustRightInd w:val="0"/>
              <w:snapToGrid w:val="0"/>
              <w:spacing w:line="360" w:lineRule="auto"/>
              <w:textAlignment w:val="auto"/>
              <w:rPr>
                <w:rFonts w:ascii="宋体" w:hAnsi="宋体" w:eastAsia="宋体" w:cs="宋体"/>
                <w:b w:val="0"/>
                <w:bCs w:val="0"/>
                <w:snapToGrid w:val="0"/>
                <w:color w:val="000000" w:themeColor="text1"/>
                <w:kern w:val="28"/>
                <w:sz w:val="24"/>
                <w:szCs w:val="24"/>
                <w:lang w:val="en-US"/>
                <w14:textFill>
                  <w14:solidFill>
                    <w14:schemeClr w14:val="tx1"/>
                  </w14:solidFill>
                </w14:textFill>
              </w:rPr>
            </w:pPr>
            <w:r>
              <w:rPr>
                <w:rFonts w:ascii="宋体" w:hAnsi="宋体" w:eastAsia="宋体" w:cs="宋体"/>
                <w:b w:val="0"/>
                <w:bCs w:val="0"/>
                <w:snapToGrid w:val="0"/>
                <w:color w:val="000000" w:themeColor="text1"/>
                <w:kern w:val="28"/>
                <w:sz w:val="24"/>
                <w:szCs w:val="24"/>
                <w:lang w:val="en-US"/>
                <w14:textFill>
                  <w14:solidFill>
                    <w14:schemeClr w14:val="tx1"/>
                  </w14:solidFill>
                </w14:textFill>
              </w:rPr>
              <w:t>账  号：33001619635050000853</w:t>
            </w:r>
          </w:p>
          <w:p>
            <w:pPr>
              <w:pageBreakBefore w:val="0"/>
              <w:widowControl w:val="0"/>
              <w:kinsoku/>
              <w:wordWrap/>
              <w:overflowPunct/>
              <w:topLinePunct w:val="0"/>
              <w:autoSpaceDE/>
              <w:autoSpaceDN/>
              <w:bidi w:val="0"/>
              <w:adjustRightInd w:val="0"/>
              <w:snapToGrid w:val="0"/>
              <w:spacing w:line="360" w:lineRule="auto"/>
              <w:textAlignment w:val="auto"/>
              <w:rPr>
                <w:rFonts w:cs="宋体" w:asciiTheme="majorEastAsia" w:hAnsiTheme="majorEastAsia" w:eastAsiaTheme="majorEastAsia"/>
                <w:kern w:val="0"/>
                <w:sz w:val="24"/>
                <w:highlight w:val="yellow"/>
              </w:rPr>
            </w:pPr>
            <w:r>
              <w:rPr>
                <w:rFonts w:hAnsi="宋体" w:cs="宋体"/>
                <w:snapToGrid w:val="0"/>
                <w:color w:val="000000" w:themeColor="text1"/>
                <w:kern w:val="28"/>
                <w:sz w:val="24"/>
                <w14:textFill>
                  <w14:solidFill>
                    <w14:schemeClr w14:val="tx1"/>
                  </w14:solidFill>
                </w14:textFill>
              </w:rPr>
              <w:t>开</w:t>
            </w:r>
            <w:r>
              <w:rPr>
                <w:rFonts w:hint="eastAsia" w:hAnsi="宋体" w:cs="宋体"/>
                <w:snapToGrid w:val="0"/>
                <w:color w:val="000000" w:themeColor="text1"/>
                <w:kern w:val="28"/>
                <w:sz w:val="24"/>
                <w14:textFill>
                  <w14:solidFill>
                    <w14:schemeClr w14:val="tx1"/>
                  </w14:solidFill>
                </w14:textFill>
              </w:rPr>
              <w:t xml:space="preserve"> </w:t>
            </w:r>
            <w:r>
              <w:rPr>
                <w:rFonts w:hAnsi="宋体" w:cs="宋体"/>
                <w:snapToGrid w:val="0"/>
                <w:color w:val="000000" w:themeColor="text1"/>
                <w:kern w:val="28"/>
                <w:sz w:val="24"/>
                <w14:textFill>
                  <w14:solidFill>
                    <w14:schemeClr w14:val="tx1"/>
                  </w14:solidFill>
                </w14:textFill>
              </w:rPr>
              <w:t>户</w:t>
            </w:r>
            <w:r>
              <w:rPr>
                <w:rFonts w:hint="eastAsia" w:hAnsi="宋体" w:cs="宋体"/>
                <w:snapToGrid w:val="0"/>
                <w:color w:val="000000" w:themeColor="text1"/>
                <w:kern w:val="28"/>
                <w:sz w:val="24"/>
                <w14:textFill>
                  <w14:solidFill>
                    <w14:schemeClr w14:val="tx1"/>
                  </w14:solidFill>
                </w14:textFill>
              </w:rPr>
              <w:t xml:space="preserve"> </w:t>
            </w:r>
            <w:r>
              <w:rPr>
                <w:rFonts w:hAnsi="宋体" w:cs="宋体"/>
                <w:snapToGrid w:val="0"/>
                <w:color w:val="000000" w:themeColor="text1"/>
                <w:kern w:val="28"/>
                <w:sz w:val="24"/>
                <w14:textFill>
                  <w14:solidFill>
                    <w14:schemeClr w14:val="tx1"/>
                  </w14:solidFill>
                </w14:textFill>
              </w:rPr>
              <w:t>行：中国建设银行杭州西湖支行</w:t>
            </w:r>
          </w:p>
        </w:tc>
      </w:tr>
    </w:tbl>
    <w:p>
      <w:pPr>
        <w:snapToGrid w:val="0"/>
        <w:spacing w:line="360" w:lineRule="auto"/>
        <w:jc w:val="center"/>
        <w:rPr>
          <w:rFonts w:cs="宋体" w:asciiTheme="majorEastAsia" w:hAnsiTheme="majorEastAsia" w:eastAsiaTheme="majorEastAsia"/>
          <w:b/>
          <w:sz w:val="32"/>
          <w:szCs w:val="20"/>
        </w:rPr>
      </w:pPr>
    </w:p>
    <w:bookmarkEnd w:id="10"/>
    <w:p>
      <w:pPr>
        <w:adjustRightInd/>
        <w:spacing w:line="360" w:lineRule="auto"/>
        <w:ind w:firstLine="3845" w:firstLineChars="1197"/>
        <w:outlineLvl w:val="0"/>
        <w:rPr>
          <w:rFonts w:cs="宋体" w:asciiTheme="majorEastAsia" w:hAnsiTheme="majorEastAsia" w:eastAsiaTheme="majorEastAsia"/>
          <w:b/>
          <w:sz w:val="32"/>
          <w:szCs w:val="20"/>
        </w:rPr>
      </w:pPr>
      <w:bookmarkStart w:id="11" w:name="_Toc164416483"/>
      <w:bookmarkStart w:id="12" w:name="第三部分"/>
    </w:p>
    <w:p>
      <w:pPr>
        <w:adjustRightInd/>
        <w:spacing w:line="360" w:lineRule="auto"/>
        <w:ind w:firstLine="3845" w:firstLineChars="1197"/>
        <w:outlineLvl w:val="0"/>
        <w:rPr>
          <w:rFonts w:cs="宋体" w:asciiTheme="majorEastAsia" w:hAnsiTheme="majorEastAsia" w:eastAsiaTheme="majorEastAsia"/>
          <w:b/>
          <w:sz w:val="32"/>
          <w:szCs w:val="20"/>
        </w:rPr>
      </w:pPr>
    </w:p>
    <w:p>
      <w:pPr>
        <w:adjustRightInd/>
        <w:spacing w:line="360" w:lineRule="auto"/>
        <w:jc w:val="center"/>
        <w:outlineLvl w:val="0"/>
        <w:rPr>
          <w:rFonts w:cs="宋体" w:asciiTheme="majorEastAsia" w:hAnsiTheme="majorEastAsia" w:eastAsiaTheme="majorEastAsia"/>
          <w:b/>
          <w:sz w:val="32"/>
          <w:szCs w:val="20"/>
        </w:rPr>
      </w:pPr>
      <w:r>
        <w:rPr>
          <w:rFonts w:hint="eastAsia" w:cs="宋体" w:asciiTheme="majorEastAsia" w:hAnsiTheme="majorEastAsia" w:eastAsiaTheme="majorEastAsia"/>
          <w:b/>
          <w:sz w:val="32"/>
          <w:szCs w:val="20"/>
        </w:rPr>
        <w:t>一、总则</w:t>
      </w:r>
    </w:p>
    <w:p>
      <w:pPr>
        <w:snapToGrid w:val="0"/>
        <w:spacing w:line="360" w:lineRule="auto"/>
        <w:ind w:firstLine="482" w:firstLineChars="200"/>
        <w:jc w:val="left"/>
        <w:outlineLvl w:val="1"/>
        <w:rPr>
          <w:rFonts w:cs="宋体" w:asciiTheme="majorEastAsia" w:hAnsiTheme="majorEastAsia" w:eastAsiaTheme="majorEastAsia"/>
          <w:b/>
          <w:sz w:val="24"/>
        </w:rPr>
      </w:pPr>
      <w:r>
        <w:rPr>
          <w:rFonts w:hint="eastAsia" w:cs="宋体" w:asciiTheme="majorEastAsia" w:hAnsiTheme="majorEastAsia" w:eastAsiaTheme="majorEastAsia"/>
          <w:b/>
          <w:sz w:val="24"/>
        </w:rPr>
        <w:t>1.适用范围</w:t>
      </w:r>
    </w:p>
    <w:p>
      <w:pPr>
        <w:snapToGrid w:val="0"/>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本招标文件适用于该项目的招标、投标、开标、资格审查及信用信息查询、评标、定标、合同、验收等行为（法律、法规另有规定的，从其规定）。</w:t>
      </w:r>
    </w:p>
    <w:p>
      <w:pPr>
        <w:adjustRightInd/>
        <w:spacing w:line="360" w:lineRule="auto"/>
        <w:ind w:firstLine="482" w:firstLineChars="200"/>
        <w:outlineLvl w:val="0"/>
        <w:rPr>
          <w:rFonts w:cs="宋体" w:asciiTheme="majorEastAsia" w:hAnsiTheme="majorEastAsia" w:eastAsiaTheme="majorEastAsia"/>
          <w:b/>
          <w:sz w:val="24"/>
        </w:rPr>
      </w:pPr>
      <w:r>
        <w:rPr>
          <w:rFonts w:hint="eastAsia" w:cs="宋体" w:asciiTheme="majorEastAsia" w:hAnsiTheme="majorEastAsia" w:eastAsiaTheme="majorEastAsia"/>
          <w:b/>
          <w:sz w:val="24"/>
        </w:rPr>
        <w:t>2.定义</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2.1“采购人”系指招标公告中载明的本项目的采购人。</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2.2“采购代理机构”系指招标公告中载明的本项目的采购代理机构。</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2.3“投标人”系指是指响应招标、参加投标竞争的法人、其他组织或者自然人。</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2.4“负责人”系指法人企业的法定负责人，或其他组织为法律、行政法规规定代表单位行使职权的主要负责人，或自然人本人。</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2.6“电子交易平台”系指本项目政府采购活动所依托的政府采购云平台（https://www.zcygov.cn/）。</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2.7“▲”系指实质性要求条款。</w:t>
      </w:r>
    </w:p>
    <w:p>
      <w:pPr>
        <w:spacing w:line="360" w:lineRule="auto"/>
        <w:ind w:firstLine="482" w:firstLineChars="200"/>
        <w:rPr>
          <w:rFonts w:cs="宋体" w:asciiTheme="majorEastAsia" w:hAnsiTheme="majorEastAsia" w:eastAsiaTheme="majorEastAsia"/>
          <w:b/>
          <w:sz w:val="24"/>
        </w:rPr>
      </w:pPr>
      <w:r>
        <w:rPr>
          <w:rFonts w:hint="eastAsia" w:cs="宋体" w:asciiTheme="majorEastAsia" w:hAnsiTheme="majorEastAsia" w:eastAsiaTheme="majorEastAsia"/>
          <w:b/>
          <w:sz w:val="24"/>
        </w:rPr>
        <w:t>3.采购项目需要落实的政府采购政策</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s="宋体" w:asciiTheme="majorEastAsia" w:hAnsiTheme="majorEastAsia" w:eastAsiaTheme="majorEastAsia"/>
          <w:kern w:val="0"/>
          <w:sz w:val="24"/>
        </w:rPr>
        <w:t>优先采购向我国企业转让技术、与我国企业签订消化吸收再创新方案的供应商的进口产品</w:t>
      </w:r>
      <w:r>
        <w:rPr>
          <w:rFonts w:hint="eastAsia" w:cs="宋体" w:asciiTheme="majorEastAsia" w:hAnsiTheme="majorEastAsia" w:eastAsiaTheme="majorEastAsia"/>
          <w:sz w:val="24"/>
        </w:rPr>
        <w:t>。</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3.2支持绿色发展</w:t>
      </w:r>
    </w:p>
    <w:p>
      <w:pPr>
        <w:spacing w:line="360" w:lineRule="auto"/>
        <w:ind w:firstLine="480" w:firstLineChars="200"/>
        <w:rPr>
          <w:rFonts w:cs="宋体" w:asciiTheme="majorEastAsia" w:hAnsiTheme="majorEastAsia" w:eastAsiaTheme="majorEastAsia"/>
          <w:b/>
          <w:sz w:val="24"/>
        </w:rPr>
      </w:pPr>
      <w:r>
        <w:rPr>
          <w:rFonts w:hint="eastAsia" w:cs="宋体" w:asciiTheme="majorEastAsia" w:hAnsiTheme="majorEastAsia" w:eastAsiaTheme="maj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ajorEastAsia" w:hAnsiTheme="majorEastAsia" w:eastAsiaTheme="majorEastAsia"/>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3.2.2修缮、装修类项目采购建材的，采购人应将绿色建筑和绿色建材性能、指标等作为实质性条件纳入招标文件和合同。</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3.2.4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3.3支持中小企业发展</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符合中小企业划分标准的个体工商户，在政府采购活动中视同中小企业。</w:t>
      </w:r>
    </w:p>
    <w:p>
      <w:pPr>
        <w:widowControl/>
        <w:spacing w:line="360" w:lineRule="auto"/>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bCs/>
          <w:sz w:val="24"/>
        </w:rPr>
        <w:t>3.3.2</w:t>
      </w:r>
      <w:r>
        <w:rPr>
          <w:rFonts w:hint="eastAsia" w:cs="宋体" w:asciiTheme="majorEastAsia" w:hAnsiTheme="majorEastAsia" w:eastAsiaTheme="major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3.3.7中小企业享受扶持政策获得政府采购合同的，小微企业不得将合同分包给大中型企业，中型企业不得将合同分包给大型企业。</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3.4</w:t>
      </w:r>
      <w:r>
        <w:rPr>
          <w:rFonts w:hint="eastAsia" w:cs="宋体" w:asciiTheme="majorEastAsia" w:hAnsiTheme="majorEastAsia" w:eastAsiaTheme="majorEastAsia"/>
          <w:bCs/>
          <w:sz w:val="24"/>
        </w:rPr>
        <w:t>支持创新发展</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3.4.1采购人优先采购被认定为首台套产品和“制造精品”的自主创新产品。</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6"/>
        <w:adjustRightInd w:val="0"/>
        <w:ind w:left="0" w:firstLine="480" w:firstLineChars="200"/>
        <w:rPr>
          <w:rFonts w:cs="宋体" w:asciiTheme="majorEastAsia" w:hAnsiTheme="majorEastAsia" w:eastAsiaTheme="majorEastAsia"/>
          <w:color w:val="auto"/>
        </w:rPr>
      </w:pPr>
      <w:r>
        <w:rPr>
          <w:rFonts w:hint="eastAsia" w:cs="宋体" w:asciiTheme="majorEastAsia" w:hAnsiTheme="majorEastAsia" w:eastAsiaTheme="majorEastAsia"/>
          <w:b w:val="0"/>
          <w:bCs w:val="0"/>
          <w:color w:val="auto"/>
          <w:sz w:val="24"/>
          <w:szCs w:val="24"/>
          <w:lang w:val="en-US"/>
        </w:rPr>
        <w:t>3.4.3采购人应当贯彻落实知识产权保护相关法律法规，应当采购使用正版软件。</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3.5平等对待内外资企业和符合条件的破产重整企业</w:t>
      </w:r>
    </w:p>
    <w:p>
      <w:pPr>
        <w:spacing w:line="360" w:lineRule="auto"/>
        <w:ind w:firstLine="480" w:firstLineChars="200"/>
        <w:rPr>
          <w:rFonts w:cs="宋体" w:asciiTheme="majorEastAsia" w:hAnsiTheme="majorEastAsia" w:eastAsiaTheme="majorEastAsia"/>
          <w:b/>
          <w:sz w:val="24"/>
        </w:rPr>
      </w:pPr>
      <w:r>
        <w:rPr>
          <w:rFonts w:hint="eastAsia" w:cs="宋体" w:asciiTheme="majorEastAsia" w:hAnsiTheme="majorEastAsia" w:eastAsiaTheme="majorEastAsia"/>
          <w:sz w:val="24"/>
        </w:rPr>
        <w:t>平等对待内外资企业和符合条件的破产重整企业，切实保障企业公平竞争，平等维护企业的合法利益。</w:t>
      </w:r>
      <w:r>
        <w:rPr>
          <w:rFonts w:hint="eastAsia" w:cs="宋体" w:asciiTheme="majorEastAsia" w:hAnsiTheme="majorEastAsia" w:eastAsiaTheme="majorEastAsia"/>
          <w:sz w:val="24"/>
        </w:rPr>
        <w:cr/>
      </w:r>
      <w:r>
        <w:rPr>
          <w:rFonts w:hint="eastAsia" w:cs="宋体" w:asciiTheme="majorEastAsia" w:hAnsiTheme="majorEastAsia" w:eastAsiaTheme="majorEastAsia"/>
          <w:b/>
          <w:sz w:val="24"/>
        </w:rPr>
        <w:t>4.询问、质疑、投诉</w:t>
      </w:r>
    </w:p>
    <w:p>
      <w:pPr>
        <w:autoSpaceDE w:val="0"/>
        <w:autoSpaceDN w:val="0"/>
        <w:spacing w:line="360" w:lineRule="auto"/>
        <w:ind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4.2供应商询问</w:t>
      </w:r>
    </w:p>
    <w:p>
      <w:pPr>
        <w:autoSpaceDE w:val="0"/>
        <w:autoSpaceDN w:val="0"/>
        <w:spacing w:line="360" w:lineRule="auto"/>
        <w:ind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4.3供应商质疑</w:t>
      </w:r>
    </w:p>
    <w:p>
      <w:pPr>
        <w:pStyle w:val="34"/>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kern w:val="0"/>
          <w:sz w:val="24"/>
          <w:lang w:val="zh-CN"/>
        </w:rPr>
        <w:t>4.3</w:t>
      </w:r>
      <w:r>
        <w:rPr>
          <w:rFonts w:hint="eastAsia" w:cs="宋体" w:asciiTheme="majorEastAsia" w:hAnsiTheme="majorEastAsia" w:eastAsiaTheme="majorEastAsia"/>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kern w:val="0"/>
          <w:sz w:val="24"/>
          <w:lang w:val="zh-CN"/>
        </w:rPr>
        <w:t>4.3</w:t>
      </w:r>
      <w:r>
        <w:rPr>
          <w:rFonts w:hint="eastAsia" w:cs="宋体" w:asciiTheme="majorEastAsia" w:hAnsiTheme="majorEastAsia" w:eastAsiaTheme="major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8"/>
        <w:spacing w:line="360" w:lineRule="auto"/>
        <w:ind w:firstLine="960" w:firstLineChars="400"/>
        <w:rPr>
          <w:rFonts w:cs="宋体" w:asciiTheme="majorEastAsia" w:hAnsiTheme="majorEastAsia" w:eastAsiaTheme="majorEastAsia"/>
          <w:snapToGrid/>
          <w:color w:val="auto"/>
          <w:kern w:val="2"/>
          <w:sz w:val="24"/>
        </w:rPr>
      </w:pPr>
      <w:r>
        <w:rPr>
          <w:rFonts w:hint="eastAsia" w:cs="宋体" w:asciiTheme="majorEastAsia" w:hAnsiTheme="majorEastAsia" w:eastAsiaTheme="majorEastAsia"/>
          <w:snapToGrid/>
          <w:color w:val="auto"/>
          <w:kern w:val="2"/>
          <w:sz w:val="24"/>
        </w:rPr>
        <w:t>4.3.2.1对招标文件提出质疑的，质疑期限为供应商获得招标文件之日或者招标文件公告期限届满之日起计算。</w:t>
      </w:r>
    </w:p>
    <w:p>
      <w:pPr>
        <w:pStyle w:val="8"/>
        <w:spacing w:line="360" w:lineRule="auto"/>
        <w:ind w:firstLine="960" w:firstLineChars="400"/>
        <w:rPr>
          <w:rFonts w:cs="宋体" w:asciiTheme="majorEastAsia" w:hAnsiTheme="majorEastAsia" w:eastAsiaTheme="majorEastAsia"/>
          <w:sz w:val="24"/>
        </w:rPr>
      </w:pPr>
      <w:r>
        <w:rPr>
          <w:rFonts w:hint="eastAsia" w:cs="宋体" w:asciiTheme="majorEastAsia" w:hAnsiTheme="majorEastAsia" w:eastAsiaTheme="majorEastAsia"/>
          <w:sz w:val="24"/>
        </w:rPr>
        <w:t>4.3.2.2对采购过程提出质疑的，质疑期限为各采购程序环节结束之日起计算。</w:t>
      </w:r>
    </w:p>
    <w:p>
      <w:pPr>
        <w:pStyle w:val="8"/>
        <w:spacing w:line="360" w:lineRule="auto"/>
        <w:ind w:firstLine="960" w:firstLineChars="400"/>
        <w:rPr>
          <w:rFonts w:cs="宋体" w:asciiTheme="majorEastAsia" w:hAnsiTheme="majorEastAsia" w:eastAsiaTheme="majorEastAsia"/>
          <w:sz w:val="24"/>
        </w:rPr>
      </w:pPr>
      <w:r>
        <w:rPr>
          <w:rFonts w:hint="eastAsia" w:cs="宋体" w:asciiTheme="majorEastAsia" w:hAnsiTheme="majorEastAsia" w:eastAsiaTheme="majorEastAsia"/>
          <w:sz w:val="24"/>
        </w:rPr>
        <w:t>4.3.2.3对采购结果提出质疑的，质疑期限自采购结果公告期限届满之日起计算。</w:t>
      </w:r>
    </w:p>
    <w:p>
      <w:pPr>
        <w:pStyle w:val="34"/>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kern w:val="0"/>
          <w:sz w:val="24"/>
          <w:lang w:val="zh-CN"/>
        </w:rPr>
        <w:t>4.3.3</w:t>
      </w:r>
      <w:r>
        <w:rPr>
          <w:rFonts w:hint="eastAsia" w:cs="宋体" w:asciiTheme="majorEastAsia" w:hAnsiTheme="majorEastAsia" w:eastAsiaTheme="majorEastAsia"/>
          <w:sz w:val="24"/>
        </w:rPr>
        <w:t>供应商提出质疑应当提交质疑函和必要的证明材料。质疑函应当包括下列内容：</w:t>
      </w:r>
    </w:p>
    <w:p>
      <w:pPr>
        <w:pStyle w:val="34"/>
        <w:spacing w:line="360" w:lineRule="auto"/>
        <w:ind w:firstLine="960" w:firstLineChars="400"/>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4.3.3.1供应商的姓名或者名称、地址、邮编、联系人及联系电话；</w:t>
      </w:r>
    </w:p>
    <w:p>
      <w:pPr>
        <w:pStyle w:val="34"/>
        <w:spacing w:line="360" w:lineRule="auto"/>
        <w:ind w:firstLine="960" w:firstLineChars="400"/>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4.3.3.2质疑项目的名称、编号；</w:t>
      </w:r>
    </w:p>
    <w:p>
      <w:pPr>
        <w:pStyle w:val="34"/>
        <w:spacing w:line="360" w:lineRule="auto"/>
        <w:ind w:firstLine="960" w:firstLineChars="400"/>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4.3.3.3具体、明确的质疑事项和与质疑事项相关的请求；</w:t>
      </w:r>
    </w:p>
    <w:p>
      <w:pPr>
        <w:pStyle w:val="34"/>
        <w:spacing w:line="360" w:lineRule="auto"/>
        <w:ind w:firstLine="960" w:firstLineChars="400"/>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4.3.3.4事实依据；</w:t>
      </w:r>
    </w:p>
    <w:p>
      <w:pPr>
        <w:pStyle w:val="34"/>
        <w:spacing w:line="360" w:lineRule="auto"/>
        <w:ind w:firstLine="960" w:firstLineChars="400"/>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4.3.3.5必要的法律依据；</w:t>
      </w:r>
    </w:p>
    <w:p>
      <w:pPr>
        <w:pStyle w:val="34"/>
        <w:spacing w:line="360" w:lineRule="auto"/>
        <w:ind w:firstLine="960" w:firstLineChars="400"/>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4.3.3.6提出质疑的日期。</w:t>
      </w:r>
    </w:p>
    <w:p>
      <w:pPr>
        <w:pStyle w:val="34"/>
        <w:snapToGrid w:val="0"/>
        <w:spacing w:line="360" w:lineRule="auto"/>
        <w:ind w:firstLine="480" w:firstLineChars="200"/>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34"/>
        <w:snapToGrid w:val="0"/>
        <w:spacing w:line="360" w:lineRule="auto"/>
        <w:ind w:firstLine="480" w:firstLineChars="200"/>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质疑函范本及制作说明详见附件2。</w:t>
      </w:r>
    </w:p>
    <w:p>
      <w:pPr>
        <w:pStyle w:val="889"/>
        <w:shd w:val="clear" w:color="auto" w:fill="FFFFFF"/>
        <w:adjustRightInd w:val="0"/>
        <w:snapToGrid w:val="0"/>
        <w:spacing w:before="0" w:beforeAutospacing="0" w:after="0" w:afterAutospacing="0" w:line="360" w:lineRule="auto"/>
        <w:ind w:firstLine="480" w:firstLineChars="200"/>
        <w:contextualSpacing/>
        <w:rPr>
          <w:rFonts w:asciiTheme="majorEastAsia" w:hAnsiTheme="majorEastAsia" w:eastAsiaTheme="majorEastAsia"/>
        </w:rPr>
      </w:pPr>
      <w:r>
        <w:rPr>
          <w:rFonts w:hint="eastAsia" w:asciiTheme="majorEastAsia" w:hAnsiTheme="majorEastAsia" w:eastAsiaTheme="majorEastAsia"/>
        </w:rPr>
        <w:t>4.3.4对同一采购程序环节的质疑，供应商须在法定质疑期内一次性提出。</w:t>
      </w:r>
    </w:p>
    <w:p>
      <w:pPr>
        <w:pStyle w:val="889"/>
        <w:shd w:val="clear" w:color="auto" w:fill="FFFFFF"/>
        <w:adjustRightInd w:val="0"/>
        <w:snapToGrid w:val="0"/>
        <w:spacing w:before="0" w:beforeAutospacing="0" w:after="0" w:afterAutospacing="0" w:line="360" w:lineRule="auto"/>
        <w:ind w:firstLine="480" w:firstLineChars="200"/>
        <w:contextualSpacing/>
        <w:rPr>
          <w:rFonts w:asciiTheme="majorEastAsia" w:hAnsiTheme="majorEastAsia" w:eastAsiaTheme="majorEastAsia"/>
        </w:rPr>
      </w:pPr>
      <w:r>
        <w:rPr>
          <w:rFonts w:hint="eastAsia" w:asciiTheme="majorEastAsia" w:hAnsiTheme="majorEastAsia" w:eastAsiaTheme="majorEastAsia"/>
          <w:lang w:val="zh-CN"/>
        </w:rPr>
        <w:t>4.3</w:t>
      </w:r>
      <w:r>
        <w:rPr>
          <w:rFonts w:hint="eastAsia" w:asciiTheme="majorEastAsia" w:hAnsiTheme="majorEastAsia" w:eastAsiaTheme="major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9"/>
        <w:shd w:val="clear" w:color="auto" w:fill="FFFFFF"/>
        <w:adjustRightInd w:val="0"/>
        <w:snapToGrid w:val="0"/>
        <w:spacing w:before="0" w:beforeAutospacing="0" w:after="0" w:afterAutospacing="0" w:line="360" w:lineRule="auto"/>
        <w:ind w:firstLine="480" w:firstLineChars="200"/>
        <w:contextualSpacing/>
        <w:rPr>
          <w:rFonts w:asciiTheme="majorEastAsia" w:hAnsiTheme="majorEastAsia" w:eastAsiaTheme="majorEastAsia"/>
        </w:rPr>
      </w:pPr>
      <w:r>
        <w:rPr>
          <w:rFonts w:hint="eastAsia" w:asciiTheme="majorEastAsia" w:hAnsiTheme="majorEastAsia" w:eastAsiaTheme="majorEastAsia"/>
          <w:lang w:val="zh-CN"/>
        </w:rPr>
        <w:t>4.3</w:t>
      </w:r>
      <w:r>
        <w:rPr>
          <w:rFonts w:hint="eastAsia" w:asciiTheme="majorEastAsia" w:hAnsiTheme="majorEastAsia" w:eastAsiaTheme="majorEastAsia"/>
        </w:rPr>
        <w:t>.6询问或者质疑事项可能影响采购结果的，采购人应当暂停签订合同，已经签订合同的，应当中止履行合同。</w:t>
      </w:r>
    </w:p>
    <w:p>
      <w:pPr>
        <w:pStyle w:val="889"/>
        <w:shd w:val="clear" w:color="auto" w:fill="FFFFFF"/>
        <w:adjustRightInd w:val="0"/>
        <w:snapToGrid w:val="0"/>
        <w:spacing w:before="0" w:beforeAutospacing="0" w:after="0" w:afterAutospacing="0" w:line="360" w:lineRule="auto"/>
        <w:ind w:firstLine="480" w:firstLineChars="200"/>
        <w:contextualSpacing/>
        <w:rPr>
          <w:rFonts w:asciiTheme="majorEastAsia" w:hAnsiTheme="majorEastAsia" w:eastAsiaTheme="majorEastAsia"/>
          <w:lang w:val="zh-CN"/>
        </w:rPr>
      </w:pPr>
      <w:r>
        <w:rPr>
          <w:rFonts w:hint="eastAsia" w:asciiTheme="majorEastAsia" w:hAnsiTheme="majorEastAsia" w:eastAsiaTheme="majorEastAsia"/>
          <w:lang w:val="zh-CN"/>
        </w:rPr>
        <w:t>4.4供应商投诉</w:t>
      </w:r>
    </w:p>
    <w:p>
      <w:pPr>
        <w:pStyle w:val="889"/>
        <w:shd w:val="clear" w:color="auto" w:fill="FFFFFF"/>
        <w:adjustRightInd w:val="0"/>
        <w:snapToGrid w:val="0"/>
        <w:spacing w:before="0" w:beforeAutospacing="0" w:after="0" w:afterAutospacing="0" w:line="360" w:lineRule="auto"/>
        <w:ind w:firstLine="480" w:firstLineChars="200"/>
        <w:contextualSpacing/>
        <w:rPr>
          <w:rFonts w:asciiTheme="majorEastAsia" w:hAnsiTheme="majorEastAsia" w:eastAsiaTheme="majorEastAsia"/>
        </w:rPr>
      </w:pPr>
      <w:r>
        <w:rPr>
          <w:rFonts w:hint="eastAsia" w:asciiTheme="majorEastAsia" w:hAnsiTheme="majorEastAsia" w:eastAsiaTheme="major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9"/>
        <w:shd w:val="clear" w:color="auto" w:fill="FFFFFF"/>
        <w:adjustRightInd w:val="0"/>
        <w:snapToGrid w:val="0"/>
        <w:spacing w:before="0" w:beforeAutospacing="0" w:after="0" w:afterAutospacing="0" w:line="360" w:lineRule="auto"/>
        <w:ind w:firstLine="480" w:firstLineChars="200"/>
        <w:contextualSpacing/>
        <w:rPr>
          <w:rFonts w:asciiTheme="majorEastAsia" w:hAnsiTheme="majorEastAsia" w:eastAsiaTheme="majorEastAsia"/>
        </w:rPr>
      </w:pPr>
      <w:r>
        <w:rPr>
          <w:rFonts w:hint="eastAsia" w:asciiTheme="majorEastAsia" w:hAnsiTheme="majorEastAsia" w:eastAsiaTheme="majorEastAsia"/>
        </w:rPr>
        <w:t>4.4.</w:t>
      </w:r>
      <w:r>
        <w:rPr>
          <w:rFonts w:hint="eastAsia" w:asciiTheme="majorEastAsia" w:hAnsiTheme="majorEastAsia" w:eastAsiaTheme="majorEastAsia"/>
          <w:lang w:val="zh-CN"/>
        </w:rPr>
        <w:t>2</w:t>
      </w:r>
      <w:r>
        <w:rPr>
          <w:rFonts w:hint="eastAsia" w:asciiTheme="majorEastAsia" w:hAnsiTheme="majorEastAsia" w:eastAsiaTheme="majorEastAsia"/>
        </w:rPr>
        <w:t>供应商投诉的事项不得超出已质疑事项的范围，基于质疑答复内容提出的投诉事项除外。</w:t>
      </w:r>
    </w:p>
    <w:p>
      <w:pPr>
        <w:pStyle w:val="889"/>
        <w:shd w:val="clear" w:color="auto" w:fill="FFFFFF"/>
        <w:adjustRightInd w:val="0"/>
        <w:snapToGrid w:val="0"/>
        <w:spacing w:before="0" w:beforeAutospacing="0" w:after="0" w:afterAutospacing="0" w:line="360" w:lineRule="auto"/>
        <w:ind w:firstLine="480" w:firstLineChars="200"/>
        <w:contextualSpacing/>
        <w:rPr>
          <w:rFonts w:asciiTheme="majorEastAsia" w:hAnsiTheme="majorEastAsia" w:eastAsiaTheme="majorEastAsia"/>
        </w:rPr>
      </w:pPr>
      <w:r>
        <w:rPr>
          <w:rFonts w:hint="eastAsia" w:asciiTheme="majorEastAsia" w:hAnsiTheme="majorEastAsia" w:eastAsiaTheme="majorEastAsia"/>
        </w:rPr>
        <w:t>4.4.3供应商投诉应当有明确的请求和必要的证明材料。</w:t>
      </w:r>
    </w:p>
    <w:p>
      <w:pPr>
        <w:pStyle w:val="889"/>
        <w:shd w:val="clear" w:color="auto" w:fill="FFFFFF"/>
        <w:adjustRightInd w:val="0"/>
        <w:snapToGrid w:val="0"/>
        <w:spacing w:before="0" w:beforeAutospacing="0" w:after="0" w:afterAutospacing="0" w:line="360" w:lineRule="auto"/>
        <w:ind w:firstLine="480" w:firstLineChars="200"/>
        <w:contextualSpacing/>
        <w:rPr>
          <w:rFonts w:cs="宋体" w:asciiTheme="majorEastAsia" w:hAnsiTheme="majorEastAsia" w:eastAsiaTheme="majorEastAsia"/>
        </w:rPr>
      </w:pPr>
      <w:r>
        <w:rPr>
          <w:rFonts w:hint="eastAsia" w:asciiTheme="majorEastAsia" w:hAnsiTheme="majorEastAsia" w:eastAsiaTheme="majorEastAsia"/>
        </w:rPr>
        <w:t>4.4.4以联合体形式参加政府采购活动的，其投诉应当由组成联合体的所有供应商共同提出。</w:t>
      </w:r>
    </w:p>
    <w:p>
      <w:pPr>
        <w:pStyle w:val="889"/>
        <w:shd w:val="clear" w:color="auto" w:fill="FFFFFF"/>
        <w:adjustRightInd w:val="0"/>
        <w:snapToGrid w:val="0"/>
        <w:spacing w:before="0" w:beforeAutospacing="0" w:after="0" w:afterAutospacing="0" w:line="360" w:lineRule="auto"/>
        <w:ind w:firstLine="480" w:firstLineChars="200"/>
        <w:contextualSpacing/>
        <w:rPr>
          <w:rFonts w:asciiTheme="majorEastAsia" w:hAnsiTheme="majorEastAsia" w:eastAsiaTheme="majorEastAsia"/>
        </w:rPr>
      </w:pPr>
      <w:r>
        <w:rPr>
          <w:rFonts w:hint="eastAsia" w:asciiTheme="majorEastAsia" w:hAnsiTheme="majorEastAsia" w:eastAsiaTheme="majorEastAsia"/>
        </w:rPr>
        <w:t>投诉书范本及制作说明详见附件3。</w:t>
      </w:r>
    </w:p>
    <w:p>
      <w:pPr>
        <w:pStyle w:val="131"/>
        <w:snapToGrid w:val="0"/>
        <w:spacing w:before="0"/>
        <w:ind w:firstLine="360"/>
        <w:rPr>
          <w:rFonts w:cs="宋体" w:asciiTheme="majorEastAsia" w:hAnsiTheme="majorEastAsia" w:eastAsiaTheme="majorEastAsia"/>
          <w:sz w:val="18"/>
          <w:szCs w:val="18"/>
        </w:rPr>
      </w:pPr>
    </w:p>
    <w:p>
      <w:pPr>
        <w:snapToGrid w:val="0"/>
        <w:spacing w:line="360" w:lineRule="auto"/>
        <w:jc w:val="center"/>
        <w:outlineLvl w:val="0"/>
        <w:rPr>
          <w:rFonts w:cs="宋体" w:asciiTheme="majorEastAsia" w:hAnsiTheme="majorEastAsia" w:eastAsiaTheme="majorEastAsia"/>
          <w:b/>
          <w:sz w:val="32"/>
          <w:szCs w:val="20"/>
        </w:rPr>
      </w:pPr>
      <w:r>
        <w:rPr>
          <w:rFonts w:hint="eastAsia" w:cs="宋体" w:asciiTheme="majorEastAsia" w:hAnsiTheme="majorEastAsia" w:eastAsiaTheme="majorEastAsia"/>
          <w:b/>
          <w:sz w:val="32"/>
          <w:szCs w:val="20"/>
        </w:rPr>
        <w:t xml:space="preserve">      二、招标文件的构成、澄清、修改</w:t>
      </w:r>
    </w:p>
    <w:p>
      <w:pPr>
        <w:pStyle w:val="34"/>
        <w:snapToGrid w:val="0"/>
        <w:spacing w:line="360" w:lineRule="auto"/>
        <w:ind w:firstLine="482" w:firstLineChars="200"/>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5.招标文件的构成</w:t>
      </w:r>
    </w:p>
    <w:p>
      <w:pPr>
        <w:pStyle w:val="34"/>
        <w:snapToGrid w:val="0"/>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5.1招标文件包括下列文件及附件：</w:t>
      </w:r>
    </w:p>
    <w:p>
      <w:pPr>
        <w:pStyle w:val="34"/>
        <w:snapToGrid w:val="0"/>
        <w:spacing w:line="360" w:lineRule="auto"/>
        <w:ind w:firstLine="960" w:firstLineChars="4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5.1.1招标公告；</w:t>
      </w:r>
    </w:p>
    <w:p>
      <w:pPr>
        <w:pStyle w:val="34"/>
        <w:snapToGrid w:val="0"/>
        <w:spacing w:line="360" w:lineRule="auto"/>
        <w:ind w:firstLine="960" w:firstLineChars="4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5.1.2投标人须知；</w:t>
      </w:r>
    </w:p>
    <w:p>
      <w:pPr>
        <w:pStyle w:val="34"/>
        <w:snapToGrid w:val="0"/>
        <w:spacing w:line="360" w:lineRule="auto"/>
        <w:ind w:firstLine="960" w:firstLineChars="4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5.1.3采购需求；</w:t>
      </w:r>
    </w:p>
    <w:p>
      <w:pPr>
        <w:pStyle w:val="34"/>
        <w:snapToGrid w:val="0"/>
        <w:spacing w:line="360" w:lineRule="auto"/>
        <w:ind w:firstLine="960" w:firstLineChars="4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5.1.4评标办法；</w:t>
      </w:r>
    </w:p>
    <w:p>
      <w:pPr>
        <w:pStyle w:val="34"/>
        <w:snapToGrid w:val="0"/>
        <w:spacing w:line="360" w:lineRule="auto"/>
        <w:ind w:firstLine="960" w:firstLineChars="4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5.1.5拟签订的合同文本；</w:t>
      </w:r>
    </w:p>
    <w:p>
      <w:pPr>
        <w:pStyle w:val="34"/>
        <w:snapToGrid w:val="0"/>
        <w:spacing w:line="360" w:lineRule="auto"/>
        <w:ind w:firstLine="960" w:firstLineChars="400"/>
        <w:rPr>
          <w:rFonts w:cs="宋体" w:asciiTheme="majorEastAsia" w:hAnsiTheme="majorEastAsia" w:eastAsiaTheme="majorEastAsia"/>
          <w:sz w:val="24"/>
          <w:szCs w:val="24"/>
        </w:rPr>
      </w:pPr>
      <w:r>
        <w:rPr>
          <w:rFonts w:hint="eastAsia" w:cs="宋体" w:asciiTheme="majorEastAsia" w:hAnsiTheme="majorEastAsia" w:eastAsiaTheme="majorEastAsia"/>
          <w:sz w:val="24"/>
        </w:rPr>
        <w:t>5.1.6</w:t>
      </w:r>
      <w:r>
        <w:rPr>
          <w:rFonts w:hint="eastAsia" w:cs="宋体" w:asciiTheme="majorEastAsia" w:hAnsiTheme="majorEastAsia" w:eastAsiaTheme="majorEastAsia"/>
          <w:sz w:val="24"/>
          <w:szCs w:val="24"/>
        </w:rPr>
        <w:t>应提交的有关格式范例。</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5.2与本项目有关的</w:t>
      </w:r>
      <w:r>
        <w:rPr>
          <w:rFonts w:hint="eastAsia" w:cs="宋体" w:asciiTheme="majorEastAsia" w:hAnsiTheme="majorEastAsia" w:eastAsiaTheme="majorEastAsia"/>
          <w:bCs/>
          <w:sz w:val="24"/>
        </w:rPr>
        <w:t>澄清或者修改的内容为招标文件的组成部分</w:t>
      </w:r>
      <w:r>
        <w:rPr>
          <w:rFonts w:hint="eastAsia" w:cs="宋体" w:asciiTheme="majorEastAsia" w:hAnsiTheme="majorEastAsia" w:eastAsiaTheme="majorEastAsia"/>
          <w:sz w:val="24"/>
        </w:rPr>
        <w:t>。</w:t>
      </w:r>
    </w:p>
    <w:p>
      <w:pPr>
        <w:pStyle w:val="34"/>
        <w:snapToGrid w:val="0"/>
        <w:spacing w:line="360" w:lineRule="auto"/>
        <w:ind w:firstLine="482" w:firstLineChars="200"/>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6.招标文件的澄清、修改</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6.1已获取招标文件的潜在投标人，若有问题需要澄清，应于投标截止时间前，以书面形式向采购代理机构提出。</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snapToGrid w:val="0"/>
        <w:rPr>
          <w:rFonts w:cs="宋体" w:asciiTheme="majorEastAsia" w:hAnsiTheme="majorEastAsia" w:eastAsiaTheme="majorEastAsia"/>
          <w:sz w:val="18"/>
          <w:szCs w:val="18"/>
          <w:lang w:val="en-US"/>
        </w:rPr>
      </w:pPr>
    </w:p>
    <w:p>
      <w:pPr>
        <w:snapToGrid w:val="0"/>
        <w:spacing w:line="360" w:lineRule="auto"/>
        <w:jc w:val="center"/>
        <w:outlineLvl w:val="0"/>
        <w:rPr>
          <w:rFonts w:cs="宋体" w:asciiTheme="majorEastAsia" w:hAnsiTheme="majorEastAsia" w:eastAsiaTheme="majorEastAsia"/>
          <w:b/>
          <w:sz w:val="30"/>
          <w:szCs w:val="20"/>
        </w:rPr>
      </w:pPr>
      <w:r>
        <w:rPr>
          <w:rFonts w:hint="eastAsia" w:cs="宋体" w:asciiTheme="majorEastAsia" w:hAnsiTheme="majorEastAsia" w:eastAsiaTheme="majorEastAsia"/>
          <w:b/>
          <w:sz w:val="30"/>
          <w:szCs w:val="20"/>
        </w:rPr>
        <w:t>三、投标</w:t>
      </w:r>
    </w:p>
    <w:p>
      <w:pPr>
        <w:pStyle w:val="34"/>
        <w:snapToGrid w:val="0"/>
        <w:spacing w:line="360" w:lineRule="auto"/>
        <w:ind w:firstLine="482" w:firstLineChars="200"/>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7.招标文件的获取</w:t>
      </w:r>
    </w:p>
    <w:p>
      <w:pPr>
        <w:snapToGrid w:val="0"/>
        <w:spacing w:line="360" w:lineRule="auto"/>
        <w:ind w:firstLine="480" w:firstLineChars="200"/>
        <w:rPr>
          <w:rFonts w:cs="宋体" w:asciiTheme="majorEastAsia" w:hAnsiTheme="majorEastAsia" w:eastAsiaTheme="majorEastAsia"/>
          <w:snapToGrid w:val="0"/>
          <w:kern w:val="28"/>
          <w:sz w:val="24"/>
        </w:rPr>
      </w:pPr>
      <w:r>
        <w:rPr>
          <w:rFonts w:hint="eastAsia" w:cs="宋体" w:asciiTheme="majorEastAsia" w:hAnsiTheme="majorEastAsia" w:eastAsiaTheme="majorEastAsia"/>
          <w:snapToGrid w:val="0"/>
          <w:kern w:val="28"/>
          <w:sz w:val="24"/>
        </w:rPr>
        <w:t>详见招标公告中获取招标文件的时间期限、地点、方式及招标文件售价。</w:t>
      </w:r>
    </w:p>
    <w:p>
      <w:pPr>
        <w:pStyle w:val="34"/>
        <w:snapToGrid w:val="0"/>
        <w:spacing w:line="360" w:lineRule="auto"/>
        <w:ind w:firstLine="482" w:firstLineChars="200"/>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8.开标前答疑会或现场考察</w:t>
      </w:r>
    </w:p>
    <w:p>
      <w:pPr>
        <w:pStyle w:val="34"/>
        <w:snapToGrid w:val="0"/>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采购人组织潜在投标人现场考察或者召开开标前答疑会的，潜在投标人按第二部分投标人须知前附表的规定参加现场考察或者开标前答疑会。</w:t>
      </w:r>
    </w:p>
    <w:p>
      <w:pPr>
        <w:pStyle w:val="34"/>
        <w:snapToGrid w:val="0"/>
        <w:spacing w:line="360" w:lineRule="auto"/>
        <w:ind w:firstLine="482" w:firstLineChars="200"/>
        <w:rPr>
          <w:rFonts w:cs="宋体" w:asciiTheme="majorEastAsia" w:hAnsiTheme="majorEastAsia" w:eastAsiaTheme="majorEastAsia"/>
          <w:b/>
          <w:szCs w:val="24"/>
        </w:rPr>
      </w:pPr>
      <w:r>
        <w:rPr>
          <w:rFonts w:hint="eastAsia" w:cs="宋体" w:asciiTheme="majorEastAsia" w:hAnsiTheme="majorEastAsia" w:eastAsiaTheme="majorEastAsia"/>
          <w:b/>
          <w:kern w:val="28"/>
          <w:sz w:val="24"/>
          <w:szCs w:val="24"/>
        </w:rPr>
        <w:t>9.投标保证金</w:t>
      </w:r>
    </w:p>
    <w:p>
      <w:pPr>
        <w:pStyle w:val="8"/>
        <w:spacing w:line="360" w:lineRule="auto"/>
        <w:ind w:firstLine="470" w:firstLineChars="196"/>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本项目不需缴纳投标保证金。</w:t>
      </w:r>
    </w:p>
    <w:p>
      <w:pPr>
        <w:pStyle w:val="34"/>
        <w:snapToGrid w:val="0"/>
        <w:spacing w:line="360" w:lineRule="auto"/>
        <w:ind w:firstLine="482" w:firstLineChars="200"/>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10.投标文件的语言</w:t>
      </w:r>
    </w:p>
    <w:p>
      <w:pPr>
        <w:autoSpaceDE w:val="0"/>
        <w:autoSpaceDN w:val="0"/>
        <w:snapToGrid w:val="0"/>
        <w:spacing w:line="360" w:lineRule="auto"/>
        <w:ind w:firstLine="480" w:firstLineChars="200"/>
        <w:rPr>
          <w:rFonts w:cs="宋体" w:asciiTheme="majorEastAsia" w:hAnsiTheme="majorEastAsia" w:eastAsiaTheme="majorEastAsia"/>
          <w:sz w:val="24"/>
          <w:lang w:val="zh-CN"/>
        </w:rPr>
      </w:pPr>
      <w:r>
        <w:rPr>
          <w:rFonts w:hint="eastAsia" w:cs="宋体" w:asciiTheme="majorEastAsia" w:hAnsiTheme="majorEastAsia" w:eastAsiaTheme="majorEastAsia"/>
          <w:sz w:val="24"/>
        </w:rPr>
        <w:t>投标文件及投标人与采购有关的来往通知、函件和文件均应使用中文。</w:t>
      </w:r>
    </w:p>
    <w:p>
      <w:pPr>
        <w:pStyle w:val="34"/>
        <w:snapToGrid w:val="0"/>
        <w:spacing w:line="360" w:lineRule="auto"/>
        <w:ind w:firstLine="482" w:firstLineChars="200"/>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11.投标文件的组成</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11.1</w:t>
      </w:r>
      <w:r>
        <w:rPr>
          <w:rFonts w:hint="eastAsia" w:cs="宋体" w:asciiTheme="majorEastAsia" w:hAnsiTheme="majorEastAsia" w:eastAsiaTheme="majorEastAsia"/>
          <w:b/>
          <w:sz w:val="24"/>
        </w:rPr>
        <w:t>资格文件</w:t>
      </w:r>
      <w:r>
        <w:rPr>
          <w:rFonts w:hint="eastAsia" w:cs="宋体" w:asciiTheme="majorEastAsia" w:hAnsiTheme="majorEastAsia" w:eastAsiaTheme="majorEastAsia"/>
          <w:sz w:val="24"/>
        </w:rPr>
        <w:t>：</w:t>
      </w:r>
    </w:p>
    <w:p>
      <w:pPr>
        <w:snapToGrid w:val="0"/>
        <w:spacing w:line="360" w:lineRule="auto"/>
        <w:ind w:firstLine="960" w:firstLineChars="400"/>
        <w:rPr>
          <w:rFonts w:cs="宋体" w:asciiTheme="majorEastAsia" w:hAnsiTheme="majorEastAsia" w:eastAsiaTheme="majorEastAsia"/>
          <w:sz w:val="24"/>
        </w:rPr>
      </w:pPr>
      <w:r>
        <w:rPr>
          <w:rFonts w:hint="eastAsia" w:cs="宋体" w:asciiTheme="majorEastAsia" w:hAnsiTheme="majorEastAsia" w:eastAsiaTheme="majorEastAsia"/>
          <w:sz w:val="24"/>
        </w:rPr>
        <w:t>11.1.1符合参加政府采购活动应当具备的一般条件的承诺函；</w:t>
      </w:r>
    </w:p>
    <w:p>
      <w:pPr>
        <w:snapToGrid w:val="0"/>
        <w:spacing w:line="360" w:lineRule="auto"/>
        <w:ind w:firstLine="960" w:firstLineChars="400"/>
        <w:rPr>
          <w:rFonts w:cs="宋体" w:asciiTheme="majorEastAsia" w:hAnsiTheme="majorEastAsia" w:eastAsiaTheme="majorEastAsia"/>
          <w:color w:val="auto"/>
          <w:sz w:val="24"/>
        </w:rPr>
      </w:pPr>
      <w:r>
        <w:rPr>
          <w:rFonts w:hint="eastAsia" w:cs="宋体" w:asciiTheme="majorEastAsia" w:hAnsiTheme="majorEastAsia" w:eastAsiaTheme="majorEastAsia"/>
          <w:sz w:val="24"/>
        </w:rPr>
        <w:t>11.1.</w:t>
      </w:r>
      <w:r>
        <w:rPr>
          <w:rFonts w:hint="eastAsia" w:cs="宋体" w:asciiTheme="majorEastAsia" w:hAnsiTheme="majorEastAsia" w:eastAsiaTheme="majorEastAsia"/>
          <w:sz w:val="24"/>
          <w:lang w:val="en-US" w:eastAsia="zh-CN"/>
        </w:rPr>
        <w:t>2</w:t>
      </w:r>
      <w:r>
        <w:rPr>
          <w:rFonts w:hint="eastAsia" w:cs="宋体" w:asciiTheme="majorEastAsia" w:hAnsiTheme="majorEastAsia" w:eastAsiaTheme="majorEastAsia"/>
          <w:sz w:val="24"/>
        </w:rPr>
        <w:t>落实政府采</w:t>
      </w:r>
      <w:r>
        <w:rPr>
          <w:rFonts w:hint="eastAsia" w:cs="宋体" w:asciiTheme="majorEastAsia" w:hAnsiTheme="majorEastAsia" w:eastAsiaTheme="majorEastAsia"/>
          <w:color w:val="auto"/>
          <w:sz w:val="24"/>
        </w:rPr>
        <w:t>购政策需满足的资格要求</w:t>
      </w:r>
      <w:r>
        <w:rPr>
          <w:rFonts w:hint="eastAsia" w:cs="宋体" w:asciiTheme="majorEastAsia" w:hAnsiTheme="majorEastAsia" w:eastAsiaTheme="majorEastAsia"/>
          <w:snapToGrid w:val="0"/>
          <w:color w:val="auto"/>
          <w:kern w:val="28"/>
          <w:sz w:val="24"/>
          <w:szCs w:val="20"/>
          <w:lang w:eastAsia="zh-CN"/>
        </w:rPr>
        <w:t>：提供中小企业声明函</w:t>
      </w:r>
      <w:r>
        <w:rPr>
          <w:rFonts w:hint="eastAsia" w:cs="宋体" w:asciiTheme="majorEastAsia" w:hAnsiTheme="majorEastAsia" w:eastAsiaTheme="majorEastAsia"/>
          <w:color w:val="auto"/>
          <w:sz w:val="24"/>
        </w:rPr>
        <w:t>；</w:t>
      </w:r>
    </w:p>
    <w:p>
      <w:pPr>
        <w:snapToGrid w:val="0"/>
        <w:spacing w:line="360" w:lineRule="auto"/>
        <w:ind w:firstLine="960" w:firstLineChars="4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11.1.</w:t>
      </w:r>
      <w:r>
        <w:rPr>
          <w:rFonts w:hint="eastAsia" w:cs="宋体" w:asciiTheme="majorEastAsia" w:hAnsiTheme="majorEastAsia" w:eastAsiaTheme="majorEastAsia"/>
          <w:color w:val="auto"/>
          <w:sz w:val="24"/>
          <w:lang w:val="en-US" w:eastAsia="zh-CN"/>
        </w:rPr>
        <w:t>3</w:t>
      </w:r>
      <w:r>
        <w:rPr>
          <w:rFonts w:hint="eastAsia" w:cs="宋体" w:asciiTheme="majorEastAsia" w:hAnsiTheme="majorEastAsia" w:eastAsiaTheme="majorEastAsia"/>
          <w:color w:val="auto"/>
          <w:sz w:val="24"/>
        </w:rPr>
        <w:t>本项目的特定资格要求</w:t>
      </w:r>
      <w:r>
        <w:rPr>
          <w:rFonts w:hint="eastAsia" w:cs="宋体" w:asciiTheme="majorEastAsia" w:hAnsiTheme="majorEastAsia" w:eastAsiaTheme="majorEastAsia"/>
          <w:snapToGrid w:val="0"/>
          <w:color w:val="auto"/>
          <w:kern w:val="28"/>
          <w:sz w:val="24"/>
          <w:szCs w:val="20"/>
          <w:lang w:eastAsia="zh-CN"/>
        </w:rPr>
        <w:t>：无</w:t>
      </w:r>
      <w:r>
        <w:rPr>
          <w:rFonts w:hint="eastAsia" w:cs="宋体" w:asciiTheme="majorEastAsia" w:hAnsiTheme="majorEastAsia" w:eastAsiaTheme="majorEastAsia"/>
          <w:color w:val="auto"/>
          <w:sz w:val="24"/>
        </w:rPr>
        <w:t>。</w:t>
      </w:r>
    </w:p>
    <w:p>
      <w:pPr>
        <w:snapToGrid w:val="0"/>
        <w:spacing w:line="360" w:lineRule="auto"/>
        <w:ind w:firstLine="480" w:firstLineChars="200"/>
        <w:rPr>
          <w:rFonts w:cs="宋体" w:asciiTheme="majorEastAsia" w:hAnsiTheme="majorEastAsia" w:eastAsiaTheme="majorEastAsia"/>
          <w:color w:val="auto"/>
          <w:sz w:val="24"/>
          <w:lang w:val="zh-CN"/>
        </w:rPr>
      </w:pPr>
      <w:r>
        <w:rPr>
          <w:rFonts w:hint="eastAsia" w:cs="宋体" w:asciiTheme="majorEastAsia" w:hAnsiTheme="majorEastAsia" w:eastAsiaTheme="majorEastAsia"/>
          <w:color w:val="auto"/>
          <w:sz w:val="24"/>
          <w:lang w:val="zh-CN"/>
        </w:rPr>
        <w:t>11.</w:t>
      </w:r>
      <w:r>
        <w:rPr>
          <w:rFonts w:hint="eastAsia" w:cs="宋体" w:asciiTheme="majorEastAsia" w:hAnsiTheme="majorEastAsia" w:eastAsiaTheme="majorEastAsia"/>
          <w:color w:val="auto"/>
          <w:sz w:val="24"/>
        </w:rPr>
        <w:t>2</w:t>
      </w:r>
      <w:r>
        <w:rPr>
          <w:rFonts w:hint="eastAsia" w:cs="宋体" w:asciiTheme="majorEastAsia" w:hAnsiTheme="majorEastAsia" w:eastAsiaTheme="majorEastAsia"/>
          <w:b/>
          <w:bCs/>
          <w:color w:val="auto"/>
          <w:sz w:val="24"/>
        </w:rPr>
        <w:t>商务技术</w:t>
      </w:r>
      <w:r>
        <w:rPr>
          <w:rFonts w:hint="eastAsia" w:cs="宋体" w:asciiTheme="majorEastAsia" w:hAnsiTheme="majorEastAsia" w:eastAsiaTheme="majorEastAsia"/>
          <w:b/>
          <w:bCs/>
          <w:color w:val="auto"/>
          <w:sz w:val="24"/>
          <w:lang w:val="zh-CN"/>
        </w:rPr>
        <w:t>文件</w:t>
      </w:r>
      <w:r>
        <w:rPr>
          <w:rFonts w:hint="eastAsia" w:cs="宋体" w:asciiTheme="majorEastAsia" w:hAnsiTheme="majorEastAsia" w:eastAsiaTheme="majorEastAsia"/>
          <w:color w:val="auto"/>
          <w:sz w:val="24"/>
          <w:lang w:val="zh-CN"/>
        </w:rPr>
        <w:t>：</w:t>
      </w:r>
    </w:p>
    <w:p>
      <w:pPr>
        <w:snapToGrid w:val="0"/>
        <w:spacing w:line="360" w:lineRule="auto"/>
        <w:ind w:firstLine="960" w:firstLineChars="4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11.2.1投标函；</w:t>
      </w:r>
    </w:p>
    <w:p>
      <w:pPr>
        <w:snapToGrid w:val="0"/>
        <w:spacing w:line="360" w:lineRule="auto"/>
        <w:ind w:firstLine="960" w:firstLineChars="4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11.2.2授权委托书或法定代表人（单位负责人、自然人本人）身份证明；</w:t>
      </w:r>
    </w:p>
    <w:p>
      <w:pPr>
        <w:snapToGrid w:val="0"/>
        <w:spacing w:line="360" w:lineRule="auto"/>
        <w:ind w:firstLine="960" w:firstLineChars="4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11.2.</w:t>
      </w:r>
      <w:r>
        <w:rPr>
          <w:rFonts w:hint="eastAsia" w:cs="宋体" w:asciiTheme="majorEastAsia" w:hAnsiTheme="majorEastAsia" w:eastAsiaTheme="majorEastAsia"/>
          <w:color w:val="auto"/>
          <w:sz w:val="24"/>
          <w:lang w:val="en-US" w:eastAsia="zh-CN"/>
        </w:rPr>
        <w:t>3</w:t>
      </w:r>
      <w:r>
        <w:rPr>
          <w:rFonts w:hint="eastAsia" w:cs="宋体" w:asciiTheme="majorEastAsia" w:hAnsiTheme="majorEastAsia" w:eastAsiaTheme="majorEastAsia"/>
          <w:color w:val="auto"/>
          <w:sz w:val="24"/>
        </w:rPr>
        <w:t>符合性审查资料；</w:t>
      </w:r>
    </w:p>
    <w:p>
      <w:pPr>
        <w:snapToGrid w:val="0"/>
        <w:spacing w:line="360" w:lineRule="auto"/>
        <w:ind w:firstLine="960" w:firstLineChars="4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11.2.</w:t>
      </w:r>
      <w:r>
        <w:rPr>
          <w:rFonts w:hint="eastAsia" w:cs="宋体" w:asciiTheme="majorEastAsia" w:hAnsiTheme="majorEastAsia" w:eastAsiaTheme="majorEastAsia"/>
          <w:color w:val="auto"/>
          <w:sz w:val="24"/>
          <w:lang w:val="en-US" w:eastAsia="zh-CN"/>
        </w:rPr>
        <w:t>4</w:t>
      </w:r>
      <w:r>
        <w:rPr>
          <w:rFonts w:hint="eastAsia" w:cs="宋体" w:asciiTheme="majorEastAsia" w:hAnsiTheme="majorEastAsia" w:eastAsiaTheme="majorEastAsia"/>
          <w:color w:val="auto"/>
          <w:sz w:val="24"/>
        </w:rPr>
        <w:t>评标标准相应的商务技术资料；</w:t>
      </w:r>
    </w:p>
    <w:p>
      <w:pPr>
        <w:snapToGrid w:val="0"/>
        <w:spacing w:line="360" w:lineRule="auto"/>
        <w:ind w:firstLine="960" w:firstLineChars="4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11.2.</w:t>
      </w:r>
      <w:r>
        <w:rPr>
          <w:rFonts w:hint="eastAsia" w:cs="宋体" w:asciiTheme="majorEastAsia" w:hAnsiTheme="majorEastAsia" w:eastAsiaTheme="majorEastAsia"/>
          <w:color w:val="auto"/>
          <w:sz w:val="24"/>
          <w:lang w:val="en-US" w:eastAsia="zh-CN"/>
        </w:rPr>
        <w:t>5</w:t>
      </w:r>
      <w:r>
        <w:rPr>
          <w:rFonts w:hint="eastAsia" w:cs="宋体" w:asciiTheme="majorEastAsia" w:hAnsiTheme="majorEastAsia" w:eastAsiaTheme="majorEastAsia"/>
          <w:color w:val="auto"/>
          <w:sz w:val="24"/>
        </w:rPr>
        <w:t>投标标的清单；</w:t>
      </w:r>
    </w:p>
    <w:p>
      <w:pPr>
        <w:snapToGrid w:val="0"/>
        <w:spacing w:line="360" w:lineRule="auto"/>
        <w:ind w:firstLine="960" w:firstLineChars="4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11.2.</w:t>
      </w:r>
      <w:r>
        <w:rPr>
          <w:rFonts w:hint="eastAsia" w:cs="宋体" w:asciiTheme="majorEastAsia" w:hAnsiTheme="majorEastAsia" w:eastAsiaTheme="majorEastAsia"/>
          <w:color w:val="auto"/>
          <w:sz w:val="24"/>
          <w:lang w:val="en-US" w:eastAsia="zh-CN"/>
        </w:rPr>
        <w:t>6</w:t>
      </w:r>
      <w:r>
        <w:rPr>
          <w:rFonts w:hint="eastAsia" w:cs="宋体" w:asciiTheme="majorEastAsia" w:hAnsiTheme="majorEastAsia" w:eastAsiaTheme="majorEastAsia"/>
          <w:color w:val="auto"/>
          <w:sz w:val="24"/>
        </w:rPr>
        <w:t>商务技术偏离表；</w:t>
      </w:r>
    </w:p>
    <w:p>
      <w:pPr>
        <w:snapToGrid w:val="0"/>
        <w:spacing w:line="360" w:lineRule="auto"/>
        <w:ind w:firstLine="960" w:firstLineChars="400"/>
        <w:rPr>
          <w:rFonts w:hint="eastAsia" w:cs="宋体" w:asciiTheme="majorEastAsia" w:hAnsiTheme="majorEastAsia" w:eastAsiaTheme="majorEastAsia"/>
          <w:color w:val="auto"/>
          <w:sz w:val="24"/>
          <w:lang w:val="zh-CN" w:eastAsia="zh-CN"/>
        </w:rPr>
      </w:pPr>
      <w:r>
        <w:rPr>
          <w:rFonts w:hint="eastAsia" w:cs="宋体" w:asciiTheme="majorEastAsia" w:hAnsiTheme="majorEastAsia" w:eastAsiaTheme="majorEastAsia"/>
          <w:color w:val="auto"/>
          <w:sz w:val="24"/>
          <w:lang w:val="zh-CN"/>
        </w:rPr>
        <w:t>11.</w:t>
      </w:r>
      <w:r>
        <w:rPr>
          <w:rFonts w:hint="eastAsia" w:cs="宋体" w:asciiTheme="majorEastAsia" w:hAnsiTheme="majorEastAsia" w:eastAsiaTheme="majorEastAsia"/>
          <w:color w:val="auto"/>
          <w:sz w:val="24"/>
        </w:rPr>
        <w:t>2</w:t>
      </w:r>
      <w:r>
        <w:rPr>
          <w:rFonts w:hint="eastAsia" w:cs="宋体" w:asciiTheme="majorEastAsia" w:hAnsiTheme="majorEastAsia" w:eastAsiaTheme="majorEastAsia"/>
          <w:color w:val="auto"/>
          <w:sz w:val="24"/>
          <w:lang w:val="zh-CN"/>
        </w:rPr>
        <w:t>.</w:t>
      </w:r>
      <w:r>
        <w:rPr>
          <w:rFonts w:hint="eastAsia" w:cs="宋体" w:asciiTheme="majorEastAsia" w:hAnsiTheme="majorEastAsia" w:eastAsiaTheme="majorEastAsia"/>
          <w:color w:val="auto"/>
          <w:sz w:val="24"/>
          <w:lang w:val="en-US" w:eastAsia="zh-CN"/>
        </w:rPr>
        <w:t>7</w:t>
      </w:r>
      <w:r>
        <w:rPr>
          <w:rFonts w:hint="eastAsia" w:cs="宋体" w:asciiTheme="majorEastAsia" w:hAnsiTheme="majorEastAsia" w:eastAsiaTheme="majorEastAsia"/>
          <w:color w:val="auto"/>
          <w:sz w:val="24"/>
          <w:lang w:val="zh-CN"/>
        </w:rPr>
        <w:t>政府采购供应商廉洁自律承诺书</w:t>
      </w:r>
      <w:r>
        <w:rPr>
          <w:rFonts w:hint="eastAsia" w:cs="宋体" w:asciiTheme="majorEastAsia" w:hAnsiTheme="majorEastAsia" w:eastAsiaTheme="majorEastAsia"/>
          <w:color w:val="auto"/>
          <w:sz w:val="24"/>
          <w:lang w:val="zh-CN" w:eastAsia="zh-CN"/>
        </w:rPr>
        <w:t>。</w:t>
      </w:r>
    </w:p>
    <w:p>
      <w:pPr>
        <w:snapToGrid w:val="0"/>
        <w:spacing w:line="360" w:lineRule="auto"/>
        <w:ind w:firstLine="480" w:firstLineChars="200"/>
        <w:rPr>
          <w:rFonts w:cs="宋体" w:asciiTheme="majorEastAsia" w:hAnsiTheme="majorEastAsia" w:eastAsiaTheme="majorEastAsia"/>
          <w:color w:val="auto"/>
          <w:sz w:val="24"/>
          <w:u w:val="single"/>
          <w:lang w:val="zh-CN"/>
        </w:rPr>
      </w:pPr>
      <w:r>
        <w:rPr>
          <w:rFonts w:hint="eastAsia" w:cs="宋体" w:asciiTheme="majorEastAsia" w:hAnsiTheme="majorEastAsia" w:eastAsiaTheme="majorEastAsia"/>
          <w:color w:val="auto"/>
          <w:kern w:val="0"/>
          <w:sz w:val="24"/>
          <w:lang w:val="zh-CN"/>
        </w:rPr>
        <w:t>11.</w:t>
      </w:r>
      <w:r>
        <w:rPr>
          <w:rFonts w:hint="eastAsia" w:cs="宋体" w:asciiTheme="majorEastAsia" w:hAnsiTheme="majorEastAsia" w:eastAsiaTheme="majorEastAsia"/>
          <w:color w:val="auto"/>
          <w:kern w:val="0"/>
          <w:sz w:val="24"/>
        </w:rPr>
        <w:t>3</w:t>
      </w:r>
      <w:r>
        <w:rPr>
          <w:rFonts w:hint="eastAsia" w:cs="宋体" w:asciiTheme="majorEastAsia" w:hAnsiTheme="majorEastAsia" w:eastAsiaTheme="majorEastAsia"/>
          <w:b/>
          <w:color w:val="auto"/>
          <w:sz w:val="24"/>
        </w:rPr>
        <w:t>报价文件：</w:t>
      </w:r>
    </w:p>
    <w:p>
      <w:pPr>
        <w:snapToGrid w:val="0"/>
        <w:spacing w:line="360" w:lineRule="auto"/>
        <w:ind w:firstLine="960" w:firstLineChars="4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11.3.1开标一览表（报价表）；</w:t>
      </w:r>
    </w:p>
    <w:p>
      <w:pPr>
        <w:pStyle w:val="6"/>
        <w:adjustRightInd w:val="0"/>
        <w:snapToGrid w:val="0"/>
        <w:ind w:left="0" w:firstLine="960" w:firstLineChars="400"/>
        <w:rPr>
          <w:rFonts w:cs="宋体" w:asciiTheme="majorEastAsia" w:hAnsiTheme="majorEastAsia" w:eastAsiaTheme="majorEastAsia"/>
          <w:color w:val="auto"/>
        </w:rPr>
      </w:pPr>
      <w:r>
        <w:rPr>
          <w:rFonts w:hint="eastAsia" w:cs="宋体" w:asciiTheme="majorEastAsia" w:hAnsiTheme="majorEastAsia" w:eastAsiaTheme="majorEastAsia"/>
          <w:b w:val="0"/>
          <w:bCs w:val="0"/>
          <w:color w:val="auto"/>
          <w:sz w:val="24"/>
          <w:szCs w:val="24"/>
          <w:lang w:val="en-US"/>
        </w:rPr>
        <w:t>11.3.2 报价情况说明（如供应商报价低于项目预算50%的，应当提交本文档，详细阐述不影响产品质量或者诚信履约的具体原因）。</w:t>
      </w:r>
    </w:p>
    <w:p>
      <w:pPr>
        <w:snapToGrid w:val="0"/>
        <w:spacing w:line="360" w:lineRule="auto"/>
        <w:ind w:firstLine="723" w:firstLineChars="300"/>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投标文件含有采购人不能接受的附加条件的，投标无效；</w:t>
      </w:r>
    </w:p>
    <w:p>
      <w:pPr>
        <w:snapToGrid w:val="0"/>
        <w:spacing w:line="360" w:lineRule="auto"/>
        <w:ind w:firstLine="723" w:firstLineChars="300"/>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投标人提供虚假材料投标的，投标无效。</w:t>
      </w:r>
    </w:p>
    <w:p>
      <w:pPr>
        <w:snapToGrid w:val="0"/>
        <w:spacing w:line="360" w:lineRule="auto"/>
        <w:ind w:firstLine="720" w:firstLineChars="300"/>
        <w:rPr>
          <w:rFonts w:cs="宋体" w:asciiTheme="majorEastAsia" w:hAnsiTheme="majorEastAsia" w:eastAsiaTheme="majorEastAsia"/>
          <w:color w:val="auto"/>
        </w:rPr>
      </w:pPr>
      <w:r>
        <w:rPr>
          <w:rFonts w:hint="eastAsia" w:cs="宋体" w:asciiTheme="majorEastAsia" w:hAnsiTheme="majorEastAsia" w:eastAsiaTheme="majorEastAsia"/>
          <w:color w:val="auto"/>
          <w:sz w:val="24"/>
          <w:shd w:val="clear" w:color="auto" w:fill="FFFFFF"/>
        </w:rPr>
        <w:t>投标人应对投标文件中材料的真实性、合法性负责。</w:t>
      </w:r>
    </w:p>
    <w:p>
      <w:pPr>
        <w:pStyle w:val="131"/>
        <w:snapToGrid w:val="0"/>
        <w:spacing w:before="0"/>
        <w:ind w:firstLine="482"/>
        <w:outlineLvl w:val="0"/>
        <w:rPr>
          <w:rFonts w:cs="宋体" w:asciiTheme="majorEastAsia" w:hAnsiTheme="majorEastAsia" w:eastAsiaTheme="majorEastAsia"/>
          <w:b/>
          <w:szCs w:val="24"/>
        </w:rPr>
      </w:pPr>
      <w:r>
        <w:rPr>
          <w:rFonts w:hint="eastAsia" w:cs="宋体" w:asciiTheme="majorEastAsia" w:hAnsiTheme="majorEastAsia" w:eastAsiaTheme="majorEastAsia"/>
          <w:b/>
          <w:szCs w:val="24"/>
        </w:rPr>
        <w:t>12</w:t>
      </w:r>
      <w:r>
        <w:rPr>
          <w:rFonts w:hint="eastAsia" w:cs="宋体" w:asciiTheme="majorEastAsia" w:hAnsiTheme="majorEastAsia" w:eastAsiaTheme="majorEastAsia"/>
          <w:b/>
          <w:kern w:val="0"/>
          <w:szCs w:val="24"/>
          <w:lang w:val="zh-CN"/>
        </w:rPr>
        <w:t>.</w:t>
      </w:r>
      <w:r>
        <w:rPr>
          <w:rFonts w:hint="eastAsia" w:cs="宋体" w:asciiTheme="majorEastAsia" w:hAnsiTheme="majorEastAsia" w:eastAsiaTheme="majorEastAsia"/>
          <w:b/>
          <w:szCs w:val="24"/>
        </w:rPr>
        <w:t>投标文件的编制</w:t>
      </w:r>
    </w:p>
    <w:p>
      <w:pPr>
        <w:snapToGrid w:val="0"/>
        <w:spacing w:line="360" w:lineRule="auto"/>
        <w:ind w:firstLine="480" w:firstLineChars="200"/>
        <w:rPr>
          <w:rFonts w:cs="宋体" w:asciiTheme="majorEastAsia" w:hAnsiTheme="majorEastAsia" w:eastAsiaTheme="majorEastAsia"/>
          <w:b/>
          <w:sz w:val="24"/>
        </w:rPr>
      </w:pPr>
      <w:r>
        <w:rPr>
          <w:rFonts w:hint="eastAsia" w:cs="宋体" w:asciiTheme="majorEastAsia" w:hAnsiTheme="majorEastAsia" w:eastAsiaTheme="maj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napToGrid w:val="0"/>
        <w:spacing w:line="360" w:lineRule="auto"/>
        <w:ind w:firstLine="480" w:firstLineChars="200"/>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napToGrid w:val="0"/>
        <w:spacing w:line="360" w:lineRule="auto"/>
        <w:ind w:firstLine="480" w:firstLineChars="200"/>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cs="宋体" w:asciiTheme="majorEastAsia" w:hAnsiTheme="majorEastAsia" w:eastAsiaTheme="majorEastAsia"/>
          <w:b/>
          <w:sz w:val="24"/>
        </w:rPr>
      </w:pPr>
      <w:r>
        <w:rPr>
          <w:rFonts w:hint="eastAsia" w:cs="宋体" w:asciiTheme="majorEastAsia" w:hAnsiTheme="majorEastAsia" w:eastAsiaTheme="majorEastAsia"/>
          <w:b/>
          <w:sz w:val="24"/>
        </w:rPr>
        <w:t>13.投标文件的签署、盖章</w:t>
      </w:r>
    </w:p>
    <w:p>
      <w:pPr>
        <w:pStyle w:val="131"/>
        <w:snapToGrid w:val="0"/>
        <w:spacing w:before="0"/>
        <w:ind w:firstLine="480"/>
        <w:rPr>
          <w:rFonts w:cs="宋体" w:asciiTheme="majorEastAsia" w:hAnsiTheme="majorEastAsia" w:eastAsiaTheme="majorEastAsia"/>
          <w:b/>
        </w:rPr>
      </w:pPr>
      <w:r>
        <w:rPr>
          <w:rFonts w:hint="eastAsia" w:cs="宋体" w:asciiTheme="majorEastAsia" w:hAnsiTheme="majorEastAsia" w:eastAsiaTheme="majorEastAsia"/>
          <w:szCs w:val="24"/>
        </w:rPr>
        <w:t>13.1投标文件按照招标文件第六部分格式要</w:t>
      </w:r>
      <w:r>
        <w:rPr>
          <w:rFonts w:hint="eastAsia" w:cs="宋体" w:asciiTheme="majorEastAsia" w:hAnsiTheme="majorEastAsia" w:eastAsiaTheme="majorEastAsia"/>
        </w:rPr>
        <w:t>求进行签署、盖章。</w:t>
      </w:r>
      <w:r>
        <w:rPr>
          <w:rFonts w:hint="eastAsia" w:cs="宋体" w:asciiTheme="majorEastAsia" w:hAnsiTheme="majorEastAsia" w:eastAsiaTheme="majorEastAsia"/>
          <w:b/>
        </w:rPr>
        <w:t>▲投标人的投标文件未按照招标文件要求签署、盖章的，其投标无效</w:t>
      </w:r>
      <w:r>
        <w:rPr>
          <w:rFonts w:hint="eastAsia" w:cs="宋体" w:asciiTheme="majorEastAsia" w:hAnsiTheme="majorEastAsia" w:eastAsiaTheme="majorEastAsia"/>
          <w:szCs w:val="24"/>
        </w:rPr>
        <w:t>。</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cs="宋体" w:asciiTheme="majorEastAsia" w:hAnsiTheme="majorEastAsia" w:eastAsiaTheme="majorEastAsia"/>
          <w:szCs w:val="24"/>
        </w:rPr>
      </w:pPr>
      <w:r>
        <w:rPr>
          <w:rFonts w:hint="eastAsia" w:cs="宋体" w:asciiTheme="majorEastAsia" w:hAnsiTheme="majorEastAsia" w:eastAsiaTheme="majorEastAsia"/>
        </w:rPr>
        <w:t>13.3招标文件对投标文件签署、盖章的要求适用于电子签名。</w:t>
      </w:r>
    </w:p>
    <w:p>
      <w:pPr>
        <w:pStyle w:val="131"/>
        <w:snapToGrid w:val="0"/>
        <w:spacing w:before="0"/>
        <w:ind w:firstLine="482"/>
        <w:rPr>
          <w:rFonts w:cs="宋体" w:asciiTheme="majorEastAsia" w:hAnsiTheme="majorEastAsia" w:eastAsiaTheme="majorEastAsia"/>
          <w:b/>
          <w:szCs w:val="24"/>
        </w:rPr>
      </w:pPr>
      <w:r>
        <w:rPr>
          <w:rFonts w:hint="eastAsia" w:cs="宋体" w:asciiTheme="majorEastAsia" w:hAnsiTheme="majorEastAsia" w:eastAsiaTheme="majorEastAsia"/>
          <w:b/>
          <w:szCs w:val="24"/>
        </w:rPr>
        <w:t>14.投标文件的提交、补充、修改、撤回</w:t>
      </w:r>
    </w:p>
    <w:p>
      <w:pPr>
        <w:pStyle w:val="131"/>
        <w:snapToGrid w:val="0"/>
        <w:spacing w:before="0"/>
        <w:ind w:firstLine="480"/>
        <w:rPr>
          <w:rFonts w:cs="宋体" w:asciiTheme="majorEastAsia" w:hAnsiTheme="majorEastAsia" w:eastAsiaTheme="majorEastAsia"/>
          <w:szCs w:val="24"/>
        </w:rPr>
      </w:pPr>
      <w:r>
        <w:rPr>
          <w:rFonts w:hint="eastAsia" w:cs="宋体" w:asciiTheme="majorEastAsia" w:hAnsiTheme="majorEastAsia" w:eastAsiaTheme="majorEastAsia"/>
          <w:szCs w:val="24"/>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napToGrid w:val="0"/>
        <w:spacing w:before="0"/>
        <w:ind w:firstLine="480"/>
        <w:rPr>
          <w:rFonts w:cs="宋体" w:asciiTheme="majorEastAsia" w:hAnsiTheme="majorEastAsia" w:eastAsiaTheme="majorEastAsia"/>
          <w:szCs w:val="24"/>
        </w:rPr>
      </w:pPr>
      <w:r>
        <w:rPr>
          <w:rFonts w:hint="eastAsia" w:cs="宋体" w:asciiTheme="majorEastAsia" w:hAnsiTheme="majorEastAsia" w:eastAsiaTheme="maj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napToGrid w:val="0"/>
        <w:spacing w:before="0"/>
        <w:ind w:firstLine="480"/>
        <w:rPr>
          <w:rFonts w:cs="宋体" w:asciiTheme="majorEastAsia" w:hAnsiTheme="majorEastAsia" w:eastAsiaTheme="majorEastAsia"/>
          <w:szCs w:val="24"/>
        </w:rPr>
      </w:pPr>
      <w:r>
        <w:rPr>
          <w:rFonts w:hint="eastAsia" w:cs="宋体" w:asciiTheme="majorEastAsia" w:hAnsiTheme="majorEastAsia" w:eastAsiaTheme="majorEastAsia"/>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4"/>
        <w:snapToGrid w:val="0"/>
        <w:spacing w:line="360" w:lineRule="auto"/>
        <w:ind w:firstLine="482" w:firstLineChars="200"/>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15.备份投标文件</w:t>
      </w:r>
    </w:p>
    <w:p>
      <w:pPr>
        <w:pStyle w:val="34"/>
        <w:snapToGrid w:val="0"/>
        <w:spacing w:line="360" w:lineRule="auto"/>
        <w:ind w:firstLine="360" w:firstLineChars="150"/>
        <w:rPr>
          <w:rFonts w:cs="宋体" w:asciiTheme="majorEastAsia" w:hAnsiTheme="majorEastAsia" w:eastAsiaTheme="majorEastAsia"/>
          <w:b/>
          <w:sz w:val="24"/>
          <w:szCs w:val="24"/>
        </w:rPr>
      </w:pPr>
      <w:r>
        <w:rPr>
          <w:rFonts w:hint="eastAsia" w:cs="宋体" w:asciiTheme="majorEastAsia" w:hAnsiTheme="majorEastAsia" w:eastAsiaTheme="majorEastAsia"/>
          <w:sz w:val="24"/>
          <w:szCs w:val="24"/>
        </w:rPr>
        <w:t xml:space="preserve"> 15.1投标人在电子交易平台传输递交投标文件后，还可以在投标截止时间前直接提交或者以邮政快递方式递交备份投标文件1份，</w:t>
      </w:r>
      <w:r>
        <w:rPr>
          <w:rFonts w:hint="eastAsia" w:cs="宋体" w:asciiTheme="majorEastAsia" w:hAnsiTheme="majorEastAsia" w:eastAsiaTheme="majorEastAsia"/>
          <w:b/>
          <w:sz w:val="24"/>
          <w:szCs w:val="24"/>
        </w:rPr>
        <w:t>但采购人、采购代理机构不强制或变相强制投标人提交备份投标文件。</w:t>
      </w:r>
    </w:p>
    <w:p>
      <w:pPr>
        <w:pStyle w:val="34"/>
        <w:snapToGrid w:val="0"/>
        <w:spacing w:line="360" w:lineRule="auto"/>
        <w:ind w:firstLine="480" w:firstLineChars="200"/>
        <w:rPr>
          <w:rFonts w:cs="宋体" w:asciiTheme="majorEastAsia" w:hAnsiTheme="majorEastAsia" w:eastAsiaTheme="majorEastAsia"/>
          <w:b/>
          <w:sz w:val="24"/>
          <w:szCs w:val="24"/>
        </w:rPr>
      </w:pPr>
      <w:r>
        <w:rPr>
          <w:rFonts w:hint="eastAsia" w:cs="宋体" w:asciiTheme="majorEastAsia" w:hAnsiTheme="majorEastAsia" w:eastAsiaTheme="majorEastAsia"/>
          <w:sz w:val="24"/>
          <w:szCs w:val="24"/>
        </w:rPr>
        <w:t>15.2备份投标文件须在“政采云投标客户端”制作生成，并储存在</w:t>
      </w:r>
      <w:r>
        <w:rPr>
          <w:rFonts w:hint="eastAsia" w:cs="宋体" w:asciiTheme="majorEastAsia" w:hAnsiTheme="majorEastAsia" w:eastAsiaTheme="majorEastAsia"/>
          <w:sz w:val="24"/>
        </w:rPr>
        <w:t>DVD光盘等存储介质</w:t>
      </w:r>
      <w:r>
        <w:rPr>
          <w:rFonts w:hint="eastAsia" w:cs="宋体" w:asciiTheme="majorEastAsia" w:hAnsiTheme="majorEastAsia" w:eastAsiaTheme="major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ajorEastAsia" w:hAnsiTheme="majorEastAsia" w:eastAsiaTheme="majorEastAsia"/>
          <w:b/>
          <w:sz w:val="24"/>
        </w:rPr>
        <w:t>不符合上述制作、</w:t>
      </w:r>
      <w:r>
        <w:rPr>
          <w:rFonts w:hint="eastAsia" w:cs="宋体" w:asciiTheme="majorEastAsia" w:hAnsiTheme="majorEastAsia" w:eastAsiaTheme="majorEastAsia"/>
          <w:b/>
          <w:sz w:val="24"/>
          <w:szCs w:val="24"/>
        </w:rPr>
        <w:t>存储、密封规定的备份投标文件将被视为无效或者被拒绝接收。</w:t>
      </w:r>
    </w:p>
    <w:p>
      <w:pPr>
        <w:pStyle w:val="34"/>
        <w:snapToGrid w:val="0"/>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napToGrid w:val="0"/>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cs="宋体" w:asciiTheme="majorEastAsia" w:hAnsiTheme="majorEastAsia" w:eastAsiaTheme="majorEastAsia"/>
          <w:snapToGrid/>
          <w:sz w:val="24"/>
          <w:szCs w:val="24"/>
        </w:rPr>
        <w:t>招标文件第二部分投标人须知前附表规定的备份投标文件送达地点；</w:t>
      </w:r>
      <w:r>
        <w:rPr>
          <w:rFonts w:hint="eastAsia" w:cs="宋体" w:asciiTheme="majorEastAsia" w:hAnsiTheme="majorEastAsia" w:eastAsiaTheme="majorEastAsia"/>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4"/>
        <w:snapToGrid w:val="0"/>
        <w:spacing w:line="360" w:lineRule="auto"/>
        <w:ind w:firstLine="479" w:firstLineChars="199"/>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15.5投标人仅提交备份投标文件，未在电子交易平台传输递交投标文件的，投标无效。</w:t>
      </w:r>
    </w:p>
    <w:p>
      <w:pPr>
        <w:pStyle w:val="131"/>
        <w:snapToGrid w:val="0"/>
        <w:spacing w:before="0"/>
        <w:ind w:firstLine="482"/>
        <w:rPr>
          <w:rFonts w:cs="宋体" w:asciiTheme="majorEastAsia" w:hAnsiTheme="majorEastAsia" w:eastAsiaTheme="majorEastAsia"/>
          <w:b/>
          <w:szCs w:val="24"/>
        </w:rPr>
      </w:pPr>
      <w:r>
        <w:rPr>
          <w:rFonts w:hint="eastAsia" w:cs="宋体" w:asciiTheme="majorEastAsia" w:hAnsiTheme="majorEastAsia" w:eastAsiaTheme="majorEastAsia"/>
          <w:b/>
          <w:szCs w:val="24"/>
        </w:rPr>
        <w:t>16.投标文件的无效处理</w:t>
      </w:r>
    </w:p>
    <w:p>
      <w:pPr>
        <w:pStyle w:val="26"/>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szCs w:val="21"/>
        </w:rPr>
        <w:t>有招标文件第四部分4.2规定的情形之一的，投标无效。</w:t>
      </w:r>
    </w:p>
    <w:p>
      <w:pPr>
        <w:pStyle w:val="131"/>
        <w:snapToGrid w:val="0"/>
        <w:spacing w:before="0"/>
        <w:ind w:firstLine="482"/>
        <w:rPr>
          <w:rFonts w:cs="宋体" w:asciiTheme="majorEastAsia" w:hAnsiTheme="majorEastAsia" w:eastAsiaTheme="majorEastAsia"/>
          <w:b/>
          <w:szCs w:val="24"/>
        </w:rPr>
      </w:pPr>
      <w:r>
        <w:rPr>
          <w:rFonts w:hint="eastAsia" w:cs="宋体" w:asciiTheme="majorEastAsia" w:hAnsiTheme="majorEastAsia" w:eastAsiaTheme="majorEastAsia"/>
          <w:b/>
          <w:szCs w:val="24"/>
        </w:rPr>
        <w:t>17.投标有效期</w:t>
      </w:r>
    </w:p>
    <w:p>
      <w:pPr>
        <w:snapToGrid w:val="0"/>
        <w:spacing w:line="360" w:lineRule="auto"/>
        <w:ind w:firstLine="480" w:firstLineChars="200"/>
        <w:rPr>
          <w:rFonts w:cs="宋体" w:asciiTheme="majorEastAsia" w:hAnsiTheme="majorEastAsia" w:eastAsiaTheme="majorEastAsia"/>
          <w:b/>
          <w:sz w:val="24"/>
          <w:szCs w:val="21"/>
        </w:rPr>
      </w:pPr>
      <w:r>
        <w:rPr>
          <w:rFonts w:hint="eastAsia" w:cs="宋体" w:asciiTheme="majorEastAsia" w:hAnsiTheme="majorEastAsia" w:eastAsiaTheme="majorEastAsia"/>
          <w:sz w:val="24"/>
          <w:szCs w:val="20"/>
        </w:rPr>
        <w:t>17.1投标有效期为从提交投标文件的截止之日起90天。▲</w:t>
      </w:r>
      <w:r>
        <w:rPr>
          <w:rFonts w:hint="eastAsia" w:cs="宋体" w:asciiTheme="majorEastAsia" w:hAnsiTheme="majorEastAsia" w:eastAsiaTheme="majorEastAsia"/>
          <w:b/>
          <w:sz w:val="24"/>
          <w:szCs w:val="20"/>
        </w:rPr>
        <w:t>投标人的投标文件中承</w:t>
      </w:r>
      <w:r>
        <w:rPr>
          <w:rFonts w:hint="eastAsia" w:cs="宋体" w:asciiTheme="majorEastAsia" w:hAnsiTheme="majorEastAsia" w:eastAsiaTheme="majorEastAsia"/>
          <w:b/>
          <w:sz w:val="24"/>
          <w:szCs w:val="21"/>
        </w:rPr>
        <w:t>诺的投标有效期少于招标文件中载明的投标有效期的，投标无效。</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17.2投标文件合格投递后，自投标截止日期起，在投标有效期内有效。</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1"/>
        <w:snapToGrid w:val="0"/>
        <w:spacing w:before="0"/>
        <w:ind w:firstLine="1928" w:firstLineChars="600"/>
        <w:rPr>
          <w:rFonts w:hint="eastAsia" w:cs="宋体" w:asciiTheme="majorEastAsia" w:hAnsiTheme="majorEastAsia" w:eastAsiaTheme="majorEastAsia"/>
          <w:b/>
          <w:sz w:val="32"/>
        </w:rPr>
      </w:pPr>
    </w:p>
    <w:p>
      <w:pPr>
        <w:pStyle w:val="131"/>
        <w:snapToGrid w:val="0"/>
        <w:spacing w:before="0"/>
        <w:ind w:firstLine="1928" w:firstLineChars="600"/>
        <w:rPr>
          <w:rFonts w:cs="宋体" w:asciiTheme="majorEastAsia" w:hAnsiTheme="majorEastAsia" w:eastAsiaTheme="majorEastAsia"/>
          <w:b/>
          <w:sz w:val="32"/>
        </w:rPr>
      </w:pPr>
      <w:r>
        <w:rPr>
          <w:rFonts w:hint="eastAsia" w:cs="宋体" w:asciiTheme="majorEastAsia" w:hAnsiTheme="majorEastAsia" w:eastAsiaTheme="majorEastAsia"/>
          <w:b/>
          <w:sz w:val="32"/>
        </w:rPr>
        <w:t>四、开标、资格审查与信用信息查询</w:t>
      </w:r>
    </w:p>
    <w:p>
      <w:pPr>
        <w:pStyle w:val="557"/>
        <w:snapToGrid w:val="0"/>
        <w:spacing w:before="0" w:line="360" w:lineRule="auto"/>
        <w:ind w:left="0" w:firstLine="482" w:firstLineChars="200"/>
        <w:contextualSpacing/>
        <w:rPr>
          <w:rFonts w:cs="宋体" w:asciiTheme="majorEastAsia" w:hAnsiTheme="majorEastAsia" w:eastAsiaTheme="majorEastAsia"/>
          <w:sz w:val="24"/>
        </w:rPr>
      </w:pPr>
      <w:r>
        <w:rPr>
          <w:rFonts w:hint="eastAsia" w:cs="宋体" w:asciiTheme="majorEastAsia" w:hAnsiTheme="majorEastAsia" w:eastAsiaTheme="majorEastAsia"/>
          <w:b/>
          <w:sz w:val="24"/>
          <w:szCs w:val="24"/>
        </w:rPr>
        <w:t>18.开标</w:t>
      </w:r>
    </w:p>
    <w:p>
      <w:pPr>
        <w:pStyle w:val="557"/>
        <w:snapToGrid w:val="0"/>
        <w:spacing w:before="0" w:line="360" w:lineRule="auto"/>
        <w:ind w:left="0" w:firstLine="480" w:firstLineChars="200"/>
        <w:contextualSpacing/>
        <w:rPr>
          <w:rFonts w:cs="宋体" w:asciiTheme="majorEastAsia" w:hAnsiTheme="majorEastAsia" w:eastAsiaTheme="majorEastAsia"/>
          <w:sz w:val="24"/>
        </w:rPr>
      </w:pPr>
      <w:r>
        <w:rPr>
          <w:rFonts w:hint="eastAsia" w:cs="宋体" w:asciiTheme="majorEastAsia" w:hAnsiTheme="majorEastAsia" w:eastAsiaTheme="majorEastAsia"/>
          <w:sz w:val="24"/>
        </w:rPr>
        <w:t>18.1采购代理机构按照招标文件规定的时间通过电子交易平台组织开标，所有投标人均应当准时在线参加。投标人不足3家的，不得开标。</w:t>
      </w:r>
    </w:p>
    <w:p>
      <w:pPr>
        <w:pStyle w:val="557"/>
        <w:snapToGrid w:val="0"/>
        <w:spacing w:before="0" w:line="360" w:lineRule="auto"/>
        <w:ind w:left="0" w:firstLine="240" w:firstLineChars="100"/>
        <w:contextualSpacing/>
        <w:rPr>
          <w:rFonts w:cs="宋体" w:asciiTheme="majorEastAsia" w:hAnsiTheme="majorEastAsia" w:eastAsiaTheme="majorEastAsia"/>
          <w:sz w:val="24"/>
        </w:rPr>
      </w:pPr>
      <w:r>
        <w:rPr>
          <w:rFonts w:hint="eastAsia" w:cs="宋体" w:asciiTheme="majorEastAsia" w:hAnsiTheme="majorEastAsia" w:eastAsiaTheme="majorEastAsia"/>
          <w:sz w:val="24"/>
        </w:rPr>
        <w:t>　18.2开标时，电子交易平台按开标时间自动提取所有投标文件。采购代理机构依托电子交易平台发起开始解密指令，投标人按照平台提示和招标文件的规定在半小时内完成在线解密。</w:t>
      </w:r>
    </w:p>
    <w:p>
      <w:pPr>
        <w:pStyle w:val="557"/>
        <w:snapToGrid w:val="0"/>
        <w:spacing w:before="0" w:line="360" w:lineRule="auto"/>
        <w:ind w:left="0" w:firstLine="240" w:firstLineChars="100"/>
        <w:contextualSpacing/>
        <w:rPr>
          <w:rFonts w:cs="宋体" w:asciiTheme="majorEastAsia" w:hAnsiTheme="majorEastAsia" w:eastAsiaTheme="majorEastAsia"/>
          <w:b/>
          <w:sz w:val="24"/>
        </w:rPr>
      </w:pPr>
      <w:r>
        <w:rPr>
          <w:rFonts w:hint="eastAsia" w:cs="宋体" w:asciiTheme="majorEastAsia" w:hAnsiTheme="majorEastAsia" w:eastAsiaTheme="majorEastAsia"/>
          <w:sz w:val="24"/>
        </w:rPr>
        <w:t>　18.3</w:t>
      </w:r>
      <w:r>
        <w:rPr>
          <w:rFonts w:hint="eastAsia" w:cs="宋体" w:asciiTheme="majorEastAsia" w:hAnsiTheme="majorEastAsia" w:eastAsiaTheme="majorEastAsia"/>
          <w:b/>
          <w:sz w:val="24"/>
        </w:rPr>
        <w:t>投标文件未按时解密，投标人提供了备份投标文件的，以备份投标文件作为依据，否则视为投标文件撤回。投标文件已按时解密的，备份投标文件自动失效。</w:t>
      </w:r>
    </w:p>
    <w:p>
      <w:pPr>
        <w:widowControl/>
        <w:snapToGrid w:val="0"/>
        <w:spacing w:line="360" w:lineRule="auto"/>
        <w:ind w:firstLine="482" w:firstLineChars="200"/>
        <w:jc w:val="left"/>
        <w:rPr>
          <w:rFonts w:cs="宋体" w:asciiTheme="majorEastAsia" w:hAnsiTheme="majorEastAsia" w:eastAsiaTheme="majorEastAsia"/>
          <w:b/>
          <w:sz w:val="24"/>
          <w:szCs w:val="20"/>
        </w:rPr>
      </w:pPr>
      <w:r>
        <w:rPr>
          <w:rFonts w:hint="eastAsia" w:cs="宋体" w:asciiTheme="majorEastAsia" w:hAnsiTheme="majorEastAsia" w:eastAsiaTheme="majorEastAsia"/>
          <w:b/>
          <w:sz w:val="24"/>
          <w:szCs w:val="20"/>
        </w:rPr>
        <w:t>19.资格审查</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kern w:val="0"/>
          <w:sz w:val="24"/>
        </w:rPr>
        <w:t>19.1</w:t>
      </w:r>
      <w:r>
        <w:rPr>
          <w:rFonts w:hint="eastAsia" w:cs="宋体" w:asciiTheme="majorEastAsia" w:hAnsiTheme="majorEastAsia" w:eastAsiaTheme="majorEastAsia"/>
          <w:sz w:val="24"/>
        </w:rPr>
        <w:t>采购人或采购代理机构依据法律法规和招标文件的规定，对投标人的资格进行审查。</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kern w:val="0"/>
          <w:szCs w:val="24"/>
        </w:rPr>
        <w:t>19.2投标人未按照招标文件要求提供与</w:t>
      </w:r>
      <w:r>
        <w:rPr>
          <w:rFonts w:hint="eastAsia" w:cs="宋体" w:asciiTheme="majorEastAsia" w:hAnsiTheme="majorEastAsia" w:eastAsiaTheme="majorEastAsia"/>
        </w:rPr>
        <w:t>资格条件相应的</w:t>
      </w:r>
      <w:r>
        <w:rPr>
          <w:rFonts w:hint="eastAsia" w:cs="宋体" w:asciiTheme="majorEastAsia" w:hAnsiTheme="majorEastAsia" w:eastAsiaTheme="majorEastAsia"/>
          <w:kern w:val="0"/>
          <w:szCs w:val="24"/>
        </w:rPr>
        <w:t>有效资格证明材料的，视为</w:t>
      </w:r>
      <w:r>
        <w:rPr>
          <w:rFonts w:hint="eastAsia" w:cs="宋体" w:asciiTheme="majorEastAsia" w:hAnsiTheme="majorEastAsia" w:eastAsiaTheme="majorEastAsia"/>
        </w:rPr>
        <w:t>投标人不具备招标文件中规定的资格要求，其投标无效。</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kern w:val="0"/>
          <w:szCs w:val="24"/>
        </w:rPr>
        <w:t>19.</w:t>
      </w:r>
      <w:r>
        <w:rPr>
          <w:rFonts w:hint="eastAsia" w:cs="宋体" w:asciiTheme="majorEastAsia" w:hAnsiTheme="majorEastAsia" w:eastAsiaTheme="majorEastAsia"/>
        </w:rPr>
        <w:t>3对未通过资格审查的投标人，采购人或采购代理机构告知其未通过的原因。</w:t>
      </w:r>
    </w:p>
    <w:p>
      <w:pPr>
        <w:pStyle w:val="131"/>
        <w:snapToGrid w:val="0"/>
        <w:spacing w:before="0"/>
        <w:ind w:firstLine="480"/>
        <w:rPr>
          <w:rFonts w:cs="宋体" w:asciiTheme="majorEastAsia" w:hAnsiTheme="majorEastAsia" w:eastAsiaTheme="majorEastAsia"/>
          <w:color w:val="auto"/>
        </w:rPr>
      </w:pPr>
      <w:r>
        <w:rPr>
          <w:rFonts w:hint="eastAsia" w:cs="宋体" w:asciiTheme="majorEastAsia" w:hAnsiTheme="majorEastAsia" w:eastAsiaTheme="majorEastAsia"/>
          <w:kern w:val="0"/>
          <w:szCs w:val="24"/>
        </w:rPr>
        <w:t>19.</w:t>
      </w:r>
      <w:r>
        <w:rPr>
          <w:rFonts w:hint="eastAsia" w:cs="宋体" w:asciiTheme="majorEastAsia" w:hAnsiTheme="majorEastAsia" w:eastAsiaTheme="majorEastAsia"/>
        </w:rPr>
        <w:t>4合格投标人</w:t>
      </w:r>
      <w:r>
        <w:rPr>
          <w:rFonts w:hint="eastAsia" w:cs="宋体" w:asciiTheme="majorEastAsia" w:hAnsiTheme="majorEastAsia" w:eastAsiaTheme="majorEastAsia"/>
          <w:color w:val="auto"/>
        </w:rPr>
        <w:t>不足3家的，不再评标。</w:t>
      </w:r>
    </w:p>
    <w:p>
      <w:pPr>
        <w:pStyle w:val="131"/>
        <w:snapToGrid w:val="0"/>
        <w:spacing w:before="0"/>
        <w:ind w:firstLine="480"/>
        <w:rPr>
          <w:rFonts w:cs="宋体" w:asciiTheme="majorEastAsia" w:hAnsiTheme="majorEastAsia" w:eastAsiaTheme="majorEastAsia"/>
          <w:color w:val="auto"/>
        </w:rPr>
      </w:pPr>
      <w:r>
        <w:rPr>
          <w:rFonts w:hint="eastAsia" w:cs="宋体" w:asciiTheme="majorEastAsia" w:hAnsiTheme="majorEastAsia" w:eastAsiaTheme="majorEastAsia"/>
          <w:color w:val="auto"/>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1"/>
        <w:snapToGrid w:val="0"/>
        <w:spacing w:before="0"/>
        <w:ind w:firstLine="482"/>
        <w:rPr>
          <w:rFonts w:cs="宋体" w:asciiTheme="majorEastAsia" w:hAnsiTheme="majorEastAsia" w:eastAsiaTheme="majorEastAsia"/>
          <w:b/>
          <w:szCs w:val="24"/>
        </w:rPr>
      </w:pPr>
      <w:r>
        <w:rPr>
          <w:rFonts w:hint="eastAsia" w:cs="宋体" w:asciiTheme="majorEastAsia" w:hAnsiTheme="majorEastAsia" w:eastAsiaTheme="majorEastAsia"/>
          <w:b/>
          <w:szCs w:val="24"/>
        </w:rPr>
        <w:t>20.信用信息查询</w:t>
      </w:r>
    </w:p>
    <w:p>
      <w:pPr>
        <w:pStyle w:val="131"/>
        <w:snapToGrid w:val="0"/>
        <w:spacing w:before="0"/>
        <w:ind w:firstLine="495" w:firstLineChars="0"/>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20.1信用信息查询渠道及截止时间：采购代理机构将在资格审查时通过“信用中国”网站(www.creditchina.gov.cn)、中国政府采购网(www.ccgp.gov.cn)渠道查询投标人接受资格时的信用记录。</w:t>
      </w:r>
    </w:p>
    <w:p>
      <w:pPr>
        <w:pStyle w:val="131"/>
        <w:snapToGrid w:val="0"/>
        <w:spacing w:before="0"/>
        <w:ind w:firstLine="495" w:firstLineChars="0"/>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20.2信用信息查询记录和证据留存的具体方式：现场查询的投标人的信用记录、查询结果经确认后将与采购文件一起存档。</w:t>
      </w:r>
    </w:p>
    <w:p>
      <w:pPr>
        <w:pStyle w:val="131"/>
        <w:snapToGrid w:val="0"/>
        <w:spacing w:before="0"/>
        <w:ind w:firstLine="495" w:firstLineChars="0"/>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20.3信用信息的使用规则：经查询列入失信被执行人名单、重大税收违法案件当事人名单、政府采购严重违法失信行为记录名单的投标人将被拒绝参与政府采购活动。</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ajorEastAsia" w:hAnsiTheme="majorEastAsia" w:eastAsiaTheme="majorEastAsia"/>
        </w:rPr>
        <w:t>。</w:t>
      </w:r>
    </w:p>
    <w:p>
      <w:pPr>
        <w:pStyle w:val="131"/>
        <w:snapToGrid w:val="0"/>
        <w:spacing w:before="0"/>
        <w:ind w:firstLine="0" w:firstLineChars="0"/>
        <w:rPr>
          <w:rFonts w:cs="宋体" w:asciiTheme="majorEastAsia" w:hAnsiTheme="majorEastAsia" w:eastAsiaTheme="majorEastAsia"/>
          <w:kern w:val="0"/>
          <w:szCs w:val="24"/>
        </w:rPr>
      </w:pPr>
    </w:p>
    <w:p>
      <w:pPr>
        <w:snapToGrid w:val="0"/>
        <w:spacing w:line="360" w:lineRule="auto"/>
        <w:jc w:val="center"/>
        <w:outlineLvl w:val="0"/>
        <w:rPr>
          <w:rFonts w:cs="宋体" w:asciiTheme="majorEastAsia" w:hAnsiTheme="majorEastAsia" w:eastAsiaTheme="majorEastAsia"/>
          <w:b/>
          <w:sz w:val="36"/>
          <w:szCs w:val="36"/>
        </w:rPr>
      </w:pPr>
      <w:r>
        <w:rPr>
          <w:rFonts w:hint="eastAsia" w:cs="宋体" w:asciiTheme="majorEastAsia" w:hAnsiTheme="majorEastAsia" w:eastAsiaTheme="majorEastAsia"/>
          <w:b/>
          <w:sz w:val="36"/>
          <w:szCs w:val="36"/>
        </w:rPr>
        <w:t>五、评标</w:t>
      </w:r>
    </w:p>
    <w:p>
      <w:pPr>
        <w:snapToGrid w:val="0"/>
        <w:spacing w:line="360" w:lineRule="auto"/>
        <w:ind w:firstLine="482" w:firstLineChars="200"/>
        <w:rPr>
          <w:rFonts w:cs="宋体" w:asciiTheme="majorEastAsia" w:hAnsiTheme="majorEastAsia" w:eastAsiaTheme="majorEastAsia"/>
          <w:b/>
          <w:sz w:val="24"/>
        </w:rPr>
      </w:pPr>
      <w:bookmarkStart w:id="13" w:name="_Toc91899903"/>
      <w:r>
        <w:rPr>
          <w:rFonts w:hint="eastAsia" w:cs="宋体" w:asciiTheme="majorEastAsia" w:hAnsiTheme="majorEastAsia" w:eastAsiaTheme="majorEastAsia"/>
          <w:b/>
          <w:sz w:val="24"/>
        </w:rPr>
        <w:t>21.</w:t>
      </w:r>
      <w:r>
        <w:rPr>
          <w:rFonts w:hint="eastAsia" w:cs="宋体" w:asciiTheme="majorEastAsia" w:hAnsiTheme="majorEastAsia" w:eastAsiaTheme="maj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ajorEastAsia" w:hAnsiTheme="majorEastAsia" w:eastAsiaTheme="majorEastAsia"/>
          <w:b/>
          <w:sz w:val="24"/>
        </w:rPr>
        <w:t>详见招标文件第四部分评标办法。</w:t>
      </w:r>
    </w:p>
    <w:p>
      <w:pPr>
        <w:snapToGrid w:val="0"/>
        <w:spacing w:line="360" w:lineRule="auto"/>
        <w:rPr>
          <w:rFonts w:cs="宋体" w:asciiTheme="majorEastAsia" w:hAnsiTheme="majorEastAsia" w:eastAsiaTheme="majorEastAsia"/>
          <w:b/>
          <w:sz w:val="24"/>
        </w:rPr>
      </w:pPr>
    </w:p>
    <w:p>
      <w:pPr>
        <w:snapToGrid w:val="0"/>
        <w:spacing w:line="360" w:lineRule="auto"/>
        <w:jc w:val="center"/>
        <w:outlineLvl w:val="0"/>
        <w:rPr>
          <w:rFonts w:cs="宋体" w:asciiTheme="majorEastAsia" w:hAnsiTheme="majorEastAsia" w:eastAsiaTheme="majorEastAsia"/>
          <w:b/>
          <w:sz w:val="36"/>
          <w:szCs w:val="36"/>
        </w:rPr>
      </w:pPr>
      <w:r>
        <w:rPr>
          <w:rFonts w:hint="eastAsia" w:cs="宋体" w:asciiTheme="majorEastAsia" w:hAnsiTheme="majorEastAsia" w:eastAsiaTheme="majorEastAsia"/>
          <w:b/>
          <w:sz w:val="36"/>
          <w:szCs w:val="36"/>
        </w:rPr>
        <w:t>六、定 标</w:t>
      </w:r>
    </w:p>
    <w:p>
      <w:pPr>
        <w:pStyle w:val="26"/>
        <w:snapToGrid w:val="0"/>
        <w:spacing w:line="360" w:lineRule="auto"/>
        <w:ind w:left="479" w:leftChars="228" w:firstLine="0" w:firstLineChars="0"/>
        <w:rPr>
          <w:rFonts w:cs="宋体" w:asciiTheme="majorEastAsia" w:hAnsiTheme="majorEastAsia" w:eastAsiaTheme="majorEastAsia"/>
          <w:b/>
        </w:rPr>
      </w:pPr>
      <w:r>
        <w:rPr>
          <w:rFonts w:hint="eastAsia" w:cs="宋体" w:asciiTheme="majorEastAsia" w:hAnsiTheme="majorEastAsia" w:eastAsiaTheme="majorEastAsia"/>
          <w:b/>
        </w:rPr>
        <w:t>22.确定中标供应商</w:t>
      </w:r>
    </w:p>
    <w:p>
      <w:pPr>
        <w:pStyle w:val="131"/>
        <w:snapToGrid w:val="0"/>
        <w:spacing w:before="0"/>
        <w:ind w:firstLine="480"/>
        <w:rPr>
          <w:rFonts w:cs="宋体" w:asciiTheme="majorEastAsia" w:hAnsiTheme="majorEastAsia" w:eastAsiaTheme="majorEastAsia"/>
          <w:b/>
          <w:color w:val="auto"/>
          <w:szCs w:val="24"/>
        </w:rPr>
      </w:pPr>
      <w:r>
        <w:rPr>
          <w:rFonts w:hint="eastAsia" w:cs="宋体" w:asciiTheme="majorEastAsia" w:hAnsiTheme="majorEastAsia" w:eastAsiaTheme="majorEastAsia"/>
          <w:szCs w:val="24"/>
        </w:rPr>
        <w:t>政府采购项目实行全流程电子化，评审报告送交、采购结果确定和结果公告均在线完成。为进一步提升采购结果确定效率，采购代理机构应当依法及时将评审报告在线送交采</w:t>
      </w:r>
      <w:r>
        <w:rPr>
          <w:rFonts w:hint="eastAsia" w:cs="宋体" w:asciiTheme="majorEastAsia" w:hAnsiTheme="majorEastAsia" w:eastAsiaTheme="majorEastAsia"/>
          <w:color w:val="auto"/>
          <w:szCs w:val="24"/>
        </w:rPr>
        <w:t>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31"/>
        <w:snapToGrid w:val="0"/>
        <w:spacing w:before="0"/>
        <w:ind w:firstLine="482"/>
        <w:rPr>
          <w:rFonts w:cs="宋体" w:asciiTheme="majorEastAsia" w:hAnsiTheme="majorEastAsia" w:eastAsiaTheme="majorEastAsia"/>
          <w:b/>
          <w:color w:val="auto"/>
          <w:szCs w:val="24"/>
        </w:rPr>
      </w:pPr>
      <w:r>
        <w:rPr>
          <w:rFonts w:hint="eastAsia" w:cs="宋体" w:asciiTheme="majorEastAsia" w:hAnsiTheme="majorEastAsia" w:eastAsiaTheme="majorEastAsia"/>
          <w:b/>
          <w:color w:val="auto"/>
          <w:szCs w:val="24"/>
        </w:rPr>
        <w:t>23.中标通知与中标结果公告</w:t>
      </w:r>
    </w:p>
    <w:p>
      <w:pPr>
        <w:widowControl/>
        <w:shd w:val="clear" w:color="auto" w:fill="FFFFFF"/>
        <w:snapToGrid w:val="0"/>
        <w:spacing w:line="360" w:lineRule="auto"/>
        <w:ind w:firstLine="480"/>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napToGrid w:val="0"/>
        <w:spacing w:line="360" w:lineRule="auto"/>
        <w:ind w:firstLine="480"/>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cs="宋体" w:asciiTheme="majorEastAsia" w:hAnsiTheme="majorEastAsia" w:eastAsiaTheme="majorEastAsia"/>
          <w:color w:val="auto"/>
          <w:sz w:val="24"/>
        </w:rPr>
        <w:t>资格审查情况、评审专家抽取规则、符合性审查情况、</w:t>
      </w:r>
      <w:bookmarkEnd w:id="14"/>
      <w:r>
        <w:rPr>
          <w:rFonts w:hint="eastAsia" w:cs="宋体" w:asciiTheme="majorEastAsia" w:hAnsiTheme="majorEastAsia" w:eastAsiaTheme="majorEastAsia"/>
          <w:color w:val="auto"/>
          <w:sz w:val="24"/>
        </w:rPr>
        <w:t>未中标情况说明、中标公告期限以及评审专家名单、评分汇总及明细。</w:t>
      </w:r>
    </w:p>
    <w:p>
      <w:pPr>
        <w:widowControl/>
        <w:shd w:val="clear" w:color="auto" w:fill="FFFFFF"/>
        <w:snapToGrid w:val="0"/>
        <w:spacing w:line="360" w:lineRule="auto"/>
        <w:ind w:firstLine="480"/>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23.3公告期限为1个工作日。</w:t>
      </w:r>
    </w:p>
    <w:p>
      <w:pPr>
        <w:pStyle w:val="131"/>
        <w:snapToGrid w:val="0"/>
        <w:spacing w:before="0"/>
        <w:ind w:firstLine="482"/>
        <w:rPr>
          <w:rFonts w:cs="宋体" w:asciiTheme="majorEastAsia" w:hAnsiTheme="majorEastAsia" w:eastAsiaTheme="majorEastAsia"/>
          <w:bCs/>
          <w:color w:val="auto"/>
          <w:szCs w:val="24"/>
        </w:rPr>
      </w:pPr>
      <w:r>
        <w:rPr>
          <w:rFonts w:hint="eastAsia" w:cs="宋体" w:asciiTheme="majorEastAsia" w:hAnsiTheme="majorEastAsia" w:eastAsiaTheme="majorEastAsia"/>
          <w:b w:val="0"/>
          <w:bCs/>
          <w:color w:val="auto"/>
          <w:szCs w:val="24"/>
        </w:rPr>
        <w:t>23.4</w:t>
      </w:r>
      <w:r>
        <w:rPr>
          <w:rFonts w:hint="eastAsia" w:cs="宋体" w:asciiTheme="majorEastAsia" w:hAnsiTheme="majorEastAsia" w:eastAsiaTheme="majorEastAsia"/>
          <w:bCs/>
          <w:color w:val="auto"/>
          <w:szCs w:val="24"/>
        </w:rPr>
        <w:t>由于中标、成交供应商原因导致重新采购的，应当承担支付代理费和专家评审费等费用在内的赔偿责任。</w:t>
      </w:r>
    </w:p>
    <w:p>
      <w:pPr>
        <w:pStyle w:val="131"/>
        <w:snapToGrid w:val="0"/>
        <w:spacing w:before="0"/>
        <w:ind w:firstLine="480"/>
        <w:rPr>
          <w:rFonts w:cs="宋体" w:asciiTheme="majorEastAsia" w:hAnsiTheme="majorEastAsia" w:eastAsiaTheme="majorEastAsia"/>
          <w:bCs/>
          <w:color w:val="FF0000"/>
          <w:szCs w:val="24"/>
        </w:rPr>
      </w:pPr>
    </w:p>
    <w:p>
      <w:pPr>
        <w:snapToGrid w:val="0"/>
        <w:spacing w:line="360" w:lineRule="auto"/>
        <w:ind w:left="120" w:leftChars="57" w:firstLine="482" w:firstLineChars="150"/>
        <w:jc w:val="center"/>
        <w:rPr>
          <w:rFonts w:cs="宋体" w:asciiTheme="majorEastAsia" w:hAnsiTheme="majorEastAsia" w:eastAsiaTheme="majorEastAsia"/>
          <w:b/>
          <w:sz w:val="32"/>
        </w:rPr>
      </w:pPr>
      <w:r>
        <w:rPr>
          <w:rFonts w:hint="eastAsia" w:cs="宋体" w:asciiTheme="majorEastAsia" w:hAnsiTheme="majorEastAsia" w:eastAsiaTheme="majorEastAsia"/>
          <w:b/>
          <w:sz w:val="32"/>
        </w:rPr>
        <w:t>七、合同授予</w:t>
      </w:r>
    </w:p>
    <w:p>
      <w:pPr>
        <w:pStyle w:val="26"/>
        <w:snapToGrid w:val="0"/>
        <w:spacing w:line="360" w:lineRule="auto"/>
        <w:ind w:left="479" w:leftChars="228" w:firstLine="0" w:firstLineChars="0"/>
        <w:rPr>
          <w:rFonts w:cs="宋体" w:asciiTheme="majorEastAsia" w:hAnsiTheme="majorEastAsia" w:eastAsiaTheme="majorEastAsia"/>
          <w:b/>
        </w:rPr>
      </w:pPr>
      <w:r>
        <w:rPr>
          <w:rFonts w:hint="eastAsia" w:cs="宋体" w:asciiTheme="majorEastAsia" w:hAnsiTheme="majorEastAsia" w:eastAsiaTheme="majorEastAsia"/>
          <w:b/>
        </w:rPr>
        <w:t>24.</w:t>
      </w:r>
      <w:r>
        <w:rPr>
          <w:rFonts w:hint="eastAsia" w:cs="宋体" w:asciiTheme="majorEastAsia" w:hAnsiTheme="majorEastAsia" w:eastAsiaTheme="majorEastAsia"/>
        </w:rPr>
        <w:t>合同主要条款详见第五部分拟签订的合同文本。</w:t>
      </w:r>
    </w:p>
    <w:p>
      <w:pPr>
        <w:pStyle w:val="26"/>
        <w:snapToGrid w:val="0"/>
        <w:spacing w:line="360" w:lineRule="auto"/>
        <w:ind w:left="479" w:leftChars="228" w:firstLine="0" w:firstLineChars="0"/>
        <w:rPr>
          <w:rFonts w:cs="宋体" w:asciiTheme="majorEastAsia" w:hAnsiTheme="majorEastAsia" w:eastAsiaTheme="majorEastAsia"/>
          <w:b/>
        </w:rPr>
      </w:pPr>
      <w:r>
        <w:rPr>
          <w:rFonts w:hint="eastAsia" w:cs="宋体" w:asciiTheme="majorEastAsia" w:hAnsiTheme="majorEastAsia" w:eastAsiaTheme="majorEastAsia"/>
          <w:b/>
        </w:rPr>
        <w:t>25.合同的签订</w:t>
      </w:r>
    </w:p>
    <w:p>
      <w:pPr>
        <w:widowControl/>
        <w:shd w:val="clear" w:color="auto" w:fill="FFFFFF"/>
        <w:snapToGrid w:val="0"/>
        <w:spacing w:line="360" w:lineRule="auto"/>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sz w:val="24"/>
        </w:rPr>
        <w:t>25.1</w:t>
      </w:r>
      <w:r>
        <w:rPr>
          <w:rFonts w:hint="eastAsia" w:cs="宋体" w:asciiTheme="majorEastAsia" w:hAnsiTheme="majorEastAsia" w:eastAsiaTheme="majorEastAsia"/>
          <w:kern w:val="0"/>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cs="宋体" w:asciiTheme="majorEastAsia" w:hAnsiTheme="majorEastAsia" w:eastAsiaTheme="majorEastAsia"/>
          <w:kern w:val="0"/>
        </w:rPr>
      </w:pPr>
      <w:r>
        <w:rPr>
          <w:rFonts w:hint="eastAsia" w:cs="宋体" w:asciiTheme="majorEastAsia" w:hAnsiTheme="majorEastAsia" w:eastAsiaTheme="majorEastAsia"/>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25.3如签订合同并生效后，供应商无故拒绝或延期，除按照合同条款处理外，列入不良行为记录一次，并给予通报。</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25.5采购合同由采购人与中标供应商根据招标文件、投标文件等内容通过政府采购电子交易平台在线签订，自动备案。</w:t>
      </w:r>
    </w:p>
    <w:p>
      <w:pPr>
        <w:pStyle w:val="26"/>
        <w:snapToGrid w:val="0"/>
        <w:spacing w:line="360" w:lineRule="auto"/>
        <w:ind w:left="479" w:leftChars="228" w:firstLine="0" w:firstLineChars="0"/>
        <w:rPr>
          <w:rFonts w:cs="宋体" w:asciiTheme="majorEastAsia" w:hAnsiTheme="majorEastAsia" w:eastAsiaTheme="majorEastAsia"/>
          <w:b/>
        </w:rPr>
      </w:pPr>
      <w:r>
        <w:rPr>
          <w:rFonts w:hint="eastAsia" w:cs="宋体" w:asciiTheme="majorEastAsia" w:hAnsiTheme="majorEastAsia" w:eastAsiaTheme="majorEastAsia"/>
          <w:b/>
        </w:rPr>
        <w:t>26.履约保证金</w:t>
      </w:r>
    </w:p>
    <w:p>
      <w:pPr>
        <w:tabs>
          <w:tab w:val="left" w:pos="0"/>
        </w:tabs>
        <w:snapToGrid w:val="0"/>
        <w:spacing w:line="360" w:lineRule="auto"/>
        <w:ind w:firstLine="482"/>
        <w:rPr>
          <w:rFonts w:cs="宋体" w:asciiTheme="majorEastAsia" w:hAnsiTheme="majorEastAsia" w:eastAsiaTheme="majorEastAsia"/>
          <w:sz w:val="24"/>
        </w:rPr>
      </w:pPr>
      <w:r>
        <w:rPr>
          <w:rFonts w:hint="eastAsia" w:cs="宋体" w:asciiTheme="majorEastAsia" w:hAnsiTheme="majorEastAsia" w:eastAsiaTheme="majorEastAsia"/>
          <w:kern w:val="0"/>
          <w:sz w:val="24"/>
        </w:rPr>
        <w:t>拟签订的合同文本要求中标供应商提交履约保证金的，供应商应当以支票、汇票、本票或者金融机构、担保机构出具的保函等非现金形式提交</w:t>
      </w:r>
      <w:r>
        <w:rPr>
          <w:rFonts w:hint="eastAsia" w:cs="宋体" w:asciiTheme="majorEastAsia" w:hAnsiTheme="majorEastAsia" w:eastAsiaTheme="majorEastAsia"/>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6"/>
        <w:adjustRightInd w:val="0"/>
        <w:snapToGrid w:val="0"/>
        <w:ind w:left="0" w:firstLine="480" w:firstLineChars="200"/>
        <w:rPr>
          <w:rFonts w:cs="宋体" w:asciiTheme="majorEastAsia" w:hAnsiTheme="majorEastAsia" w:eastAsiaTheme="majorEastAsia"/>
          <w:b w:val="0"/>
          <w:bCs w:val="0"/>
          <w:snapToGrid w:val="0"/>
          <w:kern w:val="28"/>
          <w:sz w:val="24"/>
        </w:rPr>
      </w:pPr>
      <w:r>
        <w:rPr>
          <w:rFonts w:hint="eastAsia" w:cs="宋体" w:asciiTheme="majorEastAsia" w:hAnsiTheme="majorEastAsia" w:eastAsiaTheme="majorEastAsia"/>
          <w:b w:val="0"/>
          <w:bCs w:val="0"/>
          <w:snapToGrid w:val="0"/>
          <w:kern w:val="28"/>
          <w:sz w:val="24"/>
        </w:rPr>
        <w:t>供应商</w:t>
      </w:r>
      <w:r>
        <w:rPr>
          <w:rFonts w:hint="eastAsia" w:cs="宋体" w:asciiTheme="majorEastAsia" w:hAnsiTheme="majorEastAsia" w:eastAsiaTheme="majorEastAsia"/>
          <w:b w:val="0"/>
          <w:bCs w:val="0"/>
          <w:snapToGrid w:val="0"/>
          <w:kern w:val="28"/>
          <w:sz w:val="24"/>
          <w:lang w:val="en-US"/>
        </w:rPr>
        <w:t>可</w:t>
      </w:r>
      <w:r>
        <w:rPr>
          <w:rFonts w:hint="eastAsia" w:cs="宋体" w:asciiTheme="majorEastAsia" w:hAnsiTheme="majorEastAsia" w:eastAsiaTheme="major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adjustRightInd w:val="0"/>
        <w:snapToGrid w:val="0"/>
        <w:ind w:left="0" w:firstLine="482" w:firstLineChars="200"/>
        <w:rPr>
          <w:rFonts w:cs="宋体" w:asciiTheme="majorEastAsia" w:hAnsiTheme="majorEastAsia" w:eastAsiaTheme="majorEastAsia"/>
        </w:rPr>
      </w:pPr>
      <w:r>
        <w:rPr>
          <w:rFonts w:hint="eastAsia" w:cs="宋体" w:asciiTheme="majorEastAsia" w:hAnsiTheme="majorEastAsia" w:eastAsiaTheme="majorEastAsia"/>
          <w:sz w:val="24"/>
          <w:lang w:val="en-US"/>
        </w:rPr>
        <w:t>27.预付款</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保函保险服务】出具预付款保函，具体步骤：选择产品—填写供应商信息—选择中标项目—确认信息—等待保险/保函受理—确认保单—支付保费—成功出单。政采云金融专线400-903-9583。</w:t>
      </w:r>
    </w:p>
    <w:p>
      <w:pPr>
        <w:pStyle w:val="3"/>
        <w:rPr>
          <w:rFonts w:cs="宋体" w:asciiTheme="majorEastAsia" w:hAnsiTheme="majorEastAsia" w:eastAsiaTheme="majorEastAsia"/>
        </w:rPr>
      </w:pPr>
    </w:p>
    <w:p>
      <w:pPr>
        <w:snapToGrid w:val="0"/>
        <w:spacing w:line="360" w:lineRule="auto"/>
        <w:ind w:firstLine="3357" w:firstLineChars="1045"/>
        <w:rPr>
          <w:rFonts w:cs="宋体" w:asciiTheme="majorEastAsia" w:hAnsiTheme="majorEastAsia" w:eastAsiaTheme="majorEastAsia"/>
          <w:b/>
          <w:sz w:val="24"/>
        </w:rPr>
      </w:pPr>
      <w:r>
        <w:rPr>
          <w:rFonts w:hint="eastAsia" w:cs="宋体" w:asciiTheme="majorEastAsia" w:hAnsiTheme="majorEastAsia" w:eastAsiaTheme="majorEastAsia"/>
          <w:b/>
          <w:sz w:val="32"/>
        </w:rPr>
        <w:t>八、电子交易活动的中止</w:t>
      </w:r>
    </w:p>
    <w:p>
      <w:pPr>
        <w:pStyle w:val="131"/>
        <w:snapToGrid w:val="0"/>
        <w:spacing w:before="0"/>
        <w:ind w:firstLine="482"/>
        <w:rPr>
          <w:rFonts w:cs="宋体" w:asciiTheme="majorEastAsia" w:hAnsiTheme="majorEastAsia" w:eastAsiaTheme="majorEastAsia"/>
        </w:rPr>
      </w:pPr>
      <w:r>
        <w:rPr>
          <w:rFonts w:hint="eastAsia" w:cs="宋体" w:asciiTheme="majorEastAsia" w:hAnsiTheme="majorEastAsia" w:eastAsiaTheme="majorEastAsia"/>
          <w:b/>
          <w:bCs/>
        </w:rPr>
        <w:t>2</w:t>
      </w:r>
      <w:r>
        <w:rPr>
          <w:rFonts w:hint="eastAsia" w:cs="宋体" w:asciiTheme="majorEastAsia" w:hAnsiTheme="majorEastAsia" w:eastAsiaTheme="majorEastAsia"/>
          <w:b/>
          <w:bCs/>
          <w:szCs w:val="24"/>
        </w:rPr>
        <w:t>8</w:t>
      </w:r>
      <w:r>
        <w:rPr>
          <w:rFonts w:hint="eastAsia" w:cs="宋体" w:asciiTheme="majorEastAsia" w:hAnsiTheme="majorEastAsia" w:eastAsiaTheme="majorEastAsia"/>
          <w:b/>
          <w:szCs w:val="24"/>
        </w:rPr>
        <w:t>.电子交易活动的中止。</w:t>
      </w:r>
      <w:r>
        <w:rPr>
          <w:rFonts w:hint="eastAsia" w:cs="宋体" w:asciiTheme="majorEastAsia" w:hAnsiTheme="majorEastAsia" w:eastAsiaTheme="majorEastAsia"/>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 xml:space="preserve">28.1电子交易平台发生故障而无法登录访问的； </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28.2电子交易平台应用或数据库出现错误，不能进行正常操作的；</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28.3电子交易平台发现严重安全漏洞，有潜在泄密危险的；</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 xml:space="preserve">28.4病毒发作导致不能进行正常操作的； </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28.5其他无法保证电子交易的公平、公正和安全的情况。</w:t>
      </w:r>
    </w:p>
    <w:p>
      <w:pPr>
        <w:pStyle w:val="131"/>
        <w:snapToGrid w:val="0"/>
        <w:spacing w:before="0"/>
        <w:ind w:firstLine="480"/>
        <w:rPr>
          <w:rFonts w:cs="宋体" w:asciiTheme="majorEastAsia" w:hAnsiTheme="majorEastAsia" w:eastAsiaTheme="majorEastAsia"/>
        </w:rPr>
      </w:pPr>
      <w:r>
        <w:rPr>
          <w:rFonts w:hint="eastAsia" w:cs="宋体" w:asciiTheme="majorEastAsia" w:hAnsiTheme="majorEastAsia" w:eastAsiaTheme="majorEastAsia"/>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napToGrid w:val="0"/>
        <w:spacing w:line="360" w:lineRule="auto"/>
        <w:ind w:firstLine="480"/>
        <w:rPr>
          <w:rFonts w:cs="宋体" w:asciiTheme="majorEastAsia" w:hAnsiTheme="majorEastAsia" w:eastAsiaTheme="majorEastAsia"/>
          <w:sz w:val="24"/>
        </w:rPr>
      </w:pPr>
    </w:p>
    <w:p>
      <w:pPr>
        <w:snapToGrid w:val="0"/>
        <w:spacing w:line="360" w:lineRule="auto"/>
        <w:ind w:left="120" w:leftChars="57" w:firstLine="482" w:firstLineChars="150"/>
        <w:jc w:val="center"/>
        <w:rPr>
          <w:rFonts w:cs="宋体" w:asciiTheme="majorEastAsia" w:hAnsiTheme="majorEastAsia" w:eastAsiaTheme="majorEastAsia"/>
          <w:b/>
          <w:sz w:val="32"/>
        </w:rPr>
      </w:pPr>
      <w:r>
        <w:rPr>
          <w:rFonts w:hint="eastAsia" w:cs="宋体" w:asciiTheme="majorEastAsia" w:hAnsiTheme="majorEastAsia" w:eastAsiaTheme="majorEastAsia"/>
          <w:b/>
          <w:sz w:val="32"/>
        </w:rPr>
        <w:t>九、验收</w:t>
      </w:r>
    </w:p>
    <w:p>
      <w:pPr>
        <w:pStyle w:val="26"/>
        <w:snapToGrid w:val="0"/>
        <w:spacing w:line="360" w:lineRule="auto"/>
        <w:ind w:firstLine="482"/>
        <w:rPr>
          <w:rFonts w:cs="宋体" w:asciiTheme="majorEastAsia" w:hAnsiTheme="majorEastAsia" w:eastAsiaTheme="majorEastAsia"/>
          <w:b/>
          <w:color w:val="auto"/>
        </w:rPr>
      </w:pPr>
      <w:r>
        <w:rPr>
          <w:rFonts w:hint="eastAsia" w:cs="宋体" w:asciiTheme="majorEastAsia" w:hAnsiTheme="majorEastAsia" w:eastAsiaTheme="majorEastAsia"/>
          <w:b/>
          <w:color w:val="auto"/>
        </w:rPr>
        <w:t>30.验收</w:t>
      </w:r>
    </w:p>
    <w:p>
      <w:pPr>
        <w:tabs>
          <w:tab w:val="left" w:pos="0"/>
        </w:tabs>
        <w:snapToGrid w:val="0"/>
        <w:spacing w:line="360" w:lineRule="auto"/>
        <w:ind w:firstLine="480"/>
        <w:rPr>
          <w:rFonts w:cs="宋体" w:asciiTheme="majorEastAsia" w:hAnsiTheme="majorEastAsia" w:eastAsiaTheme="majorEastAsia"/>
          <w:kern w:val="0"/>
          <w:sz w:val="24"/>
        </w:rPr>
      </w:pPr>
      <w:r>
        <w:rPr>
          <w:rFonts w:hint="eastAsia" w:cs="宋体" w:asciiTheme="majorEastAsia" w:hAnsiTheme="majorEastAsia" w:eastAsiaTheme="majorEastAsia"/>
          <w:color w:val="auto"/>
          <w:kern w:val="0"/>
          <w:sz w:val="24"/>
        </w:rPr>
        <w:t>30.1采购人应当根据采购项目的具体情况，自行组织项目验收或者委托采购代理机构验收。大型或者复杂的政府采购项目，应当邀请国家认可的质量检测机构参加验收工作。验收方成员</w:t>
      </w:r>
      <w:r>
        <w:rPr>
          <w:rFonts w:hint="eastAsia" w:cs="宋体" w:asciiTheme="majorEastAsia" w:hAnsiTheme="majorEastAsia" w:eastAsiaTheme="majorEastAsia"/>
          <w:kern w:val="0"/>
          <w:sz w:val="24"/>
        </w:rPr>
        <w:t>应当在验收书上签字，并承担相应的法律责任。如果发现与合同中要求不符，供应商须承担由此发生的一切损失和费用，并接受相应的处理。</w:t>
      </w:r>
    </w:p>
    <w:p>
      <w:pPr>
        <w:tabs>
          <w:tab w:val="left" w:pos="0"/>
        </w:tabs>
        <w:snapToGrid w:val="0"/>
        <w:spacing w:line="360" w:lineRule="auto"/>
        <w:ind w:firstLine="48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30.2采购人可以邀请参加本项目的其他投标人或者第三方机构参与验收。参与验收的投标人或者第三方机构的意见作为验收书的参考资料一并存档。</w:t>
      </w:r>
    </w:p>
    <w:p>
      <w:pPr>
        <w:tabs>
          <w:tab w:val="left" w:pos="0"/>
        </w:tabs>
        <w:snapToGrid w:val="0"/>
        <w:spacing w:line="360" w:lineRule="auto"/>
        <w:ind w:firstLine="48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napToGrid w:val="0"/>
        <w:spacing w:line="360" w:lineRule="auto"/>
        <w:ind w:firstLine="480"/>
        <w:rPr>
          <w:rFonts w:cs="宋体" w:asciiTheme="majorEastAsia" w:hAnsiTheme="majorEastAsia" w:eastAsiaTheme="majorEastAsia"/>
          <w:color w:val="auto"/>
          <w:kern w:val="0"/>
          <w:sz w:val="24"/>
        </w:rPr>
      </w:pPr>
      <w:r>
        <w:rPr>
          <w:rFonts w:hint="eastAsia" w:cs="宋体" w:asciiTheme="majorEastAsia" w:hAnsiTheme="majorEastAsia" w:eastAsiaTheme="majorEastAsia"/>
          <w:kern w:val="0"/>
          <w:sz w:val="24"/>
        </w:rPr>
        <w:t>30.4验收合格的项目，采购人将根据采购合同的约定及时向供应商支付采购资金、退还履约保证金。验收不合格的项目，采购人将依法及时处理。采购合同的履行、违约责任和解决争议</w:t>
      </w:r>
      <w:r>
        <w:rPr>
          <w:rFonts w:hint="eastAsia" w:cs="宋体" w:asciiTheme="majorEastAsia" w:hAnsiTheme="majorEastAsia" w:eastAsiaTheme="majorEastAsia"/>
          <w:color w:val="auto"/>
          <w:kern w:val="0"/>
          <w:sz w:val="24"/>
        </w:rPr>
        <w:t>的方式等适用《中华人民共和国民法典》。供应商在履约过程中有政府采购法律法规规定的违法违规情形的，采购人应当及时报告本级财政部门。</w:t>
      </w:r>
    </w:p>
    <w:p>
      <w:pPr>
        <w:pStyle w:val="6"/>
        <w:adjustRightInd w:val="0"/>
        <w:snapToGrid w:val="0"/>
        <w:ind w:left="0" w:firstLine="480" w:firstLineChars="200"/>
        <w:rPr>
          <w:rFonts w:cs="宋体" w:asciiTheme="majorEastAsia" w:hAnsiTheme="majorEastAsia" w:eastAsiaTheme="majorEastAsia"/>
          <w:b w:val="0"/>
          <w:bCs w:val="0"/>
          <w:color w:val="auto"/>
          <w:kern w:val="0"/>
          <w:sz w:val="24"/>
          <w:szCs w:val="24"/>
          <w:lang w:val="en-US"/>
        </w:rPr>
      </w:pPr>
      <w:r>
        <w:rPr>
          <w:rFonts w:hint="eastAsia" w:cs="宋体" w:asciiTheme="majorEastAsia" w:hAnsiTheme="majorEastAsia" w:eastAsiaTheme="majorEastAsia"/>
          <w:b w:val="0"/>
          <w:bCs w:val="0"/>
          <w:color w:val="auto"/>
          <w:kern w:val="0"/>
          <w:sz w:val="24"/>
          <w:szCs w:val="24"/>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pStyle w:val="80"/>
        <w:rPr>
          <w:rFonts w:cs="宋体" w:asciiTheme="majorEastAsia" w:hAnsiTheme="majorEastAsia" w:eastAsiaTheme="majorEastAsia"/>
          <w:color w:val="auto"/>
        </w:rPr>
      </w:pPr>
    </w:p>
    <w:bookmarkEnd w:id="13"/>
    <w:p>
      <w:pPr>
        <w:tabs>
          <w:tab w:val="left" w:pos="0"/>
        </w:tabs>
        <w:spacing w:line="360" w:lineRule="auto"/>
        <w:ind w:firstLine="480"/>
        <w:rPr>
          <w:rFonts w:cs="宋体" w:asciiTheme="majorEastAsia" w:hAnsiTheme="majorEastAsia" w:eastAsiaTheme="majorEastAsia"/>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403820"/>
      <w:bookmarkEnd w:id="15"/>
      <w:bookmarkStart w:id="16" w:name="_Hlt75236101"/>
      <w:bookmarkEnd w:id="16"/>
      <w:bookmarkStart w:id="17" w:name="_Hlt75236011"/>
      <w:bookmarkEnd w:id="17"/>
      <w:bookmarkStart w:id="18" w:name="_Hlt68072998"/>
      <w:bookmarkEnd w:id="18"/>
      <w:bookmarkStart w:id="19" w:name="_Hlt68073093"/>
      <w:bookmarkEnd w:id="19"/>
      <w:bookmarkStart w:id="20" w:name="_Hlt74730295"/>
      <w:bookmarkEnd w:id="20"/>
      <w:bookmarkStart w:id="21" w:name="_Hlt68057669"/>
      <w:bookmarkEnd w:id="21"/>
      <w:bookmarkStart w:id="22" w:name="_Hlt75236290"/>
      <w:bookmarkEnd w:id="22"/>
      <w:bookmarkStart w:id="23" w:name="_Hlt74714665"/>
      <w:bookmarkEnd w:id="23"/>
      <w:bookmarkStart w:id="24" w:name="_Hlt74707468"/>
      <w:bookmarkEnd w:id="24"/>
      <w:bookmarkStart w:id="25" w:name="_Hlt68072990"/>
      <w:bookmarkEnd w:id="25"/>
      <w:bookmarkStart w:id="26" w:name="_Hlt74729768"/>
      <w:bookmarkEnd w:id="26"/>
    </w:p>
    <w:bookmarkEnd w:id="11"/>
    <w:bookmarkEnd w:id="12"/>
    <w:p>
      <w:pPr>
        <w:keepNext w:val="0"/>
        <w:keepLines w:val="0"/>
        <w:pageBreakBefore w:val="0"/>
        <w:kinsoku/>
        <w:wordWrap/>
        <w:overflowPunct/>
        <w:topLinePunct w:val="0"/>
        <w:bidi w:val="0"/>
        <w:adjustRightInd w:val="0"/>
        <w:snapToGrid w:val="0"/>
        <w:spacing w:line="360" w:lineRule="auto"/>
        <w:jc w:val="center"/>
        <w:textAlignment w:val="auto"/>
        <w:outlineLvl w:val="0"/>
        <w:rPr>
          <w:rFonts w:cs="宋体" w:asciiTheme="majorEastAsia" w:hAnsiTheme="majorEastAsia" w:eastAsiaTheme="majorEastAsia"/>
          <w:b/>
          <w:sz w:val="36"/>
          <w:szCs w:val="36"/>
          <w:shd w:val="clear" w:color="auto" w:fill="FFFFFF" w:themeFill="background1"/>
        </w:rPr>
      </w:pPr>
      <w:bookmarkStart w:id="27" w:name="第四部分"/>
      <w:r>
        <w:rPr>
          <w:rFonts w:hint="eastAsia" w:cs="宋体" w:asciiTheme="majorEastAsia" w:hAnsiTheme="majorEastAsia" w:eastAsiaTheme="majorEastAsia"/>
          <w:b/>
          <w:sz w:val="36"/>
          <w:szCs w:val="36"/>
          <w:shd w:val="clear" w:color="auto" w:fill="FFFFFF" w:themeFill="background1"/>
        </w:rPr>
        <w:t>第三部分   采购需求</w:t>
      </w:r>
    </w:p>
    <w:p>
      <w:pPr>
        <w:keepNext w:val="0"/>
        <w:keepLines w:val="0"/>
        <w:pageBreakBefore w:val="0"/>
        <w:kinsoku/>
        <w:wordWrap/>
        <w:overflowPunct/>
        <w:topLinePunct w:val="0"/>
        <w:bidi w:val="0"/>
        <w:adjustRightInd w:val="0"/>
        <w:snapToGrid w:val="0"/>
        <w:spacing w:line="360" w:lineRule="auto"/>
        <w:ind w:firstLine="482" w:firstLineChars="200"/>
        <w:textAlignment w:val="auto"/>
        <w:outlineLvl w:val="1"/>
        <w:rPr>
          <w:rFonts w:hint="eastAsia" w:ascii="宋体" w:hAnsi="宋体" w:cs="宋体"/>
          <w:sz w:val="24"/>
        </w:rPr>
      </w:pPr>
      <w:r>
        <w:rPr>
          <w:rFonts w:hint="eastAsia" w:ascii="宋体" w:hAnsi="宋体" w:cs="宋体"/>
          <w:b/>
          <w:sz w:val="24"/>
          <w:lang w:val="en-US" w:eastAsia="zh-CN"/>
        </w:rPr>
        <w:t>一、</w:t>
      </w:r>
      <w:r>
        <w:rPr>
          <w:rFonts w:hint="eastAsia" w:ascii="宋体" w:hAnsi="宋体" w:cs="宋体"/>
          <w:b/>
          <w:sz w:val="24"/>
        </w:rPr>
        <w:t>项目名称：</w:t>
      </w:r>
      <w:r>
        <w:rPr>
          <w:rFonts w:hint="eastAsia" w:ascii="宋体" w:hAnsi="宋体" w:cs="宋体"/>
          <w:sz w:val="24"/>
          <w:lang w:eastAsia="zh-CN"/>
        </w:rPr>
        <w:t>2024年茅乡景区及仁寿山园林养护服务采购</w:t>
      </w:r>
    </w:p>
    <w:p>
      <w:pPr>
        <w:keepNext w:val="0"/>
        <w:keepLines w:val="0"/>
        <w:pageBreakBefore w:val="0"/>
        <w:kinsoku/>
        <w:wordWrap/>
        <w:overflowPunct/>
        <w:topLinePunct w:val="0"/>
        <w:bidi w:val="0"/>
        <w:adjustRightInd w:val="0"/>
        <w:snapToGrid w:val="0"/>
        <w:spacing w:line="360" w:lineRule="auto"/>
        <w:ind w:firstLine="482" w:firstLineChars="200"/>
        <w:jc w:val="left"/>
        <w:textAlignment w:val="auto"/>
        <w:outlineLvl w:val="1"/>
        <w:rPr>
          <w:rFonts w:hint="eastAsia" w:ascii="宋体" w:hAnsi="宋体" w:cs="宋体"/>
          <w:b/>
          <w:bCs/>
          <w:color w:val="auto"/>
          <w:sz w:val="24"/>
        </w:rPr>
      </w:pPr>
      <w:bookmarkStart w:id="28" w:name="_Toc416098590"/>
      <w:r>
        <w:rPr>
          <w:rFonts w:hint="eastAsia" w:ascii="宋体" w:hAnsi="宋体" w:cs="宋体"/>
          <w:b/>
          <w:bCs/>
          <w:sz w:val="24"/>
          <w:lang w:val="en-US" w:eastAsia="zh-CN"/>
        </w:rPr>
        <w:t>二</w:t>
      </w:r>
      <w:r>
        <w:rPr>
          <w:rFonts w:hint="eastAsia" w:ascii="宋体" w:hAnsi="宋体" w:cs="宋体"/>
          <w:b/>
          <w:bCs/>
          <w:sz w:val="24"/>
        </w:rPr>
        <w:t>、服</w:t>
      </w:r>
      <w:r>
        <w:rPr>
          <w:rFonts w:hint="eastAsia" w:ascii="宋体" w:hAnsi="宋体" w:cs="宋体"/>
          <w:b/>
          <w:bCs/>
          <w:color w:val="auto"/>
          <w:sz w:val="24"/>
        </w:rPr>
        <w:t>务范围</w:t>
      </w:r>
      <w:bookmarkEnd w:id="28"/>
      <w:r>
        <w:rPr>
          <w:rFonts w:hint="eastAsia" w:ascii="宋体" w:hAnsi="宋体" w:cs="宋体"/>
          <w:b/>
          <w:bCs/>
          <w:color w:val="auto"/>
          <w:sz w:val="24"/>
        </w:rPr>
        <w:t>及内容</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1、养护</w:t>
      </w:r>
      <w:r>
        <w:rPr>
          <w:rFonts w:hint="eastAsia" w:ascii="宋体" w:hAnsi="宋体" w:cs="宋体"/>
          <w:color w:val="auto"/>
          <w:sz w:val="24"/>
          <w:lang w:val="en-US" w:eastAsia="zh-CN"/>
        </w:rPr>
        <w:t>范围</w:t>
      </w:r>
      <w:r>
        <w:rPr>
          <w:rFonts w:hint="eastAsia" w:ascii="宋体" w:hAnsi="宋体" w:cs="宋体"/>
          <w:color w:val="auto"/>
          <w:sz w:val="24"/>
        </w:rPr>
        <w:t>：下茅家埠景区、仁寿山景区、都锦生故居、浙江辛亥革命纪念馆、林风眠旧居、龙井路分段（灵隐路-龙井支路口、龙井支路口至龙井路292号灯杆）、灵隐路全段（曙光路口至天曹桥口）、龙泓涧区域、灵溪南路双峰路沿线以东等区域范围内的公园道路绿地、行道树、花坛花境、水生植物、修枝、苗木种植、园林设施维护等日常园林养护、机动应急任务保障（含抗雪、防冻、防台、防汛、抗旱等）等园林养护作业。</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主要工作内容：</w:t>
      </w:r>
      <w:r>
        <w:rPr>
          <w:rFonts w:hint="eastAsia" w:ascii="宋体" w:hAnsi="宋体" w:cs="宋体"/>
          <w:color w:val="auto"/>
          <w:sz w:val="24"/>
        </w:rPr>
        <w:t>主要含“树木迁移、调整；树木（包括行道树）抹芽、修枝、修剪；整地、裸露黄土复绿；草坪滚剪、草坪除草、草坪填土平整</w:t>
      </w:r>
      <w:r>
        <w:rPr>
          <w:rFonts w:hint="eastAsia" w:ascii="宋体" w:hAnsi="宋体" w:cs="宋体"/>
          <w:color w:val="auto"/>
          <w:sz w:val="24"/>
          <w:lang w:eastAsia="zh-CN"/>
        </w:rPr>
        <w:t>；</w:t>
      </w:r>
      <w:r>
        <w:rPr>
          <w:rFonts w:hint="eastAsia" w:ascii="宋体" w:hAnsi="宋体" w:cs="宋体"/>
          <w:color w:val="auto"/>
          <w:sz w:val="24"/>
        </w:rPr>
        <w:t xml:space="preserve">绿化带、道路两侧林带、地被除草；浇水、施肥、病虫害防治；花展布置、花坛花境换花；由于遭受自然天气影响导致植物景观或养护不当引起的苗木补种；枯死树清理、林带内枯枝等垃圾清理；养护范围内所有园林植物花卉的抗旱、防汛、抗雪及灾害性天气导致的损毁产生的园林垃圾外运、处置等。养护服务过程中，产生的苗木、肥料、农药等材料费用由供应商提供。 </w:t>
      </w:r>
    </w:p>
    <w:p>
      <w:pPr>
        <w:keepNext w:val="0"/>
        <w:keepLines w:val="0"/>
        <w:pageBreakBefore w:val="0"/>
        <w:kinsoku/>
        <w:wordWrap/>
        <w:overflowPunct/>
        <w:topLinePunct w:val="0"/>
        <w:bidi w:val="0"/>
        <w:adjustRightInd w:val="0"/>
        <w:snapToGrid w:val="0"/>
        <w:spacing w:line="360" w:lineRule="auto"/>
        <w:ind w:firstLine="482" w:firstLineChars="200"/>
        <w:jc w:val="left"/>
        <w:textAlignment w:val="auto"/>
        <w:outlineLvl w:val="1"/>
        <w:rPr>
          <w:rFonts w:hint="eastAsia" w:ascii="宋体" w:hAnsi="宋体" w:cs="宋体"/>
          <w:b/>
          <w:bCs/>
          <w:color w:val="auto"/>
          <w:sz w:val="24"/>
        </w:rPr>
      </w:pPr>
      <w:r>
        <w:rPr>
          <w:rFonts w:hint="eastAsia" w:ascii="宋体" w:hAnsi="宋体" w:cs="宋体"/>
          <w:b/>
          <w:bCs/>
          <w:color w:val="auto"/>
          <w:sz w:val="24"/>
          <w:lang w:eastAsia="zh-CN"/>
        </w:rPr>
        <w:t>三</w:t>
      </w:r>
      <w:r>
        <w:rPr>
          <w:rFonts w:hint="eastAsia" w:ascii="宋体" w:hAnsi="宋体" w:cs="宋体"/>
          <w:b/>
          <w:bCs/>
          <w:color w:val="auto"/>
          <w:sz w:val="24"/>
        </w:rPr>
        <w:t>、服务要求</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1、全年计划用工4680工，其中日常养护用工1846工,园林景观提升用工1859工机动应急保障用工约975工（女工比例不超过20%）。</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2、园林日常养护，主要负责养护范围内的园林日常养护工作，养护人员固定9人，项目负责人必须每天对工作情况进行检查，并记好工作台帐；同时安排好养护人员的工作，并做好每日电子考勤卡的考勤工作；在作业过程中，现场负责人须保持24小时手机畅通；养护项目负责人如不能到岗，必须向采购人管理人员请假，否则按供应商违约处理。</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3、园林景观提升，主要负责养护范围内花坛花境种植、大树修剪复壮、节日摆花布置、园林突击任务等。</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auto"/>
          <w:sz w:val="24"/>
          <w:lang w:eastAsia="zh-CN"/>
        </w:rPr>
      </w:pPr>
      <w:r>
        <w:rPr>
          <w:rFonts w:hint="eastAsia" w:ascii="宋体" w:hAnsi="宋体" w:cs="宋体"/>
          <w:color w:val="auto"/>
          <w:sz w:val="24"/>
        </w:rPr>
        <w:t>4、应急抢险，主要负责抗雪、防冻、防台、防汛、抗旱等任务</w:t>
      </w:r>
      <w:r>
        <w:rPr>
          <w:rFonts w:hint="eastAsia" w:ascii="宋体" w:hAnsi="宋体" w:cs="宋体"/>
          <w:color w:val="auto"/>
          <w:sz w:val="24"/>
          <w:lang w:eastAsia="zh-CN"/>
        </w:rPr>
        <w:t>。</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5、园林景观提升与应急抢险任务，根据甲方预约派工单安排相关人员上岗。工作人员上岗时须配备工作服、安全帽、安全带、工作服、黄背心等。</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6、与</w:t>
      </w:r>
      <w:r>
        <w:rPr>
          <w:rFonts w:hint="eastAsia" w:ascii="宋体" w:hAnsi="宋体" w:cs="宋体"/>
          <w:color w:val="auto"/>
          <w:sz w:val="24"/>
          <w:lang w:eastAsia="zh-CN"/>
        </w:rPr>
        <w:t>服务</w:t>
      </w:r>
      <w:r>
        <w:rPr>
          <w:rFonts w:hint="eastAsia" w:ascii="宋体" w:hAnsi="宋体" w:cs="宋体"/>
          <w:color w:val="auto"/>
          <w:sz w:val="24"/>
        </w:rPr>
        <w:t>有关的作业所涉及的工具（含零星材料），需供应商自备。</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7、园林养护人员外环境作业时间：10小时/天，7：00—17：00，项目负责人到岗时间8:00-17:30，到岗率100%。</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8、供应商严格遵守上级有关部门的养护标准要求执行，并严格按照《灵隐管理处“双最”公园综合检查考核细则》、《灵隐管理处“双最”道路（河道）绿地综合检查考核细则》等规范进行养护。</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9、绿地内树木修剪、滚草、枯死枝清理等，垃圾须当日清运完毕。</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10、草坪随时修剪要求，草坪草高度不超过8cm（常绿草高度不超过6cm），树木周围和草坪边缘应及时切边。常绿草四季应保持绿色，草坪的纯洁度在98%以上，无空秃、黄化现象。对被人为损坏和已发生病害的常绿草坪两天内切除调换，补种时确保草坪的美观和平整。</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11、乔灌木的修剪按《杭州园林植物养护技术规程》进行操作,根据采购人要求无患子、枫香、鸡爪槭、梅花等乔木或大型花灌木冬季必须刷白，及时防治病虫害；发现枯枝、死枝必须24小时内处理完毕；花灌木随时修剪，球形灌木常年保持形态完整，色块灌木应控制高度及宽度，色块之间界限分明、线条清晰流畅，无缺株、无空洞。按采购人的要求对枯死的树木连同根部在24小时内挖除，并在2天内补种完毕，补种苗木的规格、品种和原苗木基本相同。</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lang w:val="en-US" w:eastAsia="zh-CN"/>
        </w:rPr>
        <w:t>11.1</w:t>
      </w:r>
      <w:r>
        <w:rPr>
          <w:rFonts w:hint="eastAsia" w:ascii="宋体" w:hAnsi="宋体" w:cs="宋体"/>
          <w:color w:val="auto"/>
          <w:sz w:val="24"/>
        </w:rPr>
        <w:t>花灌木养护：应根据花芽发育规律，对花灌木进行适当修剪，促进花枝萌发；同时，应在花前花后做好施肥工作，可适量施一些有机肥，促进根系生长，提高土壤有机质含量。</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12、花坛花境的养护，保证一年六次换花（含四个季度双最公园评比、五一、十一花境评比），做好花坛花境日常养护工作，充分考虑地域环境、气候条件保证花卉、植物等的成活率和整体美观性；防治病虫害，及时清理病弱死株及补种，延长花卉的盛放周期保证景观效果。</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12.1花境构图自然、植物配置合理，与周围环境相协调，花境类型可以多样，突出设计主题自然花境图案、色彩搭配富有艺术感，种植、养护技术精湛。</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13、病虫害防治：应认真贯彻“综合防治，以防为主”的方针，做到治早、治好，无明显病虫害发现，鼓励使用生物防治技术，提倡生态环保理念。</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14、遇有抗台、抗雪、防汛及抗旱等突发事件（防汛防台期（7-8月）、防雪抗冻期（12-2月）、抗旱期（8-10月）），必须无条件及时组织力量做好应急抢险等保障工作，服从采购人的统一指挥。对各类灾害性天气有应急预案，并自备相关工具。道路发生行道树倒伏，应在接到通知后半小时内赶到现场，12小时内处理完毕。如堵塞交通，2小时内予以清除。</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cs="宋体"/>
          <w:color w:val="auto"/>
          <w:lang w:val="en-US"/>
        </w:rPr>
      </w:pPr>
      <w:r>
        <w:rPr>
          <w:rFonts w:hint="eastAsia" w:ascii="宋体" w:hAnsi="宋体" w:cs="宋体"/>
          <w:color w:val="auto"/>
          <w:sz w:val="24"/>
        </w:rPr>
        <w:t>15、自觉接受各级部门的检查和社会舆论的监督。负责做好本合同养护区域内的长效管理抄告单、“数字城管”和投诉电话、新闻舆论批评和市、局、处等相关部门、群众信访等投诉处理件的处理、整改和回复工作，应在时限内处理完毕并将信息反馈。</w:t>
      </w:r>
    </w:p>
    <w:p>
      <w:pPr>
        <w:keepNext w:val="0"/>
        <w:keepLines w:val="0"/>
        <w:pageBreakBefore w:val="0"/>
        <w:kinsoku/>
        <w:wordWrap/>
        <w:overflowPunct/>
        <w:topLinePunct w:val="0"/>
        <w:bidi w:val="0"/>
        <w:adjustRightInd w:val="0"/>
        <w:snapToGrid w:val="0"/>
        <w:spacing w:line="360" w:lineRule="auto"/>
        <w:ind w:firstLine="482" w:firstLineChars="200"/>
        <w:jc w:val="left"/>
        <w:textAlignment w:val="auto"/>
        <w:outlineLvl w:val="1"/>
        <w:rPr>
          <w:rFonts w:hint="eastAsia" w:ascii="宋体" w:hAnsi="宋体" w:cs="宋体"/>
          <w:b/>
          <w:bCs/>
          <w:color w:val="auto"/>
          <w:sz w:val="24"/>
        </w:rPr>
      </w:pPr>
      <w:bookmarkStart w:id="29" w:name="_Toc416098593"/>
      <w:r>
        <w:rPr>
          <w:rFonts w:hint="eastAsia" w:ascii="宋体" w:hAnsi="宋体" w:cs="宋体"/>
          <w:b/>
          <w:bCs/>
          <w:color w:val="auto"/>
          <w:sz w:val="24"/>
          <w:lang w:eastAsia="zh-CN"/>
        </w:rPr>
        <w:t>四</w:t>
      </w:r>
      <w:r>
        <w:rPr>
          <w:rFonts w:hint="eastAsia" w:ascii="宋体" w:hAnsi="宋体" w:cs="宋体"/>
          <w:b/>
          <w:bCs/>
          <w:color w:val="auto"/>
          <w:sz w:val="24"/>
        </w:rPr>
        <w:t>、养护考核要求</w:t>
      </w:r>
      <w:bookmarkEnd w:id="29"/>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管理考核采取日常巡查管理和检查考核相结合。招标人及相关部门负责日常巡查监管和考核。</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数字城管案卷、智慧园文抄告等市级抄告及群众来电、来信、来访投诉并经查实的，出现重复抄告、投诉的每次承担违约金500元，法定节假日和重大活动保障不到位的每次承担违约金1000元。</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eastAsia="zh-CN"/>
        </w:rPr>
        <w:t>、</w:t>
      </w:r>
      <w:r>
        <w:rPr>
          <w:rFonts w:hint="eastAsia" w:ascii="宋体" w:hAnsi="宋体" w:cs="宋体"/>
          <w:color w:val="auto"/>
          <w:sz w:val="24"/>
        </w:rPr>
        <w:t>甲方主要领导及分管领导检查发现问题，每次承担违约金500元，情节严重承担违约金1000元-2000元。</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eastAsia="zh-CN"/>
        </w:rPr>
        <w:t>、“</w:t>
      </w:r>
      <w:r>
        <w:rPr>
          <w:rFonts w:hint="eastAsia" w:ascii="宋体" w:hAnsi="宋体" w:cs="宋体"/>
          <w:color w:val="auto"/>
          <w:sz w:val="24"/>
        </w:rPr>
        <w:t>双最”公园考核、处长效管理考核扣分的，每条承担违约金1000元。因乙方原因（乙方被抄告问题占区域问题总量60%以上）导致“双最”道路或公园排名末3位的，甲方有权解除合同，乙方承担当月服务费作为违约金。</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lang w:val="en-US"/>
        </w:rPr>
      </w:pPr>
      <w:r>
        <w:rPr>
          <w:rFonts w:hint="eastAsia" w:ascii="宋体" w:hAnsi="宋体" w:cs="宋体"/>
          <w:color w:val="auto"/>
          <w:sz w:val="24"/>
          <w:lang w:val="en-US"/>
        </w:rPr>
        <w:t>4</w:t>
      </w:r>
      <w:r>
        <w:rPr>
          <w:rFonts w:hint="eastAsia" w:ascii="宋体" w:hAnsi="宋体" w:cs="宋体"/>
          <w:color w:val="auto"/>
          <w:sz w:val="24"/>
          <w:lang w:val="en-US" w:eastAsia="zh-CN"/>
        </w:rPr>
        <w:t>、</w:t>
      </w:r>
      <w:r>
        <w:rPr>
          <w:rFonts w:hint="eastAsia" w:ascii="宋体" w:hAnsi="宋体" w:cs="宋体"/>
          <w:color w:val="auto"/>
          <w:sz w:val="24"/>
          <w:lang w:val="en-US"/>
        </w:rPr>
        <w:t>有关部门发出整改通知书乙方不整改或整改不力的，一次承担违约金1000元，累计达到三次的，甲方予以解除合同，履约保证金不予归还。</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lang w:eastAsia="zh-CN"/>
        </w:rPr>
        <w:t>、</w:t>
      </w:r>
      <w:r>
        <w:rPr>
          <w:rFonts w:hint="eastAsia" w:ascii="宋体" w:hAnsi="宋体" w:cs="宋体"/>
          <w:color w:val="auto"/>
          <w:sz w:val="24"/>
        </w:rPr>
        <w:t>新闻媒体评比曝光1次，扣款3000元。</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lang w:val="en-US"/>
        </w:rPr>
      </w:pPr>
      <w:r>
        <w:rPr>
          <w:rFonts w:hint="eastAsia" w:ascii="宋体" w:hAnsi="宋体" w:cs="宋体"/>
          <w:color w:val="auto"/>
          <w:sz w:val="24"/>
          <w:lang w:val="en-US" w:eastAsia="zh-CN"/>
        </w:rPr>
        <w:t>6、</w:t>
      </w:r>
      <w:r>
        <w:rPr>
          <w:rFonts w:hint="eastAsia" w:ascii="宋体" w:hAnsi="宋体" w:cs="宋体"/>
          <w:color w:val="auto"/>
          <w:sz w:val="24"/>
          <w:lang w:val="en-US"/>
        </w:rPr>
        <w:t>遇到突发事件、自然灾害或天气影响，必须服从甲方指挥和安排，遇抗雪防冻、抗台防汛等天气，乙方必须在第一时间内迅速组织人员、机具设备将道路清理干净，如发现乙方在接到通知后，没有作出积极反应的，每次承担违约金500元，在接到甲方通知后，未在规定时间内到达现场的，每次承担违约金3000元，未在规定时间内完成任务的，每次承担违约金3000元。</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市级检查失分扣2000元/次，省级检查失分扣5000元/次，国家级检查失分扣10000元/次，甲方可解除园林养护服务合同。</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其他</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1乙方应按照甲方要求，配足园林养护人员，因乙方原因致使人员不足的，甲方将按缺勤考虑，按缺勤人数及天数，扣除当月养护费用，因乙方原因致使人员不足，且影响甲方正常工作运转的，甲方可以向其他公司紧急聘用养护人员以弥补岗位缺口，所涉及的费用由乙方承担。</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在作业过程中，如出现乙方人员迟到早退、聚集聊天、消极怠工、不按甲方工作要求操作、不服从管理等情况，发现一次扣除费用500元，发现二次扣除费用2000元，发生三次及以上，甲方可解除合同。如出现打架斗殴等对甲方公园景区形象产生恶劣影响的情况，视情况严重程度予以处罚，如情节严重的，甲方有权中止合同，且不支付劳务费用。</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日常巡检中，如现场养护人员不到位的，每发现一次承担违约金500元，情节严重承担违约金1000元。</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color w:val="auto"/>
          <w:sz w:val="24"/>
          <w:lang w:val="en-US" w:eastAsia="zh-CN"/>
        </w:rPr>
        <w:t>10、在日</w:t>
      </w:r>
      <w:r>
        <w:rPr>
          <w:rFonts w:hint="eastAsia" w:ascii="宋体" w:hAnsi="宋体" w:cs="宋体"/>
          <w:color w:val="auto"/>
          <w:sz w:val="24"/>
        </w:rPr>
        <w:t>常巡检中，如发现现场养护人员电子考勤不到位的，每发现一次承担违约金500元，养护班组整体电子考勤缺卡、没打卡的，视情节严重承担违约金5000元。</w:t>
      </w:r>
      <w:bookmarkStart w:id="30" w:name="_Toc416098594"/>
    </w:p>
    <w:bookmarkEnd w:id="30"/>
    <w:p>
      <w:pPr>
        <w:keepNext w:val="0"/>
        <w:keepLines w:val="0"/>
        <w:pageBreakBefore w:val="0"/>
        <w:kinsoku/>
        <w:wordWrap/>
        <w:overflowPunct/>
        <w:topLinePunct w:val="0"/>
        <w:bidi w:val="0"/>
        <w:adjustRightInd w:val="0"/>
        <w:snapToGrid w:val="0"/>
        <w:spacing w:line="360" w:lineRule="auto"/>
        <w:ind w:firstLine="482" w:firstLineChars="200"/>
        <w:jc w:val="left"/>
        <w:textAlignment w:val="auto"/>
        <w:outlineLvl w:val="1"/>
        <w:rPr>
          <w:rFonts w:hint="eastAsia" w:ascii="宋体" w:hAnsi="宋体" w:cs="宋体"/>
          <w:sz w:val="24"/>
        </w:rPr>
      </w:pPr>
      <w:r>
        <w:rPr>
          <w:rFonts w:hint="eastAsia" w:ascii="宋体" w:hAnsi="宋体" w:cs="宋体"/>
          <w:b/>
          <w:bCs/>
          <w:sz w:val="24"/>
          <w:lang w:eastAsia="zh-CN"/>
        </w:rPr>
        <w:t>五</w:t>
      </w:r>
      <w:r>
        <w:rPr>
          <w:rFonts w:hint="eastAsia" w:ascii="宋体" w:hAnsi="宋体" w:cs="宋体"/>
          <w:b/>
          <w:bCs/>
          <w:sz w:val="24"/>
        </w:rPr>
        <w:t>、质量标准及要求</w:t>
      </w:r>
      <w:r>
        <w:rPr>
          <w:rFonts w:hint="eastAsia" w:ascii="宋体" w:hAnsi="宋体" w:cs="宋体"/>
          <w:sz w:val="24"/>
        </w:rPr>
        <w:t xml:space="preserve"> </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1、质量标准：达到《杭州市城区绿地养护质量标准》。</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 xml:space="preserve">2、乙方提供的服务应确保按时完成甲方规定的工作任务。对达不到要求的，根据实际情况达不到验收合格的，按损失金额进行赔偿。 </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3、如在服务过程中发生问题，乙方项目负责人应在接到甲方通知后在1小时内到达项目现场。</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4、在服务质量保证期内，乙方应对出现的质量及安全问题负责并处理解决，并承担一切费用。</w:t>
      </w:r>
    </w:p>
    <w:p>
      <w:pPr>
        <w:keepNext w:val="0"/>
        <w:keepLines w:val="0"/>
        <w:pageBreakBefore w:val="0"/>
        <w:kinsoku/>
        <w:wordWrap/>
        <w:overflowPunct/>
        <w:topLinePunct w:val="0"/>
        <w:bidi w:val="0"/>
        <w:adjustRightInd w:val="0"/>
        <w:snapToGrid w:val="0"/>
        <w:spacing w:line="360" w:lineRule="auto"/>
        <w:ind w:firstLine="482" w:firstLineChars="200"/>
        <w:jc w:val="left"/>
        <w:textAlignment w:val="auto"/>
        <w:outlineLvl w:val="1"/>
        <w:rPr>
          <w:rFonts w:hint="eastAsia" w:ascii="宋体" w:hAnsi="宋体" w:cs="宋体"/>
          <w:b/>
          <w:bCs/>
          <w:sz w:val="24"/>
        </w:rPr>
      </w:pPr>
      <w:r>
        <w:rPr>
          <w:rFonts w:hint="eastAsia" w:ascii="宋体" w:hAnsi="宋体" w:cs="宋体"/>
          <w:b/>
          <w:bCs/>
          <w:sz w:val="24"/>
          <w:lang w:eastAsia="zh-CN"/>
        </w:rPr>
        <w:t>六、</w:t>
      </w:r>
      <w:r>
        <w:rPr>
          <w:rFonts w:hint="eastAsia" w:ascii="宋体" w:hAnsi="宋体" w:cs="宋体"/>
          <w:b/>
          <w:bCs/>
          <w:sz w:val="24"/>
        </w:rPr>
        <w:t>商务要求</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1、报价要求</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1.1</w:t>
      </w:r>
      <w:r>
        <w:rPr>
          <w:rFonts w:hint="eastAsia" w:ascii="宋体" w:hAnsi="宋体" w:cs="宋体"/>
          <w:sz w:val="24"/>
          <w:lang w:val="zh-CN"/>
        </w:rPr>
        <w:t>本项目采用投标总价进行报价，按实际用工数量结算。总报价应包括劳务人员（包括人员工资、预计加班费用、社会保障费用等）、季节性劳务用工</w:t>
      </w:r>
      <w:r>
        <w:rPr>
          <w:rFonts w:hint="eastAsia" w:ascii="宋体" w:hAnsi="宋体" w:cs="宋体"/>
          <w:sz w:val="24"/>
        </w:rPr>
        <w:t>、垃圾处置（园林垃圾）等</w:t>
      </w:r>
      <w:r>
        <w:rPr>
          <w:rFonts w:hint="eastAsia" w:ascii="宋体" w:hAnsi="宋体" w:cs="宋体"/>
          <w:sz w:val="24"/>
          <w:lang w:val="zh-CN"/>
        </w:rPr>
        <w:t>运营并达到合同标准而需实际发生的各类成本费用、维修费用、作业所涉及的物耗费用（含零星材料，工具、补植苗木、花境用花、绿地施肥）、能耗费用、管理酬金、水电费、税费等。供应商需自行承担涉及投标的一切费用，均计入报价。政策性文件规定及合同包含的所有风险、责任等各项应有费用均应考虑在内。</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lang w:val="zh-CN"/>
        </w:rPr>
      </w:pPr>
      <w:r>
        <w:rPr>
          <w:rFonts w:hint="eastAsia" w:ascii="宋体" w:hAnsi="宋体" w:cs="宋体"/>
          <w:sz w:val="24"/>
        </w:rPr>
        <w:t>1.2</w:t>
      </w:r>
      <w:r>
        <w:rPr>
          <w:rFonts w:hint="eastAsia" w:ascii="宋体" w:hAnsi="宋体" w:cs="宋体"/>
          <w:sz w:val="24"/>
          <w:lang w:val="zh-CN"/>
        </w:rPr>
        <w:t>供应商必须安排养护区域的日常养护人员配备全年计划用工4680工，其中日常养护用工1846工,园林景观提升用工1859工机动应急保障用工约975工（女工比例不超过20%</w:t>
      </w:r>
      <w:r>
        <w:rPr>
          <w:rFonts w:hint="eastAsia" w:ascii="宋体" w:hAnsi="宋体" w:cs="宋体"/>
          <w:sz w:val="24"/>
          <w:highlight w:val="none"/>
          <w:lang w:val="zh-CN"/>
        </w:rPr>
        <w:t>）。</w:t>
      </w:r>
      <w:r>
        <w:rPr>
          <w:rFonts w:hint="eastAsia" w:ascii="宋体" w:hAnsi="宋体" w:eastAsia="宋体" w:cs="宋体"/>
          <w:sz w:val="24"/>
          <w:highlight w:val="none"/>
          <w:lang w:val="zh-CN"/>
        </w:rPr>
        <w:t>其中派遣人员每人每月人工费用不得低于</w:t>
      </w:r>
      <w:r>
        <w:rPr>
          <w:rFonts w:hint="eastAsia" w:ascii="宋体" w:hAnsi="宋体" w:eastAsia="宋体" w:cs="宋体"/>
          <w:sz w:val="24"/>
          <w:highlight w:val="none"/>
        </w:rPr>
        <w:t>《浙江省人民政府关于调整全省最低工资标准的通知》（浙政发【2024】3号）</w:t>
      </w:r>
      <w:r>
        <w:rPr>
          <w:rFonts w:hint="eastAsia" w:ascii="宋体" w:hAnsi="宋体" w:eastAsia="宋体" w:cs="宋体"/>
          <w:color w:val="auto"/>
          <w:sz w:val="24"/>
          <w:szCs w:val="24"/>
          <w:highlight w:val="none"/>
        </w:rPr>
        <w:t>号文件规定的工资标准</w:t>
      </w:r>
      <w:r>
        <w:rPr>
          <w:rFonts w:hint="eastAsia" w:ascii="宋体" w:hAnsi="宋体" w:eastAsia="宋体" w:cs="宋体"/>
          <w:color w:val="auto"/>
          <w:sz w:val="24"/>
          <w:szCs w:val="24"/>
          <w:highlight w:val="none"/>
          <w:lang w:val="en-US" w:eastAsia="zh-CN"/>
        </w:rPr>
        <w:t>2490元</w:t>
      </w:r>
      <w:r>
        <w:rPr>
          <w:rFonts w:hint="eastAsia" w:ascii="宋体" w:hAnsi="宋体" w:cs="宋体"/>
          <w:color w:val="auto"/>
          <w:sz w:val="24"/>
          <w:szCs w:val="24"/>
          <w:highlight w:val="none"/>
          <w:lang w:val="en-US" w:eastAsia="zh-CN"/>
        </w:rPr>
        <w:t>，以及</w:t>
      </w:r>
      <w:r>
        <w:rPr>
          <w:rFonts w:hint="eastAsia" w:ascii="宋体" w:hAnsi="宋体" w:cs="宋体"/>
          <w:sz w:val="24"/>
          <w:highlight w:val="none"/>
          <w:lang w:val="zh-CN"/>
        </w:rPr>
        <w:t>社会保障费用（养老保险15%、医疗生育保险9.</w:t>
      </w:r>
      <w:r>
        <w:rPr>
          <w:rFonts w:hint="eastAsia" w:ascii="宋体" w:hAnsi="宋体" w:cs="宋体"/>
          <w:sz w:val="24"/>
          <w:highlight w:val="none"/>
          <w:lang w:val="en-US" w:eastAsia="zh-CN"/>
        </w:rPr>
        <w:t>5</w:t>
      </w:r>
      <w:r>
        <w:rPr>
          <w:rFonts w:hint="eastAsia" w:ascii="宋体" w:hAnsi="宋体" w:cs="宋体"/>
          <w:sz w:val="24"/>
          <w:highlight w:val="none"/>
          <w:lang w:val="zh-CN"/>
        </w:rPr>
        <w:t>%、失业保险0.5%、工伤保险0.2%，社会保障费用的最低缴费基数为</w:t>
      </w:r>
      <w:r>
        <w:rPr>
          <w:rFonts w:hint="eastAsia" w:ascii="宋体" w:hAnsi="宋体" w:cs="宋体"/>
          <w:sz w:val="24"/>
          <w:highlight w:val="none"/>
          <w:lang w:val="en-US" w:eastAsia="zh-CN"/>
        </w:rPr>
        <w:t>4462</w:t>
      </w:r>
      <w:r>
        <w:rPr>
          <w:rFonts w:hint="eastAsia" w:ascii="宋体" w:hAnsi="宋体" w:cs="宋体"/>
          <w:sz w:val="24"/>
          <w:highlight w:val="none"/>
          <w:lang w:val="zh-CN"/>
        </w:rPr>
        <w:t>元）之和</w:t>
      </w:r>
      <w:r>
        <w:rPr>
          <w:rFonts w:hint="eastAsia" w:ascii="宋体" w:hAnsi="宋体" w:cs="宋体"/>
          <w:sz w:val="24"/>
          <w:highlight w:val="none"/>
          <w:lang w:val="en-US" w:eastAsia="zh-CN"/>
        </w:rPr>
        <w:t>3614.42</w:t>
      </w:r>
      <w:r>
        <w:rPr>
          <w:rFonts w:hint="eastAsia" w:ascii="宋体" w:hAnsi="宋体" w:cs="宋体"/>
          <w:sz w:val="24"/>
          <w:highlight w:val="none"/>
          <w:lang w:val="zh-CN"/>
        </w:rPr>
        <w:t>元，否则评标委员可以认为低于成本价恶性竞争而判定为无效标(因人工费上涨引起费用增加的风险应考虑在投标总价内，采购单位不另行支</w:t>
      </w:r>
      <w:r>
        <w:rPr>
          <w:rFonts w:hint="eastAsia" w:ascii="宋体" w:hAnsi="宋体" w:cs="宋体"/>
          <w:sz w:val="24"/>
          <w:lang w:val="zh-CN"/>
        </w:rPr>
        <w:t>付)。</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2、付款方式和条件</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2.1付款方式：按月结，</w:t>
      </w:r>
      <w:r>
        <w:rPr>
          <w:rFonts w:hint="eastAsia" w:ascii="宋体" w:hAnsi="宋体" w:cs="宋体"/>
          <w:sz w:val="24"/>
          <w:lang w:val="zh-CN"/>
        </w:rPr>
        <w:t>以</w:t>
      </w:r>
      <w:r>
        <w:rPr>
          <w:rFonts w:hint="eastAsia" w:ascii="宋体" w:hAnsi="宋体" w:cs="宋体"/>
          <w:sz w:val="24"/>
        </w:rPr>
        <w:t>转账方式</w:t>
      </w:r>
      <w:r>
        <w:rPr>
          <w:rFonts w:hint="eastAsia" w:ascii="宋体" w:hAnsi="宋体" w:cs="宋体"/>
          <w:sz w:val="24"/>
          <w:lang w:val="zh-CN"/>
        </w:rPr>
        <w:t>，按实际用工数量结算。</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2.2付款条件：供应商凭采购人出具的月派遣人员清单和采购人相关负责人签字认可的实际用工审批单及等额税务发票于次月20日前向采购人进行结算。</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3、履行合同的时间、地点、违约责任、解决争议的方式</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3.1履行合同的时间：1年（具体时间按合同签订为准）。</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3.2履行合同的地点：管理处辖区</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3.3履约保证金：</w:t>
      </w:r>
      <w:r>
        <w:rPr>
          <w:rFonts w:hint="eastAsia" w:ascii="宋体" w:hAnsi="宋体" w:cs="宋体"/>
          <w:sz w:val="24"/>
          <w:lang w:val="zh-CN"/>
        </w:rPr>
        <w:t>中标金额的</w:t>
      </w:r>
      <w:r>
        <w:rPr>
          <w:rFonts w:hint="eastAsia" w:ascii="宋体" w:hAnsi="宋体" w:cs="宋体"/>
          <w:sz w:val="24"/>
        </w:rPr>
        <w:t>1</w:t>
      </w:r>
      <w:r>
        <w:rPr>
          <w:rFonts w:hint="eastAsia" w:ascii="宋体" w:hAnsi="宋体" w:cs="宋体"/>
          <w:sz w:val="24"/>
          <w:lang w:val="zh-CN"/>
        </w:rPr>
        <w:t>%。</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3.4履行合同的违约责任</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（1）采购人无正当理由拒收接受服务的，采购人向供应商偿付合同款项百分之五作为违约金。</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（2）采购人无故逾期验收和办理款项支付手续的,采购人应按逾期付款总额每日万分之五向供应商支付违约金。</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（3）供应商未能如期提供服务的，对采购人的通知逾期未响应，采购人自行安排人员完成工作，产生的相关费用由供应商承担。供应商超过约定日期10个工作日仍不能提供服务的，采购人可解除本合同。</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3.5履行合同中解决争议的方式：</w:t>
      </w:r>
      <w:r>
        <w:rPr>
          <w:rFonts w:hint="eastAsia" w:ascii="宋体" w:hAnsi="宋体" w:cs="宋体"/>
          <w:sz w:val="24"/>
          <w:lang w:val="zh-CN"/>
        </w:rPr>
        <w:t>在合同执行过程中如发生争议，首先应本着友好的原则协商解决，协商未果的，合同中甲乙双方均可</w:t>
      </w:r>
      <w:r>
        <w:rPr>
          <w:rFonts w:hint="eastAsia" w:ascii="宋体" w:hAnsi="宋体" w:cs="宋体"/>
          <w:sz w:val="24"/>
        </w:rPr>
        <w:t>向本项目所在地人民法院提起诉讼。</w:t>
      </w:r>
    </w:p>
    <w:p>
      <w:pPr>
        <w:keepNext w:val="0"/>
        <w:keepLines w:val="0"/>
        <w:pageBreakBefore w:val="0"/>
        <w:numPr>
          <w:ilvl w:val="0"/>
          <w:numId w:val="1"/>
        </w:numPr>
        <w:kinsoku/>
        <w:wordWrap/>
        <w:overflowPunct/>
        <w:topLinePunct w:val="0"/>
        <w:bidi w:val="0"/>
        <w:adjustRightInd w:val="0"/>
        <w:snapToGrid w:val="0"/>
        <w:spacing w:line="360" w:lineRule="auto"/>
        <w:ind w:firstLine="482"/>
        <w:jc w:val="left"/>
        <w:textAlignment w:val="auto"/>
        <w:rPr>
          <w:rFonts w:hint="eastAsia" w:ascii="宋体" w:hAnsi="宋体" w:cs="宋体"/>
          <w:b/>
          <w:bCs/>
          <w:sz w:val="24"/>
        </w:rPr>
      </w:pPr>
      <w:r>
        <w:rPr>
          <w:rFonts w:hint="eastAsia" w:ascii="宋体" w:hAnsi="宋体" w:cs="宋体"/>
          <w:b/>
          <w:bCs/>
          <w:sz w:val="24"/>
        </w:rPr>
        <w:t>供应商派遣的养护人员在作业中必须采取有效的安全措施，做好相关安全工作。在作业过程中，必须穿反光衣。养护人员在作业期间发生工伤、职业病、死亡等事故（包括上下班过程中的交通伤亡事故）等，由供应商按国家和本地区的有关政策、规定处理。由于养护人员在作业过程中导致任何第三方的财产、经营损失或人身伤害、死亡的，一切责任均由供应商承担。</w:t>
      </w:r>
    </w:p>
    <w:p>
      <w:pPr>
        <w:keepNext w:val="0"/>
        <w:keepLines w:val="0"/>
        <w:pageBreakBefore w:val="0"/>
        <w:numPr>
          <w:ilvl w:val="0"/>
          <w:numId w:val="1"/>
        </w:numPr>
        <w:kinsoku/>
        <w:wordWrap/>
        <w:overflowPunct/>
        <w:topLinePunct w:val="0"/>
        <w:bidi w:val="0"/>
        <w:adjustRightInd w:val="0"/>
        <w:snapToGrid w:val="0"/>
        <w:spacing w:line="360" w:lineRule="auto"/>
        <w:ind w:firstLine="482"/>
        <w:jc w:val="left"/>
        <w:textAlignment w:val="auto"/>
        <w:rPr>
          <w:rFonts w:hint="eastAsia" w:ascii="宋体" w:hAnsi="宋体" w:cs="宋体"/>
          <w:b/>
          <w:bCs/>
          <w:sz w:val="24"/>
        </w:rPr>
      </w:pPr>
      <w:r>
        <w:rPr>
          <w:rFonts w:hint="eastAsia" w:ascii="宋体" w:hAnsi="宋体" w:cs="宋体"/>
          <w:b/>
          <w:bCs/>
          <w:sz w:val="24"/>
        </w:rPr>
        <w:t>严格遵守《劳动法》、《劳动合同法》等劳动法规，保障职工合法权益。严格执行杭州市最新文件规定的工资标准，必须落实职工劳保福利待遇，为职工缴纳社会保险费（养老保险、医疗保险、失业保险、工伤保险和生育保险），保障职工休息休假权利，加班必须足额支付加班费，职工的工资、岗位津贴、加班工资等必须确保按月发放。如因违法、违规造成上访或群体性事件的，由乙方负责处理。乙方未达到上述要求的，甲方有权立即解除合同。</w:t>
      </w:r>
    </w:p>
    <w:p>
      <w:pPr>
        <w:keepNext w:val="0"/>
        <w:keepLines w:val="0"/>
        <w:pageBreakBefore w:val="0"/>
        <w:numPr>
          <w:ilvl w:val="0"/>
          <w:numId w:val="1"/>
        </w:numPr>
        <w:kinsoku/>
        <w:wordWrap/>
        <w:overflowPunct/>
        <w:topLinePunct w:val="0"/>
        <w:bidi w:val="0"/>
        <w:adjustRightInd w:val="0"/>
        <w:snapToGrid w:val="0"/>
        <w:spacing w:line="360" w:lineRule="auto"/>
        <w:ind w:firstLine="482"/>
        <w:jc w:val="left"/>
        <w:textAlignment w:val="auto"/>
        <w:rPr>
          <w:rFonts w:hint="eastAsia" w:ascii="宋体" w:hAnsi="宋体" w:cs="宋体"/>
          <w:b/>
          <w:bCs/>
          <w:sz w:val="24"/>
        </w:rPr>
      </w:pPr>
      <w:r>
        <w:rPr>
          <w:rFonts w:hint="eastAsia" w:ascii="宋体" w:hAnsi="宋体" w:cs="宋体"/>
          <w:b/>
          <w:bCs/>
          <w:sz w:val="24"/>
        </w:rPr>
        <w:t>项目实施过程中制订有效流感防控工作制定方案并保证落实到位。如因防控失职等造成被通报批评的，由乙方负责处理，并承担全部责任。且甲方有权解除合同。</w:t>
      </w:r>
    </w:p>
    <w:p>
      <w:pPr>
        <w:keepNext w:val="0"/>
        <w:keepLines w:val="0"/>
        <w:pageBreakBefore w:val="0"/>
        <w:numPr>
          <w:ilvl w:val="0"/>
          <w:numId w:val="1"/>
        </w:numPr>
        <w:kinsoku/>
        <w:wordWrap/>
        <w:overflowPunct/>
        <w:topLinePunct w:val="0"/>
        <w:bidi w:val="0"/>
        <w:adjustRightInd w:val="0"/>
        <w:snapToGrid w:val="0"/>
        <w:spacing w:line="360" w:lineRule="auto"/>
        <w:ind w:firstLine="482"/>
        <w:jc w:val="left"/>
        <w:textAlignment w:val="auto"/>
        <w:rPr>
          <w:rFonts w:hint="eastAsia" w:ascii="宋体" w:hAnsi="宋体" w:cs="宋体"/>
          <w:b/>
          <w:bCs/>
          <w:sz w:val="24"/>
        </w:rPr>
      </w:pPr>
      <w:r>
        <w:rPr>
          <w:rFonts w:hint="eastAsia" w:ascii="宋体" w:hAnsi="宋体" w:cs="宋体"/>
          <w:b/>
          <w:bCs/>
          <w:sz w:val="24"/>
        </w:rPr>
        <w:t>严格执行市、区“无欠薪”制度文件、用工实名管理制度、工资保证金制度、分账管理制度、按月足额支付制度、委托银行代发工资制度。如发生欠薪事件等造成被通报批评的，由乙方负责处理，并承担全部责任。且甲方有权解除合同。</w:t>
      </w:r>
    </w:p>
    <w:p>
      <w:pPr>
        <w:keepNext w:val="0"/>
        <w:keepLines w:val="0"/>
        <w:pageBreakBefore w:val="0"/>
        <w:kinsoku/>
        <w:wordWrap/>
        <w:overflowPunct/>
        <w:topLinePunct w:val="0"/>
        <w:bidi w:val="0"/>
        <w:adjustRightInd w:val="0"/>
        <w:snapToGrid w:val="0"/>
        <w:spacing w:line="360" w:lineRule="auto"/>
        <w:ind w:firstLine="482" w:firstLineChars="200"/>
        <w:jc w:val="left"/>
        <w:textAlignment w:val="auto"/>
        <w:outlineLvl w:val="1"/>
        <w:rPr>
          <w:rFonts w:hint="eastAsia" w:ascii="宋体" w:hAnsi="宋体" w:cs="宋体"/>
          <w:b/>
          <w:bCs/>
          <w:sz w:val="24"/>
        </w:rPr>
      </w:pPr>
      <w:r>
        <w:rPr>
          <w:rFonts w:hint="eastAsia" w:ascii="宋体" w:hAnsi="宋体" w:cs="宋体"/>
          <w:b/>
          <w:bCs/>
          <w:sz w:val="24"/>
        </w:rPr>
        <w:t>七、</w:t>
      </w:r>
      <w:r>
        <w:rPr>
          <w:rFonts w:hint="eastAsia" w:ascii="宋体" w:hAnsi="宋体" w:cs="宋体"/>
          <w:b/>
          <w:bCs/>
          <w:iCs/>
          <w:sz w:val="24"/>
        </w:rPr>
        <w:t>验收、交付标准和方法</w:t>
      </w:r>
    </w:p>
    <w:p>
      <w:pPr>
        <w:keepNext w:val="0"/>
        <w:keepLines w:val="0"/>
        <w:pageBreakBefore w:val="0"/>
        <w:tabs>
          <w:tab w:val="left" w:pos="904"/>
        </w:tabs>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1、采购人按照《杭州市政府采购履约验收暂行办法》（杭财采监[2019]10号）规定组织对中标人履约的验收。验收方成员应当在验收书上签字，并承担相应的法律责任。如果发现与合同中要求不符，中标人须承担由此发生的一切损失和费用，并接受相应的处理。</w:t>
      </w:r>
    </w:p>
    <w:p>
      <w:pPr>
        <w:keepNext w:val="0"/>
        <w:keepLines w:val="0"/>
        <w:pageBreakBefore w:val="0"/>
        <w:tabs>
          <w:tab w:val="left" w:pos="904"/>
        </w:tabs>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2、严格按照采购合同开展履约验收。采购人成立验收小组，按照采购合同的约定对中标人履约情况进行验收，验收时，按照采购合同的约定对每一项技术、服务、安全标准的履约情况进行确认，出具验收报告并经验收小组全体成员签字。采购人根据验收报告形成验收意见并经采购人与成交中标人签字盖章，并在财政指定媒体上公示无异议后生效。验收结果与采购合同约定的资金支付及履约保证金返还条件挂钩。履约验收的各项资料应当存档备查。</w:t>
      </w:r>
    </w:p>
    <w:p>
      <w:pPr>
        <w:keepNext w:val="0"/>
        <w:keepLines w:val="0"/>
        <w:pageBreakBefore w:val="0"/>
        <w:tabs>
          <w:tab w:val="left" w:pos="904"/>
        </w:tabs>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验收合格的项目，采购人将根据采购合同的约定及时向中标人支付采购资金、退还履约保证金。验收不合格的项目，采购人将依法及时处理。采购合同的履行、违约责任和解决争议的方式等适用《中华人民共和国民法典》。</w:t>
      </w:r>
    </w:p>
    <w:p>
      <w:pPr>
        <w:keepNext w:val="0"/>
        <w:keepLines w:val="0"/>
        <w:pageBreakBefore w:val="0"/>
        <w:tabs>
          <w:tab w:val="left" w:pos="904"/>
        </w:tabs>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4、验收产生的费用首次验收费用由采购人承担，如首次验收不合格，后续验收费用由中标人支付。</w:t>
      </w:r>
    </w:p>
    <w:p>
      <w:pPr>
        <w:keepNext w:val="0"/>
        <w:keepLines w:val="0"/>
        <w:pageBreakBefore w:val="0"/>
        <w:tabs>
          <w:tab w:val="left" w:pos="904"/>
        </w:tabs>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5、验收内容及资料要求：</w:t>
      </w:r>
    </w:p>
    <w:p>
      <w:pPr>
        <w:keepNext w:val="0"/>
        <w:keepLines w:val="0"/>
        <w:pageBreakBefore w:val="0"/>
        <w:tabs>
          <w:tab w:val="left" w:pos="904"/>
        </w:tabs>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根据采购文件确定的技术指标或者服务要求确定验收指标和标准。未进行相应约定的，应当符合国家强制性规定、政策要求、安全标准、行业或企业有关标准等。</w:t>
      </w:r>
    </w:p>
    <w:p>
      <w:pPr>
        <w:pStyle w:val="724"/>
        <w:spacing w:line="360" w:lineRule="auto"/>
        <w:rPr>
          <w:rFonts w:hint="eastAsia"/>
          <w:b w:val="0"/>
          <w:bCs/>
          <w:kern w:val="2"/>
          <w:szCs w:val="24"/>
        </w:rPr>
      </w:pPr>
    </w:p>
    <w:p>
      <w:pPr>
        <w:spacing w:line="360" w:lineRule="auto"/>
        <w:jc w:val="center"/>
        <w:outlineLvl w:val="0"/>
        <w:rPr>
          <w:rFonts w:cs="宋体" w:asciiTheme="majorEastAsia" w:hAnsiTheme="majorEastAsia" w:eastAsiaTheme="majorEastAsia"/>
          <w:b/>
          <w:sz w:val="36"/>
          <w:szCs w:val="36"/>
        </w:rPr>
      </w:pPr>
      <w:r>
        <w:rPr>
          <w:rFonts w:hint="eastAsia" w:cs="宋体" w:asciiTheme="majorEastAsia" w:hAnsiTheme="majorEastAsia" w:eastAsiaTheme="majorEastAsia"/>
          <w:b/>
          <w:sz w:val="36"/>
          <w:szCs w:val="36"/>
        </w:rPr>
        <w:t xml:space="preserve">第四部分   </w:t>
      </w:r>
      <w:bookmarkStart w:id="31" w:name="_Toc184314460"/>
      <w:bookmarkEnd w:id="31"/>
      <w:bookmarkStart w:id="32" w:name="_Toc184314458"/>
      <w:bookmarkEnd w:id="32"/>
      <w:bookmarkStart w:id="33" w:name="_Toc184314432"/>
      <w:bookmarkEnd w:id="33"/>
      <w:bookmarkStart w:id="34" w:name="_Toc184312128"/>
      <w:bookmarkEnd w:id="34"/>
      <w:bookmarkStart w:id="35" w:name="_Toc184313257"/>
      <w:bookmarkEnd w:id="35"/>
      <w:bookmarkStart w:id="36" w:name="_Toc184312106"/>
      <w:bookmarkEnd w:id="36"/>
      <w:bookmarkStart w:id="37" w:name="_Toc184312101"/>
      <w:bookmarkEnd w:id="37"/>
      <w:bookmarkStart w:id="38" w:name="_Toc184314431"/>
      <w:bookmarkEnd w:id="38"/>
      <w:bookmarkStart w:id="39" w:name="_Toc184313310"/>
      <w:bookmarkEnd w:id="39"/>
      <w:bookmarkStart w:id="40" w:name="_Toc184310320"/>
      <w:bookmarkEnd w:id="40"/>
      <w:bookmarkStart w:id="41" w:name="_Toc184313259"/>
      <w:bookmarkEnd w:id="41"/>
      <w:bookmarkStart w:id="42" w:name="_Toc184314477"/>
      <w:bookmarkEnd w:id="42"/>
      <w:bookmarkStart w:id="43" w:name="_Toc184312092"/>
      <w:bookmarkEnd w:id="43"/>
      <w:bookmarkStart w:id="44" w:name="_Toc184314443"/>
      <w:bookmarkEnd w:id="44"/>
      <w:bookmarkStart w:id="45" w:name="_Toc184314476"/>
      <w:bookmarkEnd w:id="45"/>
      <w:bookmarkStart w:id="46" w:name="_Toc184313256"/>
      <w:bookmarkEnd w:id="46"/>
      <w:bookmarkStart w:id="47" w:name="_Toc184312121"/>
      <w:bookmarkEnd w:id="47"/>
      <w:bookmarkStart w:id="48" w:name="_Toc184313299"/>
      <w:bookmarkEnd w:id="48"/>
      <w:bookmarkStart w:id="49" w:name="_Toc184308076"/>
      <w:bookmarkEnd w:id="49"/>
      <w:bookmarkStart w:id="50" w:name="_Toc184313282"/>
      <w:bookmarkEnd w:id="50"/>
      <w:bookmarkStart w:id="51" w:name="_Toc184314440"/>
      <w:bookmarkEnd w:id="51"/>
      <w:bookmarkStart w:id="52" w:name="_Toc184313250"/>
      <w:bookmarkEnd w:id="52"/>
      <w:bookmarkStart w:id="53" w:name="_Toc184308098"/>
      <w:bookmarkEnd w:id="53"/>
      <w:bookmarkStart w:id="54" w:name="_Toc184310338"/>
      <w:bookmarkEnd w:id="54"/>
      <w:bookmarkStart w:id="55" w:name="_Toc184314430"/>
      <w:bookmarkEnd w:id="55"/>
      <w:bookmarkStart w:id="56" w:name="_Toc184310316"/>
      <w:bookmarkEnd w:id="56"/>
      <w:bookmarkStart w:id="57" w:name="_Toc184313309"/>
      <w:bookmarkEnd w:id="57"/>
      <w:bookmarkStart w:id="58" w:name="_Toc184313260"/>
      <w:bookmarkEnd w:id="58"/>
      <w:bookmarkStart w:id="59" w:name="_Toc184310285"/>
      <w:bookmarkEnd w:id="59"/>
      <w:bookmarkStart w:id="60" w:name="_Toc184314414"/>
      <w:bookmarkEnd w:id="60"/>
      <w:bookmarkStart w:id="61" w:name="_Toc184310334"/>
      <w:bookmarkEnd w:id="61"/>
      <w:bookmarkStart w:id="62" w:name="_Toc184312131"/>
      <w:bookmarkEnd w:id="62"/>
      <w:bookmarkStart w:id="63" w:name="_Toc184314445"/>
      <w:bookmarkEnd w:id="63"/>
      <w:bookmarkStart w:id="64" w:name="_Toc184313296"/>
      <w:bookmarkEnd w:id="64"/>
      <w:bookmarkStart w:id="65" w:name="_Toc184313285"/>
      <w:bookmarkEnd w:id="65"/>
      <w:bookmarkStart w:id="66" w:name="_Toc184314451"/>
      <w:bookmarkEnd w:id="66"/>
      <w:bookmarkStart w:id="67" w:name="_Toc184310299"/>
      <w:bookmarkEnd w:id="67"/>
      <w:bookmarkStart w:id="68" w:name="_Toc184310296"/>
      <w:bookmarkEnd w:id="68"/>
      <w:bookmarkStart w:id="69" w:name="_Toc184310311"/>
      <w:bookmarkEnd w:id="69"/>
      <w:bookmarkStart w:id="70" w:name="_Toc184312107"/>
      <w:bookmarkEnd w:id="70"/>
      <w:bookmarkStart w:id="71" w:name="_Toc184313265"/>
      <w:bookmarkEnd w:id="71"/>
      <w:bookmarkStart w:id="72" w:name="_Toc184310280"/>
      <w:bookmarkEnd w:id="72"/>
      <w:bookmarkStart w:id="73" w:name="_Toc184308084"/>
      <w:bookmarkEnd w:id="73"/>
      <w:bookmarkStart w:id="74" w:name="_Toc184312069"/>
      <w:bookmarkEnd w:id="74"/>
      <w:bookmarkStart w:id="75" w:name="_Toc184310330"/>
      <w:bookmarkEnd w:id="75"/>
      <w:bookmarkStart w:id="76" w:name="_Toc184314454"/>
      <w:bookmarkEnd w:id="76"/>
      <w:bookmarkStart w:id="77" w:name="_Toc184314447"/>
      <w:bookmarkEnd w:id="77"/>
      <w:bookmarkStart w:id="78" w:name="_Toc184308092"/>
      <w:bookmarkEnd w:id="78"/>
      <w:bookmarkStart w:id="79" w:name="_Toc184312068"/>
      <w:bookmarkEnd w:id="79"/>
      <w:bookmarkStart w:id="80" w:name="_Toc184308099"/>
      <w:bookmarkEnd w:id="80"/>
      <w:bookmarkStart w:id="81" w:name="_Toc184313300"/>
      <w:bookmarkEnd w:id="81"/>
      <w:bookmarkStart w:id="82" w:name="_Toc184308085"/>
      <w:bookmarkEnd w:id="82"/>
      <w:bookmarkStart w:id="83" w:name="_Toc184308054"/>
      <w:bookmarkEnd w:id="83"/>
      <w:bookmarkStart w:id="84" w:name="_Toc184313254"/>
      <w:bookmarkEnd w:id="84"/>
      <w:bookmarkStart w:id="85" w:name="_Toc184310293"/>
      <w:bookmarkEnd w:id="85"/>
      <w:bookmarkStart w:id="86" w:name="_Toc184308053"/>
      <w:bookmarkEnd w:id="86"/>
      <w:bookmarkStart w:id="87" w:name="_Toc184312084"/>
      <w:bookmarkEnd w:id="87"/>
      <w:bookmarkStart w:id="88" w:name="_Toc184313297"/>
      <w:bookmarkEnd w:id="88"/>
      <w:bookmarkStart w:id="89" w:name="_Toc184308052"/>
      <w:bookmarkEnd w:id="89"/>
      <w:bookmarkStart w:id="90" w:name="_Toc184308065"/>
      <w:bookmarkEnd w:id="90"/>
      <w:bookmarkStart w:id="91" w:name="_Toc184310295"/>
      <w:bookmarkEnd w:id="91"/>
      <w:bookmarkStart w:id="92" w:name="_Toc184310312"/>
      <w:bookmarkEnd w:id="92"/>
      <w:bookmarkStart w:id="93" w:name="_Toc184314457"/>
      <w:bookmarkEnd w:id="93"/>
      <w:bookmarkStart w:id="94" w:name="_Toc184312091"/>
      <w:bookmarkEnd w:id="94"/>
      <w:bookmarkStart w:id="95" w:name="_Toc184313255"/>
      <w:bookmarkEnd w:id="95"/>
      <w:bookmarkStart w:id="96" w:name="_Toc184310302"/>
      <w:bookmarkEnd w:id="96"/>
      <w:bookmarkStart w:id="97" w:name="_Toc184314475"/>
      <w:bookmarkEnd w:id="97"/>
      <w:bookmarkStart w:id="98" w:name="_Toc184313280"/>
      <w:bookmarkEnd w:id="98"/>
      <w:bookmarkStart w:id="99" w:name="_Toc184308081"/>
      <w:bookmarkEnd w:id="99"/>
      <w:bookmarkStart w:id="100" w:name="_Toc184313262"/>
      <w:bookmarkEnd w:id="100"/>
      <w:bookmarkStart w:id="101" w:name="_Toc184312129"/>
      <w:bookmarkEnd w:id="101"/>
      <w:bookmarkStart w:id="102" w:name="_Toc184312118"/>
      <w:bookmarkEnd w:id="102"/>
      <w:bookmarkStart w:id="103" w:name="_Toc184310290"/>
      <w:bookmarkEnd w:id="103"/>
      <w:bookmarkStart w:id="104" w:name="_Toc184314424"/>
      <w:bookmarkEnd w:id="104"/>
      <w:bookmarkStart w:id="105" w:name="_Toc184313261"/>
      <w:bookmarkEnd w:id="105"/>
      <w:bookmarkStart w:id="106" w:name="_Toc184308069"/>
      <w:bookmarkEnd w:id="106"/>
      <w:bookmarkStart w:id="107" w:name="_Toc184312133"/>
      <w:bookmarkEnd w:id="107"/>
      <w:bookmarkStart w:id="108" w:name="_Toc184308067"/>
      <w:bookmarkEnd w:id="108"/>
      <w:bookmarkStart w:id="109" w:name="_Toc184310274"/>
      <w:bookmarkEnd w:id="109"/>
      <w:bookmarkStart w:id="110" w:name="_Toc184314449"/>
      <w:bookmarkEnd w:id="110"/>
      <w:bookmarkStart w:id="111" w:name="_Toc184312074"/>
      <w:bookmarkEnd w:id="111"/>
      <w:bookmarkStart w:id="112" w:name="_Toc184310319"/>
      <w:bookmarkEnd w:id="112"/>
      <w:bookmarkStart w:id="113" w:name="_Toc184314434"/>
      <w:bookmarkEnd w:id="113"/>
      <w:bookmarkStart w:id="114" w:name="_Toc184314469"/>
      <w:bookmarkEnd w:id="114"/>
      <w:bookmarkStart w:id="115" w:name="_Toc184312120"/>
      <w:bookmarkEnd w:id="115"/>
      <w:bookmarkStart w:id="116" w:name="_Toc184313268"/>
      <w:bookmarkEnd w:id="116"/>
      <w:bookmarkStart w:id="117" w:name="_Toc184314412"/>
      <w:bookmarkEnd w:id="117"/>
      <w:bookmarkStart w:id="118" w:name="_Toc184310276"/>
      <w:bookmarkEnd w:id="118"/>
      <w:bookmarkStart w:id="119" w:name="_Toc184313242"/>
      <w:bookmarkEnd w:id="119"/>
      <w:bookmarkStart w:id="120" w:name="_Toc184313291"/>
      <w:bookmarkEnd w:id="120"/>
      <w:bookmarkStart w:id="121" w:name="_Toc184313302"/>
      <w:bookmarkEnd w:id="121"/>
      <w:bookmarkStart w:id="122" w:name="_Toc184313251"/>
      <w:bookmarkEnd w:id="122"/>
      <w:bookmarkStart w:id="123" w:name="_Toc184314474"/>
      <w:bookmarkEnd w:id="123"/>
      <w:bookmarkStart w:id="124" w:name="_Toc184313278"/>
      <w:bookmarkEnd w:id="124"/>
      <w:bookmarkStart w:id="125" w:name="_Toc184308044"/>
      <w:bookmarkEnd w:id="125"/>
      <w:bookmarkStart w:id="126" w:name="_Toc184313276"/>
      <w:bookmarkEnd w:id="126"/>
      <w:bookmarkStart w:id="127" w:name="_Toc184313270"/>
      <w:bookmarkEnd w:id="127"/>
      <w:bookmarkStart w:id="128" w:name="_Toc184310342"/>
      <w:bookmarkEnd w:id="128"/>
      <w:bookmarkStart w:id="129" w:name="_Toc184312111"/>
      <w:bookmarkEnd w:id="129"/>
      <w:bookmarkStart w:id="130" w:name="_Toc184313269"/>
      <w:bookmarkEnd w:id="130"/>
      <w:bookmarkStart w:id="131" w:name="_Toc184312135"/>
      <w:bookmarkEnd w:id="131"/>
      <w:bookmarkStart w:id="132" w:name="_Toc184313246"/>
      <w:bookmarkEnd w:id="132"/>
      <w:bookmarkStart w:id="133" w:name="_Toc184312116"/>
      <w:bookmarkEnd w:id="133"/>
      <w:bookmarkStart w:id="134" w:name="_Toc184310313"/>
      <w:bookmarkEnd w:id="134"/>
      <w:bookmarkStart w:id="135" w:name="_Toc184313245"/>
      <w:bookmarkEnd w:id="135"/>
      <w:bookmarkStart w:id="136" w:name="_Toc184310321"/>
      <w:bookmarkEnd w:id="136"/>
      <w:bookmarkStart w:id="137" w:name="_Toc184310289"/>
      <w:bookmarkEnd w:id="137"/>
      <w:bookmarkStart w:id="138" w:name="_Toc184310282"/>
      <w:bookmarkEnd w:id="138"/>
      <w:bookmarkStart w:id="139" w:name="_Toc184308056"/>
      <w:bookmarkEnd w:id="139"/>
      <w:bookmarkStart w:id="140" w:name="_Toc184310317"/>
      <w:bookmarkEnd w:id="140"/>
      <w:bookmarkStart w:id="141" w:name="_Toc184312090"/>
      <w:bookmarkEnd w:id="141"/>
      <w:bookmarkStart w:id="142" w:name="_Toc184310307"/>
      <w:bookmarkEnd w:id="142"/>
      <w:bookmarkStart w:id="143" w:name="_Toc184312089"/>
      <w:bookmarkEnd w:id="143"/>
      <w:bookmarkStart w:id="144" w:name="_Toc184312114"/>
      <w:bookmarkEnd w:id="144"/>
      <w:bookmarkStart w:id="145" w:name="_Toc184308049"/>
      <w:bookmarkEnd w:id="145"/>
      <w:bookmarkStart w:id="146" w:name="_Toc184310277"/>
      <w:bookmarkEnd w:id="146"/>
      <w:bookmarkStart w:id="147" w:name="_Toc184314423"/>
      <w:bookmarkEnd w:id="147"/>
      <w:bookmarkStart w:id="148" w:name="_Toc184308075"/>
      <w:bookmarkEnd w:id="148"/>
      <w:bookmarkStart w:id="149" w:name="_Toc184314425"/>
      <w:bookmarkEnd w:id="149"/>
      <w:bookmarkStart w:id="150" w:name="_Toc184314417"/>
      <w:bookmarkEnd w:id="150"/>
      <w:bookmarkStart w:id="151" w:name="_Toc184312077"/>
      <w:bookmarkEnd w:id="151"/>
      <w:bookmarkStart w:id="152" w:name="_Toc184310281"/>
      <w:bookmarkEnd w:id="152"/>
      <w:bookmarkStart w:id="153" w:name="_Toc184312105"/>
      <w:bookmarkEnd w:id="153"/>
      <w:bookmarkStart w:id="154" w:name="_Toc184308055"/>
      <w:bookmarkEnd w:id="154"/>
      <w:bookmarkStart w:id="155" w:name="_Toc184312085"/>
      <w:bookmarkEnd w:id="155"/>
      <w:bookmarkStart w:id="156" w:name="_Toc184314481"/>
      <w:bookmarkEnd w:id="156"/>
      <w:bookmarkStart w:id="157" w:name="_Toc184310300"/>
      <w:bookmarkEnd w:id="157"/>
      <w:bookmarkStart w:id="158" w:name="_Toc184308042"/>
      <w:bookmarkEnd w:id="158"/>
      <w:bookmarkStart w:id="159" w:name="_Toc184313249"/>
      <w:bookmarkEnd w:id="159"/>
      <w:bookmarkStart w:id="160" w:name="_Toc184314421"/>
      <w:bookmarkEnd w:id="160"/>
      <w:bookmarkStart w:id="161" w:name="_Toc184313287"/>
      <w:bookmarkEnd w:id="161"/>
      <w:bookmarkStart w:id="162" w:name="_Toc184314420"/>
      <w:bookmarkEnd w:id="162"/>
      <w:bookmarkStart w:id="163" w:name="_Toc184308059"/>
      <w:bookmarkEnd w:id="163"/>
      <w:bookmarkStart w:id="164" w:name="_Toc184308079"/>
      <w:bookmarkEnd w:id="164"/>
      <w:bookmarkStart w:id="165" w:name="_Toc184313288"/>
      <w:bookmarkEnd w:id="165"/>
      <w:bookmarkStart w:id="166" w:name="_Toc184308091"/>
      <w:bookmarkEnd w:id="166"/>
      <w:bookmarkStart w:id="167" w:name="_Toc184308045"/>
      <w:bookmarkEnd w:id="167"/>
      <w:bookmarkStart w:id="168" w:name="_Toc184312093"/>
      <w:bookmarkEnd w:id="168"/>
      <w:bookmarkStart w:id="169" w:name="_Toc184312075"/>
      <w:bookmarkEnd w:id="169"/>
      <w:bookmarkStart w:id="170" w:name="_Toc184310275"/>
      <w:bookmarkEnd w:id="170"/>
      <w:bookmarkStart w:id="171" w:name="_Toc184312081"/>
      <w:bookmarkEnd w:id="171"/>
      <w:bookmarkStart w:id="172" w:name="_Toc184308068"/>
      <w:bookmarkEnd w:id="172"/>
      <w:bookmarkStart w:id="173" w:name="_Toc184312130"/>
      <w:bookmarkEnd w:id="173"/>
      <w:bookmarkStart w:id="174" w:name="_Toc184308095"/>
      <w:bookmarkEnd w:id="174"/>
      <w:bookmarkStart w:id="175" w:name="_Toc184310343"/>
      <w:bookmarkEnd w:id="175"/>
      <w:bookmarkStart w:id="176" w:name="_Toc184314465"/>
      <w:bookmarkEnd w:id="176"/>
      <w:bookmarkStart w:id="177" w:name="_Toc184310283"/>
      <w:bookmarkEnd w:id="177"/>
      <w:bookmarkStart w:id="178" w:name="_Toc184313272"/>
      <w:bookmarkEnd w:id="178"/>
      <w:bookmarkStart w:id="179" w:name="_Toc184308096"/>
      <w:bookmarkEnd w:id="179"/>
      <w:bookmarkStart w:id="180" w:name="_Toc184308094"/>
      <w:bookmarkEnd w:id="180"/>
      <w:bookmarkStart w:id="181" w:name="_Toc184313275"/>
      <w:bookmarkEnd w:id="181"/>
      <w:bookmarkStart w:id="182" w:name="_Toc184308083"/>
      <w:bookmarkEnd w:id="182"/>
      <w:bookmarkStart w:id="183" w:name="_Toc184312124"/>
      <w:bookmarkEnd w:id="183"/>
      <w:bookmarkStart w:id="184" w:name="_Toc184312138"/>
      <w:bookmarkEnd w:id="184"/>
      <w:bookmarkStart w:id="185" w:name="_Toc184312102"/>
      <w:bookmarkEnd w:id="185"/>
      <w:bookmarkStart w:id="186" w:name="_Toc184308038"/>
      <w:bookmarkEnd w:id="186"/>
      <w:bookmarkStart w:id="187" w:name="_Toc184310303"/>
      <w:bookmarkEnd w:id="187"/>
      <w:bookmarkStart w:id="188" w:name="_Toc184310322"/>
      <w:bookmarkEnd w:id="188"/>
      <w:bookmarkStart w:id="189" w:name="_Toc184314437"/>
      <w:bookmarkEnd w:id="189"/>
      <w:bookmarkStart w:id="190" w:name="_Toc184310288"/>
      <w:bookmarkEnd w:id="190"/>
      <w:bookmarkStart w:id="191" w:name="_Toc184312127"/>
      <w:bookmarkEnd w:id="191"/>
      <w:bookmarkStart w:id="192" w:name="_Toc184308100"/>
      <w:bookmarkEnd w:id="192"/>
      <w:bookmarkStart w:id="193" w:name="_Toc184312113"/>
      <w:bookmarkEnd w:id="193"/>
      <w:bookmarkStart w:id="194" w:name="_Toc184312097"/>
      <w:bookmarkEnd w:id="194"/>
      <w:bookmarkStart w:id="195" w:name="_Toc184313274"/>
      <w:bookmarkEnd w:id="195"/>
      <w:bookmarkStart w:id="196" w:name="_Toc184310291"/>
      <w:bookmarkEnd w:id="196"/>
      <w:bookmarkStart w:id="197" w:name="_Toc184310340"/>
      <w:bookmarkEnd w:id="197"/>
      <w:bookmarkStart w:id="198" w:name="_Toc184314442"/>
      <w:bookmarkEnd w:id="198"/>
      <w:bookmarkStart w:id="199" w:name="_Toc184308088"/>
      <w:bookmarkEnd w:id="199"/>
      <w:bookmarkStart w:id="200" w:name="_Toc184308071"/>
      <w:bookmarkEnd w:id="200"/>
      <w:bookmarkStart w:id="201" w:name="_Toc184313286"/>
      <w:bookmarkEnd w:id="201"/>
      <w:bookmarkStart w:id="202" w:name="_Toc184310337"/>
      <w:bookmarkEnd w:id="202"/>
      <w:bookmarkStart w:id="203" w:name="_Toc184310287"/>
      <w:bookmarkEnd w:id="203"/>
      <w:bookmarkStart w:id="204" w:name="_Toc184310304"/>
      <w:bookmarkEnd w:id="204"/>
      <w:bookmarkStart w:id="205" w:name="_Toc184312086"/>
      <w:bookmarkEnd w:id="205"/>
      <w:bookmarkStart w:id="206" w:name="_Toc184310328"/>
      <w:bookmarkEnd w:id="206"/>
      <w:bookmarkStart w:id="207" w:name="_Toc184308086"/>
      <w:bookmarkEnd w:id="207"/>
      <w:bookmarkStart w:id="208" w:name="_Toc184313241"/>
      <w:bookmarkEnd w:id="208"/>
      <w:bookmarkStart w:id="209" w:name="_Toc184314472"/>
      <w:bookmarkEnd w:id="209"/>
      <w:bookmarkStart w:id="210" w:name="_Toc184308048"/>
      <w:bookmarkEnd w:id="210"/>
      <w:bookmarkStart w:id="211" w:name="_Toc184308072"/>
      <w:bookmarkEnd w:id="211"/>
      <w:bookmarkStart w:id="212" w:name="_Toc184310272"/>
      <w:bookmarkEnd w:id="212"/>
      <w:bookmarkStart w:id="213" w:name="_Toc184313284"/>
      <w:bookmarkEnd w:id="213"/>
      <w:bookmarkStart w:id="214" w:name="_Toc184312071"/>
      <w:bookmarkEnd w:id="214"/>
      <w:bookmarkStart w:id="215" w:name="_Toc184314418"/>
      <w:bookmarkEnd w:id="215"/>
      <w:bookmarkStart w:id="216" w:name="_Toc184314463"/>
      <w:bookmarkEnd w:id="216"/>
      <w:bookmarkStart w:id="217" w:name="_Toc184312109"/>
      <w:bookmarkEnd w:id="217"/>
      <w:bookmarkStart w:id="218" w:name="_Toc184308043"/>
      <w:bookmarkEnd w:id="218"/>
      <w:bookmarkStart w:id="219" w:name="_Toc184308050"/>
      <w:bookmarkEnd w:id="219"/>
      <w:bookmarkStart w:id="220" w:name="_Toc184310333"/>
      <w:bookmarkEnd w:id="220"/>
      <w:bookmarkStart w:id="221" w:name="_Toc184308037"/>
      <w:bookmarkEnd w:id="221"/>
      <w:bookmarkStart w:id="222" w:name="_Toc184314464"/>
      <w:bookmarkEnd w:id="222"/>
      <w:bookmarkStart w:id="223" w:name="_Toc184313303"/>
      <w:bookmarkEnd w:id="223"/>
      <w:bookmarkStart w:id="224" w:name="_Toc184310315"/>
      <w:bookmarkEnd w:id="224"/>
      <w:bookmarkStart w:id="225" w:name="_Toc184314422"/>
      <w:bookmarkEnd w:id="225"/>
      <w:bookmarkStart w:id="226" w:name="_Toc184314471"/>
      <w:bookmarkEnd w:id="226"/>
      <w:bookmarkStart w:id="227" w:name="_Toc184312108"/>
      <w:bookmarkEnd w:id="227"/>
      <w:bookmarkStart w:id="228" w:name="_Toc184308082"/>
      <w:bookmarkEnd w:id="228"/>
      <w:bookmarkStart w:id="229" w:name="_Toc184312117"/>
      <w:bookmarkEnd w:id="229"/>
      <w:bookmarkStart w:id="230" w:name="_Toc184312098"/>
      <w:bookmarkEnd w:id="230"/>
      <w:bookmarkStart w:id="231" w:name="_Toc184308097"/>
      <w:bookmarkEnd w:id="231"/>
      <w:bookmarkStart w:id="232" w:name="_Toc184313244"/>
      <w:bookmarkEnd w:id="232"/>
      <w:bookmarkStart w:id="233" w:name="_Toc184310292"/>
      <w:bookmarkEnd w:id="233"/>
      <w:bookmarkStart w:id="234" w:name="_Toc184312100"/>
      <w:bookmarkEnd w:id="234"/>
      <w:bookmarkStart w:id="235" w:name="_Toc184308089"/>
      <w:bookmarkEnd w:id="235"/>
      <w:bookmarkStart w:id="236" w:name="_Toc184312103"/>
      <w:bookmarkEnd w:id="236"/>
      <w:bookmarkStart w:id="237" w:name="_Toc184314459"/>
      <w:bookmarkEnd w:id="237"/>
      <w:bookmarkStart w:id="238" w:name="_Toc184312110"/>
      <w:bookmarkEnd w:id="238"/>
      <w:bookmarkStart w:id="239" w:name="_Toc184310309"/>
      <w:bookmarkEnd w:id="239"/>
      <w:bookmarkStart w:id="240" w:name="_Toc184312076"/>
      <w:bookmarkEnd w:id="240"/>
      <w:bookmarkStart w:id="241" w:name="_Toc184310297"/>
      <w:bookmarkEnd w:id="241"/>
      <w:bookmarkStart w:id="242" w:name="_Toc184310286"/>
      <w:bookmarkEnd w:id="242"/>
      <w:bookmarkStart w:id="243" w:name="_Toc184312087"/>
      <w:bookmarkEnd w:id="243"/>
      <w:bookmarkStart w:id="244" w:name="_Toc184308063"/>
      <w:bookmarkEnd w:id="244"/>
      <w:bookmarkStart w:id="245" w:name="_Toc184314433"/>
      <w:bookmarkEnd w:id="245"/>
      <w:bookmarkStart w:id="246" w:name="_Toc184312125"/>
      <w:bookmarkEnd w:id="246"/>
      <w:bookmarkStart w:id="247" w:name="_Toc184314411"/>
      <w:bookmarkEnd w:id="247"/>
      <w:bookmarkStart w:id="248" w:name="_Toc184310332"/>
      <w:bookmarkEnd w:id="248"/>
      <w:bookmarkStart w:id="249" w:name="_Toc184308047"/>
      <w:bookmarkEnd w:id="249"/>
      <w:bookmarkStart w:id="250" w:name="_Toc184313252"/>
      <w:bookmarkEnd w:id="250"/>
      <w:bookmarkStart w:id="251" w:name="_Toc184308074"/>
      <w:bookmarkEnd w:id="251"/>
      <w:bookmarkStart w:id="252" w:name="_Toc184308040"/>
      <w:bookmarkEnd w:id="252"/>
      <w:bookmarkStart w:id="253" w:name="_Toc184312137"/>
      <w:bookmarkEnd w:id="253"/>
      <w:bookmarkStart w:id="254" w:name="_Toc184313273"/>
      <w:bookmarkEnd w:id="254"/>
      <w:bookmarkStart w:id="255" w:name="_Toc184314455"/>
      <w:bookmarkEnd w:id="255"/>
      <w:bookmarkStart w:id="256" w:name="_Toc184314478"/>
      <w:bookmarkEnd w:id="256"/>
      <w:bookmarkStart w:id="257" w:name="_Toc184310331"/>
      <w:bookmarkEnd w:id="257"/>
      <w:bookmarkStart w:id="258" w:name="_Toc184310308"/>
      <w:bookmarkEnd w:id="258"/>
      <w:bookmarkStart w:id="259" w:name="_Toc184313239"/>
      <w:bookmarkEnd w:id="259"/>
      <w:bookmarkStart w:id="260" w:name="_Toc184312082"/>
      <w:bookmarkEnd w:id="260"/>
      <w:bookmarkStart w:id="261" w:name="_Toc184312099"/>
      <w:bookmarkEnd w:id="261"/>
      <w:bookmarkStart w:id="262" w:name="_Toc184313283"/>
      <w:bookmarkEnd w:id="262"/>
      <w:bookmarkStart w:id="263" w:name="_Toc184313277"/>
      <w:bookmarkEnd w:id="263"/>
      <w:bookmarkStart w:id="264" w:name="_Toc184310336"/>
      <w:bookmarkEnd w:id="264"/>
      <w:bookmarkStart w:id="265" w:name="_Toc184312070"/>
      <w:bookmarkEnd w:id="265"/>
      <w:bookmarkStart w:id="266" w:name="_Toc184314482"/>
      <w:bookmarkEnd w:id="266"/>
      <w:bookmarkStart w:id="267" w:name="_Toc184314438"/>
      <w:bookmarkEnd w:id="267"/>
      <w:bookmarkStart w:id="268" w:name="_Toc184308070"/>
      <w:bookmarkEnd w:id="268"/>
      <w:bookmarkStart w:id="269" w:name="_Toc184314473"/>
      <w:bookmarkEnd w:id="269"/>
      <w:bookmarkStart w:id="270" w:name="_Toc184308107"/>
      <w:bookmarkEnd w:id="270"/>
      <w:bookmarkStart w:id="271" w:name="_Toc184310298"/>
      <w:bookmarkEnd w:id="271"/>
      <w:bookmarkStart w:id="272" w:name="_Toc184313290"/>
      <w:bookmarkEnd w:id="272"/>
      <w:bookmarkStart w:id="273" w:name="_Toc184308066"/>
      <w:bookmarkEnd w:id="273"/>
      <w:bookmarkStart w:id="274" w:name="_Toc184313243"/>
      <w:bookmarkEnd w:id="274"/>
      <w:bookmarkStart w:id="275" w:name="_Toc184308080"/>
      <w:bookmarkEnd w:id="275"/>
      <w:bookmarkStart w:id="276" w:name="_Toc184312112"/>
      <w:bookmarkEnd w:id="276"/>
      <w:bookmarkStart w:id="277" w:name="_Toc184314435"/>
      <w:bookmarkEnd w:id="277"/>
      <w:bookmarkStart w:id="278" w:name="_Toc184313305"/>
      <w:bookmarkEnd w:id="278"/>
      <w:bookmarkStart w:id="279" w:name="_Toc184312088"/>
      <w:bookmarkEnd w:id="279"/>
      <w:bookmarkStart w:id="280" w:name="_Toc184308060"/>
      <w:bookmarkEnd w:id="280"/>
      <w:bookmarkStart w:id="281" w:name="_Toc184314456"/>
      <w:bookmarkEnd w:id="281"/>
      <w:bookmarkStart w:id="282" w:name="_Toc184310284"/>
      <w:bookmarkEnd w:id="282"/>
      <w:bookmarkStart w:id="283" w:name="_Toc184314446"/>
      <w:bookmarkEnd w:id="283"/>
      <w:bookmarkStart w:id="284" w:name="_Toc184312104"/>
      <w:bookmarkEnd w:id="284"/>
      <w:bookmarkStart w:id="285" w:name="_Toc184310301"/>
      <w:bookmarkEnd w:id="285"/>
      <w:bookmarkStart w:id="286" w:name="_Toc184313301"/>
      <w:bookmarkEnd w:id="286"/>
      <w:bookmarkStart w:id="287" w:name="_Toc184312067"/>
      <w:bookmarkEnd w:id="287"/>
      <w:bookmarkStart w:id="288" w:name="_Toc184314413"/>
      <w:bookmarkEnd w:id="288"/>
      <w:bookmarkStart w:id="289" w:name="_Toc184308087"/>
      <w:bookmarkEnd w:id="289"/>
      <w:bookmarkStart w:id="290" w:name="_Toc184312122"/>
      <w:bookmarkEnd w:id="290"/>
      <w:bookmarkStart w:id="291" w:name="_Toc184308041"/>
      <w:bookmarkEnd w:id="291"/>
      <w:bookmarkStart w:id="292" w:name="_Toc184313271"/>
      <w:bookmarkEnd w:id="292"/>
      <w:bookmarkStart w:id="293" w:name="_Toc184312139"/>
      <w:bookmarkEnd w:id="293"/>
      <w:bookmarkStart w:id="294" w:name="_Toc184313307"/>
      <w:bookmarkEnd w:id="294"/>
      <w:bookmarkStart w:id="295" w:name="_Toc184310323"/>
      <w:bookmarkEnd w:id="295"/>
      <w:bookmarkStart w:id="296" w:name="_Toc184310325"/>
      <w:bookmarkEnd w:id="296"/>
      <w:bookmarkStart w:id="297" w:name="_Toc184312083"/>
      <w:bookmarkEnd w:id="297"/>
      <w:bookmarkStart w:id="298" w:name="_Toc184313258"/>
      <w:bookmarkEnd w:id="298"/>
      <w:bookmarkStart w:id="299" w:name="_Toc184310306"/>
      <w:bookmarkEnd w:id="299"/>
      <w:bookmarkStart w:id="300" w:name="_Toc184314470"/>
      <w:bookmarkEnd w:id="300"/>
      <w:bookmarkStart w:id="301" w:name="_Toc184308102"/>
      <w:bookmarkEnd w:id="301"/>
      <w:bookmarkStart w:id="302" w:name="_Toc184310294"/>
      <w:bookmarkEnd w:id="302"/>
      <w:bookmarkStart w:id="303" w:name="_Toc184313281"/>
      <w:bookmarkEnd w:id="303"/>
      <w:bookmarkStart w:id="304" w:name="_Toc184313304"/>
      <w:bookmarkEnd w:id="304"/>
      <w:bookmarkStart w:id="305" w:name="_Toc184308039"/>
      <w:bookmarkEnd w:id="305"/>
      <w:bookmarkStart w:id="306" w:name="_Toc184308093"/>
      <w:bookmarkEnd w:id="306"/>
      <w:bookmarkStart w:id="307" w:name="_Toc184314468"/>
      <w:bookmarkEnd w:id="307"/>
      <w:bookmarkStart w:id="308" w:name="_Toc184314415"/>
      <w:bookmarkEnd w:id="308"/>
      <w:bookmarkStart w:id="309" w:name="_Toc184310344"/>
      <w:bookmarkEnd w:id="309"/>
      <w:bookmarkStart w:id="310" w:name="_Toc184310327"/>
      <w:bookmarkEnd w:id="310"/>
      <w:bookmarkStart w:id="311" w:name="_Toc184312132"/>
      <w:bookmarkEnd w:id="311"/>
      <w:bookmarkStart w:id="312" w:name="_Toc184314444"/>
      <w:bookmarkEnd w:id="312"/>
      <w:bookmarkStart w:id="313" w:name="_Toc184308105"/>
      <w:bookmarkEnd w:id="313"/>
      <w:bookmarkStart w:id="314" w:name="_Toc184314436"/>
      <w:bookmarkEnd w:id="314"/>
      <w:bookmarkStart w:id="315" w:name="_Toc184310305"/>
      <w:bookmarkEnd w:id="315"/>
      <w:bookmarkStart w:id="316" w:name="_Toc184313279"/>
      <w:bookmarkEnd w:id="316"/>
      <w:bookmarkStart w:id="317" w:name="_Toc184313294"/>
      <w:bookmarkEnd w:id="317"/>
      <w:bookmarkStart w:id="318" w:name="_Toc184310329"/>
      <w:bookmarkEnd w:id="318"/>
      <w:bookmarkStart w:id="319" w:name="_Toc184308108"/>
      <w:bookmarkEnd w:id="319"/>
      <w:bookmarkStart w:id="320" w:name="_Toc184310318"/>
      <w:bookmarkEnd w:id="320"/>
      <w:bookmarkStart w:id="321" w:name="_Toc184310341"/>
      <w:bookmarkEnd w:id="321"/>
      <w:bookmarkStart w:id="322" w:name="_Toc184310314"/>
      <w:bookmarkEnd w:id="322"/>
      <w:bookmarkStart w:id="323" w:name="_Toc184314441"/>
      <w:bookmarkEnd w:id="323"/>
      <w:bookmarkStart w:id="324" w:name="_Toc184313267"/>
      <w:bookmarkEnd w:id="324"/>
      <w:bookmarkStart w:id="325" w:name="_Toc184314427"/>
      <w:bookmarkEnd w:id="325"/>
      <w:bookmarkStart w:id="326" w:name="_Toc184313263"/>
      <w:bookmarkEnd w:id="326"/>
      <w:bookmarkStart w:id="327" w:name="_Toc184314453"/>
      <w:bookmarkEnd w:id="327"/>
      <w:bookmarkStart w:id="328" w:name="_Toc184312134"/>
      <w:bookmarkEnd w:id="328"/>
      <w:bookmarkStart w:id="329" w:name="_Toc184313289"/>
      <w:bookmarkEnd w:id="329"/>
      <w:bookmarkStart w:id="330" w:name="_Toc184313248"/>
      <w:bookmarkEnd w:id="330"/>
      <w:bookmarkStart w:id="331" w:name="_Toc184314450"/>
      <w:bookmarkEnd w:id="331"/>
      <w:bookmarkStart w:id="332" w:name="_Toc184310326"/>
      <w:bookmarkEnd w:id="332"/>
      <w:bookmarkStart w:id="333" w:name="_Toc184313240"/>
      <w:bookmarkEnd w:id="333"/>
      <w:bookmarkStart w:id="334" w:name="_Toc184314452"/>
      <w:bookmarkEnd w:id="334"/>
      <w:bookmarkStart w:id="335" w:name="_Toc184308057"/>
      <w:bookmarkEnd w:id="335"/>
      <w:bookmarkStart w:id="336" w:name="_Toc184312136"/>
      <w:bookmarkEnd w:id="336"/>
      <w:bookmarkStart w:id="337" w:name="_Toc184308064"/>
      <w:bookmarkEnd w:id="337"/>
      <w:bookmarkStart w:id="338" w:name="_Toc184310279"/>
      <w:bookmarkEnd w:id="338"/>
      <w:bookmarkStart w:id="339" w:name="_Toc184312072"/>
      <w:bookmarkEnd w:id="339"/>
      <w:bookmarkStart w:id="340" w:name="_Toc184312126"/>
      <w:bookmarkEnd w:id="340"/>
      <w:bookmarkStart w:id="341" w:name="_Toc184314439"/>
      <w:bookmarkEnd w:id="341"/>
      <w:bookmarkStart w:id="342" w:name="_Toc184310273"/>
      <w:bookmarkEnd w:id="342"/>
      <w:bookmarkStart w:id="343" w:name="_Toc184313253"/>
      <w:bookmarkEnd w:id="343"/>
      <w:bookmarkStart w:id="344" w:name="_Toc184308104"/>
      <w:bookmarkEnd w:id="344"/>
      <w:bookmarkStart w:id="345" w:name="_Toc184308061"/>
      <w:bookmarkEnd w:id="345"/>
      <w:bookmarkStart w:id="346" w:name="_Toc184313266"/>
      <w:bookmarkEnd w:id="346"/>
      <w:bookmarkStart w:id="347" w:name="_Toc184312123"/>
      <w:bookmarkEnd w:id="347"/>
      <w:bookmarkStart w:id="348" w:name="_Toc184314426"/>
      <w:bookmarkEnd w:id="348"/>
      <w:bookmarkStart w:id="349" w:name="_Toc184308046"/>
      <w:bookmarkEnd w:id="349"/>
      <w:bookmarkStart w:id="350" w:name="_Toc184308090"/>
      <w:bookmarkEnd w:id="350"/>
      <w:bookmarkStart w:id="351" w:name="_Toc184312073"/>
      <w:bookmarkEnd w:id="351"/>
      <w:bookmarkStart w:id="352" w:name="_Toc184308101"/>
      <w:bookmarkEnd w:id="352"/>
      <w:bookmarkStart w:id="353" w:name="_Toc184314429"/>
      <w:bookmarkEnd w:id="353"/>
      <w:bookmarkStart w:id="354" w:name="_Toc184312095"/>
      <w:bookmarkEnd w:id="354"/>
      <w:bookmarkStart w:id="355" w:name="_Toc184312080"/>
      <w:bookmarkEnd w:id="355"/>
      <w:bookmarkStart w:id="356" w:name="_Toc184314448"/>
      <w:bookmarkEnd w:id="356"/>
      <w:bookmarkStart w:id="357" w:name="_Toc184310310"/>
      <w:bookmarkEnd w:id="357"/>
      <w:bookmarkStart w:id="358" w:name="_Toc184313247"/>
      <w:bookmarkEnd w:id="358"/>
      <w:bookmarkStart w:id="359" w:name="_Toc184308078"/>
      <w:bookmarkEnd w:id="359"/>
      <w:bookmarkStart w:id="360" w:name="_Toc184314479"/>
      <w:bookmarkEnd w:id="360"/>
      <w:bookmarkStart w:id="361" w:name="_Toc184312119"/>
      <w:bookmarkEnd w:id="361"/>
      <w:bookmarkStart w:id="362" w:name="_Toc184308077"/>
      <w:bookmarkEnd w:id="362"/>
      <w:bookmarkStart w:id="363" w:name="_Toc184312115"/>
      <w:bookmarkEnd w:id="363"/>
      <w:bookmarkStart w:id="364" w:name="_Toc184310278"/>
      <w:bookmarkEnd w:id="364"/>
      <w:bookmarkStart w:id="365" w:name="_Toc184310335"/>
      <w:bookmarkEnd w:id="365"/>
      <w:bookmarkStart w:id="366" w:name="_Toc184314480"/>
      <w:bookmarkEnd w:id="366"/>
      <w:bookmarkStart w:id="367" w:name="_Toc184314428"/>
      <w:bookmarkEnd w:id="367"/>
      <w:bookmarkStart w:id="368" w:name="_Toc184313298"/>
      <w:bookmarkEnd w:id="368"/>
      <w:bookmarkStart w:id="369" w:name="_Toc184314467"/>
      <w:bookmarkEnd w:id="369"/>
      <w:bookmarkStart w:id="370" w:name="_Toc184310339"/>
      <w:bookmarkEnd w:id="370"/>
      <w:bookmarkStart w:id="371" w:name="_Toc184308036"/>
      <w:bookmarkEnd w:id="371"/>
      <w:bookmarkStart w:id="372" w:name="_Toc184314416"/>
      <w:bookmarkEnd w:id="372"/>
      <w:bookmarkStart w:id="373" w:name="_Toc184313293"/>
      <w:bookmarkEnd w:id="373"/>
      <w:bookmarkStart w:id="374" w:name="_Toc184308051"/>
      <w:bookmarkEnd w:id="374"/>
      <w:bookmarkStart w:id="375" w:name="_Toc184308106"/>
      <w:bookmarkEnd w:id="375"/>
      <w:bookmarkStart w:id="376" w:name="_Toc184312096"/>
      <w:bookmarkEnd w:id="376"/>
      <w:bookmarkStart w:id="377" w:name="_Toc184313264"/>
      <w:bookmarkEnd w:id="377"/>
      <w:bookmarkStart w:id="378" w:name="_Toc184314462"/>
      <w:bookmarkEnd w:id="378"/>
      <w:bookmarkStart w:id="379" w:name="_Toc184312094"/>
      <w:bookmarkEnd w:id="379"/>
      <w:bookmarkStart w:id="380" w:name="_Toc184312079"/>
      <w:bookmarkEnd w:id="380"/>
      <w:bookmarkStart w:id="381" w:name="_Toc184314410"/>
      <w:bookmarkEnd w:id="381"/>
      <w:bookmarkStart w:id="382" w:name="_Toc184313308"/>
      <w:bookmarkEnd w:id="382"/>
      <w:bookmarkStart w:id="383" w:name="_Toc184312078"/>
      <w:bookmarkEnd w:id="383"/>
      <w:bookmarkStart w:id="384" w:name="_Toc184308103"/>
      <w:bookmarkEnd w:id="384"/>
      <w:bookmarkStart w:id="385" w:name="_Toc184313238"/>
      <w:bookmarkEnd w:id="385"/>
      <w:bookmarkStart w:id="386" w:name="_Toc184308062"/>
      <w:bookmarkEnd w:id="386"/>
      <w:bookmarkStart w:id="387" w:name="_Toc184314461"/>
      <w:bookmarkEnd w:id="387"/>
      <w:bookmarkStart w:id="388" w:name="_Toc184313306"/>
      <w:bookmarkEnd w:id="388"/>
      <w:bookmarkStart w:id="389" w:name="_Toc184314419"/>
      <w:bookmarkEnd w:id="389"/>
      <w:bookmarkStart w:id="390" w:name="_Toc184313292"/>
      <w:bookmarkEnd w:id="390"/>
      <w:bookmarkStart w:id="391" w:name="_Toc184308073"/>
      <w:bookmarkEnd w:id="391"/>
      <w:bookmarkStart w:id="392" w:name="_Toc184310324"/>
      <w:bookmarkEnd w:id="392"/>
      <w:bookmarkStart w:id="393" w:name="_Toc184314466"/>
      <w:bookmarkEnd w:id="393"/>
      <w:bookmarkStart w:id="394" w:name="_Toc184313295"/>
      <w:bookmarkEnd w:id="394"/>
      <w:bookmarkStart w:id="395" w:name="_Toc184308058"/>
      <w:bookmarkEnd w:id="395"/>
      <w:r>
        <w:rPr>
          <w:rFonts w:hint="eastAsia" w:cs="宋体" w:asciiTheme="majorEastAsia" w:hAnsiTheme="majorEastAsia" w:eastAsiaTheme="majorEastAsia"/>
          <w:b/>
          <w:sz w:val="36"/>
          <w:szCs w:val="36"/>
        </w:rPr>
        <w:t>评标办法</w:t>
      </w:r>
    </w:p>
    <w:p>
      <w:pPr>
        <w:snapToGrid w:val="0"/>
        <w:spacing w:line="360" w:lineRule="auto"/>
        <w:jc w:val="center"/>
        <w:rPr>
          <w:rFonts w:cs="宋体" w:asciiTheme="majorEastAsia" w:hAnsiTheme="majorEastAsia" w:eastAsiaTheme="majorEastAsia"/>
          <w:b/>
          <w:sz w:val="32"/>
          <w:szCs w:val="20"/>
        </w:rPr>
      </w:pPr>
      <w:r>
        <w:rPr>
          <w:rFonts w:hint="eastAsia" w:cs="宋体" w:asciiTheme="majorEastAsia" w:hAnsiTheme="majorEastAsia" w:eastAsiaTheme="majorEastAsia"/>
          <w:b/>
          <w:sz w:val="32"/>
          <w:szCs w:val="20"/>
        </w:rPr>
        <w:t>评标办法前附表</w:t>
      </w:r>
    </w:p>
    <w:tbl>
      <w:tblPr>
        <w:tblStyle w:val="62"/>
        <w:tblW w:w="49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4966"/>
        <w:gridCol w:w="794"/>
        <w:gridCol w:w="102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jc w:val="center"/>
              <w:outlineLvl w:val="0"/>
              <w:rPr>
                <w:rFonts w:cs="仿宋" w:asciiTheme="majorEastAsia" w:hAnsiTheme="majorEastAsia" w:eastAsiaTheme="majorEastAsia"/>
                <w:bCs/>
                <w:sz w:val="22"/>
                <w:szCs w:val="22"/>
              </w:rPr>
            </w:pPr>
            <w:bookmarkStart w:id="396" w:name="RANGE!A1"/>
            <w:r>
              <w:rPr>
                <w:rFonts w:hint="eastAsia" w:asciiTheme="majorEastAsia" w:hAnsiTheme="majorEastAsia" w:eastAsiaTheme="majorEastAsia"/>
                <w:color w:val="000000"/>
                <w:sz w:val="22"/>
                <w:szCs w:val="22"/>
              </w:rPr>
              <w:t>序号</w:t>
            </w:r>
            <w:bookmarkEnd w:id="396"/>
          </w:p>
        </w:tc>
        <w:tc>
          <w:tcPr>
            <w:tcW w:w="2715" w:type="pct"/>
            <w:vAlign w:val="center"/>
          </w:tcPr>
          <w:p>
            <w:pPr>
              <w:topLinePunct/>
              <w:jc w:val="center"/>
              <w:outlineLvl w:val="0"/>
              <w:rPr>
                <w:rFonts w:cs="仿宋" w:asciiTheme="majorEastAsia" w:hAnsiTheme="majorEastAsia" w:eastAsiaTheme="majorEastAsia"/>
                <w:bCs/>
                <w:sz w:val="22"/>
                <w:szCs w:val="22"/>
              </w:rPr>
            </w:pPr>
            <w:bookmarkStart w:id="397" w:name="RANGE!B1"/>
            <w:r>
              <w:rPr>
                <w:rFonts w:hint="eastAsia" w:asciiTheme="majorEastAsia" w:hAnsiTheme="majorEastAsia" w:eastAsiaTheme="majorEastAsia"/>
                <w:color w:val="000000"/>
                <w:sz w:val="22"/>
                <w:szCs w:val="22"/>
              </w:rPr>
              <w:t>评标标准</w:t>
            </w:r>
            <w:bookmarkEnd w:id="397"/>
          </w:p>
        </w:tc>
        <w:tc>
          <w:tcPr>
            <w:tcW w:w="434" w:type="pct"/>
            <w:vAlign w:val="center"/>
          </w:tcPr>
          <w:p>
            <w:pPr>
              <w:topLinePunct/>
              <w:jc w:val="center"/>
              <w:outlineLvl w:val="0"/>
              <w:rPr>
                <w:rFonts w:cs="仿宋" w:asciiTheme="majorEastAsia" w:hAnsiTheme="majorEastAsia" w:eastAsiaTheme="majorEastAsia"/>
                <w:bCs/>
                <w:sz w:val="22"/>
                <w:szCs w:val="22"/>
              </w:rPr>
            </w:pPr>
            <w:bookmarkStart w:id="398" w:name="RANGE!C1"/>
            <w:r>
              <w:rPr>
                <w:rFonts w:hint="eastAsia" w:asciiTheme="majorEastAsia" w:hAnsiTheme="majorEastAsia" w:eastAsiaTheme="majorEastAsia"/>
                <w:color w:val="000000"/>
                <w:sz w:val="22"/>
                <w:szCs w:val="22"/>
              </w:rPr>
              <w:t>权重</w:t>
            </w:r>
            <w:bookmarkEnd w:id="398"/>
          </w:p>
        </w:tc>
        <w:tc>
          <w:tcPr>
            <w:tcW w:w="561" w:type="pct"/>
            <w:vAlign w:val="center"/>
          </w:tcPr>
          <w:p>
            <w:pPr>
              <w:topLinePunct/>
              <w:jc w:val="center"/>
              <w:outlineLvl w:val="0"/>
              <w:rPr>
                <w:rFonts w:cs="仿宋" w:asciiTheme="majorEastAsia" w:hAnsiTheme="majorEastAsia" w:eastAsiaTheme="majorEastAsia"/>
                <w:bCs/>
                <w:sz w:val="22"/>
                <w:szCs w:val="22"/>
              </w:rPr>
            </w:pPr>
            <w:bookmarkStart w:id="399" w:name="RANGE!D1"/>
            <w:r>
              <w:rPr>
                <w:rFonts w:hint="eastAsia" w:asciiTheme="majorEastAsia" w:hAnsiTheme="majorEastAsia" w:eastAsiaTheme="majorEastAsia"/>
                <w:color w:val="000000"/>
                <w:sz w:val="22"/>
                <w:szCs w:val="22"/>
              </w:rPr>
              <w:t>主观分/客观分属性</w:t>
            </w:r>
            <w:bookmarkEnd w:id="399"/>
          </w:p>
        </w:tc>
        <w:tc>
          <w:tcPr>
            <w:tcW w:w="866" w:type="pct"/>
            <w:vAlign w:val="center"/>
          </w:tcPr>
          <w:p>
            <w:pPr>
              <w:topLinePunct/>
              <w:snapToGrid w:val="0"/>
              <w:jc w:val="center"/>
              <w:outlineLvl w:val="0"/>
              <w:rPr>
                <w:rFonts w:cs="仿宋" w:asciiTheme="majorEastAsia" w:hAnsiTheme="majorEastAsia" w:eastAsiaTheme="majorEastAsia"/>
                <w:bCs/>
                <w:sz w:val="22"/>
                <w:szCs w:val="22"/>
              </w:rPr>
            </w:pPr>
            <w:r>
              <w:rPr>
                <w:rFonts w:hint="eastAsia" w:asciiTheme="majorEastAsia" w:hAnsiTheme="majorEastAsia" w:eastAsiaTheme="majorEastAsia"/>
                <w:color w:val="000000"/>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eastAsia"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1</w:t>
            </w:r>
          </w:p>
        </w:tc>
        <w:tc>
          <w:tcPr>
            <w:tcW w:w="2715" w:type="pct"/>
            <w:vAlign w:val="center"/>
          </w:tcPr>
          <w:p>
            <w:pPr>
              <w:snapToGrid w:val="0"/>
              <w:spacing w:line="360" w:lineRule="auto"/>
              <w:jc w:val="left"/>
              <w:rPr>
                <w:rFonts w:hint="eastAsia" w:ascii="宋体" w:hAnsi="宋体" w:cs="宋体"/>
                <w:szCs w:val="21"/>
              </w:rPr>
            </w:pPr>
            <w:r>
              <w:rPr>
                <w:rFonts w:hint="eastAsia" w:ascii="宋体" w:hAnsi="宋体" w:cs="宋体"/>
                <w:szCs w:val="21"/>
                <w:lang w:val="en-US" w:eastAsia="zh-CN"/>
              </w:rPr>
              <w:t>供应商自</w:t>
            </w:r>
            <w:r>
              <w:rPr>
                <w:rFonts w:hint="eastAsia" w:ascii="宋体" w:hAnsi="宋体" w:cs="宋体"/>
                <w:szCs w:val="21"/>
              </w:rPr>
              <w:t>202</w:t>
            </w:r>
            <w:r>
              <w:rPr>
                <w:rFonts w:hint="eastAsia" w:ascii="宋体" w:hAnsi="宋体" w:cs="宋体"/>
                <w:szCs w:val="21"/>
                <w:lang w:val="en-US" w:eastAsia="zh-CN"/>
              </w:rPr>
              <w:t>1</w:t>
            </w:r>
            <w:r>
              <w:rPr>
                <w:rFonts w:hint="eastAsia" w:ascii="宋体" w:hAnsi="宋体" w:cs="宋体"/>
                <w:szCs w:val="21"/>
              </w:rPr>
              <w:t>年1月1日以来承担类似</w:t>
            </w:r>
            <w:r>
              <w:rPr>
                <w:rFonts w:hint="eastAsia" w:ascii="宋体" w:hAnsi="宋体" w:cs="宋体"/>
                <w:szCs w:val="21"/>
                <w:lang w:val="en-US" w:eastAsia="zh-CN"/>
              </w:rPr>
              <w:t>本项目</w:t>
            </w:r>
            <w:r>
              <w:rPr>
                <w:rFonts w:hint="eastAsia" w:ascii="宋体" w:hAnsi="宋体" w:cs="宋体"/>
                <w:szCs w:val="21"/>
              </w:rPr>
              <w:t>业绩</w:t>
            </w:r>
            <w:r>
              <w:rPr>
                <w:rFonts w:hint="eastAsia" w:ascii="宋体" w:hAnsi="宋体" w:cs="宋体"/>
                <w:szCs w:val="21"/>
                <w:lang w:val="en-US" w:eastAsia="zh-CN"/>
              </w:rPr>
              <w:t>的</w:t>
            </w:r>
            <w:r>
              <w:rPr>
                <w:rFonts w:hint="eastAsia" w:ascii="宋体" w:hAnsi="宋体" w:cs="宋体"/>
                <w:szCs w:val="21"/>
              </w:rPr>
              <w:t>，每</w:t>
            </w:r>
            <w:r>
              <w:rPr>
                <w:rFonts w:hint="eastAsia" w:ascii="宋体" w:hAnsi="宋体" w:cs="宋体"/>
                <w:szCs w:val="21"/>
                <w:lang w:val="en-US" w:eastAsia="zh-CN"/>
              </w:rPr>
              <w:t>提供一</w:t>
            </w:r>
            <w:r>
              <w:rPr>
                <w:rFonts w:hint="eastAsia" w:ascii="宋体" w:hAnsi="宋体" w:cs="宋体"/>
                <w:szCs w:val="21"/>
              </w:rPr>
              <w:t>个得0.5分，最多得1分。</w:t>
            </w:r>
          </w:p>
          <w:p>
            <w:pPr>
              <w:snapToGrid w:val="0"/>
              <w:spacing w:line="360" w:lineRule="auto"/>
              <w:jc w:val="left"/>
              <w:rPr>
                <w:rFonts w:asciiTheme="majorEastAsia" w:hAnsiTheme="majorEastAsia" w:eastAsiaTheme="majorEastAsia"/>
                <w:snapToGrid w:val="0"/>
                <w:color w:val="000000"/>
                <w:sz w:val="22"/>
                <w:szCs w:val="22"/>
              </w:rPr>
            </w:pPr>
            <w:r>
              <w:rPr>
                <w:rFonts w:hint="eastAsia" w:ascii="宋体" w:hAnsi="宋体" w:cs="宋体"/>
                <w:szCs w:val="21"/>
              </w:rPr>
              <w:t>证明材料：提供有效期内合同扫描件并加盖公章</w:t>
            </w:r>
            <w:r>
              <w:rPr>
                <w:rFonts w:hint="eastAsia" w:ascii="宋体" w:hAnsi="宋体" w:cs="宋体"/>
                <w:szCs w:val="21"/>
                <w:lang w:eastAsia="zh-CN"/>
              </w:rPr>
              <w:t>，</w:t>
            </w:r>
            <w:r>
              <w:rPr>
                <w:rFonts w:hint="eastAsia" w:ascii="宋体" w:hAnsi="宋体" w:cs="宋体"/>
                <w:szCs w:val="21"/>
                <w:lang w:val="en-US" w:eastAsia="zh-CN"/>
              </w:rPr>
              <w:t>否则不得分</w:t>
            </w:r>
            <w:r>
              <w:rPr>
                <w:rFonts w:hint="eastAsia" w:ascii="宋体" w:hAnsi="宋体" w:cs="宋体"/>
                <w:szCs w:val="21"/>
              </w:rPr>
              <w:t>。</w:t>
            </w:r>
          </w:p>
        </w:tc>
        <w:tc>
          <w:tcPr>
            <w:tcW w:w="434"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1</w:t>
            </w:r>
          </w:p>
        </w:tc>
        <w:tc>
          <w:tcPr>
            <w:tcW w:w="561"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客观分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2</w:t>
            </w:r>
          </w:p>
        </w:tc>
        <w:tc>
          <w:tcPr>
            <w:tcW w:w="2715" w:type="pct"/>
            <w:vAlign w:val="center"/>
          </w:tcPr>
          <w:p>
            <w:pPr>
              <w:snapToGrid w:val="0"/>
              <w:spacing w:line="360" w:lineRule="auto"/>
              <w:jc w:val="left"/>
              <w:rPr>
                <w:rFonts w:hint="eastAsia" w:ascii="宋体" w:hAnsi="宋体" w:cs="宋体"/>
                <w:szCs w:val="21"/>
                <w:lang w:val="en-US"/>
              </w:rPr>
            </w:pPr>
            <w:r>
              <w:rPr>
                <w:rFonts w:hint="eastAsia" w:ascii="宋体" w:hAnsi="宋体" w:cs="宋体"/>
                <w:szCs w:val="21"/>
                <w:lang w:val="en-US" w:eastAsia="zh-CN"/>
              </w:rPr>
              <w:t>供应商</w:t>
            </w:r>
            <w:r>
              <w:rPr>
                <w:rFonts w:hint="eastAsia" w:ascii="宋体" w:hAnsi="宋体" w:cs="宋体"/>
                <w:szCs w:val="21"/>
              </w:rPr>
              <w:t>具有环境管理体系认证的得</w:t>
            </w:r>
            <w:r>
              <w:rPr>
                <w:rFonts w:hint="eastAsia" w:ascii="宋体" w:hAnsi="宋体" w:cs="宋体"/>
                <w:szCs w:val="21"/>
                <w:lang w:val="en-US"/>
              </w:rPr>
              <w:t>1分；</w:t>
            </w:r>
          </w:p>
          <w:p>
            <w:pPr>
              <w:snapToGrid w:val="0"/>
              <w:spacing w:line="360" w:lineRule="auto"/>
              <w:jc w:val="left"/>
              <w:rPr>
                <w:rFonts w:hint="eastAsia" w:ascii="宋体" w:hAnsi="宋体" w:cs="宋体"/>
                <w:szCs w:val="21"/>
                <w:lang w:val="en-US"/>
              </w:rPr>
            </w:pPr>
            <w:r>
              <w:rPr>
                <w:rFonts w:hint="eastAsia" w:ascii="宋体" w:hAnsi="宋体" w:cs="宋体"/>
                <w:szCs w:val="21"/>
                <w:lang w:val="en-US" w:eastAsia="zh-CN"/>
              </w:rPr>
              <w:t>供应商</w:t>
            </w:r>
            <w:r>
              <w:rPr>
                <w:rFonts w:hint="eastAsia" w:ascii="宋体" w:hAnsi="宋体" w:cs="宋体"/>
                <w:szCs w:val="21"/>
              </w:rPr>
              <w:t>具有职业健康安全管理体系认证的得</w:t>
            </w:r>
            <w:r>
              <w:rPr>
                <w:rFonts w:hint="eastAsia" w:ascii="宋体" w:hAnsi="宋体" w:cs="宋体"/>
                <w:szCs w:val="21"/>
                <w:lang w:val="en-US"/>
              </w:rPr>
              <w:t>1分；</w:t>
            </w:r>
          </w:p>
          <w:p>
            <w:pPr>
              <w:snapToGrid w:val="0"/>
              <w:spacing w:line="360" w:lineRule="auto"/>
              <w:jc w:val="left"/>
              <w:rPr>
                <w:rFonts w:hint="eastAsia" w:ascii="宋体" w:hAnsi="宋体" w:cs="宋体"/>
                <w:szCs w:val="21"/>
                <w:lang w:val="en-US"/>
              </w:rPr>
            </w:pPr>
            <w:r>
              <w:rPr>
                <w:rFonts w:hint="eastAsia" w:ascii="宋体" w:hAnsi="宋体" w:cs="宋体"/>
                <w:szCs w:val="21"/>
                <w:lang w:val="en-US" w:eastAsia="zh-CN"/>
              </w:rPr>
              <w:t>供应商</w:t>
            </w:r>
            <w:r>
              <w:rPr>
                <w:rFonts w:hint="eastAsia" w:ascii="宋体" w:hAnsi="宋体" w:cs="宋体"/>
                <w:szCs w:val="21"/>
              </w:rPr>
              <w:t>具有</w:t>
            </w:r>
            <w:r>
              <w:rPr>
                <w:rFonts w:hint="eastAsia" w:ascii="宋体" w:hAnsi="宋体" w:cs="宋体"/>
                <w:szCs w:val="21"/>
                <w:lang w:val="en-US"/>
              </w:rPr>
              <w:t>质量管理体系认证</w:t>
            </w:r>
            <w:r>
              <w:rPr>
                <w:rFonts w:hint="eastAsia" w:ascii="宋体" w:hAnsi="宋体" w:cs="宋体"/>
                <w:szCs w:val="21"/>
              </w:rPr>
              <w:t>的得</w:t>
            </w:r>
            <w:r>
              <w:rPr>
                <w:rFonts w:hint="eastAsia" w:ascii="宋体" w:hAnsi="宋体" w:cs="宋体"/>
                <w:szCs w:val="21"/>
                <w:lang w:val="en-US"/>
              </w:rPr>
              <w:t>1分；</w:t>
            </w:r>
          </w:p>
          <w:p>
            <w:pPr>
              <w:snapToGrid w:val="0"/>
              <w:spacing w:line="360" w:lineRule="auto"/>
              <w:jc w:val="left"/>
              <w:rPr>
                <w:rFonts w:hint="eastAsia" w:ascii="宋体" w:hAnsi="宋体" w:cs="宋体"/>
                <w:szCs w:val="21"/>
              </w:rPr>
            </w:pPr>
            <w:r>
              <w:rPr>
                <w:rFonts w:hint="eastAsia" w:ascii="宋体" w:hAnsi="宋体" w:cs="宋体"/>
                <w:szCs w:val="21"/>
              </w:rPr>
              <w:t>证明材料：提供有效期内体系证书扫描件并加盖公章</w:t>
            </w:r>
            <w:r>
              <w:rPr>
                <w:rFonts w:hint="eastAsia" w:ascii="宋体" w:hAnsi="宋体" w:cs="宋体"/>
                <w:szCs w:val="21"/>
                <w:lang w:eastAsia="zh-CN"/>
              </w:rPr>
              <w:t>，</w:t>
            </w:r>
            <w:r>
              <w:rPr>
                <w:rFonts w:hint="eastAsia" w:ascii="宋体" w:hAnsi="宋体" w:cs="宋体"/>
                <w:szCs w:val="21"/>
                <w:lang w:val="en-US" w:eastAsia="zh-CN"/>
              </w:rPr>
              <w:t>否则不得分</w:t>
            </w:r>
            <w:r>
              <w:rPr>
                <w:rFonts w:hint="eastAsia" w:ascii="宋体" w:hAnsi="宋体" w:cs="宋体"/>
                <w:szCs w:val="21"/>
              </w:rPr>
              <w:t>。</w:t>
            </w:r>
          </w:p>
        </w:tc>
        <w:tc>
          <w:tcPr>
            <w:tcW w:w="434"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3</w:t>
            </w:r>
          </w:p>
        </w:tc>
        <w:tc>
          <w:tcPr>
            <w:tcW w:w="561" w:type="pct"/>
            <w:vAlign w:val="center"/>
          </w:tcPr>
          <w:p>
            <w:pPr>
              <w:topLinePunct/>
              <w:snapToGrid w:val="0"/>
              <w:jc w:val="center"/>
              <w:rPr>
                <w:rFonts w:hint="eastAsia" w:cs="仿宋" w:asciiTheme="majorEastAsia" w:hAnsiTheme="majorEastAsia" w:eastAsiaTheme="majorEastAsia"/>
                <w:sz w:val="22"/>
                <w:szCs w:val="22"/>
                <w:lang w:eastAsia="zh-CN"/>
              </w:rPr>
            </w:pPr>
            <w:r>
              <w:rPr>
                <w:rFonts w:hint="eastAsia" w:cs="仿宋" w:asciiTheme="majorEastAsia" w:hAnsiTheme="majorEastAsia" w:eastAsiaTheme="majorEastAsia"/>
                <w:sz w:val="22"/>
                <w:szCs w:val="22"/>
                <w:lang w:val="en-US" w:eastAsia="zh-CN"/>
              </w:rPr>
              <w:t>客</w:t>
            </w:r>
            <w:r>
              <w:rPr>
                <w:rFonts w:hint="eastAsia" w:cs="仿宋" w:asciiTheme="majorEastAsia" w:hAnsiTheme="majorEastAsia" w:eastAsiaTheme="majorEastAsia"/>
                <w:sz w:val="22"/>
                <w:szCs w:val="22"/>
                <w:lang w:eastAsia="zh-CN"/>
              </w:rPr>
              <w:t>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3</w:t>
            </w:r>
          </w:p>
        </w:tc>
        <w:tc>
          <w:tcPr>
            <w:tcW w:w="2715" w:type="pct"/>
            <w:vAlign w:val="center"/>
          </w:tcPr>
          <w:p>
            <w:pPr>
              <w:snapToGrid w:val="0"/>
              <w:spacing w:line="360" w:lineRule="auto"/>
              <w:jc w:val="left"/>
              <w:rPr>
                <w:rFonts w:hint="eastAsia" w:ascii="宋体" w:hAnsi="宋体"/>
                <w:szCs w:val="21"/>
              </w:rPr>
            </w:pPr>
            <w:r>
              <w:rPr>
                <w:rFonts w:hint="eastAsia" w:asciiTheme="majorEastAsia" w:hAnsiTheme="majorEastAsia"/>
                <w:lang w:val="en-US" w:eastAsia="zh-CN"/>
              </w:rPr>
              <w:t>供应商对服务区域的熟悉程度，根据供应商对服务区域的熟悉程度，区域特点的注意事项进行综合打分：</w:t>
            </w: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default" w:eastAsia="宋体" w:asciiTheme="majorEastAsia" w:hAnsiTheme="majorEastAsia"/>
                <w:lang w:val="en-US" w:eastAsia="zh-CN"/>
              </w:rPr>
            </w:pPr>
            <w:r>
              <w:rPr>
                <w:rFonts w:hint="eastAsia" w:ascii="宋体" w:hAnsi="宋体"/>
                <w:szCs w:val="21"/>
              </w:rPr>
              <w:t>⑥未提供的得0分。</w:t>
            </w:r>
          </w:p>
        </w:tc>
        <w:tc>
          <w:tcPr>
            <w:tcW w:w="434"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cs="仿宋" w:asciiTheme="majorEastAsia" w:hAnsiTheme="majorEastAsia" w:eastAsiaTheme="majorEastAsia"/>
                <w:sz w:val="22"/>
                <w:szCs w:val="22"/>
              </w:rPr>
            </w:pPr>
            <w:r>
              <w:rPr>
                <w:rFonts w:hint="eastAsia" w:cs="仿宋" w:asciiTheme="majorEastAsia" w:hAnsiTheme="majorEastAsia" w:eastAsiaTheme="majorEastAsia"/>
                <w:sz w:val="22"/>
                <w:szCs w:val="22"/>
                <w:lang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4</w:t>
            </w:r>
          </w:p>
        </w:tc>
        <w:tc>
          <w:tcPr>
            <w:tcW w:w="2715" w:type="pct"/>
            <w:vAlign w:val="center"/>
          </w:tcPr>
          <w:p>
            <w:pPr>
              <w:snapToGrid w:val="0"/>
              <w:spacing w:line="360" w:lineRule="auto"/>
              <w:jc w:val="left"/>
              <w:rPr>
                <w:rFonts w:hint="eastAsia" w:ascii="宋体" w:hAnsi="宋体"/>
                <w:szCs w:val="21"/>
                <w:lang w:val="en-US" w:eastAsia="zh-CN"/>
              </w:rPr>
            </w:pPr>
            <w:r>
              <w:rPr>
                <w:rFonts w:hint="eastAsia" w:ascii="宋体" w:hAnsi="宋体"/>
                <w:szCs w:val="21"/>
                <w:lang w:val="en-US" w:eastAsia="zh-CN"/>
              </w:rPr>
              <w:t>项目整体服务方案，根据供应商针对采购需求提供的整理服务方案，从方案的完善性、合理性及科学性综合评分：</w:t>
            </w:r>
          </w:p>
          <w:p>
            <w:pPr>
              <w:snapToGrid w:val="0"/>
              <w:spacing w:line="360" w:lineRule="auto"/>
              <w:jc w:val="left"/>
              <w:rPr>
                <w:rFonts w:hint="eastAsia" w:ascii="宋体" w:hAnsi="宋体"/>
                <w:szCs w:val="21"/>
              </w:rPr>
            </w:pP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default" w:ascii="宋体" w:hAnsi="宋体" w:eastAsia="宋体"/>
                <w:szCs w:val="21"/>
                <w:lang w:val="en-US" w:eastAsia="zh-CN"/>
              </w:rPr>
            </w:pPr>
            <w:r>
              <w:rPr>
                <w:rFonts w:hint="eastAsia" w:ascii="宋体" w:hAnsi="宋体"/>
                <w:szCs w:val="21"/>
              </w:rPr>
              <w:t>⑥未提供的得0分。</w:t>
            </w:r>
          </w:p>
        </w:tc>
        <w:tc>
          <w:tcPr>
            <w:tcW w:w="434"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5</w:t>
            </w:r>
          </w:p>
        </w:tc>
        <w:tc>
          <w:tcPr>
            <w:tcW w:w="2715" w:type="pct"/>
            <w:vAlign w:val="center"/>
          </w:tcPr>
          <w:p>
            <w:pPr>
              <w:snapToGrid w:val="0"/>
              <w:spacing w:line="360" w:lineRule="auto"/>
              <w:jc w:val="left"/>
              <w:rPr>
                <w:rFonts w:hint="eastAsia" w:ascii="宋体" w:hAnsi="宋体"/>
                <w:szCs w:val="21"/>
                <w:lang w:val="en-US" w:eastAsia="zh-CN"/>
              </w:rPr>
            </w:pPr>
            <w:r>
              <w:rPr>
                <w:rFonts w:hint="eastAsia" w:ascii="宋体" w:hAnsi="宋体"/>
                <w:szCs w:val="21"/>
                <w:lang w:val="en-US" w:eastAsia="zh-CN"/>
              </w:rPr>
              <w:t>分析本项目的重点和难点，以及应对措施：</w:t>
            </w:r>
          </w:p>
          <w:p>
            <w:pPr>
              <w:snapToGrid w:val="0"/>
              <w:spacing w:line="360" w:lineRule="auto"/>
              <w:jc w:val="left"/>
              <w:rPr>
                <w:rFonts w:hint="eastAsia" w:ascii="宋体" w:hAnsi="宋体"/>
                <w:szCs w:val="21"/>
              </w:rPr>
            </w:pP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default" w:ascii="宋体" w:hAnsi="宋体" w:eastAsia="宋体"/>
                <w:szCs w:val="21"/>
                <w:lang w:val="en-US" w:eastAsia="zh-CN"/>
              </w:rPr>
            </w:pPr>
            <w:r>
              <w:rPr>
                <w:rFonts w:hint="eastAsia" w:ascii="宋体" w:hAnsi="宋体"/>
                <w:szCs w:val="21"/>
              </w:rPr>
              <w:t>⑥未提供的得0分。</w:t>
            </w:r>
          </w:p>
        </w:tc>
        <w:tc>
          <w:tcPr>
            <w:tcW w:w="434"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6</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绿地养护质量管理保障体系（人员、制度）建设及落实情况：</w:t>
            </w:r>
          </w:p>
          <w:p>
            <w:pPr>
              <w:snapToGrid w:val="0"/>
              <w:spacing w:line="360" w:lineRule="auto"/>
              <w:jc w:val="left"/>
              <w:rPr>
                <w:rFonts w:hint="eastAsia" w:ascii="宋体" w:hAnsi="宋体"/>
                <w:szCs w:val="21"/>
              </w:rPr>
            </w:pP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eastAsia" w:asciiTheme="majorEastAsia" w:hAnsiTheme="majorEastAsia"/>
                <w:lang w:val="en-US" w:eastAsia="zh-CN"/>
              </w:rPr>
            </w:pPr>
            <w:r>
              <w:rPr>
                <w:rFonts w:hint="eastAsia" w:ascii="宋体" w:hAnsi="宋体"/>
                <w:szCs w:val="21"/>
              </w:rPr>
              <w:t>⑥未提供的得0分。</w:t>
            </w:r>
          </w:p>
        </w:tc>
        <w:tc>
          <w:tcPr>
            <w:tcW w:w="434"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hint="eastAsia" w:cs="仿宋" w:asciiTheme="majorEastAsia" w:hAnsiTheme="majorEastAsia" w:eastAsiaTheme="majorEastAsia"/>
                <w:sz w:val="22"/>
                <w:szCs w:val="22"/>
                <w:lang w:eastAsia="zh-CN"/>
              </w:rPr>
            </w:pPr>
            <w:r>
              <w:rPr>
                <w:rFonts w:hint="eastAsia" w:cs="仿宋" w:asciiTheme="majorEastAsia" w:hAnsiTheme="majorEastAsia" w:eastAsiaTheme="majorEastAsia"/>
                <w:sz w:val="22"/>
                <w:szCs w:val="22"/>
                <w:lang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7</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养护质量控制措施、手段、方法情况科学合理、全面到位性：</w:t>
            </w:r>
          </w:p>
          <w:p>
            <w:pPr>
              <w:snapToGrid w:val="0"/>
              <w:spacing w:line="360" w:lineRule="auto"/>
              <w:jc w:val="left"/>
              <w:rPr>
                <w:rFonts w:hint="eastAsia" w:ascii="宋体" w:hAnsi="宋体"/>
                <w:szCs w:val="21"/>
              </w:rPr>
            </w:pP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default" w:asciiTheme="majorEastAsia" w:hAnsiTheme="majorEastAsia"/>
                <w:lang w:val="en-US" w:eastAsia="zh-CN"/>
              </w:rPr>
            </w:pPr>
            <w:r>
              <w:rPr>
                <w:rFonts w:hint="eastAsia" w:ascii="宋体" w:hAnsi="宋体"/>
                <w:szCs w:val="21"/>
              </w:rPr>
              <w:t>⑥未提供的得0分。</w:t>
            </w:r>
          </w:p>
        </w:tc>
        <w:tc>
          <w:tcPr>
            <w:tcW w:w="434"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cs="仿宋" w:asciiTheme="majorEastAsia" w:hAnsiTheme="majorEastAsia" w:eastAsiaTheme="majorEastAsia"/>
                <w:sz w:val="22"/>
                <w:szCs w:val="22"/>
              </w:rPr>
            </w:pPr>
            <w:r>
              <w:rPr>
                <w:rFonts w:hint="eastAsia" w:cs="仿宋" w:asciiTheme="majorEastAsia" w:hAnsiTheme="majorEastAsia" w:eastAsiaTheme="majorEastAsia"/>
                <w:sz w:val="22"/>
                <w:szCs w:val="22"/>
                <w:lang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8</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绿地养护安全文明作业和环境保护管理措施科学合理、全面到位性：</w:t>
            </w:r>
          </w:p>
          <w:p>
            <w:pPr>
              <w:snapToGrid w:val="0"/>
              <w:spacing w:line="360" w:lineRule="auto"/>
              <w:jc w:val="left"/>
              <w:rPr>
                <w:rFonts w:hint="eastAsia" w:ascii="宋体" w:hAnsi="宋体"/>
                <w:szCs w:val="21"/>
              </w:rPr>
            </w:pP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eastAsia" w:asciiTheme="majorEastAsia" w:hAnsiTheme="majorEastAsia"/>
                <w:lang w:val="en-US" w:eastAsia="zh-CN"/>
              </w:rPr>
            </w:pPr>
            <w:r>
              <w:rPr>
                <w:rFonts w:hint="eastAsia" w:ascii="宋体" w:hAnsi="宋体"/>
                <w:szCs w:val="21"/>
              </w:rPr>
              <w:t>⑥未提供的得0分。</w:t>
            </w:r>
          </w:p>
        </w:tc>
        <w:tc>
          <w:tcPr>
            <w:tcW w:w="434"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cs="仿宋" w:asciiTheme="majorEastAsia" w:hAnsiTheme="majorEastAsia" w:eastAsiaTheme="majorEastAsia"/>
                <w:sz w:val="22"/>
                <w:szCs w:val="22"/>
              </w:rPr>
            </w:pPr>
            <w:r>
              <w:rPr>
                <w:rFonts w:hint="eastAsia" w:cs="仿宋" w:asciiTheme="majorEastAsia" w:hAnsiTheme="majorEastAsia" w:eastAsiaTheme="majorEastAsia"/>
                <w:sz w:val="22"/>
                <w:szCs w:val="22"/>
                <w:lang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9</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全年园林养护措施工作计划科学合理、全面到位性：</w:t>
            </w:r>
          </w:p>
          <w:p>
            <w:pPr>
              <w:snapToGrid w:val="0"/>
              <w:spacing w:line="360" w:lineRule="auto"/>
              <w:jc w:val="left"/>
              <w:rPr>
                <w:rFonts w:hint="eastAsia" w:ascii="宋体" w:hAnsi="宋体"/>
                <w:szCs w:val="21"/>
              </w:rPr>
            </w:pP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eastAsia" w:asciiTheme="majorEastAsia" w:hAnsiTheme="majorEastAsia"/>
                <w:lang w:val="en-US" w:eastAsia="zh-CN"/>
              </w:rPr>
            </w:pPr>
            <w:r>
              <w:rPr>
                <w:rFonts w:hint="eastAsia" w:ascii="宋体" w:hAnsi="宋体"/>
                <w:szCs w:val="21"/>
              </w:rPr>
              <w:t>⑥未提供的得0分。</w:t>
            </w:r>
          </w:p>
        </w:tc>
        <w:tc>
          <w:tcPr>
            <w:tcW w:w="434"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cs="仿宋" w:asciiTheme="majorEastAsia" w:hAnsiTheme="majorEastAsia" w:eastAsiaTheme="majorEastAsia"/>
                <w:sz w:val="22"/>
                <w:szCs w:val="22"/>
              </w:rPr>
            </w:pPr>
            <w:r>
              <w:rPr>
                <w:rFonts w:hint="eastAsia" w:cs="仿宋" w:asciiTheme="majorEastAsia" w:hAnsiTheme="majorEastAsia" w:eastAsiaTheme="majorEastAsia"/>
                <w:sz w:val="22"/>
                <w:szCs w:val="22"/>
                <w:lang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10</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绿地养管具体措施和设想科学合理、全面到位性：</w:t>
            </w:r>
          </w:p>
          <w:p>
            <w:pPr>
              <w:snapToGrid w:val="0"/>
              <w:spacing w:line="360" w:lineRule="auto"/>
              <w:jc w:val="left"/>
              <w:rPr>
                <w:rFonts w:hint="eastAsia" w:ascii="宋体" w:hAnsi="宋体"/>
                <w:szCs w:val="21"/>
              </w:rPr>
            </w:pP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eastAsia" w:asciiTheme="majorEastAsia" w:hAnsiTheme="majorEastAsia"/>
                <w:lang w:val="en-US" w:eastAsia="zh-CN"/>
              </w:rPr>
            </w:pPr>
            <w:r>
              <w:rPr>
                <w:rFonts w:hint="eastAsia" w:ascii="宋体" w:hAnsi="宋体"/>
                <w:szCs w:val="21"/>
              </w:rPr>
              <w:t>⑥未提供的得0分。</w:t>
            </w:r>
          </w:p>
        </w:tc>
        <w:tc>
          <w:tcPr>
            <w:tcW w:w="434"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11</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根据各养护片区制订的匹配方案科学合理、全面到位性：</w:t>
            </w:r>
          </w:p>
          <w:p>
            <w:pPr>
              <w:snapToGrid w:val="0"/>
              <w:spacing w:line="360" w:lineRule="auto"/>
              <w:jc w:val="left"/>
              <w:rPr>
                <w:rFonts w:hint="eastAsia" w:ascii="宋体" w:hAnsi="宋体"/>
                <w:szCs w:val="21"/>
              </w:rPr>
            </w:pP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eastAsia" w:asciiTheme="majorEastAsia" w:hAnsiTheme="majorEastAsia"/>
                <w:lang w:val="en-US" w:eastAsia="zh-CN"/>
              </w:rPr>
            </w:pPr>
            <w:r>
              <w:rPr>
                <w:rFonts w:hint="eastAsia" w:ascii="宋体" w:hAnsi="宋体"/>
                <w:szCs w:val="21"/>
              </w:rPr>
              <w:t>⑥未提供的得0分。</w:t>
            </w:r>
          </w:p>
        </w:tc>
        <w:tc>
          <w:tcPr>
            <w:tcW w:w="434"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hint="eastAsia" w:cs="仿宋" w:asciiTheme="majorEastAsia" w:hAnsiTheme="majorEastAsia" w:eastAsiaTheme="majorEastAsia"/>
                <w:sz w:val="22"/>
                <w:szCs w:val="22"/>
                <w:lang w:eastAsia="zh-CN"/>
              </w:rPr>
            </w:pPr>
            <w:r>
              <w:rPr>
                <w:rFonts w:hint="eastAsia" w:cs="仿宋" w:asciiTheme="majorEastAsia" w:hAnsiTheme="majorEastAsia" w:eastAsiaTheme="majorEastAsia"/>
                <w:sz w:val="22"/>
                <w:szCs w:val="22"/>
                <w:lang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12</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合同开始执行和合同到期后移交平稳过渡计划实施方案：</w:t>
            </w:r>
          </w:p>
          <w:p>
            <w:pPr>
              <w:snapToGrid w:val="0"/>
              <w:spacing w:line="360" w:lineRule="auto"/>
              <w:jc w:val="left"/>
              <w:rPr>
                <w:rFonts w:hint="eastAsia" w:ascii="宋体" w:hAnsi="宋体"/>
                <w:szCs w:val="21"/>
              </w:rPr>
            </w:pP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eastAsia" w:asciiTheme="majorEastAsia" w:hAnsiTheme="majorEastAsia"/>
                <w:lang w:val="en-US" w:eastAsia="zh-CN"/>
              </w:rPr>
            </w:pPr>
            <w:r>
              <w:rPr>
                <w:rFonts w:hint="eastAsia" w:ascii="宋体" w:hAnsi="宋体"/>
                <w:szCs w:val="21"/>
              </w:rPr>
              <w:t>⑥未提供的得0分。</w:t>
            </w:r>
          </w:p>
        </w:tc>
        <w:tc>
          <w:tcPr>
            <w:tcW w:w="434"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hint="eastAsia" w:cs="仿宋" w:asciiTheme="majorEastAsia" w:hAnsiTheme="majorEastAsia" w:eastAsiaTheme="majorEastAsia"/>
                <w:sz w:val="22"/>
                <w:szCs w:val="22"/>
                <w:lang w:eastAsia="zh-CN"/>
              </w:rPr>
            </w:pPr>
            <w:r>
              <w:rPr>
                <w:rFonts w:hint="eastAsia" w:cs="仿宋" w:asciiTheme="majorEastAsia" w:hAnsiTheme="majorEastAsia" w:eastAsiaTheme="majorEastAsia"/>
                <w:sz w:val="22"/>
                <w:szCs w:val="22"/>
                <w:lang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13</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突破传统运作模式，养护管理；作业措施、设施设备有创新，实行智慧养护情况科学合理、全面性：</w:t>
            </w:r>
          </w:p>
          <w:p>
            <w:pPr>
              <w:snapToGrid w:val="0"/>
              <w:spacing w:line="360" w:lineRule="auto"/>
              <w:jc w:val="left"/>
              <w:rPr>
                <w:rFonts w:hint="eastAsia" w:ascii="宋体" w:hAnsi="宋体"/>
                <w:szCs w:val="21"/>
              </w:rPr>
            </w:pPr>
            <w:r>
              <w:rPr>
                <w:rFonts w:hint="eastAsia" w:ascii="宋体" w:hAnsi="宋体"/>
                <w:szCs w:val="21"/>
              </w:rPr>
              <w:t>①内容全面合理、理解正确且具有针对性，与采购需求完全相适应的得5分；</w:t>
            </w:r>
          </w:p>
          <w:p>
            <w:pPr>
              <w:snapToGrid w:val="0"/>
              <w:spacing w:line="360" w:lineRule="auto"/>
              <w:jc w:val="left"/>
              <w:rPr>
                <w:rFonts w:hint="eastAsia" w:ascii="宋体" w:hAnsi="宋体"/>
                <w:szCs w:val="21"/>
              </w:rPr>
            </w:pPr>
            <w:r>
              <w:rPr>
                <w:rFonts w:hint="eastAsia" w:ascii="宋体" w:hAnsi="宋体"/>
                <w:szCs w:val="21"/>
              </w:rPr>
              <w:t>②内容详细且与采购需求相适应，但存在不足的得4分；</w:t>
            </w:r>
          </w:p>
          <w:p>
            <w:pPr>
              <w:snapToGrid w:val="0"/>
              <w:spacing w:line="360" w:lineRule="auto"/>
              <w:jc w:val="left"/>
              <w:rPr>
                <w:rFonts w:hint="eastAsia" w:ascii="宋体" w:hAnsi="宋体"/>
                <w:szCs w:val="21"/>
              </w:rPr>
            </w:pPr>
            <w:r>
              <w:rPr>
                <w:rFonts w:hint="eastAsia" w:ascii="宋体" w:hAnsi="宋体"/>
                <w:szCs w:val="21"/>
              </w:rPr>
              <w:t>③内容基本与采购需求相适应，但存在欠缺的得3分；</w:t>
            </w:r>
          </w:p>
          <w:p>
            <w:pPr>
              <w:snapToGrid w:val="0"/>
              <w:spacing w:line="360" w:lineRule="auto"/>
              <w:jc w:val="left"/>
              <w:rPr>
                <w:rFonts w:hint="eastAsia" w:ascii="宋体" w:hAnsi="宋体"/>
                <w:szCs w:val="21"/>
              </w:rPr>
            </w:pPr>
            <w:r>
              <w:rPr>
                <w:rFonts w:hint="eastAsia" w:ascii="宋体" w:hAnsi="宋体"/>
                <w:szCs w:val="21"/>
              </w:rPr>
              <w:t>④内容存在缺项的得2分；</w:t>
            </w:r>
          </w:p>
          <w:p>
            <w:pPr>
              <w:snapToGrid w:val="0"/>
              <w:spacing w:line="360" w:lineRule="auto"/>
              <w:jc w:val="left"/>
              <w:rPr>
                <w:rFonts w:hint="eastAsia" w:ascii="宋体" w:hAnsi="宋体"/>
                <w:szCs w:val="21"/>
              </w:rPr>
            </w:pPr>
            <w:r>
              <w:rPr>
                <w:rFonts w:hint="eastAsia" w:ascii="宋体" w:hAnsi="宋体"/>
                <w:szCs w:val="21"/>
              </w:rPr>
              <w:t>⑤内容与采购需求不适应的得1分；</w:t>
            </w:r>
          </w:p>
          <w:p>
            <w:pPr>
              <w:snapToGrid w:val="0"/>
              <w:spacing w:line="360" w:lineRule="auto"/>
              <w:jc w:val="left"/>
              <w:rPr>
                <w:rFonts w:hint="eastAsia" w:asciiTheme="majorEastAsia" w:hAnsiTheme="majorEastAsia"/>
                <w:lang w:val="en-US" w:eastAsia="zh-CN"/>
              </w:rPr>
            </w:pPr>
            <w:r>
              <w:rPr>
                <w:rFonts w:hint="eastAsia" w:ascii="宋体" w:hAnsi="宋体"/>
                <w:szCs w:val="21"/>
              </w:rPr>
              <w:t>⑥未提供的得0分。</w:t>
            </w:r>
          </w:p>
        </w:tc>
        <w:tc>
          <w:tcPr>
            <w:tcW w:w="434"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hint="eastAsia" w:cs="仿宋" w:asciiTheme="majorEastAsia" w:hAnsiTheme="majorEastAsia" w:eastAsiaTheme="majorEastAsia"/>
                <w:sz w:val="22"/>
                <w:szCs w:val="22"/>
                <w:lang w:eastAsia="zh-CN"/>
              </w:rPr>
            </w:pPr>
            <w:r>
              <w:rPr>
                <w:rFonts w:hint="eastAsia" w:cs="仿宋" w:asciiTheme="majorEastAsia" w:hAnsiTheme="majorEastAsia" w:eastAsiaTheme="majorEastAsia"/>
                <w:sz w:val="22"/>
                <w:szCs w:val="22"/>
                <w:lang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14</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具有城市应急突发事件（气象灾害、防汛抗台、抗雪防冻、建筑垃圾及渣土、突发事件应急处理及重大活动保障等）处理预案，具有可操作性且有实战经验，每项得2分，偏离的每项扣1分，未提供不得分。本项满分10分。证明材料：照片、资料或业主证明等。</w:t>
            </w:r>
          </w:p>
        </w:tc>
        <w:tc>
          <w:tcPr>
            <w:tcW w:w="434"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10</w:t>
            </w:r>
          </w:p>
        </w:tc>
        <w:tc>
          <w:tcPr>
            <w:tcW w:w="561" w:type="pct"/>
            <w:vAlign w:val="center"/>
          </w:tcPr>
          <w:p>
            <w:pPr>
              <w:topLinePunct/>
              <w:snapToGrid w:val="0"/>
              <w:jc w:val="center"/>
              <w:rPr>
                <w:rFonts w:cs="仿宋" w:asciiTheme="majorEastAsia" w:hAnsiTheme="majorEastAsia" w:eastAsiaTheme="majorEastAsia"/>
                <w:sz w:val="22"/>
                <w:szCs w:val="22"/>
              </w:rPr>
            </w:pPr>
            <w:r>
              <w:rPr>
                <w:rFonts w:hint="eastAsia" w:cs="仿宋" w:asciiTheme="majorEastAsia" w:hAnsiTheme="majorEastAsia" w:eastAsiaTheme="majorEastAsia"/>
                <w:sz w:val="22"/>
                <w:szCs w:val="22"/>
                <w:lang w:val="en-US" w:eastAsia="zh-CN"/>
              </w:rPr>
              <w:t>客</w:t>
            </w:r>
            <w:r>
              <w:rPr>
                <w:rFonts w:hint="eastAsia" w:cs="仿宋" w:asciiTheme="majorEastAsia" w:hAnsiTheme="majorEastAsia" w:eastAsiaTheme="majorEastAsia"/>
                <w:sz w:val="22"/>
                <w:szCs w:val="22"/>
                <w:lang w:eastAsia="zh-CN"/>
              </w:rPr>
              <w:t>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15</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团队力量：</w:t>
            </w:r>
          </w:p>
          <w:p>
            <w:pPr>
              <w:numPr>
                <w:ilvl w:val="0"/>
                <w:numId w:val="0"/>
              </w:numPr>
              <w:snapToGrid w:val="0"/>
              <w:spacing w:line="360" w:lineRule="auto"/>
              <w:jc w:val="left"/>
              <w:rPr>
                <w:rFonts w:hint="default"/>
                <w:highlight w:val="none"/>
                <w:lang w:val="en-US" w:eastAsia="zh-CN"/>
              </w:rPr>
            </w:pPr>
            <w:r>
              <w:rPr>
                <w:rFonts w:hint="eastAsia" w:ascii="宋体" w:hAnsi="宋体" w:eastAsia="宋体" w:cs="宋体"/>
                <w:kern w:val="2"/>
                <w:sz w:val="21"/>
                <w:szCs w:val="24"/>
                <w:lang w:val="en-US" w:eastAsia="zh-CN" w:bidi="ar-SA"/>
              </w:rPr>
              <w:t>1、</w:t>
            </w:r>
            <w:r>
              <w:rPr>
                <w:rFonts w:hint="eastAsia" w:asciiTheme="majorEastAsia" w:hAnsiTheme="majorEastAsia"/>
                <w:lang w:val="en-US" w:eastAsia="zh-CN"/>
              </w:rPr>
              <w:t>拟</w:t>
            </w:r>
            <w:r>
              <w:rPr>
                <w:rFonts w:hint="eastAsia" w:asciiTheme="majorEastAsia" w:hAnsiTheme="majorEastAsia"/>
                <w:highlight w:val="none"/>
                <w:lang w:val="en-US" w:eastAsia="zh-CN"/>
              </w:rPr>
              <w:t>担任养护项目负责人：具有园林绿化相关专业中级及以上职称或中级及以上技师的得2分（含花卉、绿化等）。须提供有效证书复印件，否则不得分。</w:t>
            </w:r>
          </w:p>
          <w:p>
            <w:pPr>
              <w:numPr>
                <w:ilvl w:val="0"/>
                <w:numId w:val="0"/>
              </w:numPr>
              <w:snapToGrid w:val="0"/>
              <w:spacing w:line="360" w:lineRule="auto"/>
              <w:ind w:left="0" w:leftChars="0" w:firstLine="0" w:firstLineChars="0"/>
              <w:jc w:val="left"/>
              <w:rPr>
                <w:rFonts w:hint="eastAsia" w:asciiTheme="majorEastAsia" w:hAnsiTheme="majorEastAsia"/>
                <w:lang w:val="en-US" w:eastAsia="zh-CN"/>
              </w:rPr>
            </w:pPr>
            <w:r>
              <w:rPr>
                <w:rFonts w:hint="eastAsia" w:eastAsia="宋体" w:cs="Times New Roman" w:asciiTheme="majorEastAsia" w:hAnsiTheme="majorEastAsia"/>
                <w:kern w:val="2"/>
                <w:sz w:val="21"/>
                <w:szCs w:val="24"/>
                <w:highlight w:val="none"/>
                <w:lang w:val="en-US" w:eastAsia="zh-CN" w:bidi="ar-SA"/>
              </w:rPr>
              <w:t>2、</w:t>
            </w:r>
            <w:r>
              <w:rPr>
                <w:rFonts w:hint="eastAsia" w:asciiTheme="majorEastAsia" w:hAnsiTheme="majorEastAsia"/>
                <w:highlight w:val="none"/>
                <w:lang w:val="en-US" w:eastAsia="zh-CN"/>
              </w:rPr>
              <w:t>项目负责人业绩：2021年1月1日起至投标截止日拟投入的项目负责人的同类项</w:t>
            </w:r>
            <w:r>
              <w:rPr>
                <w:rFonts w:hint="eastAsia" w:asciiTheme="majorEastAsia" w:hAnsiTheme="majorEastAsia"/>
                <w:lang w:val="en-US" w:eastAsia="zh-CN"/>
              </w:rPr>
              <w:t>目管理经验的，每个合同得1分，最高得2分。注：项目负责人必须为本单位正式员工，需提供在本单位缴纳的社保证明。</w:t>
            </w:r>
          </w:p>
          <w:p>
            <w:pPr>
              <w:pStyle w:val="2"/>
              <w:numPr>
                <w:ilvl w:val="0"/>
                <w:numId w:val="0"/>
              </w:numPr>
              <w:ind w:leftChars="0"/>
              <w:rPr>
                <w:rFonts w:hint="default"/>
                <w:lang w:val="en-US" w:eastAsia="zh-CN"/>
              </w:rPr>
            </w:pPr>
            <w:r>
              <w:rPr>
                <w:rFonts w:hint="eastAsia" w:eastAsia="宋体" w:cs="Times New Roman" w:asciiTheme="majorEastAsia" w:hAnsiTheme="majorEastAsia"/>
                <w:snapToGrid/>
                <w:kern w:val="2"/>
                <w:sz w:val="21"/>
                <w:szCs w:val="24"/>
                <w:highlight w:val="none"/>
                <w:lang w:val="en-US" w:eastAsia="zh-CN" w:bidi="ar-SA"/>
              </w:rPr>
              <w:t>3、项目团队成员中（项目负责人除外）：具有园林绿化相关专业中级及以上职称或中级及以上技师的得2分（含花卉、绿化等）。须提供有效证书复印件，否则不得分。</w:t>
            </w:r>
          </w:p>
        </w:tc>
        <w:tc>
          <w:tcPr>
            <w:tcW w:w="434"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6</w:t>
            </w:r>
          </w:p>
        </w:tc>
        <w:tc>
          <w:tcPr>
            <w:tcW w:w="561" w:type="pct"/>
            <w:vAlign w:val="center"/>
          </w:tcPr>
          <w:p>
            <w:pPr>
              <w:topLinePunct/>
              <w:snapToGrid w:val="0"/>
              <w:jc w:val="center"/>
              <w:rPr>
                <w:rFonts w:cs="仿宋" w:asciiTheme="majorEastAsia" w:hAnsiTheme="majorEastAsia" w:eastAsiaTheme="majorEastAsia"/>
                <w:sz w:val="22"/>
                <w:szCs w:val="22"/>
              </w:rPr>
            </w:pPr>
            <w:r>
              <w:rPr>
                <w:rFonts w:hint="eastAsia" w:cs="仿宋" w:asciiTheme="majorEastAsia" w:hAnsiTheme="majorEastAsia" w:eastAsiaTheme="majorEastAsia"/>
                <w:sz w:val="22"/>
                <w:szCs w:val="22"/>
                <w:lang w:val="en-US" w:eastAsia="zh-CN"/>
              </w:rPr>
              <w:t>客</w:t>
            </w:r>
            <w:r>
              <w:rPr>
                <w:rFonts w:hint="eastAsia" w:cs="仿宋" w:asciiTheme="majorEastAsia" w:hAnsiTheme="majorEastAsia" w:eastAsiaTheme="majorEastAsia"/>
                <w:sz w:val="22"/>
                <w:szCs w:val="22"/>
                <w:lang w:eastAsia="zh-CN"/>
              </w:rPr>
              <w:t>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napToGrid w:val="0"/>
              <w:spacing w:line="400" w:lineRule="exact"/>
              <w:jc w:val="center"/>
              <w:outlineLvl w:val="0"/>
              <w:rPr>
                <w:rFonts w:hint="default" w:cs="仿宋" w:asciiTheme="majorEastAsia" w:hAnsiTheme="majorEastAsia" w:eastAsiaTheme="majorEastAsia"/>
                <w:bCs/>
                <w:sz w:val="22"/>
                <w:szCs w:val="22"/>
                <w:lang w:val="en-US" w:eastAsia="zh-CN"/>
              </w:rPr>
            </w:pPr>
            <w:r>
              <w:rPr>
                <w:rFonts w:hint="eastAsia" w:cs="仿宋" w:asciiTheme="majorEastAsia" w:hAnsiTheme="majorEastAsia" w:eastAsiaTheme="majorEastAsia"/>
                <w:bCs/>
                <w:sz w:val="22"/>
                <w:szCs w:val="22"/>
                <w:lang w:val="en-US" w:eastAsia="zh-CN"/>
              </w:rPr>
              <w:t>16</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根据养护难易程度安排养护人员合理，重点突出，做到定人、定岗、定责任、定时间的，得5分；方案较为合理的得3分；表现一般的得1分；未提供不得分。</w:t>
            </w:r>
          </w:p>
        </w:tc>
        <w:tc>
          <w:tcPr>
            <w:tcW w:w="434"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pacing w:line="360" w:lineRule="auto"/>
              <w:jc w:val="center"/>
              <w:outlineLvl w:val="0"/>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17</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zh-CN" w:eastAsia="zh-CN"/>
              </w:rPr>
              <w:t>项目人员项目班子的成员专业素质和专业结构及养护劳动人员力量的投入情况合理科学、完整全面的得</w:t>
            </w:r>
            <w:r>
              <w:rPr>
                <w:rFonts w:hint="eastAsia" w:asciiTheme="majorEastAsia" w:hAnsiTheme="majorEastAsia"/>
                <w:lang w:val="en-US" w:eastAsia="zh-CN"/>
              </w:rPr>
              <w:t>5分；一般的得3分；较差的得1分；未提供不得分。</w:t>
            </w:r>
          </w:p>
        </w:tc>
        <w:tc>
          <w:tcPr>
            <w:tcW w:w="434" w:type="pct"/>
            <w:vAlign w:val="center"/>
          </w:tcPr>
          <w:p>
            <w:pPr>
              <w:topLinePunct/>
              <w:snapToGrid w:val="0"/>
              <w:jc w:val="center"/>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hint="eastAsia" w:cs="仿宋" w:asciiTheme="majorEastAsia" w:hAnsiTheme="majorEastAsia" w:eastAsiaTheme="majorEastAsia"/>
                <w:sz w:val="22"/>
                <w:szCs w:val="22"/>
                <w:lang w:eastAsia="zh-CN"/>
              </w:rPr>
            </w:pPr>
            <w:r>
              <w:rPr>
                <w:rFonts w:hint="eastAsia" w:cs="仿宋" w:asciiTheme="majorEastAsia" w:hAnsiTheme="majorEastAsia" w:eastAsiaTheme="majorEastAsia"/>
                <w:sz w:val="22"/>
                <w:szCs w:val="22"/>
                <w:lang w:eastAsia="zh-CN"/>
              </w:rPr>
              <w:t>主观分</w:t>
            </w:r>
          </w:p>
        </w:tc>
        <w:tc>
          <w:tcPr>
            <w:tcW w:w="866" w:type="pct"/>
            <w:vAlign w:val="center"/>
          </w:tcPr>
          <w:p>
            <w:pPr>
              <w:topLinePunct/>
              <w:jc w:val="center"/>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Align w:val="center"/>
          </w:tcPr>
          <w:p>
            <w:pPr>
              <w:topLinePunct/>
              <w:spacing w:line="360" w:lineRule="auto"/>
              <w:jc w:val="center"/>
              <w:outlineLvl w:val="0"/>
              <w:rPr>
                <w:rFonts w:hint="default"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18</w:t>
            </w:r>
          </w:p>
        </w:tc>
        <w:tc>
          <w:tcPr>
            <w:tcW w:w="2715" w:type="pct"/>
            <w:vAlign w:val="center"/>
          </w:tcPr>
          <w:p>
            <w:pPr>
              <w:snapToGrid w:val="0"/>
              <w:spacing w:line="360" w:lineRule="auto"/>
              <w:jc w:val="left"/>
              <w:rPr>
                <w:rFonts w:hint="eastAsia" w:asciiTheme="majorEastAsia" w:hAnsiTheme="majorEastAsia"/>
                <w:lang w:val="en-US" w:eastAsia="zh-CN"/>
              </w:rPr>
            </w:pPr>
            <w:r>
              <w:rPr>
                <w:rFonts w:hint="eastAsia" w:asciiTheme="majorEastAsia" w:hAnsiTheme="majorEastAsia"/>
                <w:lang w:val="en-US" w:eastAsia="zh-CN"/>
              </w:rPr>
              <w:t>供应商</w:t>
            </w:r>
            <w:r>
              <w:rPr>
                <w:rFonts w:hint="eastAsia" w:asciiTheme="majorEastAsia" w:hAnsiTheme="majorEastAsia"/>
                <w:lang w:val="zh-CN" w:eastAsia="zh-CN"/>
              </w:rPr>
              <w:t>提供有效的合理化建议和改进措施的得</w:t>
            </w:r>
            <w:r>
              <w:rPr>
                <w:rFonts w:hint="eastAsia" w:asciiTheme="majorEastAsia" w:hAnsiTheme="majorEastAsia"/>
                <w:lang w:val="en-US" w:eastAsia="zh-CN"/>
              </w:rPr>
              <w:t>5</w:t>
            </w:r>
            <w:r>
              <w:rPr>
                <w:rFonts w:hint="eastAsia" w:asciiTheme="majorEastAsia" w:hAnsiTheme="majorEastAsia"/>
                <w:lang w:val="zh-CN" w:eastAsia="zh-CN"/>
              </w:rPr>
              <w:t>分；建议和改进措施表现一般的得</w:t>
            </w:r>
            <w:r>
              <w:rPr>
                <w:rFonts w:hint="eastAsia" w:asciiTheme="majorEastAsia" w:hAnsiTheme="majorEastAsia"/>
                <w:lang w:val="en-US" w:eastAsia="zh-CN"/>
              </w:rPr>
              <w:t>3分；较差的得1分；未提供不得分。</w:t>
            </w:r>
          </w:p>
        </w:tc>
        <w:tc>
          <w:tcPr>
            <w:tcW w:w="434"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5</w:t>
            </w:r>
          </w:p>
        </w:tc>
        <w:tc>
          <w:tcPr>
            <w:tcW w:w="561" w:type="pct"/>
            <w:vAlign w:val="center"/>
          </w:tcPr>
          <w:p>
            <w:pPr>
              <w:topLinePunct/>
              <w:snapToGrid w:val="0"/>
              <w:jc w:val="center"/>
              <w:rPr>
                <w:rFonts w:hint="eastAsia" w:cs="仿宋" w:asciiTheme="majorEastAsia" w:hAnsiTheme="majorEastAsia" w:eastAsiaTheme="majorEastAsia"/>
                <w:sz w:val="22"/>
                <w:szCs w:val="22"/>
                <w:lang w:val="en-US" w:eastAsia="zh-CN"/>
              </w:rPr>
            </w:pPr>
            <w:r>
              <w:rPr>
                <w:rFonts w:hint="eastAsia" w:cs="仿宋" w:asciiTheme="majorEastAsia" w:hAnsiTheme="majorEastAsia" w:eastAsiaTheme="majorEastAsia"/>
                <w:sz w:val="22"/>
                <w:szCs w:val="22"/>
                <w:lang w:val="en-US" w:eastAsia="zh-CN"/>
              </w:rPr>
              <w:t>主观分</w:t>
            </w:r>
          </w:p>
        </w:tc>
        <w:tc>
          <w:tcPr>
            <w:tcW w:w="866" w:type="pct"/>
            <w:vAlign w:val="center"/>
          </w:tcPr>
          <w:p>
            <w:pPr>
              <w:topLinePunct/>
              <w:spacing w:line="360" w:lineRule="auto"/>
              <w:jc w:val="center"/>
              <w:outlineLvl w:val="0"/>
              <w:rPr>
                <w:rFonts w:cs="仿宋" w:asciiTheme="majorEastAsia" w:hAnsiTheme="majorEastAsia" w:eastAsia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422" w:type="pct"/>
            <w:vAlign w:val="center"/>
          </w:tcPr>
          <w:p>
            <w:pPr>
              <w:topLinePunct/>
              <w:spacing w:line="360" w:lineRule="auto"/>
              <w:jc w:val="center"/>
              <w:outlineLvl w:val="0"/>
              <w:rPr>
                <w:rFonts w:hint="default" w:asciiTheme="majorEastAsia" w:hAnsiTheme="majorEastAsia" w:eastAsiaTheme="majorEastAsia"/>
                <w:color w:val="000000"/>
                <w:sz w:val="22"/>
                <w:szCs w:val="22"/>
                <w:lang w:val="en-US" w:eastAsia="zh-CN"/>
              </w:rPr>
            </w:pPr>
            <w:r>
              <w:rPr>
                <w:rFonts w:hint="eastAsia" w:asciiTheme="majorEastAsia" w:hAnsiTheme="majorEastAsia" w:eastAsiaTheme="majorEastAsia"/>
                <w:color w:val="000000"/>
                <w:sz w:val="22"/>
                <w:szCs w:val="22"/>
                <w:lang w:val="en-US" w:eastAsia="zh-CN"/>
              </w:rPr>
              <w:t>19</w:t>
            </w:r>
          </w:p>
        </w:tc>
        <w:tc>
          <w:tcPr>
            <w:tcW w:w="2715" w:type="pct"/>
            <w:vAlign w:val="center"/>
          </w:tcPr>
          <w:p>
            <w:pPr>
              <w:topLinePunct/>
              <w:jc w:val="left"/>
              <w:outlineLvl w:val="0"/>
              <w:rPr>
                <w:rFonts w:asciiTheme="majorEastAsia" w:hAnsiTheme="majorEastAsia" w:eastAsiaTheme="majorEastAsia"/>
                <w:color w:val="000000"/>
                <w:sz w:val="22"/>
                <w:szCs w:val="22"/>
              </w:rPr>
            </w:pPr>
            <w:r>
              <w:rPr>
                <w:rFonts w:hint="eastAsia" w:asciiTheme="majorEastAsia" w:hAnsiTheme="majorEastAsia" w:eastAsiaTheme="majorEastAsia"/>
                <w:color w:val="000000"/>
                <w:sz w:val="22"/>
                <w:szCs w:val="22"/>
              </w:rPr>
              <w:t>有效投标报价的最低价作为评标基准价，其最低报价为满分；按［投标报价得分=（评标基准价/投标报价）*10］的计算公式计算。</w:t>
            </w:r>
          </w:p>
          <w:p>
            <w:pPr>
              <w:topLinePunct/>
              <w:jc w:val="left"/>
              <w:outlineLvl w:val="0"/>
              <w:rPr>
                <w:rFonts w:asciiTheme="majorEastAsia" w:hAnsiTheme="majorEastAsia" w:eastAsiaTheme="majorEastAsia"/>
                <w:snapToGrid w:val="0"/>
                <w:color w:val="000000"/>
                <w:sz w:val="22"/>
                <w:szCs w:val="22"/>
              </w:rPr>
            </w:pPr>
            <w:r>
              <w:rPr>
                <w:rFonts w:hint="eastAsia" w:asciiTheme="majorEastAsia" w:hAnsiTheme="majorEastAsia" w:eastAsiaTheme="majorEastAsia"/>
                <w:color w:val="000000"/>
                <w:sz w:val="22"/>
                <w:szCs w:val="22"/>
              </w:rPr>
              <w:t>评标过程中，不得去掉报价中的最高报价和最低报价。</w:t>
            </w:r>
          </w:p>
        </w:tc>
        <w:tc>
          <w:tcPr>
            <w:tcW w:w="434" w:type="pct"/>
            <w:vAlign w:val="center"/>
          </w:tcPr>
          <w:p>
            <w:pPr>
              <w:topLinePunct/>
              <w:snapToGrid w:val="0"/>
              <w:jc w:val="center"/>
              <w:rPr>
                <w:rFonts w:asciiTheme="majorEastAsia" w:hAnsiTheme="majorEastAsia" w:eastAsiaTheme="majorEastAsia"/>
                <w:color w:val="000000"/>
                <w:sz w:val="22"/>
                <w:szCs w:val="22"/>
              </w:rPr>
            </w:pPr>
            <w:r>
              <w:rPr>
                <w:rFonts w:hint="eastAsia" w:asciiTheme="majorEastAsia" w:hAnsiTheme="majorEastAsia" w:eastAsiaTheme="majorEastAsia"/>
                <w:color w:val="000000"/>
                <w:sz w:val="22"/>
                <w:szCs w:val="22"/>
                <w:highlight w:val="none"/>
              </w:rPr>
              <w:t>10</w:t>
            </w:r>
          </w:p>
        </w:tc>
        <w:tc>
          <w:tcPr>
            <w:tcW w:w="561" w:type="pct"/>
            <w:vAlign w:val="center"/>
          </w:tcPr>
          <w:p>
            <w:pPr>
              <w:topLinePunct/>
              <w:snapToGrid w:val="0"/>
              <w:jc w:val="center"/>
              <w:rPr>
                <w:rFonts w:asciiTheme="majorEastAsia" w:hAnsiTheme="majorEastAsia" w:eastAsiaTheme="majorEastAsia"/>
                <w:color w:val="000000"/>
                <w:sz w:val="22"/>
                <w:szCs w:val="22"/>
              </w:rPr>
            </w:pPr>
            <w:r>
              <w:rPr>
                <w:rFonts w:asciiTheme="majorEastAsia" w:hAnsiTheme="majorEastAsia" w:eastAsiaTheme="majorEastAsia"/>
                <w:color w:val="000000"/>
                <w:sz w:val="22"/>
                <w:szCs w:val="22"/>
              </w:rPr>
              <w:t>/</w:t>
            </w:r>
          </w:p>
        </w:tc>
        <w:tc>
          <w:tcPr>
            <w:tcW w:w="866" w:type="pct"/>
            <w:vAlign w:val="center"/>
          </w:tcPr>
          <w:p>
            <w:pPr>
              <w:topLinePunct/>
              <w:spacing w:line="360" w:lineRule="auto"/>
              <w:jc w:val="center"/>
              <w:outlineLvl w:val="0"/>
              <w:rPr>
                <w:rFonts w:asciiTheme="majorEastAsia" w:hAnsiTheme="majorEastAsia" w:eastAsiaTheme="majorEastAsia"/>
                <w:color w:val="000000"/>
                <w:sz w:val="22"/>
                <w:szCs w:val="22"/>
              </w:rPr>
            </w:pPr>
            <w:r>
              <w:rPr>
                <w:rFonts w:asciiTheme="majorEastAsia" w:hAnsiTheme="majorEastAsia" w:eastAsiaTheme="majorEastAsia"/>
                <w:color w:val="000000"/>
                <w:sz w:val="22"/>
                <w:szCs w:val="22"/>
              </w:rPr>
              <w:t>/</w:t>
            </w:r>
          </w:p>
        </w:tc>
      </w:tr>
    </w:tbl>
    <w:p>
      <w:pPr>
        <w:snapToGrid w:val="0"/>
        <w:spacing w:line="360" w:lineRule="auto"/>
        <w:rPr>
          <w:rFonts w:cs="宋体" w:asciiTheme="majorEastAsia" w:hAnsiTheme="majorEastAsia" w:eastAsiaTheme="majorEastAsia"/>
          <w:b/>
          <w:sz w:val="24"/>
        </w:rPr>
      </w:pPr>
      <w:r>
        <w:rPr>
          <w:rFonts w:hint="eastAsia" w:cs="宋体" w:asciiTheme="majorEastAsia" w:hAnsiTheme="majorEastAsia" w:eastAsiaTheme="majorEastAsia"/>
          <w:sz w:val="24"/>
          <w:shd w:val="clear" w:color="auto" w:fill="FFFFFF"/>
        </w:rPr>
        <w:t> *</w:t>
      </w:r>
      <w:r>
        <w:rPr>
          <w:rFonts w:hint="eastAsia" w:cs="宋体" w:asciiTheme="majorEastAsia" w:hAnsiTheme="majorEastAsia" w:eastAsiaTheme="majorEastAsia"/>
          <w:b/>
          <w:sz w:val="24"/>
        </w:rPr>
        <w:t>备注：</w:t>
      </w:r>
      <w:r>
        <w:rPr>
          <w:rFonts w:hint="eastAsia" w:cs="宋体" w:asciiTheme="majorEastAsia" w:hAnsiTheme="majorEastAsia" w:eastAsiaTheme="majorEastAsia"/>
          <w:sz w:val="24"/>
        </w:rPr>
        <w:t>投标人编制投标文件（商务技术文件部分）时，建议按此目录（序号和内容）提供评标标准相应的商务技术资料。 </w:t>
      </w:r>
    </w:p>
    <w:p>
      <w:pPr>
        <w:snapToGrid w:val="0"/>
        <w:spacing w:line="360" w:lineRule="auto"/>
        <w:rPr>
          <w:rFonts w:cs="宋体" w:asciiTheme="majorEastAsia" w:hAnsiTheme="majorEastAsia" w:eastAsiaTheme="majorEastAsia"/>
          <w:b/>
          <w:sz w:val="24"/>
        </w:rPr>
      </w:pPr>
      <w:r>
        <w:rPr>
          <w:rFonts w:hint="eastAsia" w:cs="宋体" w:asciiTheme="majorEastAsia" w:hAnsiTheme="majorEastAsia" w:eastAsiaTheme="majorEastAsia"/>
          <w:b/>
          <w:sz w:val="24"/>
        </w:rPr>
        <w:t>一、评标方法</w:t>
      </w:r>
    </w:p>
    <w:p>
      <w:pPr>
        <w:snapToGrid w:val="0"/>
        <w:spacing w:line="360" w:lineRule="auto"/>
        <w:ind w:firstLine="472" w:firstLineChars="196"/>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1.本项目采用综合评分法。</w:t>
      </w:r>
      <w:r>
        <w:rPr>
          <w:rFonts w:hint="eastAsia" w:cs="宋体" w:asciiTheme="majorEastAsia" w:hAnsiTheme="majorEastAsia" w:eastAsiaTheme="majorEastAsia"/>
          <w:kern w:val="0"/>
          <w:sz w:val="24"/>
        </w:rPr>
        <w:t>综合评分法，是指投标文件满足招标文件全部实质性要求，且按照评审因素的量化指标评审得分最高的投标人为中标候选人的评标方法。</w:t>
      </w:r>
    </w:p>
    <w:p>
      <w:pPr>
        <w:snapToGrid w:val="0"/>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b/>
          <w:sz w:val="24"/>
        </w:rPr>
        <w:t>二、评标标准</w:t>
      </w:r>
    </w:p>
    <w:p>
      <w:pPr>
        <w:snapToGrid w:val="0"/>
        <w:spacing w:line="360" w:lineRule="auto"/>
        <w:ind w:firstLine="472" w:firstLineChars="196"/>
        <w:rPr>
          <w:rFonts w:cs="宋体" w:asciiTheme="majorEastAsia" w:hAnsiTheme="majorEastAsia" w:eastAsiaTheme="majorEastAsia"/>
          <w:b/>
          <w:sz w:val="24"/>
        </w:rPr>
      </w:pPr>
      <w:r>
        <w:rPr>
          <w:rFonts w:hint="eastAsia" w:cs="宋体" w:asciiTheme="majorEastAsia" w:hAnsiTheme="majorEastAsia" w:eastAsiaTheme="majorEastAsia"/>
          <w:b/>
          <w:sz w:val="24"/>
        </w:rPr>
        <w:t>2.评标标准：</w:t>
      </w:r>
      <w:r>
        <w:rPr>
          <w:rFonts w:hint="eastAsia" w:cs="宋体" w:asciiTheme="majorEastAsia" w:hAnsiTheme="majorEastAsia" w:eastAsiaTheme="majorEastAsia"/>
          <w:kern w:val="0"/>
          <w:sz w:val="24"/>
        </w:rPr>
        <w:t>见评标办法前附表。</w:t>
      </w:r>
    </w:p>
    <w:p>
      <w:pPr>
        <w:snapToGrid w:val="0"/>
        <w:spacing w:line="360" w:lineRule="auto"/>
        <w:outlineLvl w:val="0"/>
        <w:rPr>
          <w:rFonts w:cs="宋体" w:asciiTheme="majorEastAsia" w:hAnsiTheme="majorEastAsia" w:eastAsiaTheme="majorEastAsia"/>
          <w:b/>
          <w:sz w:val="24"/>
        </w:rPr>
      </w:pPr>
      <w:r>
        <w:rPr>
          <w:rFonts w:hint="eastAsia" w:cs="宋体" w:asciiTheme="majorEastAsia" w:hAnsiTheme="majorEastAsia" w:eastAsiaTheme="majorEastAsia"/>
          <w:b/>
          <w:sz w:val="24"/>
        </w:rPr>
        <w:t>三、评标程序</w:t>
      </w:r>
    </w:p>
    <w:p>
      <w:pPr>
        <w:snapToGrid w:val="0"/>
        <w:spacing w:line="360" w:lineRule="auto"/>
        <w:ind w:firstLine="472" w:firstLineChars="196"/>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3.1符合性审查。</w:t>
      </w:r>
      <w:r>
        <w:rPr>
          <w:rFonts w:hint="eastAsia" w:cs="宋体" w:asciiTheme="majorEastAsia" w:hAnsiTheme="majorEastAsia" w:eastAsiaTheme="majorEastAsia"/>
          <w:kern w:val="0"/>
          <w:sz w:val="24"/>
        </w:rPr>
        <w:t>评标委员会应当对符合资格的投标人的投标文件进行符合性审查，以确定其是否满足招标文件的实质性要求。不满足招标文件的实质性要求的，投标无效。</w:t>
      </w:r>
    </w:p>
    <w:p>
      <w:pPr>
        <w:snapToGrid w:val="0"/>
        <w:spacing w:line="360" w:lineRule="auto"/>
        <w:ind w:firstLine="472" w:firstLineChars="196"/>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3.2比较与评价。</w:t>
      </w:r>
      <w:r>
        <w:rPr>
          <w:rFonts w:hint="eastAsia" w:cs="宋体" w:asciiTheme="majorEastAsia" w:hAnsiTheme="majorEastAsia" w:eastAsiaTheme="majorEastAsia"/>
          <w:kern w:val="0"/>
          <w:sz w:val="24"/>
        </w:rPr>
        <w:t>评标委员会应当按照招标文件中规定的评标方法和标准，对符合性审查合格的投标文件进行商务和技术评估，综合比较与评价。</w:t>
      </w:r>
    </w:p>
    <w:p>
      <w:pPr>
        <w:snapToGrid w:val="0"/>
        <w:spacing w:line="360" w:lineRule="auto"/>
        <w:ind w:firstLine="472" w:firstLineChars="196"/>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3.3汇总商务技术得分。</w:t>
      </w:r>
      <w:r>
        <w:rPr>
          <w:rFonts w:hint="eastAsia" w:cs="宋体" w:asciiTheme="majorEastAsia" w:hAnsiTheme="majorEastAsia" w:eastAsiaTheme="majorEastAsia"/>
          <w:kern w:val="0"/>
          <w:sz w:val="24"/>
        </w:rPr>
        <w:t>评标委员会各成员应当独立对每个投标人的商务和技术文件进行评价，并汇总商务技术得分情况。</w:t>
      </w:r>
    </w:p>
    <w:p>
      <w:pPr>
        <w:snapToGrid w:val="0"/>
        <w:spacing w:line="360" w:lineRule="auto"/>
        <w:ind w:firstLine="472" w:firstLineChars="196"/>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3.4报价评审。</w:t>
      </w:r>
    </w:p>
    <w:p>
      <w:pPr>
        <w:pStyle w:val="131"/>
        <w:snapToGrid w:val="0"/>
        <w:spacing w:before="0"/>
        <w:ind w:firstLine="508" w:firstLineChars="212"/>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3.4.1投标文件报价出现前后不一致的，按照下列规定修正：</w:t>
      </w:r>
    </w:p>
    <w:p>
      <w:pPr>
        <w:pStyle w:val="131"/>
        <w:snapToGrid w:val="0"/>
        <w:spacing w:before="0"/>
        <w:ind w:firstLine="480"/>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3.4.1.1投标文件中开标一览表(报价表)内容与投标文件中相应内容不一致的，以开标一览表(报价表)为准；</w:t>
      </w:r>
    </w:p>
    <w:p>
      <w:pPr>
        <w:pStyle w:val="131"/>
        <w:snapToGrid w:val="0"/>
        <w:spacing w:before="0"/>
        <w:ind w:firstLine="480"/>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3.4.1.2大写金额和小写金额不一致的，以大写金额为准；</w:t>
      </w:r>
    </w:p>
    <w:p>
      <w:pPr>
        <w:pStyle w:val="131"/>
        <w:snapToGrid w:val="0"/>
        <w:spacing w:before="0"/>
        <w:ind w:firstLine="480"/>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3.4.1.3单价金额小数点或者百分比有明显错位的，以开标一览表的总价为准，并修改单价；</w:t>
      </w:r>
    </w:p>
    <w:p>
      <w:pPr>
        <w:pStyle w:val="131"/>
        <w:snapToGrid w:val="0"/>
        <w:spacing w:before="0"/>
        <w:ind w:firstLine="480"/>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3.4.1.4总价金额与按单价汇总金额不一致的，以单价金额计算结果为准。</w:t>
      </w:r>
    </w:p>
    <w:p>
      <w:pPr>
        <w:pStyle w:val="131"/>
        <w:snapToGrid w:val="0"/>
        <w:spacing w:before="0"/>
        <w:ind w:firstLine="480"/>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3.4.2投标文件出现不是唯一的、有选择性投标报价的，投标无效。</w:t>
      </w:r>
    </w:p>
    <w:p>
      <w:pPr>
        <w:snapToGrid w:val="0"/>
        <w:spacing w:line="360" w:lineRule="auto"/>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3.4.3投标报价超过招标文件中规定的预算金额或者最高限价的，投标无效。</w:t>
      </w:r>
    </w:p>
    <w:p>
      <w:pPr>
        <w:pStyle w:val="131"/>
        <w:snapToGrid w:val="0"/>
        <w:spacing w:before="0"/>
        <w:ind w:firstLine="480"/>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napToGrid w:val="0"/>
        <w:spacing w:before="0"/>
        <w:ind w:firstLine="480"/>
        <w:rPr>
          <w:rFonts w:cs="宋体" w:asciiTheme="majorEastAsia" w:hAnsiTheme="majorEastAsia" w:eastAsiaTheme="majorEastAsia"/>
          <w:kern w:val="0"/>
          <w:szCs w:val="24"/>
        </w:rPr>
      </w:pPr>
      <w:r>
        <w:rPr>
          <w:rFonts w:hint="eastAsia" w:cs="宋体" w:asciiTheme="majorEastAsia" w:hAnsiTheme="majorEastAsia" w:eastAsiaTheme="majorEastAsia"/>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2" w:firstLineChars="200"/>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3.5排序与推荐。</w:t>
      </w:r>
      <w:r>
        <w:rPr>
          <w:rFonts w:hint="eastAsia" w:cs="宋体" w:asciiTheme="majorEastAsia" w:hAnsiTheme="majorEastAsia" w:eastAsiaTheme="maj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360" w:lineRule="auto"/>
        <w:ind w:firstLine="480" w:firstLineChars="200"/>
        <w:rPr>
          <w:rFonts w:cs="宋体" w:asciiTheme="majorEastAsia" w:hAnsiTheme="majorEastAsia" w:eastAsiaTheme="majorEastAsia"/>
          <w:b/>
          <w:kern w:val="0"/>
          <w:sz w:val="24"/>
        </w:rPr>
      </w:pPr>
      <w:r>
        <w:rPr>
          <w:rFonts w:hint="eastAsia" w:cs="宋体" w:asciiTheme="majorEastAsia" w:hAnsiTheme="majorEastAsia" w:eastAsiaTheme="maj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72" w:firstLineChars="196"/>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3.6编写评标报告。</w:t>
      </w:r>
      <w:r>
        <w:rPr>
          <w:rFonts w:hint="eastAsia" w:cs="宋体" w:asciiTheme="majorEastAsia" w:hAnsiTheme="majorEastAsia" w:eastAsiaTheme="maj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snapToGrid w:val="0"/>
        <w:spacing w:line="360" w:lineRule="auto"/>
        <w:jc w:val="left"/>
        <w:rPr>
          <w:rFonts w:cs="宋体" w:asciiTheme="majorEastAsia" w:hAnsiTheme="majorEastAsia" w:eastAsiaTheme="majorEastAsia"/>
          <w:b/>
          <w:sz w:val="24"/>
        </w:rPr>
      </w:pPr>
      <w:r>
        <w:rPr>
          <w:rFonts w:hint="eastAsia" w:cs="宋体" w:asciiTheme="majorEastAsia" w:hAnsiTheme="majorEastAsia" w:eastAsiaTheme="majorEastAsia"/>
          <w:b/>
          <w:sz w:val="24"/>
        </w:rPr>
        <w:t>四、评标中的其他事项</w:t>
      </w:r>
    </w:p>
    <w:p>
      <w:pPr>
        <w:pStyle w:val="131"/>
        <w:snapToGrid w:val="0"/>
        <w:spacing w:before="0"/>
        <w:ind w:firstLine="472" w:firstLineChars="196"/>
        <w:rPr>
          <w:rFonts w:cs="宋体" w:asciiTheme="majorEastAsia" w:hAnsiTheme="majorEastAsia" w:eastAsiaTheme="majorEastAsia"/>
          <w:kern w:val="0"/>
          <w:szCs w:val="24"/>
        </w:rPr>
      </w:pPr>
      <w:r>
        <w:rPr>
          <w:rFonts w:hint="eastAsia" w:cs="宋体" w:asciiTheme="majorEastAsia" w:hAnsiTheme="majorEastAsia" w:eastAsiaTheme="majorEastAsia"/>
          <w:b/>
          <w:kern w:val="0"/>
          <w:szCs w:val="24"/>
        </w:rPr>
        <w:t>4.1投标人澄清、说明或者补正。</w:t>
      </w:r>
      <w:r>
        <w:rPr>
          <w:rFonts w:hint="eastAsia" w:cs="宋体" w:asciiTheme="majorEastAsia" w:hAnsiTheme="majorEastAsia" w:eastAsiaTheme="maj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napToGrid w:val="0"/>
        <w:spacing w:line="360" w:lineRule="auto"/>
        <w:ind w:left="954" w:leftChars="226" w:hanging="479" w:firstLineChars="0"/>
        <w:rPr>
          <w:rFonts w:cs="宋体" w:asciiTheme="majorEastAsia" w:hAnsiTheme="majorEastAsia" w:eastAsiaTheme="majorEastAsia"/>
        </w:rPr>
      </w:pPr>
      <w:r>
        <w:rPr>
          <w:rFonts w:hint="eastAsia" w:cs="宋体" w:asciiTheme="majorEastAsia" w:hAnsiTheme="majorEastAsia" w:eastAsiaTheme="majorEastAsia"/>
          <w:b/>
          <w:kern w:val="0"/>
        </w:rPr>
        <w:t>4.2投标无效。</w:t>
      </w:r>
      <w:r>
        <w:rPr>
          <w:rFonts w:hint="eastAsia" w:cs="宋体" w:asciiTheme="majorEastAsia" w:hAnsiTheme="majorEastAsia" w:eastAsiaTheme="majorEastAsia"/>
        </w:rPr>
        <w:t>有下列情形之一的，投标无效：</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4.2.1投标人不具备招标文件中规定的资格要求的（投标人未提供有效的资格文件的，视为投标人不具备招标文件中规定的资格要求）；</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4.2.2投标文件未按照招标文件要求签署、盖章的；</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4.2.3采购人拟采购的产品属于政府强制采购的节能产品品目清单范围的，投标人相应的投标产品未获得国家确定的认证机构出具的、处于有效期之内的节能产品认证证书的；</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4.2.4投标文件含有采购人不能接受的附加条件的；</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4.2.5投标文件中承诺的投标有效期少于招标文件中载明的投标有效期的；</w:t>
      </w:r>
    </w:p>
    <w:p>
      <w:pPr>
        <w:snapToGrid w:val="0"/>
        <w:spacing w:line="360" w:lineRule="auto"/>
        <w:ind w:firstLine="120" w:firstLineChars="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   4.2.6投标文件出现不是唯一的、有选择性投标报价的；</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4.2.7投标报价超过招标文件中规定的预算金额或者最高限价的；</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4.2.8报价明显低于其他通过符合性审查投标人的报价，有可能影响产品质量或者不能诚信履约的，未能按要求提供书面说明或者提交相关证明材料，不能证明其报价合理性的；</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4.2.9投标人对根据修正原则修正后的报价不确认的；</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4.2.10投标人提供虚假材料投标的；</w:t>
      </w:r>
    </w:p>
    <w:p>
      <w:pPr>
        <w:snapToGrid w:val="0"/>
        <w:spacing w:line="360" w:lineRule="auto"/>
        <w:ind w:firstLine="240" w:firstLineChars="1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  4.2.11投标人有恶意串通、妨碍其他投标人的竞争行为、损害采购人或者其他投标人的合法权益情形的；</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4.2.12投标人仅提交备份投标文件，未在电子交易平台传输递交投标文件的，投标无效；</w:t>
      </w:r>
    </w:p>
    <w:p>
      <w:pPr>
        <w:pStyle w:val="6"/>
        <w:adjustRightInd w:val="0"/>
        <w:snapToGrid w:val="0"/>
        <w:ind w:left="862" w:leftChars="205"/>
        <w:rPr>
          <w:rFonts w:cs="宋体" w:asciiTheme="majorEastAsia" w:hAnsiTheme="majorEastAsia" w:eastAsiaTheme="majorEastAsia"/>
          <w:b w:val="0"/>
          <w:bCs w:val="0"/>
          <w:kern w:val="0"/>
          <w:sz w:val="24"/>
          <w:szCs w:val="24"/>
          <w:lang w:val="en-US"/>
        </w:rPr>
      </w:pPr>
      <w:r>
        <w:rPr>
          <w:rFonts w:hint="eastAsia" w:cs="宋体" w:asciiTheme="majorEastAsia" w:hAnsiTheme="majorEastAsia" w:eastAsiaTheme="majorEastAsia"/>
          <w:b w:val="0"/>
          <w:bCs w:val="0"/>
          <w:kern w:val="0"/>
          <w:sz w:val="24"/>
          <w:szCs w:val="24"/>
          <w:lang w:val="en-US"/>
        </w:rPr>
        <w:t>4.2.13 投标文件不满足招标文件的其它实质性要求的；</w:t>
      </w:r>
    </w:p>
    <w:p>
      <w:pPr>
        <w:snapToGrid w:val="0"/>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asciiTheme="majorEastAsia" w:hAnsiTheme="majorEastAsia" w:eastAsiaTheme="majorEastAsia"/>
        </w:rPr>
      </w:pPr>
      <w:r>
        <w:rPr>
          <w:rFonts w:hint="eastAsia" w:cs="宋体" w:asciiTheme="majorEastAsia" w:hAnsiTheme="majorEastAsia" w:eastAsiaTheme="majorEastAsia"/>
          <w:b/>
        </w:rPr>
        <w:t>5.废标。</w:t>
      </w:r>
      <w:r>
        <w:rPr>
          <w:rFonts w:hint="eastAsia" w:cs="宋体" w:asciiTheme="majorEastAsia" w:hAnsiTheme="majorEastAsia" w:eastAsiaTheme="majorEastAsia"/>
        </w:rPr>
        <w:t>根据《中华人民共和国政府采购法》第三十六条之规定，在采购中，出现下列情形之一的，应予废标：</w:t>
      </w:r>
    </w:p>
    <w:p>
      <w:pPr>
        <w:pStyle w:val="26"/>
        <w:snapToGrid w:val="0"/>
        <w:spacing w:line="360" w:lineRule="auto"/>
        <w:rPr>
          <w:rFonts w:cs="宋体" w:asciiTheme="majorEastAsia" w:hAnsiTheme="majorEastAsia" w:eastAsiaTheme="majorEastAsia"/>
        </w:rPr>
      </w:pPr>
      <w:r>
        <w:rPr>
          <w:rFonts w:hint="eastAsia" w:cs="宋体" w:asciiTheme="majorEastAsia" w:hAnsiTheme="majorEastAsia" w:eastAsiaTheme="majorEastAsia"/>
        </w:rPr>
        <w:t>5.1符合专业条件的供应商或者对招标文件作实质响应的供应商不足3家的；</w:t>
      </w:r>
    </w:p>
    <w:p>
      <w:pPr>
        <w:pStyle w:val="26"/>
        <w:snapToGrid w:val="0"/>
        <w:spacing w:line="360" w:lineRule="auto"/>
        <w:rPr>
          <w:rFonts w:cs="宋体" w:asciiTheme="majorEastAsia" w:hAnsiTheme="majorEastAsia" w:eastAsiaTheme="majorEastAsia"/>
        </w:rPr>
      </w:pPr>
      <w:r>
        <w:rPr>
          <w:rFonts w:hint="eastAsia" w:cs="宋体" w:asciiTheme="majorEastAsia" w:hAnsiTheme="majorEastAsia" w:eastAsiaTheme="majorEastAsia"/>
        </w:rPr>
        <w:t>5.2出现影响采购公正的违法、违规行为的；</w:t>
      </w:r>
    </w:p>
    <w:p>
      <w:pPr>
        <w:pStyle w:val="26"/>
        <w:snapToGrid w:val="0"/>
        <w:spacing w:line="360" w:lineRule="auto"/>
        <w:rPr>
          <w:rFonts w:cs="宋体" w:asciiTheme="majorEastAsia" w:hAnsiTheme="majorEastAsia" w:eastAsiaTheme="majorEastAsia"/>
        </w:rPr>
      </w:pPr>
      <w:r>
        <w:rPr>
          <w:rFonts w:hint="eastAsia" w:cs="宋体" w:asciiTheme="majorEastAsia" w:hAnsiTheme="majorEastAsia" w:eastAsiaTheme="majorEastAsia"/>
        </w:rPr>
        <w:t>5.3投标人的报价均超过了采购预算，采购人不能支付的；</w:t>
      </w:r>
    </w:p>
    <w:p>
      <w:pPr>
        <w:pStyle w:val="26"/>
        <w:snapToGrid w:val="0"/>
        <w:spacing w:line="360" w:lineRule="auto"/>
        <w:rPr>
          <w:rFonts w:cs="宋体" w:asciiTheme="majorEastAsia" w:hAnsiTheme="majorEastAsia" w:eastAsiaTheme="majorEastAsia"/>
        </w:rPr>
      </w:pPr>
      <w:r>
        <w:rPr>
          <w:rFonts w:hint="eastAsia" w:cs="宋体" w:asciiTheme="majorEastAsia" w:hAnsiTheme="majorEastAsia" w:eastAsiaTheme="majorEastAsia"/>
        </w:rPr>
        <w:t>5.4因重大变故，采购任务取消的。</w:t>
      </w:r>
    </w:p>
    <w:p>
      <w:pPr>
        <w:pStyle w:val="26"/>
        <w:snapToGrid w:val="0"/>
        <w:spacing w:line="360" w:lineRule="auto"/>
        <w:rPr>
          <w:rFonts w:cs="宋体" w:asciiTheme="majorEastAsia" w:hAnsiTheme="majorEastAsia" w:eastAsiaTheme="majorEastAsia"/>
        </w:rPr>
      </w:pPr>
      <w:r>
        <w:rPr>
          <w:rFonts w:hint="eastAsia" w:cs="宋体" w:asciiTheme="majorEastAsia" w:hAnsiTheme="majorEastAsia" w:eastAsiaTheme="majorEastAsia"/>
        </w:rPr>
        <w:t>废标后，采购代理机构应当将废标理由通知所有投标人。</w:t>
      </w:r>
    </w:p>
    <w:p>
      <w:pPr>
        <w:pStyle w:val="26"/>
        <w:snapToGrid w:val="0"/>
        <w:spacing w:line="360" w:lineRule="auto"/>
        <w:ind w:firstLine="482"/>
        <w:rPr>
          <w:rFonts w:cs="宋体" w:asciiTheme="majorEastAsia" w:hAnsiTheme="majorEastAsia" w:eastAsiaTheme="majorEastAsia"/>
        </w:rPr>
      </w:pPr>
      <w:r>
        <w:rPr>
          <w:rFonts w:hint="eastAsia" w:cs="宋体" w:asciiTheme="majorEastAsia" w:hAnsiTheme="majorEastAsia" w:eastAsiaTheme="majorEastAsia"/>
          <w:b/>
        </w:rPr>
        <w:t>6.修改招标文件，重新组织采购活动。</w:t>
      </w:r>
      <w:r>
        <w:rPr>
          <w:rFonts w:hint="eastAsia" w:cs="宋体" w:asciiTheme="majorEastAsia" w:hAnsiTheme="majorEastAsia" w:eastAsiaTheme="major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asciiTheme="majorEastAsia" w:hAnsiTheme="majorEastAsia" w:eastAsiaTheme="majorEastAsia"/>
        </w:rPr>
      </w:pPr>
      <w:r>
        <w:rPr>
          <w:rFonts w:hint="eastAsia" w:cs="宋体" w:asciiTheme="majorEastAsia" w:hAnsiTheme="majorEastAsia" w:eastAsiaTheme="majorEastAsia"/>
          <w:b/>
          <w:kern w:val="0"/>
        </w:rPr>
        <w:t>7.重新开展采购。</w:t>
      </w:r>
      <w:r>
        <w:rPr>
          <w:rFonts w:hint="eastAsia" w:cs="宋体" w:asciiTheme="majorEastAsia" w:hAnsiTheme="majorEastAsia" w:eastAsiaTheme="majorEastAsia"/>
        </w:rPr>
        <w:t>有政府采购法第七十一条、第七十二条规定的违法行为之一，影响或者可能影响中标结果的，依照下列规定处理：</w:t>
      </w:r>
    </w:p>
    <w:p>
      <w:pPr>
        <w:pStyle w:val="26"/>
        <w:snapToGrid w:val="0"/>
        <w:spacing w:line="360" w:lineRule="auto"/>
        <w:rPr>
          <w:rFonts w:cs="宋体" w:asciiTheme="majorEastAsia" w:hAnsiTheme="majorEastAsia" w:eastAsiaTheme="majorEastAsia"/>
        </w:rPr>
      </w:pPr>
      <w:r>
        <w:rPr>
          <w:rFonts w:hint="eastAsia" w:cs="宋体" w:asciiTheme="majorEastAsia" w:hAnsiTheme="majorEastAsia" w:eastAsiaTheme="majorEastAsia"/>
        </w:rPr>
        <w:t>7.1未确定中标供应商的，终止本次政府采购活动，重新开展政府采购活动。</w:t>
      </w:r>
    </w:p>
    <w:p>
      <w:pPr>
        <w:pStyle w:val="26"/>
        <w:snapToGrid w:val="0"/>
        <w:spacing w:line="360" w:lineRule="auto"/>
        <w:rPr>
          <w:rFonts w:cs="宋体" w:asciiTheme="majorEastAsia" w:hAnsiTheme="majorEastAsia" w:eastAsiaTheme="majorEastAsia"/>
        </w:rPr>
      </w:pPr>
      <w:r>
        <w:rPr>
          <w:rFonts w:hint="eastAsia" w:cs="宋体" w:asciiTheme="majorEastAsia" w:hAnsiTheme="majorEastAsia" w:eastAsiaTheme="majorEastAsia"/>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asciiTheme="majorEastAsia" w:hAnsiTheme="majorEastAsia" w:eastAsiaTheme="majorEastAsia"/>
        </w:rPr>
      </w:pPr>
      <w:r>
        <w:rPr>
          <w:rFonts w:hint="eastAsia" w:cs="宋体" w:asciiTheme="majorEastAsia" w:hAnsiTheme="majorEastAsia" w:eastAsiaTheme="majorEastAsia"/>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asciiTheme="majorEastAsia" w:hAnsiTheme="majorEastAsia" w:eastAsiaTheme="majorEastAsia"/>
        </w:rPr>
      </w:pPr>
      <w:r>
        <w:rPr>
          <w:rFonts w:hint="eastAsia" w:cs="宋体" w:asciiTheme="majorEastAsia" w:hAnsiTheme="majorEastAsia" w:eastAsiaTheme="majorEastAsia"/>
        </w:rPr>
        <w:t>7.4政府采购合同已经履行，给采购人、供应商造成损失的，由责任人承担赔偿责任。</w:t>
      </w:r>
    </w:p>
    <w:p>
      <w:pPr>
        <w:pStyle w:val="26"/>
        <w:snapToGrid w:val="0"/>
        <w:spacing w:line="360" w:lineRule="auto"/>
        <w:rPr>
          <w:rFonts w:cs="宋体" w:asciiTheme="majorEastAsia" w:hAnsiTheme="majorEastAsia" w:eastAsiaTheme="majorEastAsia"/>
        </w:rPr>
      </w:pPr>
      <w:r>
        <w:rPr>
          <w:rFonts w:hint="eastAsia" w:cs="宋体" w:asciiTheme="majorEastAsia" w:hAnsiTheme="majorEastAsia" w:eastAsiaTheme="majorEastAsia"/>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asciiTheme="majorEastAsia" w:hAnsiTheme="majorEastAsia" w:eastAsiaTheme="majorEastAsia"/>
        </w:rPr>
      </w:pPr>
    </w:p>
    <w:bookmarkEnd w:id="27"/>
    <w:p>
      <w:pPr>
        <w:spacing w:line="360" w:lineRule="auto"/>
        <w:jc w:val="center"/>
        <w:outlineLvl w:val="0"/>
        <w:rPr>
          <w:rFonts w:hint="eastAsia" w:cs="宋体" w:asciiTheme="majorEastAsia" w:hAnsiTheme="majorEastAsia" w:eastAsiaTheme="majorEastAsia"/>
          <w:b/>
          <w:sz w:val="36"/>
          <w:szCs w:val="36"/>
        </w:rPr>
      </w:pPr>
      <w:bookmarkStart w:id="400" w:name="_Toc86217003"/>
      <w:bookmarkStart w:id="401" w:name="第五部分"/>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hint="eastAsia" w:cs="宋体" w:asciiTheme="majorEastAsia" w:hAnsiTheme="majorEastAsia" w:eastAsiaTheme="majorEastAsia"/>
          <w:b/>
          <w:sz w:val="36"/>
          <w:szCs w:val="36"/>
        </w:rPr>
      </w:pPr>
    </w:p>
    <w:p>
      <w:pPr>
        <w:spacing w:line="360" w:lineRule="auto"/>
        <w:jc w:val="center"/>
        <w:outlineLvl w:val="0"/>
        <w:rPr>
          <w:rFonts w:cs="宋体" w:asciiTheme="majorEastAsia" w:hAnsiTheme="majorEastAsia" w:eastAsiaTheme="majorEastAsia"/>
          <w:b/>
          <w:sz w:val="36"/>
          <w:szCs w:val="36"/>
        </w:rPr>
      </w:pPr>
      <w:bookmarkStart w:id="413" w:name="_GoBack"/>
      <w:bookmarkEnd w:id="413"/>
      <w:r>
        <w:rPr>
          <w:rFonts w:hint="eastAsia" w:cs="宋体" w:asciiTheme="majorEastAsia" w:hAnsiTheme="majorEastAsia" w:eastAsiaTheme="majorEastAsia"/>
          <w:b/>
          <w:sz w:val="36"/>
          <w:szCs w:val="36"/>
        </w:rPr>
        <w:t>第五部分 拟签订的合同文本</w:t>
      </w:r>
    </w:p>
    <w:p>
      <w:pPr>
        <w:pStyle w:val="34"/>
        <w:snapToGrid w:val="0"/>
        <w:spacing w:before="120" w:after="120" w:line="360" w:lineRule="auto"/>
        <w:jc w:val="center"/>
        <w:rPr>
          <w:rFonts w:hint="eastAsia" w:hAnsi="宋体" w:cs="宋体"/>
          <w:sz w:val="24"/>
          <w:szCs w:val="24"/>
        </w:rPr>
      </w:pPr>
      <w:r>
        <w:rPr>
          <w:rFonts w:hint="eastAsia" w:hAnsi="宋体" w:cs="宋体"/>
          <w:szCs w:val="21"/>
        </w:rPr>
        <w:t>（</w:t>
      </w:r>
      <w:r>
        <w:rPr>
          <w:rFonts w:hint="eastAsia" w:hAnsi="宋体" w:cs="宋体"/>
          <w:sz w:val="24"/>
          <w:szCs w:val="24"/>
        </w:rPr>
        <w:t>本合同为合同样稿，最终稿由甲乙方协商后确定）</w:t>
      </w:r>
    </w:p>
    <w:p>
      <w:pPr>
        <w:pStyle w:val="58"/>
        <w:widowControl w:val="0"/>
        <w:shd w:val="clear" w:color="auto" w:fill="FFFFFF"/>
        <w:snapToGrid w:val="0"/>
        <w:spacing w:before="0" w:beforeAutospacing="0" w:after="0" w:afterAutospacing="0" w:line="300" w:lineRule="auto"/>
        <w:jc w:val="center"/>
        <w:rPr>
          <w:rFonts w:hint="eastAsia" w:cs="宋体"/>
          <w:shd w:val="clear" w:color="auto" w:fill="FFFFFF"/>
        </w:rPr>
      </w:pPr>
      <w:r>
        <w:rPr>
          <w:rFonts w:hint="eastAsia" w:cs="宋体"/>
          <w:kern w:val="2"/>
          <w:shd w:val="clear" w:color="auto" w:fill="FFFFFF"/>
          <w:lang w:eastAsia="zh-CN" w:bidi="ar"/>
        </w:rPr>
        <w:t>2024年茅乡景区及仁寿山园林养护服务采购</w:t>
      </w:r>
      <w:r>
        <w:rPr>
          <w:rFonts w:hint="eastAsia" w:cs="宋体"/>
          <w:kern w:val="2"/>
          <w:shd w:val="clear" w:color="auto" w:fill="FFFFFF"/>
          <w:lang w:val="en-US" w:eastAsia="zh-CN" w:bidi="ar"/>
        </w:rPr>
        <w:t>服务</w:t>
      </w:r>
      <w:r>
        <w:rPr>
          <w:rFonts w:hint="eastAsia" w:cs="宋体"/>
          <w:kern w:val="2"/>
          <w:shd w:val="clear" w:color="auto" w:fill="FFFFFF"/>
          <w:lang w:bidi="ar"/>
        </w:rPr>
        <w:t>合同</w:t>
      </w:r>
    </w:p>
    <w:p>
      <w:pPr>
        <w:pStyle w:val="58"/>
        <w:widowControl w:val="0"/>
        <w:shd w:val="clear" w:color="auto" w:fill="FFFFFF"/>
        <w:snapToGrid w:val="0"/>
        <w:spacing w:before="0" w:beforeAutospacing="0" w:after="0" w:afterAutospacing="0" w:line="300" w:lineRule="auto"/>
        <w:jc w:val="center"/>
        <w:rPr>
          <w:rFonts w:hint="eastAsia" w:cs="宋体"/>
          <w:shd w:val="clear" w:color="auto" w:fill="FFFFFF"/>
        </w:rPr>
      </w:pP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cs="宋体"/>
          <w:sz w:val="24"/>
          <w:u w:val="single"/>
          <w:lang w:val="zh-CN"/>
        </w:rPr>
      </w:pPr>
      <w:bookmarkStart w:id="402" w:name="_Toc328381300"/>
      <w:bookmarkStart w:id="403" w:name="_Toc339872468"/>
      <w:bookmarkStart w:id="404" w:name="_Toc326765771"/>
      <w:bookmarkStart w:id="405" w:name="_Toc349721554"/>
      <w:bookmarkStart w:id="406" w:name="_Toc350327365"/>
      <w:r>
        <w:rPr>
          <w:rFonts w:hint="eastAsia" w:ascii="宋体" w:hAnsi="宋体" w:cs="宋体"/>
          <w:sz w:val="24"/>
          <w:lang w:val="zh-CN" w:bidi="ar"/>
        </w:rPr>
        <w:t>甲方（采购人）：</w:t>
      </w:r>
      <w:r>
        <w:rPr>
          <w:rFonts w:hint="eastAsia" w:ascii="宋体" w:hAnsi="宋体" w:cs="宋体"/>
          <w:sz w:val="24"/>
          <w:u w:val="single"/>
          <w:lang w:val="zh-CN" w:bidi="ar"/>
        </w:rPr>
        <w:t>杭州西湖风景名胜区灵隐管理处</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cs="宋体"/>
          <w:sz w:val="24"/>
          <w:lang w:val="zh-CN"/>
        </w:rPr>
      </w:pPr>
      <w:r>
        <w:rPr>
          <w:rFonts w:hint="eastAsia" w:ascii="宋体" w:hAnsi="宋体" w:cs="宋体"/>
          <w:sz w:val="24"/>
          <w:lang w:val="zh-CN" w:bidi="ar"/>
        </w:rPr>
        <w:t>乙方（中标人）：</w:t>
      </w:r>
      <w:r>
        <w:rPr>
          <w:rFonts w:hint="eastAsia" w:ascii="宋体" w:hAnsi="宋体" w:cs="宋体"/>
          <w:b/>
          <w:bCs/>
          <w:sz w:val="24"/>
          <w:u w:val="single"/>
          <w:lang w:val="zh-CN" w:bidi="ar"/>
        </w:rPr>
        <w:t xml:space="preserve">          </w:t>
      </w:r>
      <w:r>
        <w:rPr>
          <w:rFonts w:hint="eastAsia" w:ascii="宋体" w:hAnsi="宋体" w:cs="宋体"/>
          <w:b/>
          <w:bCs/>
          <w:sz w:val="24"/>
          <w:u w:val="single"/>
          <w:lang w:bidi="ar"/>
        </w:rPr>
        <w:t xml:space="preserve">                  </w:t>
      </w:r>
    </w:p>
    <w:p>
      <w:pPr>
        <w:keepNext w:val="0"/>
        <w:keepLines w:val="0"/>
        <w:pageBreakBefore w:val="0"/>
        <w:kinsoku/>
        <w:wordWrap/>
        <w:overflowPunct/>
        <w:topLinePunct w:val="0"/>
        <w:autoSpaceDE w:val="0"/>
        <w:autoSpaceDN w:val="0"/>
        <w:bidi w:val="0"/>
        <w:adjustRightInd w:val="0"/>
        <w:snapToGrid w:val="0"/>
        <w:spacing w:line="360" w:lineRule="auto"/>
        <w:ind w:left="1" w:firstLine="600" w:firstLineChars="250"/>
        <w:textAlignment w:val="auto"/>
        <w:rPr>
          <w:rFonts w:hint="eastAsia" w:ascii="宋体" w:hAnsi="宋体" w:cs="宋体"/>
          <w:bCs/>
          <w:sz w:val="24"/>
        </w:rPr>
      </w:pPr>
      <w:r>
        <w:rPr>
          <w:rFonts w:hint="eastAsia" w:ascii="宋体" w:hAnsi="宋体" w:cs="宋体"/>
          <w:sz w:val="24"/>
          <w:lang w:val="zh-CN" w:bidi="ar"/>
        </w:rPr>
        <w:t>根据《中华人民共和国民法典》及</w:t>
      </w:r>
      <w:r>
        <w:rPr>
          <w:rFonts w:hint="eastAsia" w:ascii="宋体" w:hAnsi="宋体" w:cs="宋体"/>
          <w:sz w:val="24"/>
          <w:u w:val="single"/>
          <w:lang w:val="zh-CN" w:eastAsia="zh-CN" w:bidi="ar"/>
        </w:rPr>
        <w:t>2024年茅乡景区及仁寿山园林养护服务采购</w:t>
      </w:r>
      <w:r>
        <w:rPr>
          <w:rFonts w:hint="eastAsia" w:ascii="宋体" w:hAnsi="宋体" w:cs="宋体"/>
          <w:sz w:val="24"/>
          <w:lang w:val="zh-CN" w:bidi="ar"/>
        </w:rPr>
        <w:t>采购结果“中标通知书”的规定，甲、乙双方在平等的基础上、</w:t>
      </w:r>
      <w:r>
        <w:rPr>
          <w:rFonts w:hint="eastAsia" w:ascii="宋体" w:hAnsi="宋体" w:cs="宋体"/>
          <w:bCs/>
          <w:sz w:val="24"/>
          <w:lang w:bidi="ar"/>
        </w:rPr>
        <w:t>友好协商，对事宜进行讨论，达成一致意见，具体如下：</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textAlignment w:val="auto"/>
        <w:rPr>
          <w:rFonts w:hint="eastAsia" w:ascii="宋体" w:hAnsi="宋体" w:cs="宋体"/>
          <w:b/>
          <w:bCs/>
          <w:sz w:val="24"/>
        </w:rPr>
      </w:pPr>
      <w:r>
        <w:rPr>
          <w:rFonts w:hint="eastAsia" w:ascii="宋体" w:hAnsi="宋体" w:cs="宋体"/>
          <w:b/>
          <w:bCs/>
          <w:sz w:val="24"/>
          <w:lang w:bidi="ar"/>
        </w:rPr>
        <w:t>项目简要说明</w:t>
      </w:r>
    </w:p>
    <w:p>
      <w:pPr>
        <w:keepNext w:val="0"/>
        <w:keepLines w:val="0"/>
        <w:pageBreakBefore w:val="0"/>
        <w:numPr>
          <w:ilvl w:val="0"/>
          <w:numId w:val="3"/>
        </w:numPr>
        <w:kinsoku/>
        <w:wordWrap/>
        <w:overflowPunct/>
        <w:topLinePunct w:val="0"/>
        <w:bidi w:val="0"/>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lang w:bidi="ar"/>
        </w:rPr>
        <w:t>服务期内派遣满足景区绿地养护要求的劳务人员完成园林绿化养护工作，包括所辖区域内公园道路绿地、行道树、花坛花境、水生植物、修枝、苗木种植、园林设施维护等日常园林养护、机动应急任务保障（含抗雪、防冻、防台、防汛、抗旱等）等园林养护作业。绿地养护范围为</w:t>
      </w:r>
      <w:r>
        <w:rPr>
          <w:rFonts w:hint="eastAsia" w:ascii="宋体" w:hAnsi="宋体" w:cs="宋体"/>
          <w:sz w:val="24"/>
          <w:u w:val="single"/>
          <w:lang w:bidi="ar"/>
        </w:rPr>
        <w:t>下茅家埠景区、仁寿山景区、都锦生故居、浙江辛亥革命纪念馆、林风眠旧居、龙井路分段（灵隐路-龙井支路口、龙井支路口至龙井路292号灯杆）、灵隐路全段（曙光路口至天曹桥口）、龙泓涧区域、灵溪南路双峰路沿线以东等区域范围内</w:t>
      </w:r>
      <w:r>
        <w:rPr>
          <w:rFonts w:hint="eastAsia" w:ascii="宋体" w:hAnsi="宋体" w:cs="宋体"/>
          <w:sz w:val="24"/>
          <w:lang w:bidi="ar"/>
        </w:rPr>
        <w:t>。落实项目负责人服务期内协调管理。</w:t>
      </w:r>
    </w:p>
    <w:p>
      <w:pPr>
        <w:keepNext w:val="0"/>
        <w:keepLines w:val="0"/>
        <w:pageBreakBefore w:val="0"/>
        <w:kinsoku/>
        <w:wordWrap/>
        <w:overflowPunct/>
        <w:topLinePunct w:val="0"/>
        <w:bidi w:val="0"/>
        <w:adjustRightInd w:val="0"/>
        <w:snapToGrid w:val="0"/>
        <w:spacing w:line="360" w:lineRule="auto"/>
        <w:ind w:firstLine="600"/>
        <w:jc w:val="left"/>
        <w:textAlignment w:val="auto"/>
        <w:rPr>
          <w:rFonts w:hint="eastAsia" w:ascii="宋体" w:hAnsi="宋体" w:cs="宋体"/>
          <w:sz w:val="24"/>
        </w:rPr>
      </w:pPr>
      <w:r>
        <w:rPr>
          <w:rFonts w:hint="eastAsia" w:ascii="宋体" w:hAnsi="宋体" w:cs="宋体"/>
          <w:sz w:val="24"/>
          <w:lang w:bidi="ar"/>
        </w:rPr>
        <w:t>2、供应商必须安排养护区域的日常养护人员配备全年计划用工4680工，其中日常养护用工1846工,园林景观提升用工1859工机动应急保障用工约975工（女工比例不超过20%）。</w:t>
      </w:r>
    </w:p>
    <w:p>
      <w:pPr>
        <w:keepNext w:val="0"/>
        <w:keepLines w:val="0"/>
        <w:pageBreakBefore w:val="0"/>
        <w:kinsoku/>
        <w:wordWrap/>
        <w:overflowPunct/>
        <w:topLinePunct w:val="0"/>
        <w:bidi w:val="0"/>
        <w:adjustRightInd w:val="0"/>
        <w:snapToGrid w:val="0"/>
        <w:spacing w:line="360" w:lineRule="auto"/>
        <w:ind w:firstLine="600"/>
        <w:jc w:val="left"/>
        <w:textAlignment w:val="auto"/>
        <w:rPr>
          <w:rFonts w:hint="eastAsia" w:ascii="宋体" w:hAnsi="宋体" w:cs="宋体"/>
          <w:sz w:val="24"/>
        </w:rPr>
      </w:pPr>
      <w:r>
        <w:rPr>
          <w:rFonts w:hint="eastAsia" w:ascii="宋体" w:hAnsi="宋体" w:cs="宋体"/>
          <w:sz w:val="24"/>
          <w:lang w:bidi="ar"/>
        </w:rPr>
        <w:t>⑴园林日常养护，主要负责养护范围内的园林日常养护工作，养护人员固定，项目负责人必须每天对工作情况进行检查，并记好工作台帐；同时安排好养护人员的工作，并做好每日考勤工作；在作业过程中，现场负责人须保持24小时手机畅通；养护项目负责人如不能到岗，必须向采购人管理人员请假，否则按供应商违约处理。</w:t>
      </w:r>
    </w:p>
    <w:p>
      <w:pPr>
        <w:keepNext w:val="0"/>
        <w:keepLines w:val="0"/>
        <w:pageBreakBefore w:val="0"/>
        <w:kinsoku/>
        <w:wordWrap/>
        <w:overflowPunct/>
        <w:topLinePunct w:val="0"/>
        <w:bidi w:val="0"/>
        <w:adjustRightInd w:val="0"/>
        <w:snapToGrid w:val="0"/>
        <w:spacing w:line="360" w:lineRule="auto"/>
        <w:ind w:firstLine="600"/>
        <w:jc w:val="left"/>
        <w:textAlignment w:val="auto"/>
        <w:rPr>
          <w:rFonts w:hint="eastAsia" w:ascii="宋体" w:hAnsi="宋体" w:cs="宋体"/>
          <w:sz w:val="24"/>
        </w:rPr>
      </w:pPr>
      <w:r>
        <w:rPr>
          <w:rFonts w:hint="eastAsia" w:ascii="宋体" w:hAnsi="宋体" w:cs="宋体"/>
          <w:sz w:val="24"/>
          <w:lang w:bidi="ar"/>
        </w:rPr>
        <w:t>⑵园林景观提升，主要负责养护范围内花坛花境种植、大树修剪复壮、节日摆花布置、园林突击任务等。</w:t>
      </w:r>
    </w:p>
    <w:p>
      <w:pPr>
        <w:keepNext w:val="0"/>
        <w:keepLines w:val="0"/>
        <w:pageBreakBefore w:val="0"/>
        <w:kinsoku/>
        <w:wordWrap/>
        <w:overflowPunct/>
        <w:topLinePunct w:val="0"/>
        <w:bidi w:val="0"/>
        <w:adjustRightInd w:val="0"/>
        <w:snapToGrid w:val="0"/>
        <w:spacing w:line="360" w:lineRule="auto"/>
        <w:ind w:firstLine="600"/>
        <w:jc w:val="left"/>
        <w:textAlignment w:val="auto"/>
        <w:rPr>
          <w:rFonts w:hint="eastAsia" w:ascii="宋体" w:hAnsi="宋体" w:cs="宋体"/>
          <w:sz w:val="24"/>
        </w:rPr>
      </w:pPr>
      <w:r>
        <w:rPr>
          <w:rFonts w:hint="eastAsia" w:ascii="宋体" w:hAnsi="宋体" w:cs="宋体"/>
          <w:sz w:val="24"/>
          <w:lang w:bidi="ar"/>
        </w:rPr>
        <w:t>⑶应急抢险，主要负责抗雪、防冻、防台、防汛、抗旱等任务；</w:t>
      </w:r>
    </w:p>
    <w:p>
      <w:pPr>
        <w:keepNext w:val="0"/>
        <w:keepLines w:val="0"/>
        <w:pageBreakBefore w:val="0"/>
        <w:kinsoku/>
        <w:wordWrap/>
        <w:overflowPunct/>
        <w:topLinePunct w:val="0"/>
        <w:bidi w:val="0"/>
        <w:adjustRightInd w:val="0"/>
        <w:snapToGrid w:val="0"/>
        <w:spacing w:line="360" w:lineRule="auto"/>
        <w:ind w:firstLine="600"/>
        <w:jc w:val="left"/>
        <w:textAlignment w:val="auto"/>
        <w:rPr>
          <w:rFonts w:hint="eastAsia" w:ascii="宋体" w:hAnsi="宋体" w:cs="宋体"/>
          <w:sz w:val="24"/>
        </w:rPr>
      </w:pPr>
      <w:r>
        <w:rPr>
          <w:rFonts w:hint="eastAsia" w:ascii="宋体" w:hAnsi="宋体" w:cs="宋体"/>
          <w:sz w:val="24"/>
          <w:lang w:bidi="ar"/>
        </w:rPr>
        <w:t>园林景观提升与应急抢险任务，根据甲方预约派工单安排相关人员上岗。工作人员上岗时须配备工作服、安全帽、安全带、工作服、黄背心等。</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3、与</w:t>
      </w:r>
      <w:r>
        <w:rPr>
          <w:rFonts w:hint="eastAsia" w:ascii="宋体" w:hAnsi="宋体" w:cs="宋体"/>
          <w:sz w:val="24"/>
          <w:lang w:eastAsia="zh-CN" w:bidi="ar"/>
        </w:rPr>
        <w:t>服务</w:t>
      </w:r>
      <w:r>
        <w:rPr>
          <w:rFonts w:hint="eastAsia" w:ascii="宋体" w:hAnsi="宋体" w:cs="宋体"/>
          <w:sz w:val="24"/>
          <w:lang w:bidi="ar"/>
        </w:rPr>
        <w:t>有关的作业所涉及的工具（含零星材料），需供应商自备。</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cs="宋体"/>
          <w:b/>
          <w:bCs/>
          <w:sz w:val="24"/>
        </w:rPr>
      </w:pPr>
      <w:r>
        <w:rPr>
          <w:rFonts w:hint="eastAsia" w:ascii="宋体" w:hAnsi="宋体" w:cs="宋体"/>
          <w:sz w:val="24"/>
          <w:lang w:bidi="ar"/>
        </w:rPr>
        <w:t>二、</w:t>
      </w:r>
      <w:r>
        <w:rPr>
          <w:rFonts w:hint="eastAsia" w:ascii="宋体" w:hAnsi="宋体" w:cs="宋体"/>
          <w:b/>
          <w:bCs/>
          <w:sz w:val="24"/>
          <w:lang w:bidi="ar"/>
        </w:rPr>
        <w:t>服务内容、服务期限及服务要求</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1、服务内容主要是从事茅乡景区及仁寿山园林养护区域范围内现有园林绿化养护管理，具体养护项目主要含：</w:t>
      </w:r>
      <w:r>
        <w:rPr>
          <w:rFonts w:hint="eastAsia" w:ascii="宋体" w:hAnsi="宋体" w:cs="宋体"/>
          <w:sz w:val="24"/>
        </w:rPr>
        <w:t>树木迁移、调整；树木（包括行道树）抹芽、修枝、修剪；整地、裸露黄土复绿；草坪滚剪、草坪除草、草坪填土平整、水生植物冬季割黄；绿化带、道路两侧林带、地被除草；浇水、施肥、病虫害防治；花展布置、花坛花境换花；由于遭受自然天气影响导致植物景观或养护不当引起的苗木补种；枯死树清理、林带内枯枝等垃圾清理；养护范围内所有园林植物花卉的抗旱、防汛、抗雪及灾害性天气导致的损毁产生的园林垃圾外运、处置等。养护服务过程中，产生的苗木、肥料、农药等材料费用由供应商提供</w:t>
      </w:r>
      <w:r>
        <w:rPr>
          <w:rFonts w:hint="eastAsia" w:ascii="宋体" w:hAnsi="宋体" w:cs="宋体"/>
          <w:sz w:val="24"/>
          <w:lang w:bidi="ar"/>
        </w:rPr>
        <w:t>。</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2、园林养护人员外环境作业时间：10小时/天，7：00—17：00，项目负责人到岗时间8:00-17:30，到岗率100%。</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3、供应商严格遵守上级有关部门的养护标准要求执行，并严格按照《灵隐管理处“双最”公园综合检查考核细则》、《灵隐管理处“双最”道路（河道）绿地综合检查考核细则》等规范进行养护。</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4、绿地内树木修剪、滚草、枯死枝清理等，垃圾须当日清运完毕。</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5、草坪随时修剪要求，草坪草高度不超过8cm（常绿草高度不超过6cm），树木周围和草坪边缘应及时切边。常绿草四季应保持绿色，草坪的纯洁度在98%以上，无空秃、黄化现象。对被人为损坏和已发生病害的常绿草坪两天内切除调换，补种时确保草坪的美观和平整。</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6、乔灌木的修剪按《杭州园林植物养护技术规程》进行操作,根据采购人要求香樟等乔木或大型花灌木冬季必须刷白，及时防治病虫害；发现枯枝、死枝必须24小时内处理完毕；花灌木随时修剪，球形灌木常年保持形态完整，色块灌木应控制高度及宽度，色块之间界限分明、线条清晰流畅，无缺株、无空洞。按采购人的要求对枯死的树木连同根部在24小时内挖除，并在2天内补种完毕，补种苗木的规格、品种和原苗木基本相同。</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6.1花灌木养护：应根据花芽发育规律，对花灌木进行适当修剪，促进花枝萌发；同时，应在花前花后做好施肥工作，可适量施一些有机肥，促进根系生长，提高土壤有机质含量。</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7、花坛花境的养护，保证一年六次换花（含四个季度双最公园评比、五一、十一花境评比），做好花坛花境日常养护工作，及时对花坛花境中的死株进行清除及补种，保证景观效果。</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8、病虫害防治：应认真贯彻“综合防治，以防为主”的方针，做到治早、治好，无明显病虫害发现，鼓励使用生物防治技术，提倡生态环保理念。</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9、遇有抗台、防汛、抗旱、抗雪及抗旱等突发事件（防汛防台期（7-8月）、抗旱期（8-10月）、防雪抗冻期（12-2月）、抗旱（8-10月）），必须无条件及时组织力量做好应急抢险等保障工作，服从采购人的统一指挥。对各类灾害性天气有应急预案，并自备相关工具。道路发生行道树倒伏，应在接到通知后半小时内赶到现场，12小时内处理完毕。如堵塞交通，2小时内予以清除。</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lang w:bidi="ar"/>
        </w:rPr>
      </w:pPr>
      <w:r>
        <w:rPr>
          <w:rFonts w:hint="eastAsia" w:ascii="宋体" w:hAnsi="宋体" w:cs="宋体"/>
          <w:sz w:val="24"/>
          <w:lang w:bidi="ar"/>
        </w:rPr>
        <w:t>10、自觉接受各级部门的检查和社会舆论的监督。负责做好本合同养护区域内的长效管理抄告单、“数字城管”和投诉电话、新闻舆论批评和市、局、处等相关部门、群众信访等投诉处理件的处理、整改和回复工作，应在时限内处理完毕并将信息反馈。</w:t>
      </w:r>
    </w:p>
    <w:p>
      <w:pPr>
        <w:keepNext w:val="0"/>
        <w:keepLines w:val="0"/>
        <w:pageBreakBefore w:val="0"/>
        <w:kinsoku/>
        <w:wordWrap/>
        <w:overflowPunct/>
        <w:topLinePunct w:val="0"/>
        <w:bidi w:val="0"/>
        <w:adjustRightInd w:val="0"/>
        <w:snapToGrid w:val="0"/>
        <w:spacing w:line="360" w:lineRule="auto"/>
        <w:ind w:firstLine="482" w:firstLineChars="200"/>
        <w:jc w:val="left"/>
        <w:textAlignment w:val="auto"/>
        <w:rPr>
          <w:rFonts w:hint="eastAsia" w:ascii="宋体" w:hAnsi="宋体" w:cs="宋体"/>
          <w:b/>
          <w:bCs/>
          <w:sz w:val="24"/>
        </w:rPr>
      </w:pPr>
      <w:r>
        <w:rPr>
          <w:rFonts w:hint="eastAsia" w:ascii="宋体" w:hAnsi="宋体" w:cs="宋体"/>
          <w:b/>
          <w:bCs/>
          <w:sz w:val="24"/>
        </w:rPr>
        <w:t>11、严格遵守《劳动法》、《劳动合同法》等劳动法规，保障职工合法权益。严格执行杭州市最新文件规定的工资标准，必须落实职工劳保福利待遇，为职工缴纳社会保险费（养老保险、医疗保险、失业保险、工伤保险和生育保险），保障职工休息休假权利，加班必须足额支付加班费，职工的工资、岗位津贴、加班工资等必须确保按月发放。如因违法、违规造成上访或群体性事件的，由乙方负责处理。乙方未达到上述要求的，甲方有权立即解除合同。</w:t>
      </w:r>
    </w:p>
    <w:p>
      <w:pPr>
        <w:keepNext w:val="0"/>
        <w:keepLines w:val="0"/>
        <w:pageBreakBefore w:val="0"/>
        <w:kinsoku/>
        <w:wordWrap/>
        <w:overflowPunct/>
        <w:topLinePunct w:val="0"/>
        <w:bidi w:val="0"/>
        <w:adjustRightInd w:val="0"/>
        <w:snapToGrid w:val="0"/>
        <w:spacing w:line="360" w:lineRule="auto"/>
        <w:ind w:firstLine="482" w:firstLineChars="200"/>
        <w:jc w:val="left"/>
        <w:textAlignment w:val="auto"/>
        <w:rPr>
          <w:rFonts w:hint="eastAsia" w:ascii="宋体" w:hAnsi="宋体" w:cs="宋体"/>
          <w:b/>
          <w:bCs/>
          <w:sz w:val="24"/>
        </w:rPr>
      </w:pPr>
      <w:r>
        <w:rPr>
          <w:rFonts w:hint="eastAsia" w:ascii="宋体" w:hAnsi="宋体" w:cs="宋体"/>
          <w:b/>
          <w:bCs/>
          <w:sz w:val="24"/>
        </w:rPr>
        <w:t>12、项目实施过程中制订有效“流感”防控工作制定方案并保证落实到位。如因防控失职等造成被通报批评的，由乙方负责处理，并承担全部责任且甲方有权解除合同。</w:t>
      </w:r>
    </w:p>
    <w:p>
      <w:pPr>
        <w:pStyle w:val="979"/>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cs="宋体"/>
          <w:b/>
          <w:bCs/>
          <w:szCs w:val="24"/>
          <w:lang w:val="en-US"/>
        </w:rPr>
      </w:pPr>
      <w:r>
        <w:rPr>
          <w:rFonts w:hint="eastAsia" w:cs="宋体"/>
          <w:b/>
          <w:bCs/>
          <w:kern w:val="2"/>
          <w:szCs w:val="24"/>
          <w:lang w:val="en-US"/>
        </w:rPr>
        <w:t>13、严格执行市、区“无欠薪”制度文件、用工实名管理制度、工资保证金制度、分账管理制度、按月足额支付制度、委托银行代发工资制度。如发生欠薪事件等造成被通报批评的，由乙方负责处理，并承担全部责任。且甲方有权解除合同。</w:t>
      </w:r>
    </w:p>
    <w:p>
      <w:pPr>
        <w:keepNext w:val="0"/>
        <w:keepLines w:val="0"/>
        <w:pageBreakBefore w:val="0"/>
        <w:kinsoku/>
        <w:wordWrap/>
        <w:overflowPunct/>
        <w:topLinePunct w:val="0"/>
        <w:bidi w:val="0"/>
        <w:adjustRightInd w:val="0"/>
        <w:snapToGrid w:val="0"/>
        <w:spacing w:line="360" w:lineRule="auto"/>
        <w:jc w:val="left"/>
        <w:textAlignment w:val="auto"/>
        <w:rPr>
          <w:rFonts w:hint="eastAsia" w:ascii="宋体" w:hAnsi="宋体" w:cs="宋体"/>
          <w:b/>
          <w:bCs/>
          <w:sz w:val="24"/>
        </w:rPr>
      </w:pPr>
      <w:r>
        <w:rPr>
          <w:rFonts w:hint="eastAsia" w:ascii="宋体" w:hAnsi="宋体" w:cs="宋体"/>
          <w:b/>
          <w:bCs/>
          <w:sz w:val="24"/>
          <w:lang w:bidi="ar"/>
        </w:rPr>
        <w:t>三、茅乡景区及仁寿山园林养护区域养护考核要求</w:t>
      </w:r>
    </w:p>
    <w:p>
      <w:pPr>
        <w:keepNext w:val="0"/>
        <w:keepLines w:val="0"/>
        <w:pageBreakBefore w:val="0"/>
        <w:kinsoku/>
        <w:wordWrap/>
        <w:overflowPunct/>
        <w:topLinePunct w:val="0"/>
        <w:bidi w:val="0"/>
        <w:adjustRightInd w:val="0"/>
        <w:snapToGrid w:val="0"/>
        <w:spacing w:line="360" w:lineRule="auto"/>
        <w:ind w:firstLine="470" w:firstLineChars="196"/>
        <w:jc w:val="left"/>
        <w:textAlignment w:val="auto"/>
        <w:rPr>
          <w:rFonts w:hint="eastAsia" w:ascii="宋体" w:hAnsi="宋体" w:cs="宋体"/>
          <w:bCs/>
          <w:sz w:val="24"/>
        </w:rPr>
      </w:pPr>
      <w:r>
        <w:rPr>
          <w:rFonts w:hint="eastAsia" w:ascii="宋体" w:hAnsi="宋体" w:cs="宋体"/>
          <w:bCs/>
          <w:sz w:val="24"/>
          <w:lang w:bidi="ar"/>
        </w:rPr>
        <w:t>管理考核采取日常巡查管理和检查考核相结合。招标人及相关部门负责日常巡查监管和考核。</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数字城管案卷、智慧园文抄告等市级抄告及群众来电、来信、来访投诉并经查实的，出现重复抄告、投诉的每次承担违约金500元，法定节假日和重大活动保障不到位的每次承担违约金1000元。</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甲方主要领导及分管领导检查发现问题，每次承担违约金500元，情节严重承担违约金1000元-2000元。</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w:t>
      </w:r>
      <w:r>
        <w:rPr>
          <w:rFonts w:hint="eastAsia" w:ascii="宋体" w:hAnsi="宋体" w:cs="宋体"/>
          <w:sz w:val="24"/>
          <w:lang w:eastAsia="zh-CN"/>
        </w:rPr>
        <w:t>、“</w:t>
      </w:r>
      <w:r>
        <w:rPr>
          <w:rFonts w:hint="eastAsia" w:ascii="宋体" w:hAnsi="宋体" w:cs="宋体"/>
          <w:sz w:val="24"/>
        </w:rPr>
        <w:t>双最”公园考核、处长效管理考核扣分的，每条承担违约金1000元。因乙方原因（乙方被抄告问题占区域问题总量60%以上）导致“双最”道路或公园排名末3位的，甲方有权解除合同，乙方承担当月服务费作为违约金。</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lang w:val="en-US"/>
        </w:rPr>
      </w:pPr>
      <w:r>
        <w:rPr>
          <w:rFonts w:hint="eastAsia" w:ascii="宋体" w:hAnsi="宋体" w:cs="宋体"/>
          <w:sz w:val="24"/>
          <w:lang w:val="en-US"/>
        </w:rPr>
        <w:t>4</w:t>
      </w:r>
      <w:r>
        <w:rPr>
          <w:rFonts w:hint="eastAsia" w:ascii="宋体" w:hAnsi="宋体" w:cs="宋体"/>
          <w:sz w:val="24"/>
          <w:lang w:val="en-US" w:eastAsia="zh-CN"/>
        </w:rPr>
        <w:t>、</w:t>
      </w:r>
      <w:r>
        <w:rPr>
          <w:rFonts w:hint="eastAsia" w:ascii="宋体" w:hAnsi="宋体" w:cs="宋体"/>
          <w:sz w:val="24"/>
          <w:lang w:val="en-US"/>
        </w:rPr>
        <w:t>有关部门发出整改通知书乙方不整改或整改不力的，一次承担违约金1000元，累计达到三次的，甲方予以解除合同，履约保证金不予归还。</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新闻媒体评比曝光1次，扣款3000元。</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lang w:val="en-US"/>
        </w:rPr>
      </w:pPr>
      <w:r>
        <w:rPr>
          <w:rFonts w:hint="eastAsia" w:ascii="宋体" w:hAnsi="宋体" w:cs="宋体"/>
          <w:sz w:val="24"/>
          <w:lang w:val="en-US" w:eastAsia="zh-CN"/>
        </w:rPr>
        <w:t>6、</w:t>
      </w:r>
      <w:r>
        <w:rPr>
          <w:rFonts w:hint="eastAsia" w:ascii="宋体" w:hAnsi="宋体" w:cs="宋体"/>
          <w:sz w:val="24"/>
          <w:lang w:val="en-US"/>
        </w:rPr>
        <w:t>遇到突发事件、自然灾害或天气影响，必须服从甲方指挥和安排，遇抗雪防冻、抗台防汛等天气，乙方必须在第一时间内迅速组织人员、机具设备将道路清理干净，如发现乙方在接到通知后，没有作出积极反应的，每次承担违约金500元，在接到甲方通知后，未在规定时间内到达现场的，每次承担违约金3000元，未在规定时间内完成任务的，每次承担违约金3000元。</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市级检查失分扣2000元/次，省级检查失分扣5000元/次，国家级检查失分扣10000元/次，甲方可解除园林养护服务合同。</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其他</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1乙方应按照甲方要求，配足园林养护人员，因乙方原因致使人员不足的，甲方将按缺勤考虑，按缺勤人数及天数，扣除当月养护费用，因乙方原因致使人员不足，且影响甲方正常工作运转的，甲方可以向其他公司紧急聘用养护人员以弥补岗位缺口，所涉及的费用由乙方承担。</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bCs/>
          <w:iCs/>
          <w:sz w:val="24"/>
        </w:rPr>
      </w:pPr>
      <w:r>
        <w:rPr>
          <w:rFonts w:hint="eastAsia" w:ascii="宋体" w:hAnsi="宋体" w:cs="宋体"/>
          <w:sz w:val="24"/>
        </w:rPr>
        <w:t>在作业过程中，</w:t>
      </w:r>
      <w:r>
        <w:rPr>
          <w:rFonts w:hint="eastAsia" w:ascii="宋体" w:hAnsi="宋体" w:cs="宋体"/>
          <w:bCs/>
          <w:iCs/>
          <w:sz w:val="24"/>
        </w:rPr>
        <w:t>如出现乙方人员迟到早退、聚集聊天、消极怠工、不按甲方工作要求操作、不服从管理等情况，发现一次扣除费用200元，发现二次扣除费用600，发生三次及以上，甲方可解除合同。如出现打架斗殴等对甲方公园景区形象产生恶劣影响的情况，视情况严重程度予以处罚，如情节严重的，甲方有权中止合同，且不支付劳务费用。</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cs="宋体"/>
          <w:szCs w:val="24"/>
        </w:rPr>
      </w:pPr>
      <w:r>
        <w:rPr>
          <w:rFonts w:hint="eastAsia" w:ascii="宋体" w:hAnsi="宋体" w:cs="宋体"/>
          <w:sz w:val="24"/>
          <w:lang w:val="en-US" w:eastAsia="zh-CN"/>
        </w:rPr>
        <w:t>9、</w:t>
      </w:r>
      <w:r>
        <w:rPr>
          <w:rFonts w:hint="eastAsia" w:ascii="宋体" w:hAnsi="宋体" w:cs="宋体"/>
          <w:sz w:val="24"/>
        </w:rPr>
        <w:t>日常巡检中，如现场养护人员不到位的，每发现一次承担违约金500元，情节严重承担违约金1000元。</w:t>
      </w:r>
    </w:p>
    <w:p>
      <w:pPr>
        <w:keepNext w:val="0"/>
        <w:keepLines w:val="0"/>
        <w:pageBreakBefore w:val="0"/>
        <w:kinsoku/>
        <w:wordWrap/>
        <w:overflowPunct/>
        <w:topLinePunct w:val="0"/>
        <w:bidi w:val="0"/>
        <w:adjustRightInd w:val="0"/>
        <w:snapToGrid w:val="0"/>
        <w:spacing w:line="360" w:lineRule="auto"/>
        <w:jc w:val="left"/>
        <w:textAlignment w:val="auto"/>
        <w:rPr>
          <w:rFonts w:hint="eastAsia" w:ascii="宋体" w:hAnsi="宋体" w:cs="宋体"/>
          <w:b/>
          <w:bCs/>
          <w:sz w:val="24"/>
        </w:rPr>
      </w:pPr>
      <w:r>
        <w:rPr>
          <w:rFonts w:hint="eastAsia" w:ascii="宋体" w:hAnsi="宋体" w:cs="宋体"/>
          <w:b/>
          <w:bCs/>
          <w:sz w:val="24"/>
          <w:lang w:bidi="ar"/>
        </w:rPr>
        <w:t>四、质量保证及后续服务</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lang w:bidi="ar"/>
        </w:rPr>
        <w:t>4.1质量标准：达到《杭州市城区绿地养护质量标准》。</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lang w:bidi="ar"/>
        </w:rPr>
        <w:t xml:space="preserve">4.2乙方提供的服务应确保按时完成甲方规定的工作任务。对达不到要求的，根据实际情况达不到验收合格的，按损失金额进行赔偿。 </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lang w:bidi="ar"/>
        </w:rPr>
        <w:t>4.3如在服务过程中发生问题，乙方项目负责人应在接到甲方通知后在</w:t>
      </w:r>
      <w:r>
        <w:rPr>
          <w:rFonts w:hint="eastAsia" w:ascii="宋体" w:hAnsi="宋体" w:cs="宋体"/>
          <w:sz w:val="24"/>
          <w:u w:val="single"/>
          <w:lang w:bidi="ar"/>
        </w:rPr>
        <w:t>1</w:t>
      </w:r>
      <w:r>
        <w:rPr>
          <w:rFonts w:hint="eastAsia" w:ascii="宋体" w:hAnsi="宋体" w:cs="宋体"/>
          <w:sz w:val="24"/>
          <w:lang w:bidi="ar"/>
        </w:rPr>
        <w:t>小时内到达项目现场。</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b/>
          <w:bCs/>
          <w:sz w:val="24"/>
        </w:rPr>
      </w:pPr>
      <w:r>
        <w:rPr>
          <w:rFonts w:hint="eastAsia" w:ascii="宋体" w:hAnsi="宋体" w:cs="宋体"/>
          <w:sz w:val="24"/>
          <w:lang w:bidi="ar"/>
        </w:rPr>
        <w:t>4.4在服务质量保证期内，乙方应对出现的质量及安全问题负责并处理解决，并承担一切费用。</w:t>
      </w:r>
    </w:p>
    <w:p>
      <w:pPr>
        <w:keepNext w:val="0"/>
        <w:keepLines w:val="0"/>
        <w:pageBreakBefore w:val="0"/>
        <w:kinsoku/>
        <w:wordWrap/>
        <w:overflowPunct/>
        <w:topLinePunct w:val="0"/>
        <w:bidi w:val="0"/>
        <w:adjustRightInd w:val="0"/>
        <w:snapToGrid w:val="0"/>
        <w:spacing w:line="360" w:lineRule="auto"/>
        <w:jc w:val="left"/>
        <w:textAlignment w:val="auto"/>
        <w:rPr>
          <w:rFonts w:hint="eastAsia" w:ascii="宋体" w:hAnsi="宋体" w:cs="宋体"/>
          <w:b/>
          <w:bCs/>
          <w:sz w:val="24"/>
        </w:rPr>
      </w:pPr>
      <w:r>
        <w:rPr>
          <w:rFonts w:hint="eastAsia" w:ascii="宋体" w:hAnsi="宋体" w:cs="宋体"/>
          <w:b/>
          <w:bCs/>
          <w:sz w:val="24"/>
          <w:lang w:bidi="ar"/>
        </w:rPr>
        <w:t>五、合同价、付款方式和条件</w:t>
      </w:r>
    </w:p>
    <w:p>
      <w:pPr>
        <w:pStyle w:val="58"/>
        <w:keepNext w:val="0"/>
        <w:keepLines w:val="0"/>
        <w:pageBreakBefore w:val="0"/>
        <w:widowControl w:val="0"/>
        <w:kinsoku/>
        <w:wordWrap/>
        <w:overflowPunct/>
        <w:topLinePunct w:val="0"/>
        <w:bidi w:val="0"/>
        <w:adjustRightInd w:val="0"/>
        <w:snapToGrid w:val="0"/>
        <w:spacing w:before="0" w:beforeAutospacing="0" w:after="0" w:afterAutospacing="0" w:line="360" w:lineRule="auto"/>
        <w:ind w:firstLine="484" w:firstLineChars="202"/>
        <w:jc w:val="both"/>
        <w:textAlignment w:val="auto"/>
        <w:rPr>
          <w:rFonts w:hint="eastAsia" w:cs="宋体"/>
        </w:rPr>
      </w:pPr>
      <w:r>
        <w:rPr>
          <w:rFonts w:hint="eastAsia" w:cs="宋体"/>
          <w:bCs/>
          <w:kern w:val="2"/>
          <w:lang w:bidi="ar"/>
        </w:rPr>
        <w:t>5.1合同价：合同总价为大写：</w:t>
      </w:r>
      <w:r>
        <w:rPr>
          <w:rFonts w:hint="eastAsia" w:cs="宋体"/>
          <w:bCs/>
          <w:kern w:val="2"/>
          <w:u w:val="single"/>
          <w:lang w:bidi="ar"/>
        </w:rPr>
        <w:t xml:space="preserve">      （</w:t>
      </w:r>
      <w:r>
        <w:rPr>
          <w:rFonts w:hint="eastAsia" w:cs="宋体"/>
          <w:bCs/>
          <w:kern w:val="2"/>
          <w:lang w:bidi="ar"/>
        </w:rPr>
        <w:t>小写：</w:t>
      </w:r>
      <w:r>
        <w:rPr>
          <w:rFonts w:hint="eastAsia" w:cs="宋体"/>
          <w:bCs/>
          <w:kern w:val="2"/>
          <w:u w:val="single"/>
          <w:lang w:bidi="ar"/>
        </w:rPr>
        <w:t xml:space="preserve">      </w:t>
      </w:r>
      <w:r>
        <w:rPr>
          <w:rFonts w:hint="eastAsia" w:cs="宋体"/>
          <w:bCs/>
          <w:kern w:val="2"/>
          <w:lang w:bidi="ar"/>
        </w:rPr>
        <w:t>万元），按月支付，并</w:t>
      </w:r>
      <w:r>
        <w:rPr>
          <w:rFonts w:hint="eastAsia" w:cs="宋体"/>
          <w:kern w:val="2"/>
          <w:lang w:bidi="ar"/>
        </w:rPr>
        <w:t>根据每月考核成绩扣除罚款</w:t>
      </w:r>
      <w:r>
        <w:rPr>
          <w:rFonts w:hint="eastAsia" w:cs="宋体"/>
          <w:bCs/>
          <w:kern w:val="2"/>
          <w:lang w:bidi="ar"/>
        </w:rPr>
        <w:t>。</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lang w:val="zh-CN" w:bidi="ar"/>
        </w:rPr>
      </w:pPr>
      <w:r>
        <w:rPr>
          <w:rFonts w:hint="eastAsia" w:ascii="宋体" w:hAnsi="宋体" w:cs="宋体"/>
          <w:sz w:val="24"/>
          <w:lang w:val="zh-CN" w:bidi="ar"/>
        </w:rPr>
        <w:t>合同价中已包括</w:t>
      </w:r>
      <w:r>
        <w:rPr>
          <w:rFonts w:hint="eastAsia" w:ascii="宋体" w:hAnsi="宋体" w:cs="宋体"/>
          <w:sz w:val="24"/>
          <w:lang w:bidi="ar"/>
        </w:rPr>
        <w:t>：</w:t>
      </w:r>
      <w:r>
        <w:rPr>
          <w:rFonts w:hint="eastAsia" w:ascii="宋体" w:hAnsi="宋体" w:cs="宋体"/>
          <w:sz w:val="24"/>
          <w:lang w:val="zh-CN" w:bidi="ar"/>
        </w:rPr>
        <w:t>劳务人员（包括人员工资、预计加班费用、社会保障费用等）、季节性劳务用工</w:t>
      </w:r>
      <w:r>
        <w:rPr>
          <w:rFonts w:hint="eastAsia" w:ascii="宋体" w:hAnsi="宋体" w:cs="宋体"/>
          <w:bCs/>
          <w:sz w:val="24"/>
          <w:lang w:bidi="ar"/>
        </w:rPr>
        <w:t>、垃圾处置（园林垃圾）等</w:t>
      </w:r>
      <w:r>
        <w:rPr>
          <w:rFonts w:hint="eastAsia" w:ascii="宋体" w:hAnsi="宋体" w:cs="宋体"/>
          <w:sz w:val="24"/>
          <w:lang w:val="zh-CN" w:bidi="ar"/>
        </w:rPr>
        <w:t>服务并达到合同标准而需实际发生的各类成本费用、维修费用、作业所涉及的物耗费用（含零星材料，工具、补植苗木、花境用花、绿地施肥）、能耗费用、管理酬金、水电费、税费等。拟投入本项目的日常园林绿化养护工</w:t>
      </w:r>
      <w:r>
        <w:rPr>
          <w:rFonts w:hint="eastAsia" w:ascii="宋体" w:hAnsi="宋体" w:cs="宋体"/>
          <w:sz w:val="24"/>
          <w:lang w:bidi="ar"/>
        </w:rPr>
        <w:t>人员</w:t>
      </w:r>
      <w:r>
        <w:rPr>
          <w:rFonts w:hint="eastAsia" w:ascii="宋体" w:hAnsi="宋体" w:cs="宋体"/>
          <w:sz w:val="24"/>
          <w:lang w:val="zh-CN" w:bidi="ar"/>
        </w:rPr>
        <w:t>全年计划用工4680工，其中日常养护用工1846工,园林景观提升用工1859工机动应急保障用工约975工（女工比例不超过20%）</w:t>
      </w:r>
      <w:r>
        <w:rPr>
          <w:rFonts w:hint="eastAsia" w:ascii="宋体" w:hAnsi="宋体" w:cs="宋体"/>
          <w:sz w:val="24"/>
          <w:lang w:bidi="ar"/>
        </w:rPr>
        <w:t>，其中养护项目负责人1名（姓名</w:t>
      </w:r>
      <w:r>
        <w:rPr>
          <w:rFonts w:hint="eastAsia" w:ascii="宋体" w:hAnsi="宋体" w:cs="宋体"/>
          <w:sz w:val="24"/>
          <w:u w:val="single"/>
          <w:lang w:bidi="ar"/>
        </w:rPr>
        <w:t xml:space="preserve">   </w:t>
      </w:r>
      <w:r>
        <w:rPr>
          <w:rFonts w:hint="eastAsia" w:ascii="宋体" w:hAnsi="宋体" w:cs="宋体"/>
          <w:sz w:val="24"/>
          <w:lang w:bidi="ar"/>
        </w:rPr>
        <w:t>，联系电话</w:t>
      </w:r>
      <w:r>
        <w:rPr>
          <w:rFonts w:hint="eastAsia" w:ascii="宋体" w:hAnsi="宋体" w:cs="宋体"/>
          <w:sz w:val="24"/>
          <w:u w:val="single"/>
          <w:lang w:bidi="ar"/>
        </w:rPr>
        <w:t xml:space="preserve">      </w:t>
      </w:r>
      <w:r>
        <w:rPr>
          <w:rFonts w:hint="eastAsia" w:ascii="宋体" w:hAnsi="宋体" w:cs="宋体"/>
          <w:sz w:val="24"/>
          <w:lang w:bidi="ar"/>
        </w:rPr>
        <w:t>）。</w:t>
      </w:r>
      <w:r>
        <w:rPr>
          <w:rFonts w:hint="eastAsia" w:ascii="宋体" w:hAnsi="宋体" w:eastAsia="宋体" w:cs="宋体"/>
          <w:sz w:val="24"/>
          <w:lang w:val="zh-CN" w:bidi="ar"/>
        </w:rPr>
        <w:t>其中派遣人员每人每月人工费用不得低于《浙江省人民政府关于调整全省最低工资标准的通知》（浙政发【2024】3号）号文件规定的工资标准</w:t>
      </w:r>
      <w:r>
        <w:rPr>
          <w:rFonts w:hint="eastAsia" w:ascii="宋体" w:hAnsi="宋体" w:eastAsia="宋体" w:cs="宋体"/>
          <w:sz w:val="24"/>
          <w:lang w:val="en-US" w:eastAsia="zh-CN" w:bidi="ar"/>
        </w:rPr>
        <w:t>2490元，以及</w:t>
      </w:r>
      <w:r>
        <w:rPr>
          <w:rFonts w:hint="eastAsia" w:ascii="宋体" w:hAnsi="宋体" w:eastAsia="宋体" w:cs="宋体"/>
          <w:sz w:val="24"/>
          <w:lang w:val="zh-CN" w:bidi="ar"/>
        </w:rPr>
        <w:t>社会保障费用（养老保险15%、医疗生育保险9.</w:t>
      </w:r>
      <w:r>
        <w:rPr>
          <w:rFonts w:hint="eastAsia" w:ascii="宋体" w:hAnsi="宋体" w:eastAsia="宋体" w:cs="宋体"/>
          <w:sz w:val="24"/>
          <w:lang w:val="en-US" w:eastAsia="zh-CN" w:bidi="ar"/>
        </w:rPr>
        <w:t>5</w:t>
      </w:r>
      <w:r>
        <w:rPr>
          <w:rFonts w:hint="eastAsia" w:ascii="宋体" w:hAnsi="宋体" w:eastAsia="宋体" w:cs="宋体"/>
          <w:sz w:val="24"/>
          <w:lang w:val="zh-CN" w:bidi="ar"/>
        </w:rPr>
        <w:t>%、失业保险0.5%、工伤保险0.2%，社会保障费用的最低缴费基数为</w:t>
      </w:r>
      <w:r>
        <w:rPr>
          <w:rFonts w:hint="eastAsia" w:ascii="宋体" w:hAnsi="宋体" w:eastAsia="宋体" w:cs="宋体"/>
          <w:sz w:val="24"/>
          <w:lang w:val="en-US" w:eastAsia="zh-CN" w:bidi="ar"/>
        </w:rPr>
        <w:t>4462</w:t>
      </w:r>
      <w:r>
        <w:rPr>
          <w:rFonts w:hint="eastAsia" w:ascii="宋体" w:hAnsi="宋体" w:eastAsia="宋体" w:cs="宋体"/>
          <w:sz w:val="24"/>
          <w:lang w:val="zh-CN" w:bidi="ar"/>
        </w:rPr>
        <w:t>元）之和</w:t>
      </w:r>
      <w:r>
        <w:rPr>
          <w:rFonts w:hint="eastAsia" w:ascii="宋体" w:hAnsi="宋体" w:eastAsia="宋体" w:cs="宋体"/>
          <w:sz w:val="24"/>
          <w:lang w:val="en-US" w:eastAsia="zh-CN" w:bidi="ar"/>
        </w:rPr>
        <w:t>3614.42</w:t>
      </w:r>
      <w:r>
        <w:rPr>
          <w:rFonts w:hint="eastAsia" w:ascii="宋体" w:hAnsi="宋体" w:eastAsia="宋体" w:cs="宋体"/>
          <w:sz w:val="24"/>
          <w:lang w:val="zh-CN" w:bidi="ar"/>
        </w:rPr>
        <w:t>元。</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lang w:bidi="ar"/>
        </w:rPr>
        <w:t>5.2付款方式和条件</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5.2.1付款方式：按月结，以转账方式。按实际用工数量结算。</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5.2.2付款条件：乙方凭甲方出具的月派遣人员清单和甲方相关负责人签字认可的实际用工审批单及等额税务发票于次月20日前向甲方进行结算。</w:t>
      </w:r>
    </w:p>
    <w:p>
      <w:pPr>
        <w:keepNext w:val="0"/>
        <w:keepLines w:val="0"/>
        <w:pageBreakBefore w:val="0"/>
        <w:kinsoku/>
        <w:wordWrap/>
        <w:overflowPunct/>
        <w:topLinePunct w:val="0"/>
        <w:bidi w:val="0"/>
        <w:adjustRightInd w:val="0"/>
        <w:snapToGrid w:val="0"/>
        <w:spacing w:line="360" w:lineRule="auto"/>
        <w:jc w:val="left"/>
        <w:textAlignment w:val="auto"/>
        <w:rPr>
          <w:rFonts w:hint="eastAsia" w:ascii="宋体" w:hAnsi="宋体" w:cs="宋体"/>
          <w:b/>
          <w:bCs/>
          <w:sz w:val="24"/>
        </w:rPr>
      </w:pPr>
      <w:r>
        <w:rPr>
          <w:rFonts w:hint="eastAsia" w:ascii="宋体" w:hAnsi="宋体" w:cs="宋体"/>
          <w:b/>
          <w:bCs/>
          <w:sz w:val="24"/>
          <w:lang w:bidi="ar"/>
        </w:rPr>
        <w:t>六、履行合同的时间、地点、履约保证金</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6.1履约合同的时间：1年，自202 年  月  日至  年  月  日。</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6.2履行合同的地点：杭州市灵隐管理处辖区，具体以甲方指定地点为准。</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6.3履约保证金：</w:t>
      </w:r>
      <w:r>
        <w:rPr>
          <w:rFonts w:hint="eastAsia" w:ascii="宋体" w:hAnsi="宋体" w:cs="宋体"/>
          <w:sz w:val="24"/>
          <w:u w:val="single"/>
          <w:lang w:bidi="ar"/>
        </w:rPr>
        <w:t xml:space="preserve">      </w:t>
      </w:r>
      <w:r>
        <w:rPr>
          <w:rFonts w:hint="eastAsia" w:ascii="宋体" w:hAnsi="宋体" w:cs="宋体"/>
          <w:sz w:val="24"/>
          <w:lang w:bidi="ar"/>
        </w:rPr>
        <w:t>万元（合同价的1%）。</w:t>
      </w:r>
    </w:p>
    <w:p>
      <w:pPr>
        <w:pStyle w:val="58"/>
        <w:keepNext w:val="0"/>
        <w:keepLines w:val="0"/>
        <w:pageBreakBefore w:val="0"/>
        <w:widowControl w:val="0"/>
        <w:kinsoku/>
        <w:wordWrap/>
        <w:overflowPunct/>
        <w:topLinePunct w:val="0"/>
        <w:bidi w:val="0"/>
        <w:adjustRightInd w:val="0"/>
        <w:snapToGrid w:val="0"/>
        <w:spacing w:before="0" w:beforeAutospacing="0" w:after="0" w:afterAutospacing="0" w:line="360" w:lineRule="auto"/>
        <w:ind w:firstLine="480" w:firstLineChars="200"/>
        <w:jc w:val="both"/>
        <w:textAlignment w:val="auto"/>
        <w:rPr>
          <w:rFonts w:hint="eastAsia" w:cs="宋体"/>
        </w:rPr>
      </w:pPr>
      <w:r>
        <w:rPr>
          <w:rFonts w:hint="eastAsia" w:cs="宋体"/>
          <w:kern w:val="2"/>
          <w:lang w:bidi="ar"/>
        </w:rPr>
        <w:t>6.4履约保证金可以用支票、银行汇票、转账的形式交纳。</w:t>
      </w:r>
    </w:p>
    <w:p>
      <w:pPr>
        <w:keepNext w:val="0"/>
        <w:keepLines w:val="0"/>
        <w:pageBreakBefore w:val="0"/>
        <w:kinsoku/>
        <w:wordWrap/>
        <w:overflowPunct/>
        <w:topLinePunct w:val="0"/>
        <w:bidi w:val="0"/>
        <w:adjustRightInd w:val="0"/>
        <w:snapToGrid w:val="0"/>
        <w:spacing w:line="360" w:lineRule="auto"/>
        <w:jc w:val="left"/>
        <w:textAlignment w:val="auto"/>
        <w:rPr>
          <w:rFonts w:hint="eastAsia" w:ascii="宋体" w:hAnsi="宋体" w:cs="宋体"/>
          <w:b w:val="0"/>
          <w:bCs w:val="0"/>
          <w:sz w:val="24"/>
        </w:rPr>
      </w:pPr>
      <w:r>
        <w:rPr>
          <w:rFonts w:hint="eastAsia" w:ascii="宋体" w:hAnsi="宋体" w:cs="宋体"/>
          <w:b w:val="0"/>
          <w:bCs w:val="0"/>
          <w:sz w:val="24"/>
          <w:lang w:val="zh-CN" w:bidi="ar"/>
        </w:rPr>
        <w:t>七、</w:t>
      </w:r>
      <w:r>
        <w:rPr>
          <w:rFonts w:hint="eastAsia" w:ascii="宋体" w:hAnsi="宋体" w:cs="宋体"/>
          <w:b w:val="0"/>
          <w:bCs w:val="0"/>
          <w:sz w:val="24"/>
          <w:lang w:bidi="ar"/>
        </w:rPr>
        <w:t>履行合同的违约责任</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7.1</w:t>
      </w:r>
      <w:r>
        <w:rPr>
          <w:rFonts w:hint="eastAsia" w:ascii="宋体" w:hAnsi="宋体" w:cs="宋体"/>
          <w:spacing w:val="-2"/>
          <w:sz w:val="24"/>
          <w:lang w:bidi="ar"/>
        </w:rPr>
        <w:t>甲方无正当理由拒收接受服务的，甲方向乙方偿付合同款项百分之五作为违约金。</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7.2甲方无故逾期验收和办理款项支付手续的,甲方应按逾期付款总额每日万分之五向乙方支付违约金。</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lang w:bidi="ar"/>
        </w:rPr>
        <w:t>7.3乙方未能如期提供服务的，对甲方的通知逾期未响应，甲方自行安排人员完成工作，产生的相关费用由乙方承担。乙方超过约定日期10个工作日仍不能提供服务的，甲方可解除本合同。</w:t>
      </w:r>
    </w:p>
    <w:p>
      <w:pPr>
        <w:keepNext w:val="0"/>
        <w:keepLines w:val="0"/>
        <w:pageBreakBefore w:val="0"/>
        <w:kinsoku/>
        <w:wordWrap/>
        <w:overflowPunct/>
        <w:topLinePunct w:val="0"/>
        <w:bidi w:val="0"/>
        <w:adjustRightInd w:val="0"/>
        <w:snapToGrid w:val="0"/>
        <w:spacing w:line="360" w:lineRule="auto"/>
        <w:jc w:val="left"/>
        <w:textAlignment w:val="auto"/>
        <w:rPr>
          <w:rFonts w:hint="eastAsia" w:ascii="宋体" w:hAnsi="宋体" w:cs="宋体"/>
          <w:b/>
          <w:bCs/>
          <w:sz w:val="24"/>
          <w:lang w:val="zh-CN" w:bidi="ar"/>
        </w:rPr>
      </w:pPr>
      <w:r>
        <w:rPr>
          <w:rFonts w:hint="eastAsia" w:ascii="宋体" w:hAnsi="宋体" w:cs="宋体"/>
          <w:b/>
          <w:bCs/>
          <w:sz w:val="24"/>
          <w:lang w:val="zh-CN" w:bidi="ar"/>
        </w:rPr>
        <w:t>八、其他</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cs="宋体"/>
          <w:sz w:val="24"/>
          <w:lang w:val="zh-CN"/>
        </w:rPr>
      </w:pPr>
      <w:r>
        <w:rPr>
          <w:rFonts w:hint="eastAsia" w:ascii="宋体" w:hAnsi="宋体" w:cs="宋体"/>
          <w:sz w:val="24"/>
          <w:lang w:bidi="ar"/>
        </w:rPr>
        <w:t>8.1</w:t>
      </w:r>
      <w:r>
        <w:rPr>
          <w:rFonts w:hint="eastAsia" w:ascii="宋体" w:hAnsi="宋体" w:cs="宋体"/>
          <w:sz w:val="24"/>
          <w:lang w:val="zh-CN" w:bidi="ar"/>
        </w:rPr>
        <w:t>本项目不得转让或分包，一经发现立即终止合同并全额没收履约保证金。</w:t>
      </w:r>
    </w:p>
    <w:p>
      <w:pPr>
        <w:pStyle w:val="58"/>
        <w:keepNext w:val="0"/>
        <w:keepLines w:val="0"/>
        <w:pageBreakBefore w:val="0"/>
        <w:widowControl w:val="0"/>
        <w:kinsoku/>
        <w:wordWrap/>
        <w:overflowPunct/>
        <w:topLinePunct w:val="0"/>
        <w:bidi w:val="0"/>
        <w:adjustRightInd w:val="0"/>
        <w:snapToGrid w:val="0"/>
        <w:spacing w:before="0" w:beforeAutospacing="0" w:after="0" w:afterAutospacing="0" w:line="360" w:lineRule="auto"/>
        <w:ind w:firstLine="480" w:firstLineChars="200"/>
        <w:jc w:val="both"/>
        <w:textAlignment w:val="auto"/>
        <w:rPr>
          <w:rFonts w:hint="eastAsia" w:cs="宋体"/>
        </w:rPr>
      </w:pPr>
      <w:r>
        <w:rPr>
          <w:rFonts w:hint="eastAsia" w:cs="宋体"/>
          <w:kern w:val="2"/>
          <w:lang w:bidi="ar"/>
        </w:rPr>
        <w:t xml:space="preserve">8.2补充内容： </w:t>
      </w:r>
      <w:r>
        <w:rPr>
          <w:rFonts w:hint="eastAsia" w:cs="宋体"/>
          <w:kern w:val="2"/>
          <w:u w:val="single"/>
          <w:lang w:bidi="ar"/>
        </w:rPr>
        <w:t xml:space="preserve">                                 </w:t>
      </w:r>
      <w:r>
        <w:rPr>
          <w:rFonts w:hint="eastAsia" w:cs="宋体"/>
          <w:kern w:val="2"/>
          <w:lang w:bidi="ar"/>
        </w:rPr>
        <w:t xml:space="preserve">。                   </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cs="宋体"/>
          <w:sz w:val="24"/>
          <w:lang w:val="zh-CN"/>
        </w:rPr>
      </w:pPr>
      <w:r>
        <w:rPr>
          <w:rFonts w:hint="eastAsia" w:ascii="宋体" w:hAnsi="宋体" w:cs="宋体"/>
          <w:b/>
          <w:bCs/>
          <w:sz w:val="24"/>
          <w:lang w:val="zh-CN" w:bidi="ar"/>
        </w:rPr>
        <w:t>九、不可抗力</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lang w:val="zh-CN"/>
        </w:rPr>
      </w:pPr>
      <w:r>
        <w:rPr>
          <w:rFonts w:hint="eastAsia" w:ascii="宋体" w:hAnsi="宋体" w:cs="宋体"/>
          <w:sz w:val="24"/>
          <w:lang w:val="zh-CN" w:bidi="ar"/>
        </w:rPr>
        <w:t>9.1在执行合同期限内，乙方因不可抗力事件造成不能履行合同时，应立即通知对方，并寄送有关权威机构出具的证明，则合同履行期可相应延长，延长期与不可抗力影响期相同。出现上述情况不受合同有关逾期责任制约；</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lang w:val="zh-CN"/>
        </w:rPr>
      </w:pPr>
      <w:r>
        <w:rPr>
          <w:rFonts w:hint="eastAsia" w:ascii="宋体" w:hAnsi="宋体" w:cs="宋体"/>
          <w:sz w:val="24"/>
          <w:lang w:val="zh-CN" w:bidi="ar"/>
        </w:rPr>
        <w:t>9.2不可抗力影响时间持续15日以上时，甲乙双方应及时解除合同；</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lang w:val="zh-CN"/>
        </w:rPr>
      </w:pPr>
      <w:r>
        <w:rPr>
          <w:rFonts w:hint="eastAsia" w:ascii="宋体" w:hAnsi="宋体" w:cs="宋体"/>
          <w:sz w:val="24"/>
          <w:lang w:val="zh-CN" w:bidi="ar"/>
        </w:rPr>
        <w:t>9.3本条所述</w:t>
      </w:r>
      <w:r>
        <w:rPr>
          <w:rFonts w:hint="eastAsia" w:ascii="宋体" w:hAnsi="宋体" w:cs="宋体"/>
          <w:sz w:val="24"/>
          <w:lang w:val="zh-CN" w:eastAsia="zh-TW" w:bidi="ar"/>
        </w:rPr>
        <w:t>“</w:t>
      </w:r>
      <w:r>
        <w:rPr>
          <w:rFonts w:hint="eastAsia" w:ascii="宋体" w:hAnsi="宋体" w:cs="宋体"/>
          <w:sz w:val="24"/>
          <w:lang w:val="zh-CN" w:bidi="ar"/>
        </w:rPr>
        <w:t>不可抗力</w:t>
      </w:r>
      <w:r>
        <w:rPr>
          <w:rFonts w:hint="eastAsia" w:ascii="宋体" w:hAnsi="宋体" w:cs="宋体"/>
          <w:sz w:val="24"/>
          <w:lang w:val="zh-CN" w:eastAsia="zh-TW" w:bidi="ar"/>
        </w:rPr>
        <w:t>”</w:t>
      </w:r>
      <w:r>
        <w:rPr>
          <w:rFonts w:hint="eastAsia" w:ascii="宋体" w:hAnsi="宋体" w:cs="宋体"/>
          <w:sz w:val="24"/>
          <w:lang w:val="zh-CN" w:bidi="ar"/>
        </w:rPr>
        <w:t>是指不可预见、不能克服及不能避免的事件，包括战争、严重火灾、洪水、地震等。</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cs="宋体"/>
          <w:b/>
          <w:bCs/>
          <w:sz w:val="24"/>
          <w:lang w:val="zh-CN"/>
        </w:rPr>
      </w:pPr>
      <w:r>
        <w:rPr>
          <w:rFonts w:hint="eastAsia" w:ascii="宋体" w:hAnsi="宋体" w:cs="宋体"/>
          <w:b/>
          <w:bCs/>
          <w:sz w:val="24"/>
          <w:lang w:val="zh-CN" w:bidi="ar"/>
        </w:rPr>
        <w:t>十、争议裁决</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lang w:val="zh-CN"/>
        </w:rPr>
      </w:pPr>
      <w:r>
        <w:rPr>
          <w:rFonts w:hint="eastAsia" w:ascii="宋体" w:hAnsi="宋体" w:cs="宋体"/>
          <w:sz w:val="24"/>
          <w:lang w:bidi="ar"/>
        </w:rPr>
        <w:t>10</w:t>
      </w:r>
      <w:r>
        <w:rPr>
          <w:rFonts w:hint="eastAsia" w:ascii="宋体" w:hAnsi="宋体" w:cs="宋体"/>
          <w:sz w:val="24"/>
          <w:lang w:val="zh-CN" w:bidi="ar"/>
        </w:rPr>
        <w:t>.1在本合同执行过程中如发生争议，首先应本着友好的原则协商解决，协商未果的，甲乙双方均可</w:t>
      </w:r>
      <w:r>
        <w:rPr>
          <w:rFonts w:hint="eastAsia" w:ascii="宋体" w:hAnsi="宋体" w:cs="宋体"/>
          <w:sz w:val="24"/>
          <w:lang w:bidi="ar"/>
        </w:rPr>
        <w:t>向本项目所在地人民法院提起诉讼。</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cs="宋体"/>
          <w:b/>
          <w:bCs/>
          <w:sz w:val="24"/>
          <w:lang w:val="zh-CN"/>
        </w:rPr>
      </w:pPr>
      <w:r>
        <w:rPr>
          <w:rFonts w:hint="eastAsia" w:ascii="宋体" w:hAnsi="宋体" w:cs="宋体"/>
          <w:b/>
          <w:bCs/>
          <w:sz w:val="24"/>
          <w:lang w:val="zh-CN" w:bidi="ar"/>
        </w:rPr>
        <w:t>十一、其它约定事项</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lang w:val="zh-CN"/>
        </w:rPr>
      </w:pPr>
      <w:r>
        <w:rPr>
          <w:rFonts w:hint="eastAsia" w:ascii="宋体" w:hAnsi="宋体" w:cs="宋体"/>
          <w:sz w:val="24"/>
          <w:lang w:val="zh-CN" w:bidi="ar"/>
        </w:rPr>
        <w:t>11.1组成本合同的有关文件：</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lang w:val="zh-CN"/>
        </w:rPr>
      </w:pPr>
      <w:r>
        <w:rPr>
          <w:rFonts w:hint="eastAsia" w:ascii="宋体" w:hAnsi="宋体" w:cs="宋体"/>
          <w:sz w:val="24"/>
          <w:lang w:val="zh-CN" w:bidi="ar"/>
        </w:rPr>
        <w:t>下列关于政府采购</w:t>
      </w:r>
      <w:r>
        <w:rPr>
          <w:rFonts w:hint="eastAsia" w:ascii="宋体" w:hAnsi="宋体" w:cs="宋体"/>
          <w:b/>
          <w:bCs/>
          <w:sz w:val="24"/>
          <w:u w:val="single"/>
          <w:lang w:bidi="ar"/>
        </w:rPr>
        <w:t xml:space="preserve">     </w:t>
      </w:r>
      <w:r>
        <w:rPr>
          <w:rFonts w:hint="eastAsia" w:ascii="宋体" w:hAnsi="宋体" w:cs="宋体"/>
          <w:b/>
          <w:bCs/>
          <w:sz w:val="24"/>
          <w:u w:val="single"/>
          <w:lang w:val="zh-CN" w:bidi="ar"/>
        </w:rPr>
        <w:t xml:space="preserve">  </w:t>
      </w:r>
      <w:r>
        <w:rPr>
          <w:rFonts w:hint="eastAsia" w:ascii="宋体" w:hAnsi="宋体" w:cs="宋体"/>
          <w:sz w:val="24"/>
          <w:lang w:val="zh-CN" w:bidi="ar"/>
        </w:rPr>
        <w:t>号的采购文件及有关附件是本合同不可分割的组成部分，与本合同具有同等法律效力，这些文件包括但不限于：（</w:t>
      </w:r>
      <w:r>
        <w:rPr>
          <w:rFonts w:hint="eastAsia" w:ascii="宋体" w:hAnsi="宋体" w:cs="宋体"/>
          <w:sz w:val="24"/>
          <w:lang w:val="zh-CN" w:eastAsia="zh-TW" w:bidi="ar"/>
        </w:rPr>
        <w:t>1</w:t>
      </w:r>
      <w:r>
        <w:rPr>
          <w:rFonts w:hint="eastAsia" w:ascii="宋体" w:hAnsi="宋体" w:cs="宋体"/>
          <w:sz w:val="24"/>
          <w:lang w:val="zh-CN" w:bidi="ar"/>
        </w:rPr>
        <w:t>）乙方提供的投标文件；（</w:t>
      </w:r>
      <w:r>
        <w:rPr>
          <w:rFonts w:hint="eastAsia" w:ascii="宋体" w:hAnsi="宋体" w:cs="宋体"/>
          <w:sz w:val="24"/>
          <w:lang w:val="zh-CN" w:eastAsia="zh-TW" w:bidi="ar"/>
        </w:rPr>
        <w:t>2</w:t>
      </w:r>
      <w:r>
        <w:rPr>
          <w:rFonts w:hint="eastAsia" w:ascii="宋体" w:hAnsi="宋体" w:cs="宋体"/>
          <w:sz w:val="24"/>
          <w:lang w:val="zh-CN" w:bidi="ar"/>
        </w:rPr>
        <w:t>）服务承诺；（</w:t>
      </w:r>
      <w:r>
        <w:rPr>
          <w:rFonts w:hint="eastAsia" w:ascii="宋体" w:hAnsi="宋体" w:cs="宋体"/>
          <w:sz w:val="24"/>
          <w:lang w:val="zh-CN" w:eastAsia="zh-TW" w:bidi="ar"/>
        </w:rPr>
        <w:t>3</w:t>
      </w:r>
      <w:r>
        <w:rPr>
          <w:rFonts w:hint="eastAsia" w:ascii="宋体" w:hAnsi="宋体" w:cs="宋体"/>
          <w:sz w:val="24"/>
          <w:lang w:val="zh-CN" w:bidi="ar"/>
        </w:rPr>
        <w:t>）甲乙双方商定的其它文件。</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lang w:val="zh-CN"/>
        </w:rPr>
      </w:pPr>
      <w:r>
        <w:rPr>
          <w:rFonts w:hint="eastAsia" w:ascii="宋体" w:hAnsi="宋体" w:cs="宋体"/>
          <w:sz w:val="24"/>
          <w:lang w:val="zh-CN" w:bidi="ar"/>
        </w:rPr>
        <w:t>11.2本合同未尽事宜，按中华人民共和国现行有关法律法规执行。</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lang w:val="zh-CN"/>
        </w:rPr>
      </w:pPr>
      <w:r>
        <w:rPr>
          <w:rFonts w:hint="eastAsia" w:ascii="宋体" w:hAnsi="宋体" w:cs="宋体"/>
          <w:sz w:val="24"/>
          <w:lang w:val="zh-CN" w:bidi="ar"/>
        </w:rPr>
        <w:t>11.3本合同一式四份，甲方、乙方各执二份，并具有同等法律效力。</w:t>
      </w:r>
    </w:p>
    <w:p>
      <w:pPr>
        <w:autoSpaceDE w:val="0"/>
        <w:autoSpaceDN w:val="0"/>
        <w:spacing w:line="360" w:lineRule="auto"/>
        <w:rPr>
          <w:rFonts w:hint="eastAsia" w:ascii="宋体" w:hAnsi="宋体" w:cs="宋体"/>
          <w:sz w:val="24"/>
          <w:lang w:val="zh-CN"/>
        </w:rPr>
      </w:pPr>
    </w:p>
    <w:p>
      <w:pPr>
        <w:spacing w:line="360" w:lineRule="auto"/>
        <w:ind w:firstLine="480" w:firstLineChars="200"/>
        <w:rPr>
          <w:rFonts w:hint="eastAsia" w:ascii="宋体" w:hAnsi="宋体" w:cs="宋体"/>
          <w:sz w:val="24"/>
        </w:rPr>
      </w:pPr>
      <w:r>
        <w:rPr>
          <w:rFonts w:hint="eastAsia" w:ascii="宋体" w:hAnsi="宋体" w:cs="宋体"/>
          <w:sz w:val="24"/>
          <w:lang w:bidi="ar"/>
        </w:rPr>
        <w:t>甲方：（盖章）                      乙方：（盖章）</w:t>
      </w:r>
    </w:p>
    <w:p>
      <w:pPr>
        <w:spacing w:line="360" w:lineRule="auto"/>
        <w:ind w:firstLine="480" w:firstLineChars="200"/>
        <w:rPr>
          <w:rFonts w:hint="eastAsia" w:ascii="宋体" w:hAnsi="宋体" w:cs="宋体"/>
          <w:sz w:val="24"/>
        </w:rPr>
      </w:pPr>
      <w:r>
        <w:rPr>
          <w:rFonts w:hint="eastAsia" w:ascii="宋体" w:hAnsi="宋体" w:cs="宋体"/>
          <w:sz w:val="24"/>
          <w:lang w:bidi="ar"/>
        </w:rPr>
        <w:t xml:space="preserve">法定（授权）代表人（签字）：        法定（授权）代表人（签字）：                </w:t>
      </w:r>
    </w:p>
    <w:p>
      <w:pPr>
        <w:pStyle w:val="58"/>
        <w:widowControl w:val="0"/>
        <w:snapToGrid w:val="0"/>
        <w:spacing w:before="0" w:beforeAutospacing="0" w:after="0" w:afterAutospacing="0" w:line="360" w:lineRule="auto"/>
        <w:ind w:firstLine="480"/>
        <w:jc w:val="both"/>
        <w:rPr>
          <w:rFonts w:hint="eastAsia" w:cs="宋体"/>
        </w:rPr>
      </w:pPr>
      <w:r>
        <w:rPr>
          <w:rFonts w:hint="eastAsia" w:cs="宋体"/>
          <w:kern w:val="2"/>
          <w:lang w:bidi="ar"/>
        </w:rPr>
        <w:t>地址：                             地址：</w:t>
      </w:r>
    </w:p>
    <w:p>
      <w:pPr>
        <w:pStyle w:val="58"/>
        <w:widowControl w:val="0"/>
        <w:snapToGrid w:val="0"/>
        <w:spacing w:before="0" w:beforeAutospacing="0" w:after="0" w:afterAutospacing="0" w:line="360" w:lineRule="auto"/>
        <w:ind w:firstLine="480"/>
        <w:jc w:val="both"/>
        <w:rPr>
          <w:rFonts w:hint="eastAsia" w:cs="宋体"/>
        </w:rPr>
      </w:pPr>
      <w:r>
        <w:rPr>
          <w:rFonts w:hint="eastAsia" w:cs="宋体"/>
          <w:kern w:val="2"/>
          <w:lang w:bidi="ar"/>
        </w:rPr>
        <w:t>邮编：                             邮编：</w:t>
      </w:r>
    </w:p>
    <w:p>
      <w:pPr>
        <w:pStyle w:val="58"/>
        <w:widowControl w:val="0"/>
        <w:snapToGrid w:val="0"/>
        <w:spacing w:before="0" w:beforeAutospacing="0" w:after="0" w:afterAutospacing="0" w:line="360" w:lineRule="auto"/>
        <w:ind w:firstLine="480"/>
        <w:jc w:val="both"/>
        <w:rPr>
          <w:rFonts w:hint="eastAsia" w:cs="宋体"/>
        </w:rPr>
      </w:pPr>
      <w:r>
        <w:rPr>
          <w:rFonts w:hint="eastAsia" w:cs="宋体"/>
          <w:kern w:val="2"/>
          <w:lang w:bidi="ar"/>
        </w:rPr>
        <w:t>电话：                             电话：</w:t>
      </w:r>
    </w:p>
    <w:p>
      <w:pPr>
        <w:pStyle w:val="58"/>
        <w:widowControl w:val="0"/>
        <w:snapToGrid w:val="0"/>
        <w:spacing w:before="0" w:beforeAutospacing="0" w:after="0" w:afterAutospacing="0" w:line="360" w:lineRule="auto"/>
        <w:ind w:firstLine="480"/>
        <w:jc w:val="both"/>
        <w:rPr>
          <w:rFonts w:hint="eastAsia" w:cs="宋体"/>
        </w:rPr>
      </w:pPr>
      <w:r>
        <w:rPr>
          <w:rFonts w:hint="eastAsia" w:cs="宋体"/>
          <w:kern w:val="2"/>
          <w:lang w:bidi="ar"/>
        </w:rPr>
        <w:t>传真：                             传真：</w:t>
      </w:r>
    </w:p>
    <w:p>
      <w:pPr>
        <w:spacing w:line="360" w:lineRule="auto"/>
        <w:ind w:firstLine="480" w:firstLineChars="200"/>
        <w:rPr>
          <w:rFonts w:hint="eastAsia" w:ascii="宋体" w:hAnsi="宋体" w:cs="宋体"/>
          <w:sz w:val="24"/>
        </w:rPr>
      </w:pPr>
      <w:r>
        <w:rPr>
          <w:rFonts w:hint="eastAsia" w:ascii="宋体" w:hAnsi="宋体" w:cs="宋体"/>
          <w:sz w:val="24"/>
          <w:lang w:bidi="ar"/>
        </w:rPr>
        <w:t>开户银行：                         开户银行：</w:t>
      </w:r>
    </w:p>
    <w:p>
      <w:pPr>
        <w:spacing w:line="360" w:lineRule="auto"/>
        <w:ind w:firstLine="480" w:firstLineChars="200"/>
        <w:rPr>
          <w:rFonts w:hint="eastAsia" w:ascii="宋体" w:hAnsi="宋体" w:cs="宋体"/>
          <w:sz w:val="24"/>
        </w:rPr>
      </w:pPr>
      <w:r>
        <w:rPr>
          <w:rFonts w:hint="eastAsia" w:ascii="宋体" w:hAnsi="宋体" w:cs="宋体"/>
          <w:sz w:val="24"/>
          <w:lang w:bidi="ar"/>
        </w:rPr>
        <w:t>帐号：                             帐号：</w:t>
      </w:r>
    </w:p>
    <w:p>
      <w:pPr>
        <w:spacing w:line="360" w:lineRule="auto"/>
        <w:jc w:val="left"/>
        <w:rPr>
          <w:rFonts w:hint="eastAsia" w:ascii="宋体" w:hAnsi="宋体" w:cs="宋体"/>
          <w:sz w:val="24"/>
        </w:rPr>
      </w:pPr>
      <w:r>
        <w:rPr>
          <w:rFonts w:hint="eastAsia" w:ascii="宋体" w:hAnsi="宋体" w:cs="宋体"/>
          <w:sz w:val="24"/>
          <w:lang w:bidi="ar"/>
        </w:rPr>
        <w:t xml:space="preserve">                                签约时间： </w:t>
      </w: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 xml:space="preserve">日     </w:t>
      </w:r>
    </w:p>
    <w:p>
      <w:pPr>
        <w:autoSpaceDE w:val="0"/>
        <w:autoSpaceDN w:val="0"/>
        <w:spacing w:line="360" w:lineRule="auto"/>
        <w:ind w:firstLine="3840" w:firstLineChars="1600"/>
        <w:rPr>
          <w:rFonts w:hint="eastAsia" w:ascii="宋体" w:hAnsi="宋体" w:cs="宋体"/>
          <w:sz w:val="24"/>
          <w:u w:val="single"/>
        </w:rPr>
      </w:pPr>
      <w:r>
        <w:rPr>
          <w:rFonts w:hint="eastAsia" w:ascii="宋体" w:hAnsi="宋体" w:cs="宋体"/>
          <w:sz w:val="24"/>
          <w:lang w:bidi="ar"/>
        </w:rPr>
        <w:t>签约地点：</w:t>
      </w:r>
      <w:r>
        <w:rPr>
          <w:rFonts w:hint="eastAsia" w:ascii="宋体" w:hAnsi="宋体" w:cs="宋体"/>
          <w:sz w:val="24"/>
          <w:u w:val="single"/>
          <w:lang w:bidi="ar"/>
        </w:rPr>
        <w:t xml:space="preserve">                  </w:t>
      </w:r>
    </w:p>
    <w:bookmarkEnd w:id="402"/>
    <w:bookmarkEnd w:id="403"/>
    <w:bookmarkEnd w:id="404"/>
    <w:bookmarkEnd w:id="405"/>
    <w:bookmarkEnd w:id="406"/>
    <w:p>
      <w:pPr>
        <w:widowControl/>
        <w:adjustRightInd/>
        <w:jc w:val="center"/>
        <w:rPr>
          <w:rFonts w:cs="宋体" w:asciiTheme="majorEastAsia" w:hAnsiTheme="majorEastAsia" w:eastAsiaTheme="majorEastAsia"/>
          <w:b/>
          <w:sz w:val="36"/>
          <w:szCs w:val="20"/>
        </w:rPr>
      </w:pPr>
    </w:p>
    <w:p>
      <w:pPr>
        <w:widowControl/>
        <w:adjustRightInd/>
        <w:jc w:val="center"/>
        <w:rPr>
          <w:rFonts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hint="eastAsia" w:cs="宋体" w:asciiTheme="majorEastAsia" w:hAnsiTheme="majorEastAsia" w:eastAsiaTheme="majorEastAsia"/>
          <w:b/>
          <w:sz w:val="36"/>
          <w:szCs w:val="20"/>
        </w:rPr>
      </w:pPr>
    </w:p>
    <w:p>
      <w:pPr>
        <w:widowControl/>
        <w:adjustRightInd/>
        <w:jc w:val="center"/>
        <w:rPr>
          <w:rFonts w:cs="宋体" w:asciiTheme="majorEastAsia" w:hAnsiTheme="majorEastAsia" w:eastAsiaTheme="majorEastAsia"/>
          <w:b/>
          <w:sz w:val="36"/>
          <w:szCs w:val="20"/>
        </w:rPr>
      </w:pPr>
      <w:r>
        <w:rPr>
          <w:rFonts w:hint="eastAsia" w:cs="宋体" w:asciiTheme="majorEastAsia" w:hAnsiTheme="majorEastAsia" w:eastAsiaTheme="majorEastAsia"/>
          <w:b/>
          <w:sz w:val="36"/>
          <w:szCs w:val="20"/>
        </w:rPr>
        <w:t>第六部分</w:t>
      </w:r>
      <w:bookmarkEnd w:id="400"/>
      <w:bookmarkEnd w:id="401"/>
      <w:r>
        <w:rPr>
          <w:rFonts w:hint="eastAsia" w:cs="宋体" w:asciiTheme="majorEastAsia" w:hAnsiTheme="majorEastAsia" w:eastAsiaTheme="majorEastAsia"/>
          <w:b/>
          <w:sz w:val="36"/>
          <w:szCs w:val="20"/>
        </w:rPr>
        <w:t>应提交的有关格式范例</w:t>
      </w:r>
    </w:p>
    <w:p>
      <w:pPr>
        <w:spacing w:line="360" w:lineRule="auto"/>
        <w:jc w:val="center"/>
        <w:outlineLvl w:val="0"/>
        <w:rPr>
          <w:rFonts w:cs="宋体" w:asciiTheme="majorEastAsia" w:hAnsiTheme="majorEastAsia" w:eastAsiaTheme="majorEastAsia"/>
          <w:b/>
          <w:kern w:val="0"/>
          <w:sz w:val="36"/>
          <w:szCs w:val="36"/>
        </w:rPr>
      </w:pPr>
    </w:p>
    <w:p>
      <w:pPr>
        <w:spacing w:line="360" w:lineRule="auto"/>
        <w:jc w:val="center"/>
        <w:outlineLvl w:val="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资格文件部分</w:t>
      </w:r>
    </w:p>
    <w:p>
      <w:pPr>
        <w:spacing w:line="360" w:lineRule="auto"/>
        <w:jc w:val="center"/>
        <w:outlineLvl w:val="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目录</w:t>
      </w:r>
    </w:p>
    <w:p>
      <w:pPr>
        <w:spacing w:line="360" w:lineRule="auto"/>
        <w:jc w:val="center"/>
        <w:outlineLvl w:val="0"/>
        <w:rPr>
          <w:rFonts w:cs="宋体" w:asciiTheme="majorEastAsia" w:hAnsiTheme="majorEastAsia" w:eastAsiaTheme="majorEastAsia"/>
          <w:b/>
          <w:kern w:val="0"/>
          <w:sz w:val="36"/>
          <w:szCs w:val="36"/>
        </w:rPr>
      </w:pP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（1）符合参加政府采购活动应当具备的一般条件的承诺函……………（页码）</w:t>
      </w: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2</w:t>
      </w:r>
      <w:r>
        <w:rPr>
          <w:rFonts w:hint="eastAsia" w:cs="宋体" w:asciiTheme="majorEastAsia" w:hAnsiTheme="majorEastAsia" w:eastAsiaTheme="majorEastAsia"/>
          <w:sz w:val="24"/>
        </w:rPr>
        <w:t>）落实政府采购政策需满足的资格要求</w:t>
      </w:r>
      <w:r>
        <w:rPr>
          <w:rFonts w:hint="eastAsia" w:cs="宋体" w:asciiTheme="majorEastAsia" w:hAnsiTheme="majorEastAsia" w:eastAsiaTheme="majorEastAsia"/>
          <w:snapToGrid w:val="0"/>
          <w:kern w:val="28"/>
          <w:sz w:val="24"/>
          <w:szCs w:val="20"/>
          <w:lang w:eastAsia="zh-CN"/>
        </w:rPr>
        <w:t>：提供中小企业声明函</w:t>
      </w:r>
      <w:r>
        <w:rPr>
          <w:rFonts w:hint="eastAsia" w:cs="宋体" w:asciiTheme="majorEastAsia" w:hAnsiTheme="majorEastAsia" w:eastAsiaTheme="majorEastAsia"/>
          <w:sz w:val="24"/>
        </w:rPr>
        <w:t>……（页码）</w:t>
      </w: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3</w:t>
      </w:r>
      <w:r>
        <w:rPr>
          <w:rFonts w:hint="eastAsia" w:cs="宋体" w:asciiTheme="majorEastAsia" w:hAnsiTheme="majorEastAsia" w:eastAsiaTheme="majorEastAsia"/>
          <w:sz w:val="24"/>
        </w:rPr>
        <w:t>）本项目的特定资格要求</w:t>
      </w:r>
      <w:r>
        <w:rPr>
          <w:rFonts w:hint="eastAsia" w:cs="宋体" w:asciiTheme="majorEastAsia" w:hAnsiTheme="majorEastAsia" w:eastAsiaTheme="majorEastAsia"/>
          <w:sz w:val="24"/>
          <w:lang w:eastAsia="zh-CN"/>
        </w:rPr>
        <w:t>：无</w:t>
      </w:r>
      <w:r>
        <w:rPr>
          <w:rFonts w:hint="eastAsia" w:cs="宋体" w:asciiTheme="majorEastAsia" w:hAnsiTheme="majorEastAsia" w:eastAsiaTheme="majorEastAsia"/>
          <w:sz w:val="24"/>
        </w:rPr>
        <w:t>…………………………………………（页码）</w:t>
      </w:r>
    </w:p>
    <w:p>
      <w:pPr>
        <w:snapToGrid w:val="0"/>
        <w:spacing w:line="360" w:lineRule="auto"/>
        <w:ind w:firstLine="480" w:firstLineChars="200"/>
        <w:rPr>
          <w:rFonts w:cs="宋体" w:asciiTheme="majorEastAsia" w:hAnsiTheme="majorEastAsia" w:eastAsiaTheme="majorEastAsia"/>
          <w:sz w:val="24"/>
        </w:rPr>
      </w:pPr>
    </w:p>
    <w:p>
      <w:pPr>
        <w:spacing w:line="360" w:lineRule="auto"/>
        <w:ind w:firstLine="480" w:firstLineChars="200"/>
        <w:rPr>
          <w:rFonts w:cs="宋体" w:asciiTheme="majorEastAsia" w:hAnsiTheme="majorEastAsia" w:eastAsiaTheme="majorEastAsia"/>
          <w:sz w:val="24"/>
        </w:rPr>
      </w:pPr>
    </w:p>
    <w:p>
      <w:pPr>
        <w:snapToGrid w:val="0"/>
        <w:spacing w:line="360" w:lineRule="auto"/>
        <w:ind w:right="48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kern w:val="0"/>
          <w:sz w:val="24"/>
        </w:rPr>
        <w:br w:type="page"/>
      </w:r>
      <w:r>
        <w:rPr>
          <w:rFonts w:hint="eastAsia" w:cs="宋体" w:asciiTheme="majorEastAsia" w:hAnsiTheme="majorEastAsia" w:eastAsiaTheme="majorEastAsia"/>
          <w:b/>
          <w:kern w:val="0"/>
          <w:sz w:val="32"/>
          <w:szCs w:val="32"/>
        </w:rPr>
        <w:t xml:space="preserve">  一、符合参加政府采购活动应当具备的一般条件的承诺函</w:t>
      </w:r>
    </w:p>
    <w:p>
      <w:pPr>
        <w:snapToGrid w:val="0"/>
        <w:spacing w:line="360" w:lineRule="auto"/>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（采购人）、（采购代理机构）：</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color w:val="auto"/>
          <w:sz w:val="24"/>
        </w:rPr>
        <w:t>我方参与（项目名称）【招标编号：（采购编号）】政府采</w:t>
      </w:r>
      <w:r>
        <w:rPr>
          <w:rFonts w:hint="eastAsia" w:cs="宋体" w:asciiTheme="majorEastAsia" w:hAnsiTheme="majorEastAsia" w:eastAsiaTheme="majorEastAsia"/>
          <w:sz w:val="24"/>
        </w:rPr>
        <w:t>购活动，郑重承诺：</w:t>
      </w:r>
    </w:p>
    <w:p>
      <w:pPr>
        <w:snapToGrid w:val="0"/>
        <w:spacing w:line="360" w:lineRule="auto"/>
        <w:ind w:firstLine="360" w:firstLineChars="150"/>
        <w:rPr>
          <w:rFonts w:cs="宋体" w:asciiTheme="majorEastAsia" w:hAnsiTheme="majorEastAsia" w:eastAsiaTheme="majorEastAsia"/>
          <w:sz w:val="24"/>
        </w:rPr>
      </w:pPr>
      <w:r>
        <w:rPr>
          <w:rFonts w:hint="eastAsia" w:cs="宋体" w:asciiTheme="majorEastAsia" w:hAnsiTheme="majorEastAsia" w:eastAsiaTheme="majorEastAsia"/>
          <w:sz w:val="24"/>
        </w:rPr>
        <w:t>（一）具备《中华人民共和国政府采购法》第二十二条第一款规定的条件：</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1、具有独立承担民事责任的能力；</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 xml:space="preserve">2、具有良好的商业信誉和健全的财务会计制度； </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3、具有履行合同所必需的设备和专业技术能力；</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4、有依法缴纳税收和社会保障资金的良好记录；</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5、参加政府采购活动前三年内，在经营活动中没有重大违法记录；</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6、具有法律、行政法规规定的其他条件。</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（三）不存在以下情况：</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cs="宋体" w:asciiTheme="majorEastAsia" w:hAnsiTheme="majorEastAsia" w:eastAsiaTheme="majorEastAsia"/>
          <w:sz w:val="24"/>
        </w:rPr>
      </w:pPr>
      <w:r>
        <w:rPr>
          <w:rFonts w:hint="eastAsia" w:cs="宋体" w:asciiTheme="majorEastAsia" w:hAnsiTheme="majorEastAsia" w:eastAsiaTheme="majorEastAsia"/>
          <w:sz w:val="24"/>
        </w:rPr>
        <w:t>2、为采购项目提供整体设计、规范编制或者项目管理、监理、检测等服务后再参加该采购项目的其他采购活动的。</w:t>
      </w:r>
    </w:p>
    <w:p>
      <w:pPr>
        <w:snapToGrid w:val="0"/>
        <w:spacing w:line="360" w:lineRule="auto"/>
        <w:ind w:firstLine="480" w:firstLineChars="200"/>
        <w:rPr>
          <w:rFonts w:hint="eastAsia" w:cs="宋体" w:asciiTheme="majorEastAsia" w:hAnsiTheme="majorEastAsia" w:eastAsiaTheme="majorEastAsia"/>
          <w:sz w:val="24"/>
        </w:rPr>
      </w:pPr>
    </w:p>
    <w:p>
      <w:pPr>
        <w:snapToGrid w:val="0"/>
        <w:spacing w:line="360" w:lineRule="auto"/>
        <w:ind w:firstLine="5520" w:firstLineChars="2300"/>
        <w:jc w:val="right"/>
        <w:rPr>
          <w:rFonts w:cs="宋体" w:asciiTheme="majorEastAsia" w:hAnsiTheme="majorEastAsia" w:eastAsiaTheme="majorEastAsia"/>
          <w:kern w:val="0"/>
          <w:sz w:val="24"/>
        </w:rPr>
      </w:pPr>
      <w:r>
        <w:rPr>
          <w:rFonts w:hint="eastAsia" w:cs="宋体" w:asciiTheme="majorEastAsia" w:hAnsiTheme="majorEastAsia" w:eastAsiaTheme="majorEastAsia"/>
          <w:kern w:val="0"/>
          <w:sz w:val="24"/>
          <w:lang w:val="zh-CN"/>
        </w:rPr>
        <w:t>投标人名称(电子签名)：</w:t>
      </w:r>
    </w:p>
    <w:p>
      <w:pPr>
        <w:snapToGrid w:val="0"/>
        <w:spacing w:line="360" w:lineRule="auto"/>
        <w:jc w:val="right"/>
        <w:rPr>
          <w:rFonts w:cs="宋体" w:asciiTheme="majorEastAsia" w:hAnsiTheme="majorEastAsia" w:eastAsiaTheme="majorEastAsia"/>
          <w:kern w:val="0"/>
          <w:sz w:val="24"/>
        </w:rPr>
      </w:pPr>
      <w:r>
        <w:rPr>
          <w:rFonts w:hint="eastAsia" w:cs="宋体" w:asciiTheme="majorEastAsia" w:hAnsiTheme="majorEastAsia" w:eastAsiaTheme="majorEastAsia"/>
          <w:kern w:val="0"/>
          <w:sz w:val="24"/>
          <w:lang w:val="zh-CN"/>
        </w:rPr>
        <w:t>日期</w:t>
      </w:r>
      <w:r>
        <w:rPr>
          <w:rFonts w:hint="eastAsia" w:cs="宋体" w:asciiTheme="majorEastAsia" w:hAnsiTheme="majorEastAsia" w:eastAsiaTheme="majorEastAsia"/>
          <w:kern w:val="0"/>
          <w:sz w:val="24"/>
        </w:rPr>
        <w:t xml:space="preserve">：  年  </w:t>
      </w:r>
      <w:r>
        <w:rPr>
          <w:rFonts w:hint="eastAsia" w:cs="宋体" w:asciiTheme="majorEastAsia" w:hAnsiTheme="majorEastAsia" w:eastAsiaTheme="majorEastAsia"/>
          <w:kern w:val="0"/>
          <w:sz w:val="24"/>
          <w:lang w:val="zh-CN"/>
        </w:rPr>
        <w:t>月</w:t>
      </w:r>
      <w:r>
        <w:rPr>
          <w:rFonts w:hint="eastAsia" w:cs="宋体" w:asciiTheme="majorEastAsia" w:hAnsiTheme="majorEastAsia" w:eastAsiaTheme="majorEastAsia"/>
          <w:kern w:val="0"/>
          <w:sz w:val="24"/>
          <w:lang w:val="en-US" w:eastAsia="zh-CN"/>
        </w:rPr>
        <w:t xml:space="preserve">   </w:t>
      </w:r>
      <w:r>
        <w:rPr>
          <w:rFonts w:hint="eastAsia" w:cs="宋体" w:asciiTheme="majorEastAsia" w:hAnsiTheme="majorEastAsia" w:eastAsiaTheme="majorEastAsia"/>
          <w:kern w:val="0"/>
          <w:sz w:val="24"/>
          <w:lang w:val="zh-CN"/>
        </w:rPr>
        <w:t>日</w:t>
      </w: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rPr>
          <w:rFonts w:cs="宋体" w:asciiTheme="majorEastAsia" w:hAnsiTheme="majorEastAsia" w:eastAsiaTheme="majorEastAsia"/>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widowControl/>
        <w:adjustRightInd/>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snapToGrid w:val="0"/>
        <w:spacing w:line="360" w:lineRule="auto"/>
        <w:ind w:right="48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二</w:t>
      </w:r>
      <w:r>
        <w:rPr>
          <w:rFonts w:hint="eastAsia" w:cs="宋体" w:asciiTheme="majorEastAsia" w:hAnsiTheme="majorEastAsia" w:eastAsiaTheme="majorEastAsia"/>
          <w:b/>
          <w:kern w:val="0"/>
          <w:sz w:val="32"/>
          <w:szCs w:val="32"/>
        </w:rPr>
        <w:t>、落实政府采购政策需满足的资格要求</w:t>
      </w:r>
    </w:p>
    <w:p>
      <w:pPr>
        <w:spacing w:line="360" w:lineRule="auto"/>
        <w:rPr>
          <w:rFonts w:cs="宋体" w:asciiTheme="majorEastAsia" w:hAnsiTheme="majorEastAsia" w:eastAsiaTheme="majorEastAsia"/>
          <w:sz w:val="24"/>
          <w:highlight w:val="none"/>
        </w:rPr>
      </w:pPr>
      <w:r>
        <w:rPr>
          <w:rFonts w:hint="eastAsia" w:cs="宋体" w:asciiTheme="majorEastAsia" w:hAnsiTheme="majorEastAsia" w:eastAsiaTheme="majorEastAsia"/>
          <w:sz w:val="24"/>
        </w:rPr>
        <w:t>（根据招标公告落实政府采购政策需满足的资格要求选择提供相应的材料；未要求的，</w:t>
      </w:r>
      <w:r>
        <w:rPr>
          <w:rFonts w:hint="eastAsia" w:cs="宋体" w:asciiTheme="majorEastAsia" w:hAnsiTheme="majorEastAsia" w:eastAsiaTheme="majorEastAsia"/>
          <w:sz w:val="24"/>
          <w:highlight w:val="none"/>
        </w:rPr>
        <w:t>无需提供）</w:t>
      </w:r>
    </w:p>
    <w:p>
      <w:pPr>
        <w:snapToGrid w:val="0"/>
        <w:spacing w:before="50" w:after="50" w:line="360" w:lineRule="auto"/>
        <w:ind w:firstLine="472" w:firstLineChars="196"/>
        <w:jc w:val="left"/>
        <w:rPr>
          <w:rFonts w:cs="宋体" w:asciiTheme="majorEastAsia" w:hAnsiTheme="majorEastAsia" w:eastAsiaTheme="majorEastAsia"/>
          <w:sz w:val="24"/>
          <w:highlight w:val="none"/>
        </w:rPr>
      </w:pPr>
      <w:r>
        <w:rPr>
          <w:rFonts w:hint="eastAsia" w:cs="宋体" w:asciiTheme="majorEastAsia" w:hAnsiTheme="majorEastAsia" w:eastAsiaTheme="majorEastAsia"/>
          <w:b/>
          <w:sz w:val="24"/>
          <w:highlight w:val="none"/>
        </w:rPr>
        <w:t>A</w:t>
      </w:r>
      <w:r>
        <w:rPr>
          <w:rFonts w:hint="eastAsia" w:cs="宋体" w:asciiTheme="majorEastAsia" w:hAnsiTheme="majorEastAsia" w:eastAsiaTheme="majorEastAsia"/>
          <w:sz w:val="24"/>
          <w:highlight w:val="none"/>
        </w:rPr>
        <w:t>.专门面向中小企业，服务全部由符合政策要求的中小企业（或小微企业）承接的，提供相应的中小企业声明函（附件</w:t>
      </w:r>
      <w:r>
        <w:rPr>
          <w:rFonts w:hint="eastAsia" w:cs="宋体" w:asciiTheme="majorEastAsia" w:hAnsiTheme="majorEastAsia" w:eastAsiaTheme="majorEastAsia"/>
          <w:sz w:val="24"/>
          <w:highlight w:val="none"/>
          <w:lang w:val="en-US" w:eastAsia="zh-CN"/>
        </w:rPr>
        <w:t>5</w:t>
      </w:r>
      <w:r>
        <w:rPr>
          <w:rFonts w:hint="eastAsia" w:cs="宋体" w:asciiTheme="majorEastAsia" w:hAnsiTheme="majorEastAsia" w:eastAsiaTheme="majorEastAsia"/>
          <w:sz w:val="24"/>
          <w:highlight w:val="none"/>
        </w:rPr>
        <w:t xml:space="preserve">）。 </w:t>
      </w:r>
    </w:p>
    <w:p>
      <w:pPr>
        <w:widowControl/>
        <w:spacing w:line="360" w:lineRule="auto"/>
        <w:ind w:firstLine="480"/>
        <w:jc w:val="left"/>
        <w:rPr>
          <w:rFonts w:cs="宋体" w:asciiTheme="majorEastAsia" w:hAnsiTheme="majorEastAsia" w:eastAsiaTheme="majorEastAsia"/>
          <w:sz w:val="24"/>
          <w:highlight w:val="yellow"/>
        </w:rPr>
      </w:pPr>
    </w:p>
    <w:p>
      <w:pPr>
        <w:widowControl/>
        <w:spacing w:line="360" w:lineRule="auto"/>
        <w:ind w:left="150"/>
        <w:jc w:val="center"/>
        <w:rPr>
          <w:rFonts w:cs="宋体" w:asciiTheme="majorEastAsia" w:hAnsiTheme="majorEastAsia" w:eastAsiaTheme="majorEastAsia"/>
          <w:b/>
          <w:kern w:val="0"/>
          <w:sz w:val="32"/>
          <w:szCs w:val="32"/>
        </w:rPr>
      </w:pPr>
    </w:p>
    <w:p>
      <w:pPr>
        <w:widowControl/>
        <w:spacing w:line="360" w:lineRule="auto"/>
        <w:ind w:left="15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三</w:t>
      </w:r>
      <w:r>
        <w:rPr>
          <w:rFonts w:hint="eastAsia" w:cs="宋体" w:asciiTheme="majorEastAsia" w:hAnsiTheme="majorEastAsia" w:eastAsiaTheme="majorEastAsia"/>
          <w:b/>
          <w:kern w:val="0"/>
          <w:sz w:val="32"/>
          <w:szCs w:val="32"/>
        </w:rPr>
        <w:t>、本项目的特定资格要求</w:t>
      </w:r>
    </w:p>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（根据招标公告本项目的特定资格要求提供相应的材料；未要求的，无需提供）</w:t>
      </w:r>
    </w:p>
    <w:p>
      <w:pPr>
        <w:rPr>
          <w:rFonts w:cs="宋体" w:asciiTheme="majorEastAsia" w:hAnsiTheme="majorEastAsia" w:eastAsiaTheme="majorEastAsia"/>
        </w:rPr>
      </w:pPr>
    </w:p>
    <w:p>
      <w:pPr>
        <w:snapToGrid w:val="0"/>
        <w:spacing w:line="360" w:lineRule="auto"/>
        <w:ind w:right="480"/>
        <w:jc w:val="center"/>
        <w:rPr>
          <w:rFonts w:cs="宋体" w:asciiTheme="majorEastAsia" w:hAnsiTheme="majorEastAsia" w:eastAsiaTheme="majorEastAsia"/>
          <w:b/>
          <w:kern w:val="0"/>
          <w:sz w:val="32"/>
          <w:szCs w:val="32"/>
        </w:rPr>
      </w:pPr>
    </w:p>
    <w:p>
      <w:pPr>
        <w:widowControl/>
        <w:adjustRightInd/>
        <w:jc w:val="left"/>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spacing w:line="360" w:lineRule="auto"/>
        <w:ind w:right="420" w:firstLine="3614" w:firstLineChars="10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商务技术文件部分</w:t>
      </w:r>
    </w:p>
    <w:p>
      <w:pPr>
        <w:spacing w:line="360" w:lineRule="auto"/>
        <w:jc w:val="center"/>
        <w:outlineLvl w:val="0"/>
        <w:rPr>
          <w:rFonts w:cs="宋体" w:asciiTheme="majorEastAsia" w:hAnsiTheme="majorEastAsia" w:eastAsiaTheme="majorEastAsia"/>
          <w:b/>
          <w:kern w:val="0"/>
          <w:sz w:val="24"/>
        </w:rPr>
      </w:pPr>
    </w:p>
    <w:p>
      <w:pPr>
        <w:spacing w:line="360" w:lineRule="auto"/>
        <w:jc w:val="center"/>
        <w:outlineLvl w:val="0"/>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目录</w:t>
      </w:r>
    </w:p>
    <w:p>
      <w:pPr>
        <w:snapToGrid w:val="0"/>
        <w:spacing w:line="360" w:lineRule="auto"/>
        <w:ind w:left="479" w:leftChars="228"/>
        <w:rPr>
          <w:rFonts w:cs="宋体" w:asciiTheme="majorEastAsia" w:hAnsiTheme="majorEastAsia" w:eastAsiaTheme="majorEastAsia"/>
        </w:rPr>
      </w:pPr>
      <w:r>
        <w:rPr>
          <w:rFonts w:hint="eastAsia" w:cs="宋体" w:asciiTheme="majorEastAsia" w:hAnsiTheme="majorEastAsia" w:eastAsiaTheme="majorEastAsia"/>
          <w:sz w:val="24"/>
        </w:rPr>
        <w:t>（1）投标函</w:t>
      </w:r>
      <w:r>
        <w:rPr>
          <w:rFonts w:hint="eastAsia" w:cs="宋体" w:asciiTheme="majorEastAsia" w:hAnsiTheme="majorEastAsia" w:eastAsiaTheme="majorEastAsia"/>
        </w:rPr>
        <w:t>…………………………………………………………………………………（页码）</w:t>
      </w:r>
      <w:r>
        <w:rPr>
          <w:rFonts w:hint="eastAsia" w:cs="宋体" w:asciiTheme="majorEastAsia" w:hAnsiTheme="majorEastAsia" w:eastAsiaTheme="majorEastAsia"/>
          <w:sz w:val="24"/>
        </w:rPr>
        <w:t>（2）授权委托书或法定代表人（单位负责人、自然人本人）身份证明</w:t>
      </w:r>
      <w:r>
        <w:rPr>
          <w:rFonts w:hint="eastAsia" w:cs="宋体" w:asciiTheme="majorEastAsia" w:hAnsiTheme="majorEastAsia" w:eastAsiaTheme="majorEastAsia"/>
        </w:rPr>
        <w:t>………（页码）</w:t>
      </w:r>
    </w:p>
    <w:p>
      <w:pPr>
        <w:snapToGrid w:val="0"/>
        <w:spacing w:line="360" w:lineRule="auto"/>
        <w:ind w:firstLine="480" w:firstLineChars="200"/>
        <w:rPr>
          <w:rFonts w:cs="宋体" w:asciiTheme="majorEastAsia" w:hAnsiTheme="majorEastAsia" w:eastAsiaTheme="majorEastAsia"/>
        </w:rPr>
      </w:pP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3</w:t>
      </w:r>
      <w:r>
        <w:rPr>
          <w:rFonts w:hint="eastAsia" w:cs="宋体" w:asciiTheme="majorEastAsia" w:hAnsiTheme="majorEastAsia" w:eastAsiaTheme="majorEastAsia"/>
          <w:sz w:val="24"/>
        </w:rPr>
        <w:t>）符合性审查资料</w:t>
      </w:r>
      <w:r>
        <w:rPr>
          <w:rFonts w:hint="eastAsia" w:cs="宋体" w:asciiTheme="majorEastAsia" w:hAnsiTheme="majorEastAsia" w:eastAsiaTheme="majorEastAsia"/>
        </w:rPr>
        <w:t>………………………………………………………………………（页码）</w:t>
      </w:r>
    </w:p>
    <w:p>
      <w:pPr>
        <w:snapToGrid w:val="0"/>
        <w:spacing w:line="360" w:lineRule="auto"/>
        <w:ind w:left="479" w:leftChars="228"/>
        <w:rPr>
          <w:rFonts w:cs="宋体" w:asciiTheme="majorEastAsia" w:hAnsiTheme="majorEastAsia" w:eastAsiaTheme="majorEastAsia"/>
        </w:rPr>
      </w:pP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）评标标准相应的商务技术资料</w:t>
      </w:r>
      <w:r>
        <w:rPr>
          <w:rFonts w:hint="eastAsia" w:cs="宋体" w:asciiTheme="majorEastAsia" w:hAnsiTheme="majorEastAsia" w:eastAsiaTheme="majorEastAsia"/>
        </w:rPr>
        <w:t>……………………………………………………（页码）</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5</w:t>
      </w:r>
      <w:r>
        <w:rPr>
          <w:rFonts w:hint="eastAsia" w:cs="宋体" w:asciiTheme="majorEastAsia" w:hAnsiTheme="majorEastAsia" w:eastAsiaTheme="majorEastAsia"/>
          <w:sz w:val="24"/>
        </w:rPr>
        <w:t>）投标标的清单</w:t>
      </w:r>
      <w:r>
        <w:rPr>
          <w:rFonts w:hint="eastAsia" w:cs="宋体" w:asciiTheme="majorEastAsia" w:hAnsiTheme="majorEastAsia" w:eastAsiaTheme="majorEastAsia"/>
        </w:rPr>
        <w:t>…………………………………………………………………………（页码）</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6</w:t>
      </w:r>
      <w:r>
        <w:rPr>
          <w:rFonts w:hint="eastAsia" w:cs="宋体" w:asciiTheme="majorEastAsia" w:hAnsiTheme="majorEastAsia" w:eastAsiaTheme="majorEastAsia"/>
          <w:sz w:val="24"/>
        </w:rPr>
        <w:t>）商务技术偏离表</w:t>
      </w:r>
      <w:r>
        <w:rPr>
          <w:rFonts w:hint="eastAsia" w:cs="宋体" w:asciiTheme="majorEastAsia" w:hAnsiTheme="majorEastAsia" w:eastAsiaTheme="majorEastAsia"/>
        </w:rPr>
        <w:t>………………………………………………………………………（页码）</w:t>
      </w:r>
    </w:p>
    <w:p>
      <w:pPr>
        <w:snapToGrid w:val="0"/>
        <w:spacing w:line="360" w:lineRule="auto"/>
        <w:ind w:left="479" w:leftChars="228"/>
        <w:rPr>
          <w:rFonts w:cs="宋体" w:asciiTheme="majorEastAsia" w:hAnsiTheme="majorEastAsia" w:eastAsiaTheme="majorEastAsia"/>
        </w:rPr>
      </w:pPr>
      <w:r>
        <w:rPr>
          <w:rFonts w:hint="eastAsia" w:cs="宋体" w:asciiTheme="majorEastAsia" w:hAnsiTheme="majorEastAsia" w:eastAsiaTheme="majorEastAsia"/>
          <w:sz w:val="24"/>
          <w:lang w:val="zh-CN"/>
        </w:rPr>
        <w:t>（</w:t>
      </w:r>
      <w:r>
        <w:rPr>
          <w:rFonts w:hint="eastAsia" w:cs="宋体" w:asciiTheme="majorEastAsia" w:hAnsiTheme="majorEastAsia" w:eastAsiaTheme="majorEastAsia"/>
          <w:sz w:val="24"/>
          <w:lang w:val="en-US" w:eastAsia="zh-CN"/>
        </w:rPr>
        <w:t>7</w:t>
      </w:r>
      <w:r>
        <w:rPr>
          <w:rFonts w:hint="eastAsia" w:cs="宋体" w:asciiTheme="majorEastAsia" w:hAnsiTheme="majorEastAsia" w:eastAsiaTheme="majorEastAsia"/>
          <w:sz w:val="24"/>
          <w:lang w:val="zh-CN"/>
        </w:rPr>
        <w:t>）政府采购供应商廉洁自律承诺书</w:t>
      </w:r>
      <w:r>
        <w:rPr>
          <w:rFonts w:hint="eastAsia" w:cs="宋体" w:asciiTheme="majorEastAsia" w:hAnsiTheme="majorEastAsia" w:eastAsiaTheme="majorEastAsia"/>
        </w:rPr>
        <w:t>…………………………………………………（页码）</w:t>
      </w: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snapToGrid w:val="0"/>
        <w:spacing w:line="360" w:lineRule="auto"/>
        <w:jc w:val="center"/>
        <w:rPr>
          <w:rFonts w:cs="宋体" w:asciiTheme="majorEastAsia" w:hAnsiTheme="majorEastAsia" w:eastAsiaTheme="majorEastAsia"/>
          <w:b/>
          <w:kern w:val="0"/>
          <w:sz w:val="32"/>
          <w:szCs w:val="32"/>
          <w:lang w:val="zh-CN"/>
        </w:rPr>
      </w:pPr>
    </w:p>
    <w:p>
      <w:pPr>
        <w:rPr>
          <w:rFonts w:cs="宋体" w:asciiTheme="majorEastAsia" w:hAnsiTheme="majorEastAsia" w:eastAsiaTheme="majorEastAsia"/>
          <w:b/>
          <w:kern w:val="0"/>
          <w:sz w:val="32"/>
          <w:szCs w:val="32"/>
          <w:lang w:val="zh-CN"/>
        </w:rPr>
      </w:pPr>
    </w:p>
    <w:p>
      <w:pPr>
        <w:widowControl/>
        <w:adjustRightInd/>
        <w:jc w:val="center"/>
        <w:rPr>
          <w:rFonts w:cs="宋体" w:asciiTheme="majorEastAsia" w:hAnsiTheme="majorEastAsia" w:eastAsiaTheme="majorEastAsia"/>
          <w:b/>
          <w:sz w:val="32"/>
          <w:szCs w:val="32"/>
        </w:rPr>
      </w:pPr>
      <w:r>
        <w:rPr>
          <w:rFonts w:hint="eastAsia" w:cs="宋体" w:asciiTheme="majorEastAsia" w:hAnsiTheme="majorEastAsia" w:eastAsiaTheme="majorEastAsia"/>
          <w:b/>
          <w:kern w:val="0"/>
          <w:sz w:val="32"/>
          <w:szCs w:val="32"/>
        </w:rPr>
        <w:br w:type="page"/>
      </w:r>
      <w:r>
        <w:rPr>
          <w:rFonts w:hint="eastAsia" w:cs="宋体" w:asciiTheme="majorEastAsia" w:hAnsiTheme="majorEastAsia" w:eastAsiaTheme="majorEastAsia"/>
          <w:b/>
          <w:kern w:val="0"/>
          <w:sz w:val="32"/>
          <w:szCs w:val="32"/>
        </w:rPr>
        <w:t>一、投标</w:t>
      </w:r>
      <w:r>
        <w:rPr>
          <w:rFonts w:hint="eastAsia" w:cs="宋体" w:asciiTheme="majorEastAsia" w:hAnsiTheme="majorEastAsia" w:eastAsiaTheme="majorEastAsia"/>
          <w:b/>
          <w:sz w:val="32"/>
          <w:szCs w:val="32"/>
        </w:rPr>
        <w:t>函</w:t>
      </w:r>
    </w:p>
    <w:p>
      <w:pPr>
        <w:snapToGrid w:val="0"/>
        <w:spacing w:line="360" w:lineRule="auto"/>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（采购人）、（采购代理机构）：</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color w:val="auto"/>
          <w:sz w:val="24"/>
        </w:rPr>
        <w:t>我方参加你方组织的（项目名称）【招标编号：（采购编号）】招标的有关活动，并对此项目进行投标。为此</w:t>
      </w:r>
      <w:r>
        <w:rPr>
          <w:rFonts w:hint="eastAsia" w:cs="宋体" w:asciiTheme="majorEastAsia" w:hAnsiTheme="majorEastAsia" w:eastAsiaTheme="majorEastAsia"/>
          <w:sz w:val="24"/>
        </w:rPr>
        <w:t>：</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1、我方承诺投标有效期从提交投标文件的截止之日起</w:t>
      </w:r>
      <w:r>
        <w:rPr>
          <w:rFonts w:hint="eastAsia" w:cs="宋体" w:asciiTheme="majorEastAsia" w:hAnsiTheme="majorEastAsia" w:eastAsiaTheme="majorEastAsia"/>
          <w:sz w:val="24"/>
          <w:u w:val="single"/>
          <w:lang w:val="en-US" w:eastAsia="zh-CN"/>
        </w:rPr>
        <w:t xml:space="preserve">    </w:t>
      </w:r>
      <w:r>
        <w:rPr>
          <w:rFonts w:hint="eastAsia" w:cs="宋体" w:asciiTheme="majorEastAsia" w:hAnsiTheme="majorEastAsia" w:eastAsiaTheme="majorEastAsia"/>
          <w:sz w:val="24"/>
        </w:rPr>
        <w:t>天（不少于90天）</w:t>
      </w:r>
      <w:r>
        <w:rPr>
          <w:rFonts w:hint="eastAsia" w:cs="宋体" w:asciiTheme="majorEastAsia" w:hAnsiTheme="majorEastAsia" w:eastAsiaTheme="majorEastAsia"/>
        </w:rPr>
        <w:t>，</w:t>
      </w:r>
      <w:r>
        <w:rPr>
          <w:rFonts w:hint="eastAsia" w:cs="宋体" w:asciiTheme="majorEastAsia" w:hAnsiTheme="majorEastAsia" w:eastAsiaTheme="majorEastAsia"/>
          <w:sz w:val="24"/>
        </w:rPr>
        <w:t>本投标文件在投标有效期满之前均具有约束力。</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2、我方的投标文件包括以下内容：</w:t>
      </w:r>
    </w:p>
    <w:p>
      <w:pPr>
        <w:snapToGrid w:val="0"/>
        <w:spacing w:line="360" w:lineRule="auto"/>
        <w:ind w:left="210" w:leftChars="100"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2.1资格文件：</w:t>
      </w:r>
    </w:p>
    <w:p>
      <w:pPr>
        <w:snapToGrid w:val="0"/>
        <w:spacing w:line="360" w:lineRule="auto"/>
        <w:ind w:left="420" w:leftChars="200" w:firstLine="480" w:firstLineChars="200"/>
        <w:rPr>
          <w:rFonts w:hint="eastAsia" w:cs="宋体" w:asciiTheme="majorEastAsia" w:hAnsiTheme="majorEastAsia" w:eastAsiaTheme="majorEastAsia"/>
          <w:color w:val="auto"/>
          <w:sz w:val="24"/>
        </w:rPr>
      </w:pPr>
      <w:r>
        <w:rPr>
          <w:rFonts w:hint="eastAsia" w:cs="宋体" w:asciiTheme="majorEastAsia" w:hAnsiTheme="majorEastAsia" w:eastAsiaTheme="majorEastAsia"/>
          <w:sz w:val="24"/>
        </w:rPr>
        <w:t>2.1.1</w:t>
      </w:r>
      <w:r>
        <w:rPr>
          <w:rFonts w:hint="eastAsia" w:cs="宋体" w:asciiTheme="majorEastAsia" w:hAnsiTheme="majorEastAsia" w:eastAsiaTheme="majorEastAsia"/>
          <w:color w:val="auto"/>
          <w:sz w:val="24"/>
        </w:rPr>
        <w:t>符合参加政府采购活动应当具备的一般条件的承诺函；</w:t>
      </w:r>
    </w:p>
    <w:p>
      <w:pPr>
        <w:snapToGrid w:val="0"/>
        <w:spacing w:line="360" w:lineRule="auto"/>
        <w:ind w:left="420" w:leftChars="200"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sz w:val="24"/>
        </w:rPr>
        <w:t>2.1.</w:t>
      </w:r>
      <w:r>
        <w:rPr>
          <w:rFonts w:hint="eastAsia" w:cs="宋体" w:asciiTheme="majorEastAsia" w:hAnsiTheme="majorEastAsia" w:eastAsiaTheme="majorEastAsia"/>
          <w:sz w:val="24"/>
          <w:lang w:val="en-US" w:eastAsia="zh-CN"/>
        </w:rPr>
        <w:t>2</w:t>
      </w:r>
      <w:r>
        <w:rPr>
          <w:rFonts w:hint="eastAsia" w:cs="宋体" w:asciiTheme="majorEastAsia" w:hAnsiTheme="majorEastAsia" w:eastAsiaTheme="majorEastAsia"/>
          <w:sz w:val="24"/>
        </w:rPr>
        <w:t>落实政</w:t>
      </w:r>
      <w:r>
        <w:rPr>
          <w:rFonts w:hint="eastAsia" w:cs="宋体" w:asciiTheme="majorEastAsia" w:hAnsiTheme="majorEastAsia" w:eastAsiaTheme="majorEastAsia"/>
          <w:color w:val="auto"/>
          <w:sz w:val="24"/>
        </w:rPr>
        <w:t>府采购政策需满足的资格要求</w:t>
      </w:r>
      <w:r>
        <w:rPr>
          <w:rFonts w:hint="eastAsia" w:cs="宋体" w:asciiTheme="majorEastAsia" w:hAnsiTheme="majorEastAsia" w:eastAsiaTheme="majorEastAsia"/>
          <w:color w:val="auto"/>
          <w:sz w:val="24"/>
          <w:lang w:eastAsia="zh-CN"/>
        </w:rPr>
        <w:t>：提供中小企业声明函</w:t>
      </w:r>
      <w:r>
        <w:rPr>
          <w:rFonts w:hint="eastAsia" w:cs="宋体" w:asciiTheme="majorEastAsia" w:hAnsiTheme="majorEastAsia" w:eastAsiaTheme="majorEastAsia"/>
          <w:color w:val="auto"/>
          <w:sz w:val="24"/>
        </w:rPr>
        <w:t>；</w:t>
      </w:r>
    </w:p>
    <w:p>
      <w:pPr>
        <w:snapToGrid w:val="0"/>
        <w:spacing w:line="360" w:lineRule="auto"/>
        <w:ind w:left="420" w:leftChars="200"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2.1.</w:t>
      </w:r>
      <w:r>
        <w:rPr>
          <w:rFonts w:hint="eastAsia" w:cs="宋体" w:asciiTheme="majorEastAsia" w:hAnsiTheme="majorEastAsia" w:eastAsiaTheme="majorEastAsia"/>
          <w:color w:val="auto"/>
          <w:sz w:val="24"/>
          <w:lang w:val="en-US" w:eastAsia="zh-CN"/>
        </w:rPr>
        <w:t>3</w:t>
      </w:r>
      <w:r>
        <w:rPr>
          <w:rFonts w:hint="eastAsia" w:cs="宋体" w:asciiTheme="majorEastAsia" w:hAnsiTheme="majorEastAsia" w:eastAsiaTheme="majorEastAsia"/>
          <w:color w:val="auto"/>
          <w:sz w:val="24"/>
        </w:rPr>
        <w:t>本项目的特定资格要求</w:t>
      </w:r>
      <w:r>
        <w:rPr>
          <w:rFonts w:hint="eastAsia" w:cs="宋体" w:asciiTheme="majorEastAsia" w:hAnsiTheme="majorEastAsia" w:eastAsiaTheme="majorEastAsia"/>
          <w:color w:val="auto"/>
          <w:sz w:val="24"/>
          <w:lang w:eastAsia="zh-CN"/>
        </w:rPr>
        <w:t>：无</w:t>
      </w:r>
      <w:r>
        <w:rPr>
          <w:rFonts w:hint="eastAsia" w:cs="宋体" w:asciiTheme="majorEastAsia" w:hAnsiTheme="majorEastAsia" w:eastAsiaTheme="majorEastAsia"/>
          <w:color w:val="auto"/>
          <w:sz w:val="24"/>
        </w:rPr>
        <w:t>。</w:t>
      </w:r>
    </w:p>
    <w:p>
      <w:pPr>
        <w:snapToGrid w:val="0"/>
        <w:spacing w:line="360" w:lineRule="auto"/>
        <w:ind w:left="210" w:leftChars="100" w:firstLine="480" w:firstLineChars="200"/>
        <w:rPr>
          <w:rFonts w:cs="宋体" w:asciiTheme="majorEastAsia" w:hAnsiTheme="majorEastAsia" w:eastAsiaTheme="majorEastAsia"/>
          <w:color w:val="auto"/>
          <w:sz w:val="24"/>
          <w:lang w:val="zh-CN"/>
        </w:rPr>
      </w:pPr>
      <w:r>
        <w:rPr>
          <w:rFonts w:hint="eastAsia" w:cs="宋体" w:asciiTheme="majorEastAsia" w:hAnsiTheme="majorEastAsia" w:eastAsiaTheme="majorEastAsia"/>
          <w:color w:val="auto"/>
          <w:sz w:val="24"/>
        </w:rPr>
        <w:t>2</w:t>
      </w:r>
      <w:r>
        <w:rPr>
          <w:rFonts w:hint="eastAsia" w:cs="宋体" w:asciiTheme="majorEastAsia" w:hAnsiTheme="majorEastAsia" w:eastAsiaTheme="majorEastAsia"/>
          <w:color w:val="auto"/>
          <w:sz w:val="24"/>
          <w:lang w:val="zh-CN"/>
        </w:rPr>
        <w:t>.</w:t>
      </w:r>
      <w:r>
        <w:rPr>
          <w:rFonts w:hint="eastAsia" w:cs="宋体" w:asciiTheme="majorEastAsia" w:hAnsiTheme="majorEastAsia" w:eastAsiaTheme="majorEastAsia"/>
          <w:color w:val="auto"/>
          <w:sz w:val="24"/>
        </w:rPr>
        <w:t>2商务技术</w:t>
      </w:r>
      <w:r>
        <w:rPr>
          <w:rFonts w:hint="eastAsia" w:cs="宋体" w:asciiTheme="majorEastAsia" w:hAnsiTheme="majorEastAsia" w:eastAsiaTheme="majorEastAsia"/>
          <w:color w:val="auto"/>
          <w:sz w:val="24"/>
          <w:lang w:val="zh-CN"/>
        </w:rPr>
        <w:t>文件：</w:t>
      </w:r>
    </w:p>
    <w:p>
      <w:pPr>
        <w:snapToGrid w:val="0"/>
        <w:spacing w:line="360" w:lineRule="auto"/>
        <w:ind w:left="420" w:leftChars="200"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2.2.1投标函；</w:t>
      </w:r>
    </w:p>
    <w:p>
      <w:pPr>
        <w:snapToGrid w:val="0"/>
        <w:spacing w:line="360" w:lineRule="auto"/>
        <w:ind w:left="420" w:leftChars="200"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2.2.2授权委托书或法定代表人（单位负责人）身份证明；</w:t>
      </w:r>
    </w:p>
    <w:p>
      <w:pPr>
        <w:snapToGrid w:val="0"/>
        <w:spacing w:line="360" w:lineRule="auto"/>
        <w:ind w:left="420" w:leftChars="200"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2.2.</w:t>
      </w:r>
      <w:r>
        <w:rPr>
          <w:rFonts w:hint="eastAsia" w:cs="宋体" w:asciiTheme="majorEastAsia" w:hAnsiTheme="majorEastAsia" w:eastAsiaTheme="majorEastAsia"/>
          <w:color w:val="auto"/>
          <w:sz w:val="24"/>
          <w:lang w:val="en-US" w:eastAsia="zh-CN"/>
        </w:rPr>
        <w:t>3</w:t>
      </w:r>
      <w:r>
        <w:rPr>
          <w:rFonts w:hint="eastAsia" w:cs="宋体" w:asciiTheme="majorEastAsia" w:hAnsiTheme="majorEastAsia" w:eastAsiaTheme="majorEastAsia"/>
          <w:color w:val="auto"/>
          <w:sz w:val="24"/>
        </w:rPr>
        <w:t>符合性审查资料；</w:t>
      </w:r>
    </w:p>
    <w:p>
      <w:pPr>
        <w:snapToGrid w:val="0"/>
        <w:spacing w:line="360" w:lineRule="auto"/>
        <w:ind w:left="420" w:leftChars="200"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2.2.</w:t>
      </w:r>
      <w:r>
        <w:rPr>
          <w:rFonts w:hint="eastAsia" w:cs="宋体" w:asciiTheme="majorEastAsia" w:hAnsiTheme="majorEastAsia" w:eastAsiaTheme="majorEastAsia"/>
          <w:color w:val="auto"/>
          <w:sz w:val="24"/>
          <w:lang w:val="en-US" w:eastAsia="zh-CN"/>
        </w:rPr>
        <w:t>4</w:t>
      </w:r>
      <w:r>
        <w:rPr>
          <w:rFonts w:hint="eastAsia" w:cs="宋体" w:asciiTheme="majorEastAsia" w:hAnsiTheme="majorEastAsia" w:eastAsiaTheme="majorEastAsia"/>
          <w:color w:val="auto"/>
          <w:sz w:val="24"/>
        </w:rPr>
        <w:t>评标标准相应的商务技术资料；</w:t>
      </w:r>
    </w:p>
    <w:p>
      <w:pPr>
        <w:snapToGrid w:val="0"/>
        <w:spacing w:line="360" w:lineRule="auto"/>
        <w:ind w:left="420" w:leftChars="200"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2.2.</w:t>
      </w:r>
      <w:r>
        <w:rPr>
          <w:rFonts w:hint="eastAsia" w:cs="宋体" w:asciiTheme="majorEastAsia" w:hAnsiTheme="majorEastAsia" w:eastAsiaTheme="majorEastAsia"/>
          <w:color w:val="auto"/>
          <w:sz w:val="24"/>
          <w:lang w:val="en-US" w:eastAsia="zh-CN"/>
        </w:rPr>
        <w:t>5</w:t>
      </w:r>
      <w:r>
        <w:rPr>
          <w:rFonts w:hint="eastAsia" w:cs="宋体" w:asciiTheme="majorEastAsia" w:hAnsiTheme="majorEastAsia" w:eastAsiaTheme="majorEastAsia"/>
          <w:color w:val="auto"/>
          <w:sz w:val="24"/>
        </w:rPr>
        <w:t>投标标的清单；</w:t>
      </w:r>
    </w:p>
    <w:p>
      <w:pPr>
        <w:snapToGrid w:val="0"/>
        <w:spacing w:line="360" w:lineRule="auto"/>
        <w:ind w:left="420" w:leftChars="200"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2.2.</w:t>
      </w:r>
      <w:r>
        <w:rPr>
          <w:rFonts w:hint="eastAsia" w:cs="宋体" w:asciiTheme="majorEastAsia" w:hAnsiTheme="majorEastAsia" w:eastAsiaTheme="majorEastAsia"/>
          <w:color w:val="auto"/>
          <w:sz w:val="24"/>
          <w:lang w:val="en-US" w:eastAsia="zh-CN"/>
        </w:rPr>
        <w:t>6</w:t>
      </w:r>
      <w:r>
        <w:rPr>
          <w:rFonts w:hint="eastAsia" w:cs="宋体" w:asciiTheme="majorEastAsia" w:hAnsiTheme="majorEastAsia" w:eastAsiaTheme="majorEastAsia"/>
          <w:color w:val="auto"/>
          <w:sz w:val="24"/>
        </w:rPr>
        <w:t>商务技术偏离表；</w:t>
      </w:r>
    </w:p>
    <w:p>
      <w:pPr>
        <w:snapToGrid w:val="0"/>
        <w:spacing w:line="360" w:lineRule="auto"/>
        <w:ind w:left="420" w:leftChars="200" w:firstLine="480" w:firstLineChars="200"/>
        <w:rPr>
          <w:rFonts w:hint="eastAsia" w:cs="宋体" w:asciiTheme="majorEastAsia" w:hAnsiTheme="majorEastAsia" w:eastAsiaTheme="majorEastAsia"/>
          <w:color w:val="auto"/>
          <w:sz w:val="24"/>
          <w:lang w:val="en-US" w:eastAsia="zh-CN"/>
        </w:rPr>
      </w:pPr>
      <w:r>
        <w:rPr>
          <w:rFonts w:hint="eastAsia" w:cs="宋体" w:asciiTheme="majorEastAsia" w:hAnsiTheme="majorEastAsia" w:eastAsiaTheme="majorEastAsia"/>
          <w:color w:val="auto"/>
          <w:sz w:val="24"/>
        </w:rPr>
        <w:t>2</w:t>
      </w:r>
      <w:r>
        <w:rPr>
          <w:rFonts w:hint="eastAsia" w:cs="宋体" w:asciiTheme="majorEastAsia" w:hAnsiTheme="majorEastAsia" w:eastAsiaTheme="majorEastAsia"/>
          <w:color w:val="auto"/>
          <w:sz w:val="24"/>
          <w:lang w:val="zh-CN"/>
        </w:rPr>
        <w:t>.</w:t>
      </w:r>
      <w:r>
        <w:rPr>
          <w:rFonts w:hint="eastAsia" w:cs="宋体" w:asciiTheme="majorEastAsia" w:hAnsiTheme="majorEastAsia" w:eastAsiaTheme="majorEastAsia"/>
          <w:color w:val="auto"/>
          <w:sz w:val="24"/>
        </w:rPr>
        <w:t>2</w:t>
      </w:r>
      <w:r>
        <w:rPr>
          <w:rFonts w:hint="eastAsia" w:cs="宋体" w:asciiTheme="majorEastAsia" w:hAnsiTheme="majorEastAsia" w:eastAsiaTheme="majorEastAsia"/>
          <w:color w:val="auto"/>
          <w:sz w:val="24"/>
          <w:lang w:val="zh-CN"/>
        </w:rPr>
        <w:t>.</w:t>
      </w:r>
      <w:r>
        <w:rPr>
          <w:rFonts w:hint="eastAsia" w:cs="宋体" w:asciiTheme="majorEastAsia" w:hAnsiTheme="majorEastAsia" w:eastAsiaTheme="majorEastAsia"/>
          <w:color w:val="auto"/>
          <w:sz w:val="24"/>
          <w:lang w:val="en-US" w:eastAsia="zh-CN"/>
        </w:rPr>
        <w:t>7</w:t>
      </w:r>
      <w:r>
        <w:rPr>
          <w:rFonts w:hint="eastAsia" w:cs="宋体" w:asciiTheme="majorEastAsia" w:hAnsiTheme="majorEastAsia" w:eastAsiaTheme="majorEastAsia"/>
          <w:color w:val="auto"/>
          <w:sz w:val="24"/>
          <w:lang w:val="zh-CN"/>
        </w:rPr>
        <w:t>政府采购供应商廉洁自律承诺书</w:t>
      </w:r>
      <w:r>
        <w:rPr>
          <w:rFonts w:hint="eastAsia" w:cs="宋体" w:asciiTheme="majorEastAsia" w:hAnsiTheme="majorEastAsia" w:eastAsiaTheme="majorEastAsia"/>
          <w:color w:val="auto"/>
          <w:sz w:val="24"/>
          <w:lang w:val="zh-CN" w:eastAsia="zh-CN"/>
        </w:rPr>
        <w:t>。</w:t>
      </w:r>
    </w:p>
    <w:p>
      <w:pPr>
        <w:snapToGrid w:val="0"/>
        <w:spacing w:line="360" w:lineRule="auto"/>
        <w:ind w:left="210" w:leftChars="100"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w:t>
      </w:r>
      <w:r>
        <w:rPr>
          <w:rFonts w:hint="eastAsia" w:cs="宋体" w:asciiTheme="majorEastAsia" w:hAnsiTheme="majorEastAsia" w:eastAsiaTheme="majorEastAsia"/>
          <w:color w:val="auto"/>
          <w:sz w:val="24"/>
          <w:lang w:val="zh-CN"/>
        </w:rPr>
        <w:t>.</w:t>
      </w:r>
      <w:r>
        <w:rPr>
          <w:rFonts w:hint="eastAsia" w:cs="宋体" w:asciiTheme="majorEastAsia" w:hAnsiTheme="majorEastAsia" w:eastAsiaTheme="majorEastAsia"/>
          <w:color w:val="auto"/>
          <w:sz w:val="24"/>
        </w:rPr>
        <w:t>3报价文件</w:t>
      </w:r>
    </w:p>
    <w:p>
      <w:pPr>
        <w:spacing w:line="360" w:lineRule="auto"/>
        <w:ind w:left="420" w:leftChars="200"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2.3.1开标一览表（报价表）；</w:t>
      </w:r>
    </w:p>
    <w:p>
      <w:pPr>
        <w:spacing w:line="360" w:lineRule="auto"/>
        <w:ind w:left="420" w:leftChars="200" w:firstLine="480" w:firstLineChars="200"/>
        <w:rPr>
          <w:rFonts w:hint="eastAsia" w:cs="宋体" w:asciiTheme="majorEastAsia" w:hAnsiTheme="majorEastAsia" w:eastAsiaTheme="majorEastAsia"/>
          <w:color w:val="auto"/>
          <w:sz w:val="24"/>
        </w:rPr>
      </w:pPr>
      <w:r>
        <w:rPr>
          <w:rFonts w:hint="eastAsia" w:cs="宋体" w:asciiTheme="majorEastAsia" w:hAnsiTheme="majorEastAsia" w:eastAsiaTheme="majorEastAsia"/>
          <w:color w:val="auto"/>
          <w:sz w:val="24"/>
        </w:rPr>
        <w:t>2.3.2 报价情况说明（如果有）。</w:t>
      </w:r>
    </w:p>
    <w:p>
      <w:pPr>
        <w:spacing w:line="360" w:lineRule="auto"/>
        <w:ind w:left="420" w:leftChars="200" w:firstLine="48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4、如我方中标，我方承诺：</w:t>
      </w:r>
    </w:p>
    <w:p>
      <w:pPr>
        <w:snapToGrid w:val="0"/>
        <w:spacing w:line="360" w:lineRule="auto"/>
        <w:ind w:left="210" w:leftChars="100"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 xml:space="preserve">4.1在收到中标通知书后，在中标通知书规定的期限内与你方签订合同； </w:t>
      </w:r>
    </w:p>
    <w:p>
      <w:pPr>
        <w:snapToGrid w:val="0"/>
        <w:spacing w:line="360" w:lineRule="auto"/>
        <w:ind w:left="210" w:leftChars="100"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 xml:space="preserve">4.2在签订合同时不向你方提出附加条件； </w:t>
      </w:r>
    </w:p>
    <w:p>
      <w:pPr>
        <w:snapToGrid w:val="0"/>
        <w:spacing w:line="360" w:lineRule="auto"/>
        <w:ind w:left="210" w:leftChars="100"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 xml:space="preserve">4.3按照招标文件要求提交履约保证金； </w:t>
      </w:r>
    </w:p>
    <w:p>
      <w:pPr>
        <w:snapToGrid w:val="0"/>
        <w:spacing w:line="360" w:lineRule="auto"/>
        <w:ind w:left="210" w:leftChars="100"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 xml:space="preserve">4.4在合同约定的期限内完成合同规定的全部义务。 </w:t>
      </w:r>
    </w:p>
    <w:p>
      <w:pPr>
        <w:snapToGrid w:val="0"/>
        <w:spacing w:line="360" w:lineRule="auto"/>
        <w:ind w:left="210" w:leftChars="100"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5、其他补充说明:。</w:t>
      </w:r>
    </w:p>
    <w:p>
      <w:pPr>
        <w:spacing w:line="360" w:lineRule="auto"/>
        <w:ind w:firstLine="3600" w:firstLineChars="1500"/>
        <w:rPr>
          <w:rFonts w:cs="宋体" w:asciiTheme="majorEastAsia" w:hAnsiTheme="majorEastAsia" w:eastAsiaTheme="majorEastAsia"/>
          <w:sz w:val="24"/>
        </w:rPr>
      </w:pPr>
      <w:r>
        <w:rPr>
          <w:rFonts w:hint="eastAsia" w:cs="宋体" w:asciiTheme="majorEastAsia" w:hAnsiTheme="majorEastAsia" w:eastAsiaTheme="majorEastAsia"/>
          <w:sz w:val="24"/>
        </w:rPr>
        <w:t xml:space="preserve">投标人名称（电子签名）：                          </w:t>
      </w:r>
    </w:p>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 xml:space="preserve">     日期：  年   月   日</w:t>
      </w:r>
    </w:p>
    <w:p>
      <w:pPr>
        <w:snapToGrid w:val="0"/>
        <w:spacing w:line="360" w:lineRule="auto"/>
        <w:ind w:left="420" w:leftChars="200" w:firstLine="4200" w:firstLineChars="1750"/>
        <w:rPr>
          <w:rFonts w:cs="宋体" w:asciiTheme="majorEastAsia" w:hAnsiTheme="majorEastAsia" w:eastAsiaTheme="majorEastAsia"/>
          <w:kern w:val="0"/>
          <w:sz w:val="24"/>
          <w:u w:val="single"/>
        </w:rPr>
      </w:pPr>
    </w:p>
    <w:p>
      <w:pPr>
        <w:spacing w:line="360" w:lineRule="auto"/>
        <w:ind w:right="420"/>
        <w:rPr>
          <w:rFonts w:cs="宋体" w:asciiTheme="majorEastAsia" w:hAnsiTheme="majorEastAsia" w:eastAsiaTheme="majorEastAsia"/>
          <w:sz w:val="24"/>
        </w:rPr>
      </w:pPr>
      <w:r>
        <w:rPr>
          <w:rFonts w:hint="eastAsia" w:cs="宋体" w:asciiTheme="majorEastAsia" w:hAnsiTheme="majorEastAsia" w:eastAsiaTheme="majorEastAsia"/>
          <w:sz w:val="24"/>
        </w:rPr>
        <w:t>注：按本格式和要求提供。</w:t>
      </w:r>
    </w:p>
    <w:p>
      <w:pPr>
        <w:snapToGrid w:val="0"/>
        <w:spacing w:line="360" w:lineRule="auto"/>
        <w:jc w:val="center"/>
        <w:rPr>
          <w:rFonts w:cs="宋体" w:asciiTheme="majorEastAsia" w:hAnsiTheme="majorEastAsia" w:eastAsiaTheme="majorEastAsia"/>
          <w:b/>
          <w:kern w:val="0"/>
          <w:sz w:val="32"/>
          <w:szCs w:val="32"/>
        </w:rPr>
      </w:pPr>
    </w:p>
    <w:p>
      <w:pPr>
        <w:snapToGrid w:val="0"/>
        <w:spacing w:line="360" w:lineRule="auto"/>
        <w:rPr>
          <w:rFonts w:cs="宋体" w:asciiTheme="majorEastAsia" w:hAnsiTheme="majorEastAsia" w:eastAsiaTheme="majorEastAsia"/>
          <w:sz w:val="24"/>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lang w:val="zh-CN"/>
        </w:rPr>
      </w:pPr>
      <w:r>
        <w:rPr>
          <w:rFonts w:hint="eastAsia" w:cs="宋体" w:asciiTheme="majorEastAsia" w:hAnsiTheme="majorEastAsia" w:eastAsiaTheme="majorEastAsia"/>
          <w:b/>
          <w:kern w:val="0"/>
          <w:sz w:val="32"/>
          <w:szCs w:val="32"/>
          <w:lang w:val="zh-CN"/>
        </w:rPr>
        <w:t>二、授权委托书或法定代表人（单位负责人、自然人本人）身份证明</w:t>
      </w:r>
    </w:p>
    <w:p>
      <w:pPr>
        <w:snapToGrid w:val="0"/>
        <w:spacing w:line="360" w:lineRule="auto"/>
        <w:rPr>
          <w:rFonts w:cs="宋体" w:asciiTheme="majorEastAsia" w:hAnsiTheme="majorEastAsia" w:eastAsiaTheme="majorEastAsia"/>
          <w:sz w:val="24"/>
        </w:rPr>
      </w:pPr>
    </w:p>
    <w:p>
      <w:pPr>
        <w:snapToGrid w:val="0"/>
        <w:spacing w:line="360" w:lineRule="auto"/>
        <w:ind w:firstLine="2872" w:firstLineChars="894"/>
        <w:rPr>
          <w:rFonts w:cs="宋体" w:asciiTheme="majorEastAsia" w:hAnsiTheme="majorEastAsia" w:eastAsiaTheme="majorEastAsia"/>
          <w:color w:val="auto"/>
        </w:rPr>
      </w:pPr>
      <w:r>
        <w:rPr>
          <w:rFonts w:hint="eastAsia" w:cs="宋体" w:asciiTheme="majorEastAsia" w:hAnsiTheme="majorEastAsia" w:eastAsiaTheme="majorEastAsia"/>
          <w:b/>
          <w:color w:val="auto"/>
          <w:kern w:val="0"/>
          <w:sz w:val="32"/>
          <w:szCs w:val="32"/>
          <w:lang w:val="zh-CN"/>
        </w:rPr>
        <w:t>授权委托书（适用于非联合体投标）</w:t>
      </w:r>
    </w:p>
    <w:p>
      <w:pPr>
        <w:snapToGrid w:val="0"/>
        <w:spacing w:line="360" w:lineRule="auto"/>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sz w:val="24"/>
        </w:rPr>
        <w:t>（采购人）、（采购代理机构）</w:t>
      </w:r>
      <w:r>
        <w:rPr>
          <w:rFonts w:hint="eastAsia" w:cs="宋体" w:asciiTheme="majorEastAsia" w:hAnsiTheme="majorEastAsia" w:eastAsiaTheme="majorEastAsia"/>
          <w:color w:val="auto"/>
          <w:kern w:val="0"/>
          <w:sz w:val="24"/>
          <w:lang w:val="zh-CN"/>
        </w:rPr>
        <w:t>：</w:t>
      </w:r>
    </w:p>
    <w:p>
      <w:pPr>
        <w:snapToGrid w:val="0"/>
        <w:spacing w:line="360" w:lineRule="auto"/>
        <w:ind w:firstLine="576"/>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现</w:t>
      </w:r>
      <w:r>
        <w:rPr>
          <w:rFonts w:hint="eastAsia" w:cs="宋体" w:asciiTheme="majorEastAsia" w:hAnsiTheme="majorEastAsia" w:eastAsiaTheme="majorEastAsia"/>
          <w:color w:val="auto"/>
          <w:kern w:val="0"/>
          <w:sz w:val="24"/>
          <w:lang w:val="zh-CN"/>
        </w:rPr>
        <w:t>委托（姓名）为我方代理人（身份证号码：，手机：</w:t>
      </w:r>
      <w:r>
        <w:rPr>
          <w:rFonts w:hint="eastAsia" w:cs="宋体" w:asciiTheme="majorEastAsia" w:hAnsiTheme="majorEastAsia" w:eastAsiaTheme="majorEastAsia"/>
          <w:color w:val="auto"/>
          <w:kern w:val="0"/>
          <w:sz w:val="24"/>
        </w:rPr>
        <w:t>，所在单位：</w:t>
      </w:r>
      <w:r>
        <w:rPr>
          <w:rFonts w:hint="eastAsia" w:cs="宋体" w:asciiTheme="majorEastAsia" w:hAnsiTheme="majorEastAsia" w:eastAsiaTheme="majorEastAsia"/>
          <w:color w:val="auto"/>
          <w:kern w:val="0"/>
          <w:sz w:val="24"/>
          <w:lang w:val="zh-CN"/>
        </w:rPr>
        <w:t>），以我方名义处理</w:t>
      </w:r>
      <w:r>
        <w:rPr>
          <w:rFonts w:hint="eastAsia" w:cs="宋体" w:asciiTheme="majorEastAsia" w:hAnsiTheme="majorEastAsia" w:eastAsiaTheme="majorEastAsia"/>
          <w:color w:val="auto"/>
          <w:sz w:val="24"/>
        </w:rPr>
        <w:t>（项目名称）【招标编号：（采购编号）】</w:t>
      </w:r>
      <w:r>
        <w:rPr>
          <w:rFonts w:hint="eastAsia" w:cs="宋体" w:asciiTheme="majorEastAsia" w:hAnsiTheme="majorEastAsia" w:eastAsiaTheme="majorEastAsia"/>
          <w:color w:val="auto"/>
          <w:kern w:val="0"/>
          <w:sz w:val="24"/>
          <w:lang w:val="zh-CN"/>
        </w:rPr>
        <w:t>政府采购投标的一切事项，其法律后果由我方承担。</w:t>
      </w:r>
    </w:p>
    <w:p>
      <w:pPr>
        <w:snapToGrid w:val="0"/>
        <w:spacing w:line="360" w:lineRule="auto"/>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lang w:val="zh-CN"/>
        </w:rPr>
        <w:t>委托期限</w:t>
      </w:r>
      <w:r>
        <w:rPr>
          <w:rFonts w:hint="eastAsia" w:cs="宋体" w:asciiTheme="majorEastAsia" w:hAnsiTheme="majorEastAsia" w:eastAsiaTheme="majorEastAsia"/>
          <w:color w:val="auto"/>
          <w:kern w:val="0"/>
          <w:sz w:val="24"/>
        </w:rPr>
        <w:t>：</w:t>
      </w:r>
      <w:r>
        <w:rPr>
          <w:rFonts w:hint="eastAsia" w:cs="宋体" w:asciiTheme="majorEastAsia" w:hAnsiTheme="majorEastAsia" w:eastAsiaTheme="majorEastAsia"/>
          <w:color w:val="auto"/>
          <w:kern w:val="0"/>
          <w:sz w:val="24"/>
          <w:lang w:val="zh-CN"/>
        </w:rPr>
        <w:t>自年月日起至年月日止。</w:t>
      </w:r>
    </w:p>
    <w:p>
      <w:pPr>
        <w:snapToGrid w:val="0"/>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lang w:val="zh-CN"/>
        </w:rPr>
        <w:t>特此告知。</w:t>
      </w:r>
    </w:p>
    <w:p>
      <w:pPr>
        <w:snapToGrid w:val="0"/>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lang w:val="zh-CN"/>
        </w:rPr>
        <w:t xml:space="preserve">                                                 投标人名称(电子签名)：</w:t>
      </w:r>
    </w:p>
    <w:p>
      <w:pPr>
        <w:snapToGrid w:val="0"/>
        <w:spacing w:line="360" w:lineRule="auto"/>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 xml:space="preserve">                                                 签发日期：  年  月   日</w:t>
      </w:r>
    </w:p>
    <w:p>
      <w:pPr>
        <w:autoSpaceDE w:val="0"/>
        <w:autoSpaceDN w:val="0"/>
        <w:spacing w:line="360" w:lineRule="auto"/>
        <w:jc w:val="center"/>
        <w:rPr>
          <w:rFonts w:cs="宋体" w:asciiTheme="majorEastAsia" w:hAnsiTheme="majorEastAsia" w:eastAsiaTheme="majorEastAsia"/>
          <w:b/>
          <w:kern w:val="0"/>
          <w:sz w:val="32"/>
          <w:szCs w:val="32"/>
          <w:lang w:val="zh-CN"/>
        </w:rPr>
      </w:pPr>
    </w:p>
    <w:p>
      <w:pPr>
        <w:autoSpaceDE w:val="0"/>
        <w:autoSpaceDN w:val="0"/>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kern w:val="0"/>
          <w:sz w:val="32"/>
          <w:szCs w:val="32"/>
          <w:lang w:val="zh-CN"/>
        </w:rPr>
        <w:t>法定代表人、单位负责人或自然人本人</w:t>
      </w:r>
      <w:r>
        <w:rPr>
          <w:rFonts w:hint="eastAsia" w:cs="宋体" w:asciiTheme="majorEastAsia" w:hAnsiTheme="majorEastAsia" w:eastAsiaTheme="majorEastAsia"/>
          <w:b/>
          <w:sz w:val="30"/>
          <w:szCs w:val="30"/>
        </w:rPr>
        <w:t>的身份证明（适用于法定代表人、单位负责人或者自然人本人代表投标人参加投标）</w:t>
      </w:r>
    </w:p>
    <w:p>
      <w:pPr>
        <w:pStyle w:val="149"/>
        <w:spacing w:line="360" w:lineRule="auto"/>
        <w:rPr>
          <w:rFonts w:cs="宋体" w:asciiTheme="majorEastAsia" w:hAnsiTheme="majorEastAsia" w:eastAsiaTheme="majorEastAsia"/>
          <w:bCs/>
          <w:sz w:val="24"/>
        </w:rPr>
      </w:pPr>
      <w:r>
        <w:rPr>
          <w:rFonts w:hint="eastAsia" w:cs="宋体" w:asciiTheme="majorEastAsia" w:hAnsiTheme="majorEastAsia" w:eastAsiaTheme="majorEastAsia"/>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2" w:hRule="atLeast"/>
          <w:jc w:val="center"/>
        </w:trPr>
        <w:tc>
          <w:tcPr>
            <w:tcW w:w="9207" w:type="dxa"/>
          </w:tcPr>
          <w:p>
            <w:pPr>
              <w:pStyle w:val="149"/>
              <w:adjustRightInd w:val="0"/>
              <w:spacing w:line="360" w:lineRule="auto"/>
              <w:rPr>
                <w:rFonts w:cs="宋体" w:asciiTheme="majorEastAsia" w:hAnsiTheme="majorEastAsia" w:eastAsiaTheme="majorEastAsia"/>
                <w:bCs/>
                <w:sz w:val="24"/>
              </w:rPr>
            </w:pPr>
            <w:r>
              <w:rPr>
                <w:rFonts w:hint="eastAsia" w:cs="宋体" w:asciiTheme="majorEastAsia" w:hAnsiTheme="majorEastAsia" w:eastAsiaTheme="majorEastAsia"/>
                <w:bCs/>
                <w:sz w:val="24"/>
              </w:rPr>
              <w:t>正面：                                 反面：</w:t>
            </w:r>
          </w:p>
          <w:p>
            <w:pPr>
              <w:pStyle w:val="149"/>
              <w:adjustRightInd w:val="0"/>
              <w:spacing w:line="360" w:lineRule="auto"/>
              <w:rPr>
                <w:rFonts w:cs="宋体" w:asciiTheme="majorEastAsia" w:hAnsiTheme="majorEastAsia" w:eastAsiaTheme="majorEastAsia"/>
                <w:bCs/>
                <w:sz w:val="24"/>
              </w:rPr>
            </w:pPr>
          </w:p>
        </w:tc>
      </w:tr>
    </w:tbl>
    <w:p>
      <w:pPr>
        <w:snapToGrid w:val="0"/>
        <w:spacing w:line="360" w:lineRule="auto"/>
        <w:ind w:firstLine="576"/>
        <w:jc w:val="center"/>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 xml:space="preserve">                  投标人名称(电子签名)：                              </w:t>
      </w:r>
    </w:p>
    <w:p>
      <w:pPr>
        <w:spacing w:line="360" w:lineRule="auto"/>
        <w:jc w:val="center"/>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 xml:space="preserve">                   日期：  年  月  日</w:t>
      </w:r>
    </w:p>
    <w:p>
      <w:pPr>
        <w:jc w:val="center"/>
        <w:rPr>
          <w:rFonts w:hint="eastAsia" w:cs="宋体" w:asciiTheme="majorEastAsia" w:hAnsiTheme="majorEastAsia" w:eastAsiaTheme="majorEastAsia"/>
          <w:b/>
          <w:kern w:val="0"/>
          <w:sz w:val="32"/>
          <w:szCs w:val="32"/>
          <w:lang w:eastAsia="zh-CN"/>
        </w:rPr>
      </w:pPr>
    </w:p>
    <w:p>
      <w:pPr>
        <w:jc w:val="center"/>
        <w:rPr>
          <w:rFonts w:hint="eastAsia" w:cs="宋体" w:asciiTheme="majorEastAsia" w:hAnsiTheme="majorEastAsia" w:eastAsiaTheme="majorEastAsia"/>
          <w:b/>
          <w:kern w:val="0"/>
          <w:sz w:val="32"/>
          <w:szCs w:val="32"/>
          <w:lang w:eastAsia="zh-CN"/>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三</w:t>
      </w:r>
      <w:r>
        <w:rPr>
          <w:rFonts w:hint="eastAsia" w:cs="宋体" w:asciiTheme="majorEastAsia" w:hAnsiTheme="majorEastAsia" w:eastAsiaTheme="majorEastAsia"/>
          <w:b/>
          <w:kern w:val="0"/>
          <w:sz w:val="32"/>
          <w:szCs w:val="32"/>
        </w:rPr>
        <w:t>、符合性审查资料</w:t>
      </w:r>
    </w:p>
    <w:p>
      <w:pPr>
        <w:jc w:val="center"/>
        <w:rPr>
          <w:rFonts w:cs="宋体" w:asciiTheme="majorEastAsia" w:hAnsiTheme="majorEastAsia" w:eastAsiaTheme="majorEastAsia"/>
          <w:b/>
          <w:kern w:val="0"/>
          <w:sz w:val="32"/>
          <w:szCs w:val="32"/>
        </w:rPr>
      </w:pP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4824"/>
        <w:gridCol w:w="2466"/>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36" w:type="pct"/>
            <w:vAlign w:val="center"/>
          </w:tcPr>
          <w:p>
            <w:pPr>
              <w:snapToGrid w:val="0"/>
              <w:spacing w:line="240" w:lineRule="atLeast"/>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序号</w:t>
            </w:r>
          </w:p>
        </w:tc>
        <w:tc>
          <w:tcPr>
            <w:tcW w:w="2598" w:type="pct"/>
            <w:vAlign w:val="center"/>
          </w:tcPr>
          <w:p>
            <w:pPr>
              <w:snapToGrid w:val="0"/>
              <w:spacing w:line="240" w:lineRule="atLeast"/>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实质性要求</w:t>
            </w:r>
          </w:p>
        </w:tc>
        <w:tc>
          <w:tcPr>
            <w:tcW w:w="1328" w:type="pct"/>
            <w:vAlign w:val="center"/>
          </w:tcPr>
          <w:p>
            <w:pPr>
              <w:snapToGrid w:val="0"/>
              <w:spacing w:line="240" w:lineRule="atLeast"/>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需要提供的符合性审查资料</w:t>
            </w:r>
          </w:p>
        </w:tc>
        <w:tc>
          <w:tcPr>
            <w:tcW w:w="737" w:type="pct"/>
            <w:vAlign w:val="center"/>
          </w:tcPr>
          <w:p>
            <w:pPr>
              <w:snapToGrid w:val="0"/>
              <w:spacing w:line="240" w:lineRule="atLeast"/>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投标文件中的</w:t>
            </w:r>
          </w:p>
          <w:p>
            <w:pPr>
              <w:snapToGrid w:val="0"/>
              <w:spacing w:line="240" w:lineRule="atLeast"/>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6" w:type="pct"/>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1</w:t>
            </w:r>
          </w:p>
        </w:tc>
        <w:tc>
          <w:tcPr>
            <w:tcW w:w="2598" w:type="pct"/>
            <w:vAlign w:val="center"/>
          </w:tcPr>
          <w:p>
            <w:pPr>
              <w:spacing w:line="360" w:lineRule="auto"/>
              <w:jc w:val="both"/>
              <w:rPr>
                <w:rFonts w:cs="宋体" w:asciiTheme="majorEastAsia" w:hAnsiTheme="majorEastAsia" w:eastAsiaTheme="majorEastAsia"/>
                <w:sz w:val="24"/>
              </w:rPr>
            </w:pPr>
            <w:r>
              <w:rPr>
                <w:rFonts w:hint="eastAsia" w:cs="宋体" w:asciiTheme="majorEastAsia" w:hAnsiTheme="majorEastAsia" w:eastAsiaTheme="majorEastAsia"/>
                <w:sz w:val="24"/>
              </w:rPr>
              <w:t>投标文件按照招标文件要求签署、盖章。</w:t>
            </w:r>
          </w:p>
        </w:tc>
        <w:tc>
          <w:tcPr>
            <w:tcW w:w="1328" w:type="pct"/>
            <w:vAlign w:val="center"/>
          </w:tcPr>
          <w:p>
            <w:pPr>
              <w:rPr>
                <w:rFonts w:cs="宋体" w:asciiTheme="majorEastAsia" w:hAnsiTheme="majorEastAsia" w:eastAsiaTheme="majorEastAsia"/>
                <w:sz w:val="24"/>
              </w:rPr>
            </w:pPr>
            <w:r>
              <w:rPr>
                <w:rFonts w:hint="eastAsia" w:cs="宋体" w:asciiTheme="majorEastAsia" w:hAnsiTheme="majorEastAsia" w:eastAsiaTheme="majorEastAsia"/>
                <w:sz w:val="24"/>
              </w:rPr>
              <w:t>需要使用电子签名或者签字盖章的投标文件的组成部分</w:t>
            </w:r>
          </w:p>
        </w:tc>
        <w:tc>
          <w:tcPr>
            <w:tcW w:w="737" w:type="pct"/>
            <w:vAlign w:val="center"/>
          </w:tcPr>
          <w:p>
            <w:pPr>
              <w:jc w:val="both"/>
              <w:rPr>
                <w:rFonts w:cs="宋体" w:asciiTheme="majorEastAsia" w:hAnsiTheme="majorEastAsia" w:eastAsiaTheme="majorEastAsia"/>
                <w:sz w:val="24"/>
              </w:rPr>
            </w:pPr>
            <w:r>
              <w:rPr>
                <w:rFonts w:hint="eastAsia" w:cs="宋体" w:asciiTheme="majorEastAsia" w:hAnsiTheme="majorEastAsia" w:eastAsiaTheme="majorEastAsia"/>
                <w:sz w:val="24"/>
              </w:rPr>
              <w:t>见投标文件</w:t>
            </w:r>
          </w:p>
          <w:p>
            <w:pPr>
              <w:jc w:val="both"/>
              <w:rPr>
                <w:rFonts w:cs="宋体" w:asciiTheme="majorEastAsia" w:hAnsiTheme="majorEastAsia" w:eastAsiaTheme="majorEastAsia"/>
              </w:rPr>
            </w:pPr>
            <w:r>
              <w:rPr>
                <w:rFonts w:hint="eastAsia" w:cs="宋体" w:asciiTheme="majorEastAsia" w:hAnsiTheme="majorEastAsia" w:eastAsiaTheme="majorEastAsia"/>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6" w:type="pct"/>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2</w:t>
            </w:r>
          </w:p>
        </w:tc>
        <w:tc>
          <w:tcPr>
            <w:tcW w:w="2598" w:type="pct"/>
            <w:vAlign w:val="center"/>
          </w:tcPr>
          <w:p>
            <w:pPr>
              <w:spacing w:line="360" w:lineRule="auto"/>
              <w:jc w:val="both"/>
              <w:rPr>
                <w:rFonts w:cs="宋体" w:asciiTheme="majorEastAsia" w:hAnsiTheme="majorEastAsia" w:eastAsiaTheme="majorEastAsia"/>
                <w:sz w:val="24"/>
              </w:rPr>
            </w:pPr>
            <w:r>
              <w:rPr>
                <w:rFonts w:hint="eastAsia" w:cs="宋体" w:asciiTheme="majorEastAsia" w:hAnsiTheme="majorEastAsia" w:eastAsiaTheme="majorEastAsia"/>
                <w:sz w:val="24"/>
              </w:rPr>
              <w:t>投标文件中承诺的投标有效期不少于招标文件中载明的投标有效期。</w:t>
            </w:r>
          </w:p>
        </w:tc>
        <w:tc>
          <w:tcPr>
            <w:tcW w:w="1328" w:type="pct"/>
            <w:vAlign w:val="center"/>
          </w:tcPr>
          <w:p>
            <w:pPr>
              <w:rPr>
                <w:rFonts w:cs="宋体" w:asciiTheme="majorEastAsia" w:hAnsiTheme="majorEastAsia" w:eastAsiaTheme="majorEastAsia"/>
                <w:sz w:val="24"/>
              </w:rPr>
            </w:pPr>
            <w:r>
              <w:rPr>
                <w:rFonts w:hint="eastAsia" w:cs="宋体" w:asciiTheme="majorEastAsia" w:hAnsiTheme="majorEastAsia" w:eastAsiaTheme="majorEastAsia"/>
                <w:sz w:val="24"/>
              </w:rPr>
              <w:t>投标函</w:t>
            </w:r>
          </w:p>
        </w:tc>
        <w:tc>
          <w:tcPr>
            <w:tcW w:w="737" w:type="pct"/>
            <w:vAlign w:val="center"/>
          </w:tcPr>
          <w:p>
            <w:pPr>
              <w:jc w:val="both"/>
              <w:rPr>
                <w:rFonts w:cs="宋体" w:asciiTheme="majorEastAsia" w:hAnsiTheme="majorEastAsia" w:eastAsiaTheme="majorEastAsia"/>
              </w:rPr>
            </w:pPr>
            <w:r>
              <w:rPr>
                <w:rFonts w:hint="eastAsia" w:cs="宋体" w:asciiTheme="majorEastAsia" w:hAnsiTheme="majorEastAsia" w:eastAsiaTheme="majorEastAsia"/>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336" w:type="pct"/>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3</w:t>
            </w:r>
          </w:p>
        </w:tc>
        <w:tc>
          <w:tcPr>
            <w:tcW w:w="2598" w:type="pct"/>
            <w:vAlign w:val="center"/>
          </w:tcPr>
          <w:p>
            <w:pPr>
              <w:spacing w:line="360" w:lineRule="auto"/>
              <w:jc w:val="both"/>
              <w:rPr>
                <w:rFonts w:cs="宋体" w:asciiTheme="majorEastAsia" w:hAnsiTheme="majorEastAsia" w:eastAsiaTheme="majorEastAsia"/>
                <w:sz w:val="24"/>
              </w:rPr>
            </w:pPr>
            <w:r>
              <w:rPr>
                <w:rFonts w:hint="eastAsia" w:cs="宋体" w:asciiTheme="majorEastAsia" w:hAnsiTheme="majorEastAsia" w:eastAsiaTheme="majorEastAsia"/>
                <w:sz w:val="24"/>
              </w:rPr>
              <w:t>投标文件满足招标文件的其它实质性要求。</w:t>
            </w:r>
          </w:p>
        </w:tc>
        <w:tc>
          <w:tcPr>
            <w:tcW w:w="1328" w:type="pct"/>
            <w:vAlign w:val="center"/>
          </w:tcPr>
          <w:p>
            <w:pPr>
              <w:rPr>
                <w:rFonts w:cs="宋体" w:asciiTheme="majorEastAsia" w:hAnsiTheme="majorEastAsia" w:eastAsiaTheme="majorEastAsia"/>
                <w:sz w:val="24"/>
              </w:rPr>
            </w:pPr>
            <w:r>
              <w:rPr>
                <w:rFonts w:hint="eastAsia" w:cs="宋体" w:asciiTheme="majorEastAsia" w:hAnsiTheme="majorEastAsia" w:eastAsiaTheme="majorEastAsia"/>
                <w:kern w:val="0"/>
                <w:sz w:val="24"/>
              </w:rPr>
              <w:t>招标文件其它实质性要求相应的材料（“▲” 系指实质性要求条款，招标文件无其它实质性要求的，无需提供）</w:t>
            </w:r>
          </w:p>
        </w:tc>
        <w:tc>
          <w:tcPr>
            <w:tcW w:w="737" w:type="pct"/>
            <w:vAlign w:val="center"/>
          </w:tcPr>
          <w:p>
            <w:pPr>
              <w:jc w:val="both"/>
              <w:rPr>
                <w:rFonts w:cs="宋体" w:asciiTheme="majorEastAsia" w:hAnsiTheme="majorEastAsia" w:eastAsiaTheme="majorEastAsia"/>
              </w:rPr>
            </w:pPr>
            <w:r>
              <w:rPr>
                <w:rFonts w:hint="eastAsia" w:cs="宋体" w:asciiTheme="majorEastAsia" w:hAnsiTheme="majorEastAsia" w:eastAsiaTheme="majorEastAsia"/>
                <w:sz w:val="24"/>
              </w:rPr>
              <w:t>见投标文件第页</w:t>
            </w:r>
          </w:p>
        </w:tc>
      </w:tr>
    </w:tbl>
    <w:p>
      <w:pPr>
        <w:spacing w:line="360" w:lineRule="auto"/>
        <w:ind w:right="420"/>
        <w:rPr>
          <w:rFonts w:cs="宋体" w:asciiTheme="majorEastAsia" w:hAnsiTheme="majorEastAsia" w:eastAsiaTheme="majorEastAsia"/>
          <w:sz w:val="24"/>
        </w:rPr>
      </w:pPr>
      <w:r>
        <w:rPr>
          <w:rFonts w:hint="eastAsia" w:cs="宋体" w:asciiTheme="majorEastAsia" w:hAnsiTheme="majorEastAsia" w:eastAsiaTheme="majorEastAsia"/>
          <w:sz w:val="24"/>
        </w:rPr>
        <w:t>注：按本格式和要求提供。</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lang w:eastAsia="zh-CN"/>
        </w:rPr>
      </w:pPr>
    </w:p>
    <w:p>
      <w:pPr>
        <w:jc w:val="center"/>
        <w:rPr>
          <w:rFonts w:cs="宋体" w:asciiTheme="majorEastAsia" w:hAnsiTheme="majorEastAsia" w:eastAsiaTheme="majorEastAsia"/>
        </w:rPr>
      </w:pPr>
      <w:r>
        <w:rPr>
          <w:rFonts w:hint="eastAsia" w:cs="宋体" w:asciiTheme="majorEastAsia" w:hAnsiTheme="majorEastAsia" w:eastAsiaTheme="majorEastAsia"/>
          <w:b/>
          <w:kern w:val="0"/>
          <w:sz w:val="32"/>
          <w:szCs w:val="32"/>
          <w:lang w:eastAsia="zh-CN"/>
        </w:rPr>
        <w:t>四</w:t>
      </w:r>
      <w:r>
        <w:rPr>
          <w:rFonts w:hint="eastAsia" w:cs="宋体" w:asciiTheme="majorEastAsia" w:hAnsiTheme="majorEastAsia" w:eastAsiaTheme="majorEastAsia"/>
          <w:b/>
          <w:kern w:val="0"/>
          <w:sz w:val="32"/>
          <w:szCs w:val="32"/>
        </w:rPr>
        <w:t>、评标标准相应的商务技术资料</w:t>
      </w:r>
    </w:p>
    <w:p>
      <w:pPr>
        <w:snapToGrid w:val="0"/>
        <w:spacing w:line="360" w:lineRule="auto"/>
        <w:jc w:val="left"/>
        <w:rPr>
          <w:rFonts w:cs="宋体" w:asciiTheme="majorEastAsia" w:hAnsiTheme="majorEastAsia" w:eastAsiaTheme="majorEastAsia"/>
          <w:b/>
          <w:sz w:val="24"/>
        </w:rPr>
      </w:pPr>
      <w:r>
        <w:rPr>
          <w:rFonts w:hint="eastAsia" w:cs="宋体" w:asciiTheme="majorEastAsia" w:hAnsiTheme="majorEastAsia" w:eastAsiaTheme="majorEastAsia"/>
          <w:b/>
          <w:sz w:val="24"/>
        </w:rPr>
        <w:t>（按招标文件第四部分评标办法前附表中“投标文件中评标标准相应的商务技术资料目录”提供资料。）</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ind w:firstLine="2891" w:firstLineChars="900"/>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五</w:t>
      </w:r>
      <w:r>
        <w:rPr>
          <w:rFonts w:hint="eastAsia" w:cs="宋体" w:asciiTheme="majorEastAsia" w:hAnsiTheme="majorEastAsia" w:eastAsiaTheme="majorEastAsia"/>
          <w:b/>
          <w:kern w:val="0"/>
          <w:sz w:val="32"/>
          <w:szCs w:val="32"/>
        </w:rPr>
        <w:t>、投标标的清单</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310"/>
        <w:gridCol w:w="1065"/>
        <w:gridCol w:w="1204"/>
        <w:gridCol w:w="2653"/>
        <w:gridCol w:w="88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序号</w:t>
            </w:r>
          </w:p>
        </w:tc>
        <w:tc>
          <w:tcPr>
            <w:tcW w:w="7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名称</w:t>
            </w:r>
          </w:p>
        </w:tc>
        <w:tc>
          <w:tcPr>
            <w:tcW w:w="573" w:type="pct"/>
            <w:tcBorders>
              <w:top w:val="single" w:color="auto" w:sz="4" w:space="0"/>
              <w:left w:val="single" w:color="auto" w:sz="4" w:space="0"/>
              <w:bottom w:val="single" w:color="auto" w:sz="4" w:space="0"/>
              <w:right w:val="single" w:color="auto" w:sz="4" w:space="0"/>
            </w:tcBorders>
          </w:tcPr>
          <w:p>
            <w:pPr>
              <w:spacing w:line="360" w:lineRule="auto"/>
              <w:jc w:val="center"/>
              <w:rPr>
                <w:rFonts w:cs="宋体" w:asciiTheme="majorEastAsia" w:hAnsiTheme="majorEastAsia" w:eastAsiaTheme="majorEastAsia"/>
                <w:b/>
                <w:sz w:val="24"/>
              </w:rPr>
            </w:pPr>
          </w:p>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服务范围</w:t>
            </w:r>
          </w:p>
        </w:tc>
        <w:tc>
          <w:tcPr>
            <w:tcW w:w="64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服务要求</w:t>
            </w:r>
          </w:p>
        </w:tc>
        <w:tc>
          <w:tcPr>
            <w:tcW w:w="14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服务时间</w:t>
            </w:r>
          </w:p>
        </w:tc>
        <w:tc>
          <w:tcPr>
            <w:tcW w:w="4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服务标准</w:t>
            </w:r>
          </w:p>
        </w:tc>
        <w:tc>
          <w:tcPr>
            <w:tcW w:w="78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
                <w:sz w:val="24"/>
              </w:rPr>
            </w:pPr>
          </w:p>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备注（如果有）</w:t>
            </w:r>
          </w:p>
          <w:p>
            <w:pPr>
              <w:spacing w:line="360" w:lineRule="auto"/>
              <w:jc w:val="center"/>
              <w:rPr>
                <w:rFonts w:cs="宋体" w:asciiTheme="majorEastAsia" w:hAnsiTheme="majorEastAsia"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1</w:t>
            </w:r>
          </w:p>
        </w:tc>
        <w:tc>
          <w:tcPr>
            <w:tcW w:w="70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p>
        </w:tc>
        <w:tc>
          <w:tcPr>
            <w:tcW w:w="57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p>
        </w:tc>
        <w:tc>
          <w:tcPr>
            <w:tcW w:w="648"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p>
        </w:tc>
        <w:tc>
          <w:tcPr>
            <w:tcW w:w="14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p>
        </w:tc>
        <w:tc>
          <w:tcPr>
            <w:tcW w:w="78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2</w:t>
            </w:r>
          </w:p>
        </w:tc>
        <w:tc>
          <w:tcPr>
            <w:tcW w:w="70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p>
        </w:tc>
        <w:tc>
          <w:tcPr>
            <w:tcW w:w="57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p>
        </w:tc>
        <w:tc>
          <w:tcPr>
            <w:tcW w:w="648"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p>
        </w:tc>
        <w:tc>
          <w:tcPr>
            <w:tcW w:w="14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p>
        </w:tc>
        <w:tc>
          <w:tcPr>
            <w:tcW w:w="78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w:t>
            </w:r>
          </w:p>
        </w:tc>
        <w:tc>
          <w:tcPr>
            <w:tcW w:w="70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p>
        </w:tc>
        <w:tc>
          <w:tcPr>
            <w:tcW w:w="57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p>
        </w:tc>
        <w:tc>
          <w:tcPr>
            <w:tcW w:w="648"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ajorEastAsia" w:hAnsiTheme="majorEastAsia" w:eastAsiaTheme="majorEastAsia"/>
                <w:sz w:val="24"/>
              </w:rPr>
            </w:pPr>
          </w:p>
        </w:tc>
        <w:tc>
          <w:tcPr>
            <w:tcW w:w="14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p>
        </w:tc>
        <w:tc>
          <w:tcPr>
            <w:tcW w:w="78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sz w:val="24"/>
              </w:rPr>
            </w:pPr>
          </w:p>
        </w:tc>
      </w:tr>
    </w:tbl>
    <w:p>
      <w:pPr>
        <w:spacing w:line="360" w:lineRule="auto"/>
        <w:ind w:right="420"/>
        <w:rPr>
          <w:rFonts w:cs="宋体" w:asciiTheme="majorEastAsia" w:hAnsiTheme="majorEastAsia" w:eastAsiaTheme="majorEastAsia"/>
          <w:sz w:val="24"/>
        </w:rPr>
      </w:pPr>
      <w:r>
        <w:rPr>
          <w:rFonts w:hint="eastAsia" w:cs="宋体" w:asciiTheme="majorEastAsia" w:hAnsiTheme="majorEastAsia" w:eastAsiaTheme="majorEastAsia"/>
          <w:sz w:val="24"/>
        </w:rPr>
        <w:t>注：按本格式和要求提供。</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六</w:t>
      </w:r>
      <w:r>
        <w:rPr>
          <w:rFonts w:hint="eastAsia" w:cs="宋体" w:asciiTheme="majorEastAsia" w:hAnsiTheme="majorEastAsia" w:eastAsiaTheme="majorEastAsia"/>
          <w:b/>
          <w:kern w:val="0"/>
          <w:sz w:val="32"/>
          <w:szCs w:val="32"/>
        </w:rPr>
        <w:t>、商务技术偏离表</w:t>
      </w:r>
    </w:p>
    <w:tbl>
      <w:tblPr>
        <w:tblStyle w:val="6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3612"/>
        <w:gridCol w:w="347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jc w:val="center"/>
              <w:rPr>
                <w:rFonts w:cs="宋体" w:asciiTheme="majorEastAsia" w:hAnsiTheme="majorEastAsia" w:eastAsiaTheme="majorEastAsia"/>
                <w:b/>
                <w:bCs/>
                <w:sz w:val="24"/>
              </w:rPr>
            </w:pPr>
            <w:r>
              <w:rPr>
                <w:rFonts w:hint="eastAsia" w:cs="宋体" w:asciiTheme="majorEastAsia" w:hAnsiTheme="majorEastAsia" w:eastAsiaTheme="majorEastAsia"/>
                <w:b/>
                <w:bCs/>
                <w:sz w:val="24"/>
              </w:rPr>
              <w:t>序号</w:t>
            </w:r>
          </w:p>
        </w:tc>
        <w:tc>
          <w:tcPr>
            <w:tcW w:w="1945" w:type="pct"/>
          </w:tcPr>
          <w:p>
            <w:pPr>
              <w:jc w:val="center"/>
              <w:rPr>
                <w:rFonts w:cs="宋体" w:asciiTheme="majorEastAsia" w:hAnsiTheme="majorEastAsia" w:eastAsiaTheme="majorEastAsia"/>
                <w:b/>
                <w:bCs/>
                <w:sz w:val="24"/>
              </w:rPr>
            </w:pPr>
            <w:r>
              <w:rPr>
                <w:rFonts w:hint="eastAsia" w:cs="宋体" w:asciiTheme="majorEastAsia" w:hAnsiTheme="majorEastAsia" w:eastAsiaTheme="majorEastAsia"/>
                <w:b/>
                <w:bCs/>
                <w:sz w:val="24"/>
              </w:rPr>
              <w:t>招标文件章节及具体内容</w:t>
            </w:r>
          </w:p>
        </w:tc>
        <w:tc>
          <w:tcPr>
            <w:tcW w:w="1873" w:type="pct"/>
          </w:tcPr>
          <w:p>
            <w:pPr>
              <w:jc w:val="center"/>
              <w:rPr>
                <w:rFonts w:cs="宋体" w:asciiTheme="majorEastAsia" w:hAnsiTheme="majorEastAsia" w:eastAsiaTheme="majorEastAsia"/>
                <w:b/>
                <w:bCs/>
                <w:sz w:val="24"/>
              </w:rPr>
            </w:pPr>
            <w:r>
              <w:rPr>
                <w:rFonts w:hint="eastAsia" w:cs="宋体" w:asciiTheme="majorEastAsia" w:hAnsiTheme="majorEastAsia" w:eastAsiaTheme="majorEastAsia"/>
                <w:b/>
                <w:bCs/>
                <w:sz w:val="24"/>
              </w:rPr>
              <w:t>投标文件章节及具体内容</w:t>
            </w:r>
          </w:p>
        </w:tc>
        <w:tc>
          <w:tcPr>
            <w:tcW w:w="674" w:type="pct"/>
          </w:tcPr>
          <w:p>
            <w:pPr>
              <w:jc w:val="center"/>
              <w:rPr>
                <w:rFonts w:cs="宋体" w:asciiTheme="majorEastAsia" w:hAnsiTheme="majorEastAsia" w:eastAsiaTheme="majorEastAsia"/>
                <w:b/>
                <w:bCs/>
                <w:sz w:val="24"/>
              </w:rPr>
            </w:pPr>
            <w:r>
              <w:rPr>
                <w:rFonts w:hint="eastAsia" w:cs="宋体" w:asciiTheme="majorEastAsia" w:hAnsiTheme="majorEastAsia" w:eastAsiaTheme="maj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1945" w:type="pct"/>
          </w:tcPr>
          <w:p>
            <w:pPr>
              <w:jc w:val="center"/>
              <w:rPr>
                <w:rFonts w:cs="宋体" w:asciiTheme="majorEastAsia" w:hAnsiTheme="majorEastAsia" w:eastAsiaTheme="majorEastAsia"/>
                <w:b/>
                <w:kern w:val="0"/>
                <w:sz w:val="32"/>
                <w:szCs w:val="32"/>
              </w:rPr>
            </w:pPr>
          </w:p>
        </w:tc>
        <w:tc>
          <w:tcPr>
            <w:tcW w:w="1873" w:type="pct"/>
          </w:tcPr>
          <w:p>
            <w:pPr>
              <w:jc w:val="center"/>
              <w:rPr>
                <w:rFonts w:cs="宋体" w:asciiTheme="majorEastAsia" w:hAnsiTheme="majorEastAsia" w:eastAsiaTheme="majorEastAsia"/>
                <w:b/>
                <w:kern w:val="0"/>
                <w:sz w:val="32"/>
                <w:szCs w:val="32"/>
              </w:rPr>
            </w:pPr>
          </w:p>
        </w:tc>
        <w:tc>
          <w:tcPr>
            <w:tcW w:w="674" w:type="pct"/>
          </w:tcPr>
          <w:p>
            <w:pPr>
              <w:jc w:val="center"/>
              <w:rPr>
                <w:rFonts w:cs="宋体" w:asciiTheme="majorEastAsia" w:hAnsiTheme="majorEastAsia" w:eastAsiaTheme="maj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1945" w:type="pct"/>
          </w:tcPr>
          <w:p>
            <w:pPr>
              <w:jc w:val="center"/>
              <w:rPr>
                <w:rFonts w:cs="宋体" w:asciiTheme="majorEastAsia" w:hAnsiTheme="majorEastAsia" w:eastAsiaTheme="majorEastAsia"/>
                <w:b/>
                <w:kern w:val="0"/>
                <w:sz w:val="32"/>
                <w:szCs w:val="32"/>
              </w:rPr>
            </w:pPr>
          </w:p>
        </w:tc>
        <w:tc>
          <w:tcPr>
            <w:tcW w:w="1873" w:type="pct"/>
          </w:tcPr>
          <w:p>
            <w:pPr>
              <w:jc w:val="center"/>
              <w:rPr>
                <w:rFonts w:cs="宋体" w:asciiTheme="majorEastAsia" w:hAnsiTheme="majorEastAsia" w:eastAsiaTheme="majorEastAsia"/>
                <w:b/>
                <w:kern w:val="0"/>
                <w:sz w:val="32"/>
                <w:szCs w:val="32"/>
              </w:rPr>
            </w:pPr>
          </w:p>
        </w:tc>
        <w:tc>
          <w:tcPr>
            <w:tcW w:w="674" w:type="pct"/>
          </w:tcPr>
          <w:p>
            <w:pPr>
              <w:jc w:val="center"/>
              <w:rPr>
                <w:rFonts w:cs="宋体" w:asciiTheme="majorEastAsia" w:hAnsiTheme="majorEastAsia" w:eastAsiaTheme="maj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w:t>
            </w:r>
          </w:p>
        </w:tc>
        <w:tc>
          <w:tcPr>
            <w:tcW w:w="1945" w:type="pct"/>
          </w:tcPr>
          <w:p>
            <w:pPr>
              <w:jc w:val="center"/>
              <w:rPr>
                <w:rFonts w:cs="宋体" w:asciiTheme="majorEastAsia" w:hAnsiTheme="majorEastAsia" w:eastAsiaTheme="majorEastAsia"/>
                <w:b/>
                <w:kern w:val="0"/>
                <w:sz w:val="32"/>
                <w:szCs w:val="32"/>
              </w:rPr>
            </w:pPr>
          </w:p>
        </w:tc>
        <w:tc>
          <w:tcPr>
            <w:tcW w:w="1873" w:type="pct"/>
          </w:tcPr>
          <w:p>
            <w:pPr>
              <w:jc w:val="center"/>
              <w:rPr>
                <w:rFonts w:cs="宋体" w:asciiTheme="majorEastAsia" w:hAnsiTheme="majorEastAsia" w:eastAsiaTheme="majorEastAsia"/>
                <w:b/>
                <w:kern w:val="0"/>
                <w:sz w:val="32"/>
                <w:szCs w:val="32"/>
              </w:rPr>
            </w:pPr>
          </w:p>
        </w:tc>
        <w:tc>
          <w:tcPr>
            <w:tcW w:w="674" w:type="pct"/>
          </w:tcPr>
          <w:p>
            <w:pPr>
              <w:jc w:val="center"/>
              <w:rPr>
                <w:rFonts w:cs="宋体" w:asciiTheme="majorEastAsia" w:hAnsiTheme="majorEastAsia" w:eastAsiaTheme="majorEastAsia"/>
                <w:b/>
                <w:kern w:val="0"/>
                <w:sz w:val="32"/>
                <w:szCs w:val="32"/>
              </w:rPr>
            </w:pPr>
          </w:p>
        </w:tc>
      </w:tr>
    </w:tbl>
    <w:p>
      <w:pPr>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投标人保证：除商务技术偏离表列出的偏离外，投标人响应招标文件的全部要求</w:t>
      </w:r>
    </w:p>
    <w:p>
      <w:pPr>
        <w:jc w:val="center"/>
        <w:rPr>
          <w:rFonts w:cs="宋体" w:asciiTheme="majorEastAsia" w:hAnsiTheme="majorEastAsia" w:eastAsiaTheme="majorEastAsia"/>
          <w:b/>
          <w:kern w:val="0"/>
          <w:sz w:val="32"/>
          <w:szCs w:val="32"/>
        </w:rPr>
      </w:pPr>
    </w:p>
    <w:p>
      <w:pPr>
        <w:spacing w:line="360" w:lineRule="auto"/>
        <w:ind w:right="420"/>
        <w:rPr>
          <w:rFonts w:cs="宋体" w:asciiTheme="majorEastAsia" w:hAnsiTheme="majorEastAsia" w:eastAsiaTheme="majorEastAsia"/>
          <w:sz w:val="24"/>
        </w:rPr>
      </w:pPr>
      <w:r>
        <w:rPr>
          <w:rFonts w:hint="eastAsia" w:cs="宋体" w:asciiTheme="majorEastAsia" w:hAnsiTheme="majorEastAsia" w:eastAsiaTheme="majorEastAsia"/>
          <w:sz w:val="24"/>
        </w:rPr>
        <w:t>注：按本格式和要求提供。</w:t>
      </w:r>
    </w:p>
    <w:p>
      <w:pPr>
        <w:ind w:firstLine="1911" w:firstLineChars="595"/>
        <w:rPr>
          <w:rFonts w:cs="宋体" w:asciiTheme="majorEastAsia" w:hAnsiTheme="majorEastAsia" w:eastAsiaTheme="majorEastAsia"/>
          <w:b/>
          <w:bCs/>
          <w:sz w:val="32"/>
          <w:szCs w:val="32"/>
        </w:rPr>
      </w:pPr>
    </w:p>
    <w:p>
      <w:pPr>
        <w:ind w:firstLine="1911" w:firstLineChars="595"/>
        <w:rPr>
          <w:rFonts w:cs="宋体" w:asciiTheme="majorEastAsia" w:hAnsiTheme="majorEastAsia" w:eastAsiaTheme="majorEastAsia"/>
          <w:b/>
          <w:bCs/>
          <w:sz w:val="32"/>
          <w:szCs w:val="32"/>
        </w:rPr>
      </w:pPr>
    </w:p>
    <w:p>
      <w:pPr>
        <w:ind w:firstLine="1911" w:firstLineChars="595"/>
        <w:rPr>
          <w:rFonts w:cs="宋体" w:asciiTheme="majorEastAsia" w:hAnsiTheme="majorEastAsia" w:eastAsiaTheme="majorEastAsia"/>
          <w:b/>
          <w:bCs/>
          <w:sz w:val="32"/>
          <w:szCs w:val="32"/>
        </w:rPr>
      </w:pPr>
    </w:p>
    <w:p>
      <w:pPr>
        <w:widowControl/>
        <w:adjustRightInd/>
        <w:jc w:val="left"/>
        <w:rPr>
          <w:rFonts w:cs="宋体" w:asciiTheme="majorEastAsia" w:hAnsiTheme="majorEastAsia" w:eastAsiaTheme="majorEastAsia"/>
          <w:b/>
          <w:bCs/>
          <w:sz w:val="32"/>
          <w:szCs w:val="32"/>
        </w:rPr>
      </w:pPr>
      <w:r>
        <w:rPr>
          <w:rFonts w:hint="eastAsia" w:cs="宋体" w:asciiTheme="majorEastAsia" w:hAnsiTheme="majorEastAsia" w:eastAsiaTheme="majorEastAsia"/>
          <w:b/>
          <w:bCs/>
          <w:sz w:val="32"/>
          <w:szCs w:val="32"/>
        </w:rPr>
        <w:br w:type="page"/>
      </w:r>
    </w:p>
    <w:p>
      <w:pPr>
        <w:ind w:firstLine="1911" w:firstLineChars="595"/>
        <w:rPr>
          <w:rFonts w:cs="宋体" w:asciiTheme="majorEastAsia" w:hAnsiTheme="majorEastAsia" w:eastAsiaTheme="majorEastAsia"/>
          <w:b/>
          <w:kern w:val="0"/>
          <w:sz w:val="32"/>
          <w:szCs w:val="32"/>
        </w:rPr>
      </w:pPr>
      <w:r>
        <w:rPr>
          <w:rFonts w:hint="eastAsia" w:cs="宋体" w:asciiTheme="majorEastAsia" w:hAnsiTheme="majorEastAsia" w:eastAsiaTheme="majorEastAsia"/>
          <w:b/>
          <w:bCs/>
          <w:sz w:val="32"/>
          <w:szCs w:val="32"/>
          <w:lang w:eastAsia="zh-CN"/>
        </w:rPr>
        <w:t>七</w:t>
      </w:r>
      <w:r>
        <w:rPr>
          <w:rFonts w:hint="eastAsia" w:cs="宋体" w:asciiTheme="majorEastAsia" w:hAnsiTheme="majorEastAsia" w:eastAsiaTheme="majorEastAsia"/>
          <w:b/>
          <w:kern w:val="0"/>
          <w:sz w:val="32"/>
          <w:szCs w:val="32"/>
        </w:rPr>
        <w:t>、</w:t>
      </w:r>
      <w:r>
        <w:rPr>
          <w:rFonts w:hint="eastAsia" w:cs="宋体" w:asciiTheme="majorEastAsia" w:hAnsiTheme="majorEastAsia" w:eastAsiaTheme="majorEastAsia"/>
          <w:b/>
          <w:kern w:val="0"/>
          <w:sz w:val="32"/>
          <w:szCs w:val="32"/>
          <w:lang w:val="zh-CN"/>
        </w:rPr>
        <w:t>政府采购供应商廉洁自律承诺书</w:t>
      </w:r>
    </w:p>
    <w:p>
      <w:pPr>
        <w:snapToGrid w:val="0"/>
        <w:spacing w:line="360" w:lineRule="auto"/>
        <w:rPr>
          <w:rFonts w:cs="宋体" w:asciiTheme="majorEastAsia" w:hAnsiTheme="majorEastAsia" w:eastAsiaTheme="majorEastAsia"/>
          <w:sz w:val="24"/>
        </w:rPr>
      </w:pPr>
    </w:p>
    <w:p>
      <w:pPr>
        <w:snapToGrid w:val="0"/>
        <w:spacing w:line="360" w:lineRule="auto"/>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sz w:val="24"/>
        </w:rPr>
        <w:t>（采购人）、（采购代理机构）</w:t>
      </w:r>
      <w:r>
        <w:rPr>
          <w:rFonts w:hint="eastAsia" w:cs="宋体" w:asciiTheme="majorEastAsia" w:hAnsiTheme="majorEastAsia" w:eastAsiaTheme="majorEastAsia"/>
          <w:color w:val="auto"/>
          <w:kern w:val="0"/>
          <w:sz w:val="24"/>
          <w:lang w:val="zh-CN"/>
        </w:rPr>
        <w:t>：</w:t>
      </w:r>
    </w:p>
    <w:p>
      <w:pPr>
        <w:autoSpaceDE w:val="0"/>
        <w:autoSpaceDN w:val="0"/>
        <w:spacing w:line="360" w:lineRule="auto"/>
        <w:ind w:left="2" w:leftChars="1"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我单位响应你</w:t>
      </w:r>
      <w:r>
        <w:rPr>
          <w:rFonts w:hint="eastAsia" w:cs="宋体" w:asciiTheme="majorEastAsia" w:hAnsiTheme="majorEastAsia" w:eastAsiaTheme="majorEastAsia"/>
          <w:sz w:val="24"/>
        </w:rPr>
        <w:t>单位</w:t>
      </w:r>
      <w:r>
        <w:rPr>
          <w:rFonts w:hint="eastAsia" w:cs="宋体" w:asciiTheme="majorEastAsia" w:hAnsiTheme="majorEastAsia" w:eastAsiaTheme="maj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四、不为项目有关人员及部门出国（境）、旅游等提供方便；</w:t>
      </w:r>
    </w:p>
    <w:p>
      <w:pPr>
        <w:autoSpaceDE w:val="0"/>
        <w:autoSpaceDN w:val="0"/>
        <w:spacing w:line="360" w:lineRule="auto"/>
        <w:ind w:left="481" w:leftChars="229"/>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五、不为项目有关人员个人装修住房、婚丧嫁娶、配偶子女工作安排等提供</w:t>
      </w:r>
    </w:p>
    <w:p>
      <w:pPr>
        <w:autoSpaceDE w:val="0"/>
        <w:autoSpaceDN w:val="0"/>
        <w:spacing w:line="360" w:lineRule="auto"/>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好处；</w:t>
      </w:r>
    </w:p>
    <w:p>
      <w:pPr>
        <w:autoSpaceDE w:val="0"/>
        <w:autoSpaceDN w:val="0"/>
        <w:spacing w:line="360" w:lineRule="auto"/>
        <w:ind w:left="481" w:leftChars="229"/>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六、严格遵守《</w:t>
      </w:r>
      <w:r>
        <w:rPr>
          <w:rFonts w:hint="eastAsia" w:cs="宋体" w:asciiTheme="majorEastAsia" w:hAnsiTheme="majorEastAsia" w:eastAsiaTheme="majorEastAsia"/>
          <w:sz w:val="24"/>
          <w:lang w:val="zh-CN"/>
        </w:rPr>
        <w:t>中华人民共和国</w:t>
      </w:r>
      <w:r>
        <w:rPr>
          <w:rFonts w:hint="eastAsia" w:cs="宋体" w:asciiTheme="majorEastAsia" w:hAnsiTheme="majorEastAsia" w:eastAsiaTheme="majorEastAsia"/>
          <w:kern w:val="0"/>
          <w:sz w:val="24"/>
          <w:lang w:val="zh-CN"/>
        </w:rPr>
        <w:t>政府采购法》《</w:t>
      </w:r>
      <w:r>
        <w:rPr>
          <w:rFonts w:hint="eastAsia" w:cs="宋体" w:asciiTheme="majorEastAsia" w:hAnsiTheme="majorEastAsia" w:eastAsiaTheme="majorEastAsia"/>
          <w:sz w:val="24"/>
          <w:lang w:val="zh-CN"/>
        </w:rPr>
        <w:t>中华人民共和国</w:t>
      </w:r>
      <w:r>
        <w:rPr>
          <w:rFonts w:hint="eastAsia" w:cs="宋体" w:asciiTheme="majorEastAsia" w:hAnsiTheme="majorEastAsia" w:eastAsiaTheme="majorEastAsia"/>
          <w:kern w:val="0"/>
          <w:sz w:val="24"/>
          <w:lang w:val="zh-CN"/>
        </w:rPr>
        <w:t>招标投标</w:t>
      </w:r>
    </w:p>
    <w:p>
      <w:pPr>
        <w:autoSpaceDE w:val="0"/>
        <w:autoSpaceDN w:val="0"/>
        <w:spacing w:line="360" w:lineRule="auto"/>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法》</w:t>
      </w:r>
      <w:r>
        <w:rPr>
          <w:rFonts w:hint="eastAsia" w:cs="宋体" w:asciiTheme="majorEastAsia" w:hAnsiTheme="majorEastAsia" w:eastAsiaTheme="majorEastAsia"/>
          <w:sz w:val="24"/>
          <w:lang w:val="zh-CN"/>
        </w:rPr>
        <w:t>《中华人民共和国民法典》</w:t>
      </w:r>
      <w:r>
        <w:rPr>
          <w:rFonts w:hint="eastAsia" w:cs="宋体" w:asciiTheme="majorEastAsia" w:hAnsiTheme="majorEastAsia" w:eastAsiaTheme="maj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如违反上述承诺，你</w:t>
      </w:r>
      <w:r>
        <w:rPr>
          <w:rFonts w:hint="eastAsia" w:cs="宋体" w:asciiTheme="majorEastAsia" w:hAnsiTheme="majorEastAsia" w:eastAsiaTheme="majorEastAsia"/>
          <w:sz w:val="24"/>
        </w:rPr>
        <w:t>单位</w:t>
      </w:r>
      <w:r>
        <w:rPr>
          <w:rFonts w:hint="eastAsia" w:cs="宋体" w:asciiTheme="majorEastAsia" w:hAnsiTheme="majorEastAsia" w:eastAsiaTheme="majorEastAsia"/>
          <w:kern w:val="0"/>
          <w:sz w:val="24"/>
          <w:lang w:val="zh-CN"/>
        </w:rPr>
        <w:t>有权立即取消我单位投标、中标或在建项目的建设资格，有权拒绝我单位在一定时期内进入你</w:t>
      </w:r>
      <w:r>
        <w:rPr>
          <w:rFonts w:hint="eastAsia" w:cs="宋体" w:asciiTheme="majorEastAsia" w:hAnsiTheme="majorEastAsia" w:eastAsiaTheme="majorEastAsia"/>
          <w:sz w:val="24"/>
        </w:rPr>
        <w:t>单位</w:t>
      </w:r>
      <w:r>
        <w:rPr>
          <w:rFonts w:hint="eastAsia" w:cs="宋体" w:asciiTheme="majorEastAsia" w:hAnsiTheme="majorEastAsia" w:eastAsiaTheme="maj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宋体" w:asciiTheme="majorEastAsia" w:hAnsiTheme="majorEastAsia" w:eastAsiaTheme="majorEastAsia"/>
          <w:kern w:val="0"/>
          <w:sz w:val="24"/>
          <w:lang w:val="zh-CN"/>
        </w:rPr>
      </w:pPr>
    </w:p>
    <w:p>
      <w:pPr>
        <w:autoSpaceDE w:val="0"/>
        <w:autoSpaceDN w:val="0"/>
        <w:spacing w:line="360" w:lineRule="auto"/>
        <w:ind w:left="2"/>
        <w:jc w:val="left"/>
        <w:rPr>
          <w:rFonts w:cs="宋体" w:asciiTheme="majorEastAsia" w:hAnsiTheme="majorEastAsia" w:eastAsiaTheme="majorEastAsia"/>
          <w:kern w:val="0"/>
          <w:sz w:val="24"/>
          <w:lang w:val="zh-CN"/>
        </w:rPr>
      </w:pPr>
    </w:p>
    <w:p>
      <w:pPr>
        <w:autoSpaceDE w:val="0"/>
        <w:autoSpaceDN w:val="0"/>
        <w:spacing w:line="360" w:lineRule="auto"/>
        <w:ind w:left="2"/>
        <w:jc w:val="left"/>
        <w:rPr>
          <w:rFonts w:cs="宋体" w:asciiTheme="majorEastAsia" w:hAnsiTheme="majorEastAsia" w:eastAsiaTheme="majorEastAsia"/>
          <w:kern w:val="0"/>
          <w:sz w:val="24"/>
          <w:lang w:val="zh-CN"/>
        </w:rPr>
      </w:pPr>
    </w:p>
    <w:p>
      <w:pPr>
        <w:autoSpaceDE w:val="0"/>
        <w:autoSpaceDN w:val="0"/>
        <w:spacing w:line="360" w:lineRule="auto"/>
        <w:ind w:left="2" w:leftChars="1" w:right="1120" w:firstLine="4560" w:firstLineChars="1900"/>
        <w:jc w:val="left"/>
        <w:rPr>
          <w:rFonts w:cs="宋体" w:asciiTheme="majorEastAsia" w:hAnsiTheme="majorEastAsia" w:eastAsiaTheme="majorEastAsia"/>
          <w:kern w:val="0"/>
          <w:sz w:val="24"/>
          <w:lang w:val="zh-CN"/>
        </w:rPr>
      </w:pPr>
      <w:r>
        <w:rPr>
          <w:rFonts w:hint="eastAsia" w:cs="宋体" w:asciiTheme="majorEastAsia" w:hAnsiTheme="majorEastAsia" w:eastAsiaTheme="majorEastAsia"/>
          <w:kern w:val="0"/>
          <w:sz w:val="24"/>
          <w:lang w:val="zh-CN"/>
        </w:rPr>
        <w:t>投标人名称（</w:t>
      </w:r>
      <w:r>
        <w:rPr>
          <w:rFonts w:hint="eastAsia" w:cs="宋体" w:asciiTheme="majorEastAsia" w:hAnsiTheme="majorEastAsia" w:eastAsiaTheme="majorEastAsia"/>
          <w:sz w:val="24"/>
        </w:rPr>
        <w:t>电子签名</w:t>
      </w:r>
      <w:r>
        <w:rPr>
          <w:rFonts w:hint="eastAsia" w:cs="宋体" w:asciiTheme="majorEastAsia" w:hAnsiTheme="majorEastAsia" w:eastAsiaTheme="majorEastAsia"/>
          <w:kern w:val="0"/>
          <w:sz w:val="24"/>
          <w:lang w:val="zh-CN"/>
        </w:rPr>
        <w:t xml:space="preserve">）：                                                                                                                                                                                                               </w:t>
      </w:r>
    </w:p>
    <w:p>
      <w:pPr>
        <w:spacing w:line="360" w:lineRule="auto"/>
        <w:ind w:left="4620" w:leftChars="2200"/>
        <w:rPr>
          <w:rFonts w:cs="宋体" w:asciiTheme="majorEastAsia" w:hAnsiTheme="majorEastAsia" w:eastAsiaTheme="majorEastAsia"/>
          <w:sz w:val="24"/>
        </w:rPr>
      </w:pPr>
      <w:r>
        <w:rPr>
          <w:rFonts w:hint="eastAsia" w:cs="宋体" w:asciiTheme="majorEastAsia" w:hAnsiTheme="majorEastAsia" w:eastAsiaTheme="majorEastAsia"/>
          <w:kern w:val="0"/>
          <w:sz w:val="24"/>
          <w:lang w:val="zh-CN"/>
        </w:rPr>
        <w:t>日期</w:t>
      </w:r>
      <w:r>
        <w:rPr>
          <w:rFonts w:hint="eastAsia" w:cs="宋体" w:asciiTheme="majorEastAsia" w:hAnsiTheme="majorEastAsia" w:eastAsiaTheme="majorEastAsia"/>
          <w:kern w:val="0"/>
          <w:sz w:val="24"/>
        </w:rPr>
        <w:t>：</w:t>
      </w:r>
      <w:r>
        <w:rPr>
          <w:rFonts w:hint="eastAsia" w:cs="宋体" w:asciiTheme="majorEastAsia" w:hAnsiTheme="majorEastAsia" w:eastAsiaTheme="majorEastAsia"/>
          <w:kern w:val="0"/>
          <w:sz w:val="24"/>
          <w:lang w:val="zh-CN"/>
        </w:rPr>
        <w:t xml:space="preserve">   年   月   日</w:t>
      </w:r>
    </w:p>
    <w:p>
      <w:pPr>
        <w:spacing w:line="360" w:lineRule="auto"/>
        <w:jc w:val="center"/>
        <w:rPr>
          <w:rFonts w:cs="宋体" w:asciiTheme="majorEastAsia" w:hAnsiTheme="majorEastAsia" w:eastAsiaTheme="majorEastAsia"/>
          <w:b/>
          <w:bCs/>
          <w:sz w:val="24"/>
        </w:rPr>
      </w:pPr>
    </w:p>
    <w:p>
      <w:pPr>
        <w:spacing w:line="360" w:lineRule="auto"/>
        <w:ind w:right="420"/>
        <w:rPr>
          <w:rFonts w:cs="宋体" w:asciiTheme="majorEastAsia" w:hAnsiTheme="majorEastAsia" w:eastAsiaTheme="majorEastAsia"/>
          <w:sz w:val="24"/>
        </w:rPr>
      </w:pPr>
      <w:r>
        <w:rPr>
          <w:rFonts w:hint="eastAsia" w:cs="宋体" w:asciiTheme="majorEastAsia" w:hAnsiTheme="majorEastAsia" w:eastAsiaTheme="majorEastAsia"/>
          <w:sz w:val="24"/>
        </w:rPr>
        <w:t>注：按本格式和要求提供。</w:t>
      </w:r>
    </w:p>
    <w:p>
      <w:pPr>
        <w:spacing w:line="360" w:lineRule="auto"/>
        <w:jc w:val="center"/>
        <w:rPr>
          <w:rFonts w:cs="宋体" w:asciiTheme="majorEastAsia" w:hAnsiTheme="majorEastAsia" w:eastAsiaTheme="majorEastAsia"/>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报价文件部分</w:t>
      </w:r>
    </w:p>
    <w:p>
      <w:pPr>
        <w:spacing w:line="360" w:lineRule="auto"/>
        <w:jc w:val="center"/>
        <w:outlineLvl w:val="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目录</w:t>
      </w:r>
    </w:p>
    <w:p>
      <w:pPr>
        <w:spacing w:line="360" w:lineRule="auto"/>
        <w:jc w:val="center"/>
        <w:outlineLvl w:val="0"/>
        <w:rPr>
          <w:rFonts w:cs="宋体" w:asciiTheme="majorEastAsia" w:hAnsiTheme="majorEastAsia" w:eastAsiaTheme="majorEastAsia"/>
          <w:b/>
          <w:kern w:val="0"/>
          <w:sz w:val="36"/>
          <w:szCs w:val="36"/>
        </w:rPr>
      </w:pPr>
    </w:p>
    <w:p>
      <w:pPr>
        <w:numPr>
          <w:ilvl w:val="0"/>
          <w:numId w:val="4"/>
        </w:numPr>
        <w:snapToGrid w:val="0"/>
        <w:spacing w:line="360" w:lineRule="auto"/>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开标一览表（报价表）………………………………………………………（页码）</w:t>
      </w:r>
    </w:p>
    <w:p>
      <w:pPr>
        <w:spacing w:line="360" w:lineRule="auto"/>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w:t>
      </w:r>
      <w:r>
        <w:rPr>
          <w:rFonts w:hint="eastAsia" w:cs="宋体" w:asciiTheme="majorEastAsia" w:hAnsiTheme="majorEastAsia" w:eastAsiaTheme="majorEastAsia"/>
          <w:bCs/>
          <w:snapToGrid w:val="0"/>
          <w:color w:val="auto"/>
          <w:sz w:val="24"/>
        </w:rPr>
        <w:t>报价情况说明</w:t>
      </w:r>
      <w:r>
        <w:rPr>
          <w:rFonts w:hint="eastAsia" w:cs="宋体" w:asciiTheme="majorEastAsia" w:hAnsiTheme="majorEastAsia" w:eastAsiaTheme="majorEastAsia"/>
          <w:bCs/>
          <w:snapToGrid w:val="0"/>
          <w:color w:val="auto"/>
          <w:sz w:val="24"/>
          <w:lang w:eastAsia="zh-CN"/>
        </w:rPr>
        <w:t>（如果有）</w:t>
      </w:r>
      <w:r>
        <w:rPr>
          <w:rFonts w:hint="eastAsia" w:cs="宋体" w:asciiTheme="majorEastAsia" w:hAnsiTheme="majorEastAsia" w:eastAsiaTheme="majorEastAsia"/>
          <w:color w:val="auto"/>
          <w:sz w:val="24"/>
        </w:rPr>
        <w:t>……………………………………………………（页码）</w:t>
      </w:r>
    </w:p>
    <w:p>
      <w:pPr>
        <w:pStyle w:val="80"/>
        <w:rPr>
          <w:rFonts w:cs="宋体" w:asciiTheme="majorEastAsia" w:hAnsiTheme="majorEastAsia" w:eastAsiaTheme="majorEastAsia"/>
        </w:rPr>
      </w:pPr>
    </w:p>
    <w:p>
      <w:pPr>
        <w:pStyle w:val="80"/>
        <w:rPr>
          <w:rFonts w:cs="宋体" w:asciiTheme="majorEastAsia" w:hAnsiTheme="majorEastAsia" w:eastAsiaTheme="majorEastAsia"/>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snapToGrid w:val="0"/>
        <w:spacing w:line="360" w:lineRule="auto"/>
        <w:ind w:right="480"/>
        <w:jc w:val="center"/>
        <w:rPr>
          <w:rFonts w:cs="宋体" w:asciiTheme="majorEastAsia" w:hAnsiTheme="majorEastAsia" w:eastAsiaTheme="majorEastAsia"/>
          <w:b/>
          <w:kern w:val="0"/>
          <w:sz w:val="32"/>
          <w:szCs w:val="32"/>
        </w:rPr>
      </w:pPr>
    </w:p>
    <w:p>
      <w:pPr>
        <w:pStyle w:val="693"/>
        <w:keepNext w:val="0"/>
        <w:pageBreakBefore w:val="0"/>
        <w:tabs>
          <w:tab w:val="clear" w:pos="720"/>
        </w:tabs>
        <w:snapToGrid w:val="0"/>
        <w:spacing w:before="120" w:after="120"/>
        <w:ind w:firstLine="643"/>
        <w:outlineLvl w:val="9"/>
        <w:rPr>
          <w:rFonts w:cs="宋体" w:asciiTheme="majorEastAsia" w:hAnsiTheme="majorEastAsia" w:eastAsiaTheme="majorEastAsia"/>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cs="宋体" w:asciiTheme="majorEastAsia" w:hAnsiTheme="majorEastAsia" w:eastAsiaTheme="majorEastAsia"/>
          <w:kern w:val="2"/>
          <w:sz w:val="32"/>
          <w:szCs w:val="32"/>
        </w:rPr>
      </w:pPr>
      <w:r>
        <w:rPr>
          <w:rFonts w:hint="eastAsia" w:cs="宋体" w:asciiTheme="majorEastAsia" w:hAnsiTheme="majorEastAsia" w:eastAsiaTheme="majorEastAsia"/>
          <w:kern w:val="2"/>
          <w:sz w:val="32"/>
          <w:szCs w:val="32"/>
        </w:rPr>
        <w:t>一、开标一览表（报价表）</w:t>
      </w:r>
    </w:p>
    <w:p>
      <w:pPr>
        <w:snapToGrid w:val="0"/>
        <w:spacing w:line="360" w:lineRule="auto"/>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sz w:val="24"/>
        </w:rPr>
        <w:t>（采购人）、（采购代理机构）</w:t>
      </w:r>
      <w:r>
        <w:rPr>
          <w:rFonts w:hint="eastAsia" w:cs="宋体" w:asciiTheme="majorEastAsia" w:hAnsiTheme="majorEastAsia" w:eastAsiaTheme="majorEastAsia"/>
          <w:color w:val="auto"/>
          <w:kern w:val="0"/>
          <w:sz w:val="24"/>
          <w:lang w:val="zh-CN"/>
        </w:rPr>
        <w:t>：</w:t>
      </w:r>
    </w:p>
    <w:p>
      <w:pPr>
        <w:snapToGrid w:val="0"/>
        <w:spacing w:line="360" w:lineRule="auto"/>
        <w:ind w:firstLine="482"/>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按你方招标文件要求，我们，本投标文件签字方，谨此向你方发出要约如下：如你方接受本投标，我方承诺按照如下开标一览表（报价表）的价格完成</w:t>
      </w:r>
      <w:r>
        <w:rPr>
          <w:rFonts w:hint="eastAsia" w:cs="宋体" w:asciiTheme="majorEastAsia" w:hAnsiTheme="majorEastAsia" w:eastAsiaTheme="majorEastAsia"/>
          <w:color w:val="auto"/>
          <w:sz w:val="24"/>
        </w:rPr>
        <w:t>（项目名称）</w:t>
      </w:r>
      <w:r>
        <w:rPr>
          <w:rFonts w:hint="eastAsia" w:cs="宋体" w:asciiTheme="majorEastAsia" w:hAnsiTheme="majorEastAsia" w:eastAsiaTheme="majorEastAsia"/>
          <w:color w:val="auto"/>
          <w:kern w:val="0"/>
          <w:sz w:val="24"/>
          <w:lang w:val="zh-CN"/>
        </w:rPr>
        <w:t>【招标编号：</w:t>
      </w:r>
      <w:r>
        <w:rPr>
          <w:rFonts w:hint="eastAsia" w:cs="宋体" w:asciiTheme="majorEastAsia" w:hAnsiTheme="majorEastAsia" w:eastAsiaTheme="majorEastAsia"/>
          <w:color w:val="auto"/>
          <w:sz w:val="24"/>
        </w:rPr>
        <w:t>（采购编号）】的实施</w:t>
      </w:r>
      <w:r>
        <w:rPr>
          <w:rFonts w:hint="eastAsia" w:cs="宋体" w:asciiTheme="majorEastAsia" w:hAnsiTheme="majorEastAsia" w:eastAsiaTheme="majorEastAsia"/>
          <w:color w:val="auto"/>
          <w:kern w:val="0"/>
          <w:sz w:val="24"/>
          <w:lang w:val="zh-CN"/>
        </w:rPr>
        <w:t>。</w:t>
      </w:r>
    </w:p>
    <w:p>
      <w:pPr>
        <w:spacing w:line="360" w:lineRule="auto"/>
        <w:jc w:val="center"/>
        <w:rPr>
          <w:rFonts w:cs="宋体" w:asciiTheme="majorEastAsia" w:hAnsiTheme="majorEastAsia" w:eastAsiaTheme="majorEastAsia"/>
          <w:b/>
          <w:color w:val="auto"/>
          <w:kern w:val="0"/>
          <w:sz w:val="24"/>
          <w:lang w:val="zh-CN"/>
        </w:rPr>
      </w:pPr>
      <w:r>
        <w:rPr>
          <w:rFonts w:hint="eastAsia" w:cs="宋体" w:asciiTheme="majorEastAsia" w:hAnsiTheme="majorEastAsia" w:eastAsiaTheme="majorEastAsia"/>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序号</w:t>
            </w:r>
          </w:p>
        </w:tc>
        <w:tc>
          <w:tcPr>
            <w:tcW w:w="992" w:type="dxa"/>
            <w:vAlign w:val="center"/>
          </w:tcPr>
          <w:p>
            <w:pPr>
              <w:spacing w:line="360" w:lineRule="auto"/>
              <w:jc w:val="center"/>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名称</w:t>
            </w:r>
          </w:p>
        </w:tc>
        <w:tc>
          <w:tcPr>
            <w:tcW w:w="2268" w:type="dxa"/>
          </w:tcPr>
          <w:p>
            <w:pPr>
              <w:spacing w:line="360" w:lineRule="auto"/>
              <w:jc w:val="center"/>
              <w:rPr>
                <w:rFonts w:cs="宋体" w:asciiTheme="majorEastAsia" w:hAnsiTheme="majorEastAsia" w:eastAsiaTheme="majorEastAsia"/>
                <w:b/>
                <w:color w:val="auto"/>
                <w:sz w:val="24"/>
              </w:rPr>
            </w:pPr>
          </w:p>
          <w:p>
            <w:pPr>
              <w:spacing w:line="360" w:lineRule="auto"/>
              <w:jc w:val="center"/>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服务范围</w:t>
            </w:r>
          </w:p>
        </w:tc>
        <w:tc>
          <w:tcPr>
            <w:tcW w:w="2410" w:type="dxa"/>
            <w:vAlign w:val="center"/>
          </w:tcPr>
          <w:p>
            <w:pPr>
              <w:spacing w:line="360" w:lineRule="auto"/>
              <w:jc w:val="center"/>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服务要求</w:t>
            </w:r>
          </w:p>
        </w:tc>
        <w:tc>
          <w:tcPr>
            <w:tcW w:w="2268" w:type="dxa"/>
            <w:vAlign w:val="center"/>
          </w:tcPr>
          <w:p>
            <w:pPr>
              <w:spacing w:line="360" w:lineRule="auto"/>
              <w:jc w:val="center"/>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服务时间</w:t>
            </w:r>
          </w:p>
        </w:tc>
        <w:tc>
          <w:tcPr>
            <w:tcW w:w="2126" w:type="dxa"/>
            <w:vAlign w:val="center"/>
          </w:tcPr>
          <w:p>
            <w:pPr>
              <w:spacing w:line="360" w:lineRule="auto"/>
              <w:jc w:val="center"/>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服务标准</w:t>
            </w:r>
          </w:p>
        </w:tc>
        <w:tc>
          <w:tcPr>
            <w:tcW w:w="2127" w:type="dxa"/>
          </w:tcPr>
          <w:p>
            <w:pPr>
              <w:spacing w:line="360" w:lineRule="auto"/>
              <w:jc w:val="center"/>
              <w:rPr>
                <w:rFonts w:cs="宋体" w:asciiTheme="majorEastAsia" w:hAnsiTheme="majorEastAsia" w:eastAsiaTheme="majorEastAsia"/>
                <w:b/>
                <w:color w:val="auto"/>
                <w:sz w:val="24"/>
              </w:rPr>
            </w:pPr>
          </w:p>
          <w:p>
            <w:pPr>
              <w:spacing w:line="360" w:lineRule="auto"/>
              <w:jc w:val="center"/>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服务人数</w:t>
            </w:r>
          </w:p>
        </w:tc>
        <w:tc>
          <w:tcPr>
            <w:tcW w:w="2126" w:type="dxa"/>
            <w:vAlign w:val="center"/>
          </w:tcPr>
          <w:p>
            <w:pPr>
              <w:spacing w:line="360" w:lineRule="auto"/>
              <w:jc w:val="center"/>
              <w:rPr>
                <w:rFonts w:cs="宋体" w:asciiTheme="majorEastAsia" w:hAnsiTheme="majorEastAsia" w:eastAsiaTheme="majorEastAsia"/>
                <w:b/>
                <w:color w:val="auto"/>
                <w:sz w:val="24"/>
              </w:rPr>
            </w:pPr>
          </w:p>
          <w:p>
            <w:pPr>
              <w:spacing w:line="360" w:lineRule="auto"/>
              <w:jc w:val="center"/>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备注（如果有）</w:t>
            </w:r>
          </w:p>
          <w:p>
            <w:pPr>
              <w:spacing w:line="360" w:lineRule="auto"/>
              <w:jc w:val="center"/>
              <w:rPr>
                <w:rFonts w:cs="宋体" w:asciiTheme="majorEastAsia" w:hAnsiTheme="majorEastAsia" w:eastAsiaTheme="majorEastAsia"/>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w:t>
            </w:r>
          </w:p>
        </w:tc>
        <w:tc>
          <w:tcPr>
            <w:tcW w:w="992" w:type="dxa"/>
            <w:vAlign w:val="center"/>
          </w:tcPr>
          <w:p>
            <w:pPr>
              <w:snapToGrid w:val="0"/>
              <w:spacing w:line="360" w:lineRule="auto"/>
              <w:jc w:val="center"/>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XX</w:t>
            </w:r>
          </w:p>
        </w:tc>
        <w:tc>
          <w:tcPr>
            <w:tcW w:w="2268" w:type="dxa"/>
            <w:vAlign w:val="center"/>
          </w:tcPr>
          <w:p>
            <w:pPr>
              <w:snapToGrid w:val="0"/>
              <w:spacing w:line="360" w:lineRule="auto"/>
              <w:jc w:val="center"/>
              <w:rPr>
                <w:rFonts w:cs="宋体" w:asciiTheme="majorEastAsia" w:hAnsiTheme="majorEastAsia" w:eastAsiaTheme="majorEastAsia"/>
                <w:color w:val="auto"/>
                <w:sz w:val="24"/>
              </w:rPr>
            </w:pPr>
          </w:p>
        </w:tc>
        <w:tc>
          <w:tcPr>
            <w:tcW w:w="2410" w:type="dxa"/>
            <w:vAlign w:val="center"/>
          </w:tcPr>
          <w:p>
            <w:pPr>
              <w:snapToGrid w:val="0"/>
              <w:spacing w:line="360" w:lineRule="auto"/>
              <w:jc w:val="center"/>
              <w:rPr>
                <w:rFonts w:cs="宋体" w:asciiTheme="majorEastAsia" w:hAnsiTheme="majorEastAsia" w:eastAsiaTheme="majorEastAsia"/>
                <w:color w:val="auto"/>
                <w:sz w:val="24"/>
              </w:rPr>
            </w:pPr>
          </w:p>
        </w:tc>
        <w:tc>
          <w:tcPr>
            <w:tcW w:w="2268" w:type="dxa"/>
            <w:vAlign w:val="center"/>
          </w:tcPr>
          <w:p>
            <w:pPr>
              <w:snapToGrid w:val="0"/>
              <w:spacing w:line="360" w:lineRule="auto"/>
              <w:jc w:val="center"/>
              <w:rPr>
                <w:rFonts w:cs="宋体" w:asciiTheme="majorEastAsia" w:hAnsiTheme="majorEastAsia" w:eastAsiaTheme="majorEastAsia"/>
                <w:color w:val="auto"/>
                <w:sz w:val="24"/>
              </w:rPr>
            </w:pPr>
          </w:p>
        </w:tc>
        <w:tc>
          <w:tcPr>
            <w:tcW w:w="2126" w:type="dxa"/>
            <w:vAlign w:val="center"/>
          </w:tcPr>
          <w:p>
            <w:pPr>
              <w:spacing w:line="360" w:lineRule="auto"/>
              <w:jc w:val="center"/>
              <w:rPr>
                <w:rFonts w:cs="宋体" w:asciiTheme="majorEastAsia" w:hAnsiTheme="majorEastAsia" w:eastAsiaTheme="majorEastAsia"/>
                <w:color w:val="auto"/>
                <w:sz w:val="24"/>
              </w:rPr>
            </w:pPr>
          </w:p>
        </w:tc>
        <w:tc>
          <w:tcPr>
            <w:tcW w:w="2127" w:type="dxa"/>
          </w:tcPr>
          <w:p>
            <w:pPr>
              <w:spacing w:line="360" w:lineRule="auto"/>
              <w:jc w:val="center"/>
              <w:rPr>
                <w:rFonts w:cs="宋体" w:asciiTheme="majorEastAsia" w:hAnsiTheme="majorEastAsia" w:eastAsiaTheme="majorEastAsia"/>
                <w:color w:val="auto"/>
                <w:sz w:val="24"/>
              </w:rPr>
            </w:pPr>
          </w:p>
        </w:tc>
        <w:tc>
          <w:tcPr>
            <w:tcW w:w="2126" w:type="dxa"/>
            <w:vAlign w:val="center"/>
          </w:tcPr>
          <w:p>
            <w:pPr>
              <w:spacing w:line="360" w:lineRule="auto"/>
              <w:jc w:val="center"/>
              <w:rPr>
                <w:rFonts w:cs="宋体"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w:t>
            </w:r>
          </w:p>
        </w:tc>
        <w:tc>
          <w:tcPr>
            <w:tcW w:w="992" w:type="dxa"/>
            <w:vAlign w:val="center"/>
          </w:tcPr>
          <w:p>
            <w:pPr>
              <w:snapToGrid w:val="0"/>
              <w:spacing w:line="360" w:lineRule="auto"/>
              <w:jc w:val="center"/>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XX</w:t>
            </w:r>
          </w:p>
        </w:tc>
        <w:tc>
          <w:tcPr>
            <w:tcW w:w="2268" w:type="dxa"/>
            <w:vAlign w:val="center"/>
          </w:tcPr>
          <w:p>
            <w:pPr>
              <w:snapToGrid w:val="0"/>
              <w:spacing w:line="360" w:lineRule="auto"/>
              <w:jc w:val="center"/>
              <w:rPr>
                <w:rFonts w:cs="宋体" w:asciiTheme="majorEastAsia" w:hAnsiTheme="majorEastAsia" w:eastAsiaTheme="majorEastAsia"/>
                <w:color w:val="auto"/>
                <w:sz w:val="24"/>
              </w:rPr>
            </w:pPr>
          </w:p>
        </w:tc>
        <w:tc>
          <w:tcPr>
            <w:tcW w:w="2410" w:type="dxa"/>
            <w:vAlign w:val="center"/>
          </w:tcPr>
          <w:p>
            <w:pPr>
              <w:snapToGrid w:val="0"/>
              <w:spacing w:line="360" w:lineRule="auto"/>
              <w:jc w:val="center"/>
              <w:rPr>
                <w:rFonts w:cs="宋体" w:asciiTheme="majorEastAsia" w:hAnsiTheme="majorEastAsia" w:eastAsiaTheme="majorEastAsia"/>
                <w:color w:val="auto"/>
                <w:sz w:val="24"/>
              </w:rPr>
            </w:pPr>
          </w:p>
        </w:tc>
        <w:tc>
          <w:tcPr>
            <w:tcW w:w="2268" w:type="dxa"/>
            <w:vAlign w:val="center"/>
          </w:tcPr>
          <w:p>
            <w:pPr>
              <w:snapToGrid w:val="0"/>
              <w:spacing w:line="360" w:lineRule="auto"/>
              <w:jc w:val="center"/>
              <w:rPr>
                <w:rFonts w:cs="宋体" w:asciiTheme="majorEastAsia" w:hAnsiTheme="majorEastAsia" w:eastAsiaTheme="majorEastAsia"/>
                <w:color w:val="auto"/>
                <w:sz w:val="24"/>
              </w:rPr>
            </w:pPr>
          </w:p>
        </w:tc>
        <w:tc>
          <w:tcPr>
            <w:tcW w:w="2126" w:type="dxa"/>
            <w:vAlign w:val="center"/>
          </w:tcPr>
          <w:p>
            <w:pPr>
              <w:spacing w:line="360" w:lineRule="auto"/>
              <w:jc w:val="center"/>
              <w:rPr>
                <w:rFonts w:cs="宋体" w:asciiTheme="majorEastAsia" w:hAnsiTheme="majorEastAsia" w:eastAsiaTheme="majorEastAsia"/>
                <w:color w:val="auto"/>
                <w:sz w:val="24"/>
              </w:rPr>
            </w:pPr>
          </w:p>
        </w:tc>
        <w:tc>
          <w:tcPr>
            <w:tcW w:w="2127" w:type="dxa"/>
          </w:tcPr>
          <w:p>
            <w:pPr>
              <w:spacing w:line="360" w:lineRule="auto"/>
              <w:jc w:val="center"/>
              <w:rPr>
                <w:rFonts w:cs="宋体" w:asciiTheme="majorEastAsia" w:hAnsiTheme="majorEastAsia" w:eastAsiaTheme="majorEastAsia"/>
                <w:color w:val="auto"/>
                <w:sz w:val="24"/>
              </w:rPr>
            </w:pPr>
          </w:p>
        </w:tc>
        <w:tc>
          <w:tcPr>
            <w:tcW w:w="2126" w:type="dxa"/>
            <w:vAlign w:val="center"/>
          </w:tcPr>
          <w:p>
            <w:pPr>
              <w:spacing w:line="360" w:lineRule="auto"/>
              <w:jc w:val="center"/>
              <w:rPr>
                <w:rFonts w:cs="宋体"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w:t>
            </w:r>
          </w:p>
        </w:tc>
        <w:tc>
          <w:tcPr>
            <w:tcW w:w="992" w:type="dxa"/>
            <w:vAlign w:val="center"/>
          </w:tcPr>
          <w:p>
            <w:pPr>
              <w:snapToGrid w:val="0"/>
              <w:spacing w:line="360" w:lineRule="auto"/>
              <w:jc w:val="center"/>
              <w:rPr>
                <w:rFonts w:cs="宋体" w:asciiTheme="majorEastAsia" w:hAnsiTheme="majorEastAsia" w:eastAsiaTheme="majorEastAsia"/>
                <w:color w:val="auto"/>
                <w:sz w:val="24"/>
              </w:rPr>
            </w:pPr>
          </w:p>
        </w:tc>
        <w:tc>
          <w:tcPr>
            <w:tcW w:w="2268" w:type="dxa"/>
            <w:vAlign w:val="center"/>
          </w:tcPr>
          <w:p>
            <w:pPr>
              <w:snapToGrid w:val="0"/>
              <w:spacing w:line="360" w:lineRule="auto"/>
              <w:jc w:val="center"/>
              <w:rPr>
                <w:rFonts w:cs="宋体" w:asciiTheme="majorEastAsia" w:hAnsiTheme="majorEastAsia" w:eastAsiaTheme="majorEastAsia"/>
                <w:color w:val="auto"/>
                <w:sz w:val="24"/>
              </w:rPr>
            </w:pPr>
          </w:p>
        </w:tc>
        <w:tc>
          <w:tcPr>
            <w:tcW w:w="2410" w:type="dxa"/>
            <w:vAlign w:val="center"/>
          </w:tcPr>
          <w:p>
            <w:pPr>
              <w:snapToGrid w:val="0"/>
              <w:spacing w:line="360" w:lineRule="auto"/>
              <w:jc w:val="center"/>
              <w:rPr>
                <w:rFonts w:cs="宋体" w:asciiTheme="majorEastAsia" w:hAnsiTheme="majorEastAsia" w:eastAsiaTheme="majorEastAsia"/>
                <w:color w:val="auto"/>
                <w:sz w:val="24"/>
              </w:rPr>
            </w:pPr>
          </w:p>
        </w:tc>
        <w:tc>
          <w:tcPr>
            <w:tcW w:w="2268" w:type="dxa"/>
            <w:vAlign w:val="center"/>
          </w:tcPr>
          <w:p>
            <w:pPr>
              <w:snapToGrid w:val="0"/>
              <w:spacing w:line="360" w:lineRule="auto"/>
              <w:jc w:val="center"/>
              <w:rPr>
                <w:rFonts w:cs="宋体" w:asciiTheme="majorEastAsia" w:hAnsiTheme="majorEastAsia" w:eastAsiaTheme="majorEastAsia"/>
                <w:color w:val="auto"/>
                <w:sz w:val="24"/>
              </w:rPr>
            </w:pPr>
          </w:p>
        </w:tc>
        <w:tc>
          <w:tcPr>
            <w:tcW w:w="2126" w:type="dxa"/>
            <w:vAlign w:val="center"/>
          </w:tcPr>
          <w:p>
            <w:pPr>
              <w:spacing w:line="360" w:lineRule="auto"/>
              <w:jc w:val="center"/>
              <w:rPr>
                <w:rFonts w:cs="宋体" w:asciiTheme="majorEastAsia" w:hAnsiTheme="majorEastAsia" w:eastAsiaTheme="majorEastAsia"/>
                <w:color w:val="auto"/>
                <w:sz w:val="24"/>
              </w:rPr>
            </w:pPr>
          </w:p>
        </w:tc>
        <w:tc>
          <w:tcPr>
            <w:tcW w:w="2127" w:type="dxa"/>
          </w:tcPr>
          <w:p>
            <w:pPr>
              <w:spacing w:line="360" w:lineRule="auto"/>
              <w:jc w:val="center"/>
              <w:rPr>
                <w:rFonts w:cs="宋体" w:asciiTheme="majorEastAsia" w:hAnsiTheme="majorEastAsia" w:eastAsiaTheme="majorEastAsia"/>
                <w:color w:val="auto"/>
                <w:sz w:val="24"/>
              </w:rPr>
            </w:pPr>
          </w:p>
        </w:tc>
        <w:tc>
          <w:tcPr>
            <w:tcW w:w="2126" w:type="dxa"/>
            <w:vAlign w:val="center"/>
          </w:tcPr>
          <w:p>
            <w:pPr>
              <w:spacing w:line="360" w:lineRule="auto"/>
              <w:jc w:val="center"/>
              <w:rPr>
                <w:rFonts w:cs="宋体"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ajorEastAsia" w:hAnsiTheme="majorEastAsia" w:eastAsiaTheme="majorEastAsia"/>
                <w:sz w:val="24"/>
              </w:rPr>
            </w:pPr>
          </w:p>
        </w:tc>
        <w:tc>
          <w:tcPr>
            <w:tcW w:w="992" w:type="dxa"/>
            <w:vAlign w:val="center"/>
          </w:tcPr>
          <w:p>
            <w:pPr>
              <w:snapToGrid w:val="0"/>
              <w:spacing w:line="360" w:lineRule="auto"/>
              <w:jc w:val="center"/>
              <w:rPr>
                <w:rFonts w:cs="宋体" w:asciiTheme="majorEastAsia" w:hAnsiTheme="majorEastAsia" w:eastAsiaTheme="majorEastAsia"/>
                <w:sz w:val="24"/>
              </w:rPr>
            </w:pPr>
          </w:p>
        </w:tc>
        <w:tc>
          <w:tcPr>
            <w:tcW w:w="2268" w:type="dxa"/>
            <w:vAlign w:val="center"/>
          </w:tcPr>
          <w:p>
            <w:pPr>
              <w:snapToGrid w:val="0"/>
              <w:spacing w:line="360" w:lineRule="auto"/>
              <w:jc w:val="center"/>
              <w:rPr>
                <w:rFonts w:cs="宋体" w:asciiTheme="majorEastAsia" w:hAnsiTheme="majorEastAsia" w:eastAsiaTheme="majorEastAsia"/>
                <w:sz w:val="24"/>
              </w:rPr>
            </w:pPr>
          </w:p>
        </w:tc>
        <w:tc>
          <w:tcPr>
            <w:tcW w:w="2410" w:type="dxa"/>
            <w:vAlign w:val="center"/>
          </w:tcPr>
          <w:p>
            <w:pPr>
              <w:snapToGrid w:val="0"/>
              <w:spacing w:line="360" w:lineRule="auto"/>
              <w:jc w:val="center"/>
              <w:rPr>
                <w:rFonts w:cs="宋体" w:asciiTheme="majorEastAsia" w:hAnsiTheme="majorEastAsia" w:eastAsiaTheme="majorEastAsia"/>
                <w:sz w:val="24"/>
              </w:rPr>
            </w:pPr>
          </w:p>
        </w:tc>
        <w:tc>
          <w:tcPr>
            <w:tcW w:w="2268" w:type="dxa"/>
            <w:vAlign w:val="center"/>
          </w:tcPr>
          <w:p>
            <w:pPr>
              <w:snapToGrid w:val="0"/>
              <w:spacing w:line="360" w:lineRule="auto"/>
              <w:jc w:val="center"/>
              <w:rPr>
                <w:rFonts w:cs="宋体" w:asciiTheme="majorEastAsia" w:hAnsiTheme="majorEastAsia" w:eastAsiaTheme="majorEastAsia"/>
                <w:sz w:val="24"/>
              </w:rPr>
            </w:pPr>
          </w:p>
        </w:tc>
        <w:tc>
          <w:tcPr>
            <w:tcW w:w="2126" w:type="dxa"/>
            <w:vAlign w:val="center"/>
          </w:tcPr>
          <w:p>
            <w:pPr>
              <w:spacing w:line="360" w:lineRule="auto"/>
              <w:jc w:val="center"/>
              <w:rPr>
                <w:rFonts w:cs="宋体" w:asciiTheme="majorEastAsia" w:hAnsiTheme="majorEastAsia" w:eastAsiaTheme="majorEastAsia"/>
                <w:sz w:val="24"/>
              </w:rPr>
            </w:pPr>
          </w:p>
        </w:tc>
        <w:tc>
          <w:tcPr>
            <w:tcW w:w="2127" w:type="dxa"/>
          </w:tcPr>
          <w:p>
            <w:pPr>
              <w:spacing w:line="360" w:lineRule="auto"/>
              <w:jc w:val="center"/>
              <w:rPr>
                <w:rFonts w:cs="宋体" w:asciiTheme="majorEastAsia" w:hAnsiTheme="majorEastAsia" w:eastAsiaTheme="majorEastAsia"/>
                <w:sz w:val="24"/>
              </w:rPr>
            </w:pPr>
          </w:p>
        </w:tc>
        <w:tc>
          <w:tcPr>
            <w:tcW w:w="2126" w:type="dxa"/>
            <w:vAlign w:val="center"/>
          </w:tcPr>
          <w:p>
            <w:pPr>
              <w:spacing w:line="360" w:lineRule="auto"/>
              <w:jc w:val="center"/>
              <w:rPr>
                <w:rFonts w:cs="宋体"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ajorEastAsia" w:hAnsiTheme="majorEastAsia" w:eastAsiaTheme="majorEastAsia"/>
                <w:sz w:val="24"/>
              </w:rPr>
            </w:pPr>
          </w:p>
        </w:tc>
        <w:tc>
          <w:tcPr>
            <w:tcW w:w="992" w:type="dxa"/>
            <w:vAlign w:val="center"/>
          </w:tcPr>
          <w:p>
            <w:pPr>
              <w:snapToGrid w:val="0"/>
              <w:spacing w:line="360" w:lineRule="auto"/>
              <w:jc w:val="center"/>
              <w:rPr>
                <w:rFonts w:cs="宋体" w:asciiTheme="majorEastAsia" w:hAnsiTheme="majorEastAsia" w:eastAsiaTheme="majorEastAsia"/>
                <w:sz w:val="24"/>
              </w:rPr>
            </w:pPr>
          </w:p>
        </w:tc>
        <w:tc>
          <w:tcPr>
            <w:tcW w:w="2268" w:type="dxa"/>
            <w:vAlign w:val="center"/>
          </w:tcPr>
          <w:p>
            <w:pPr>
              <w:snapToGrid w:val="0"/>
              <w:spacing w:line="360" w:lineRule="auto"/>
              <w:jc w:val="center"/>
              <w:rPr>
                <w:rFonts w:cs="宋体" w:asciiTheme="majorEastAsia" w:hAnsiTheme="majorEastAsia" w:eastAsiaTheme="majorEastAsia"/>
                <w:sz w:val="24"/>
              </w:rPr>
            </w:pPr>
          </w:p>
        </w:tc>
        <w:tc>
          <w:tcPr>
            <w:tcW w:w="2410" w:type="dxa"/>
            <w:vAlign w:val="center"/>
          </w:tcPr>
          <w:p>
            <w:pPr>
              <w:snapToGrid w:val="0"/>
              <w:spacing w:line="360" w:lineRule="auto"/>
              <w:jc w:val="center"/>
              <w:rPr>
                <w:rFonts w:cs="宋体" w:asciiTheme="majorEastAsia" w:hAnsiTheme="majorEastAsia" w:eastAsiaTheme="majorEastAsia"/>
                <w:sz w:val="24"/>
              </w:rPr>
            </w:pPr>
          </w:p>
        </w:tc>
        <w:tc>
          <w:tcPr>
            <w:tcW w:w="2268" w:type="dxa"/>
            <w:vAlign w:val="center"/>
          </w:tcPr>
          <w:p>
            <w:pPr>
              <w:snapToGrid w:val="0"/>
              <w:spacing w:line="360" w:lineRule="auto"/>
              <w:jc w:val="center"/>
              <w:rPr>
                <w:rFonts w:cs="宋体" w:asciiTheme="majorEastAsia" w:hAnsiTheme="majorEastAsia" w:eastAsiaTheme="majorEastAsia"/>
                <w:sz w:val="24"/>
              </w:rPr>
            </w:pPr>
          </w:p>
        </w:tc>
        <w:tc>
          <w:tcPr>
            <w:tcW w:w="2126" w:type="dxa"/>
            <w:vAlign w:val="center"/>
          </w:tcPr>
          <w:p>
            <w:pPr>
              <w:spacing w:line="360" w:lineRule="auto"/>
              <w:jc w:val="center"/>
              <w:rPr>
                <w:rFonts w:cs="宋体" w:asciiTheme="majorEastAsia" w:hAnsiTheme="majorEastAsia" w:eastAsiaTheme="majorEastAsia"/>
                <w:sz w:val="24"/>
              </w:rPr>
            </w:pPr>
          </w:p>
        </w:tc>
        <w:tc>
          <w:tcPr>
            <w:tcW w:w="2127" w:type="dxa"/>
          </w:tcPr>
          <w:p>
            <w:pPr>
              <w:spacing w:line="360" w:lineRule="auto"/>
              <w:jc w:val="center"/>
              <w:rPr>
                <w:rFonts w:cs="宋体" w:asciiTheme="majorEastAsia" w:hAnsiTheme="majorEastAsia" w:eastAsiaTheme="majorEastAsia"/>
                <w:sz w:val="24"/>
              </w:rPr>
            </w:pPr>
          </w:p>
        </w:tc>
        <w:tc>
          <w:tcPr>
            <w:tcW w:w="2126" w:type="dxa"/>
            <w:vAlign w:val="center"/>
          </w:tcPr>
          <w:p>
            <w:pPr>
              <w:spacing w:line="360" w:lineRule="auto"/>
              <w:jc w:val="center"/>
              <w:rPr>
                <w:rFonts w:cs="宋体"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投标报价</w:t>
            </w:r>
            <w:r>
              <w:rPr>
                <w:rFonts w:hint="eastAsia" w:cs="宋体" w:asciiTheme="majorEastAsia" w:hAnsiTheme="majorEastAsia" w:eastAsiaTheme="majorEastAsia"/>
                <w:b/>
                <w:sz w:val="24"/>
                <w:lang w:eastAsia="zh-CN"/>
              </w:rPr>
              <w:t>（即综合单价）</w:t>
            </w:r>
            <w:r>
              <w:rPr>
                <w:rFonts w:hint="eastAsia" w:cs="宋体" w:asciiTheme="majorEastAsia" w:hAnsiTheme="majorEastAsia" w:eastAsiaTheme="majorEastAsia"/>
                <w:b/>
                <w:sz w:val="24"/>
              </w:rPr>
              <w:t>（小写）</w:t>
            </w:r>
          </w:p>
        </w:tc>
        <w:tc>
          <w:tcPr>
            <w:tcW w:w="8647" w:type="dxa"/>
            <w:gridSpan w:val="4"/>
          </w:tcPr>
          <w:p>
            <w:pPr>
              <w:spacing w:line="360" w:lineRule="auto"/>
              <w:jc w:val="center"/>
              <w:rPr>
                <w:rFonts w:cs="宋体"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投标报价</w:t>
            </w:r>
            <w:r>
              <w:rPr>
                <w:rFonts w:hint="eastAsia" w:cs="宋体" w:asciiTheme="majorEastAsia" w:hAnsiTheme="majorEastAsia" w:eastAsiaTheme="majorEastAsia"/>
                <w:b/>
                <w:sz w:val="24"/>
                <w:lang w:eastAsia="zh-CN"/>
              </w:rPr>
              <w:t>（即综合单价）</w:t>
            </w:r>
            <w:r>
              <w:rPr>
                <w:rFonts w:hint="eastAsia" w:cs="宋体" w:asciiTheme="majorEastAsia" w:hAnsiTheme="majorEastAsia" w:eastAsiaTheme="majorEastAsia"/>
                <w:b/>
                <w:sz w:val="24"/>
              </w:rPr>
              <w:t>（大写）</w:t>
            </w:r>
          </w:p>
        </w:tc>
        <w:tc>
          <w:tcPr>
            <w:tcW w:w="8647" w:type="dxa"/>
            <w:gridSpan w:val="4"/>
          </w:tcPr>
          <w:p>
            <w:pPr>
              <w:spacing w:line="360" w:lineRule="auto"/>
              <w:jc w:val="center"/>
              <w:rPr>
                <w:rFonts w:cs="宋体" w:asciiTheme="majorEastAsia" w:hAnsiTheme="majorEastAsia" w:eastAsiaTheme="majorEastAsia"/>
                <w:sz w:val="24"/>
              </w:rPr>
            </w:pPr>
          </w:p>
        </w:tc>
      </w:tr>
    </w:tbl>
    <w:p>
      <w:pPr>
        <w:snapToGrid w:val="0"/>
        <w:spacing w:line="360" w:lineRule="auto"/>
        <w:ind w:left="480"/>
        <w:rPr>
          <w:rFonts w:cs="宋体" w:asciiTheme="majorEastAsia" w:hAnsiTheme="majorEastAsia" w:eastAsiaTheme="majorEastAsia"/>
          <w:b/>
          <w:kern w:val="0"/>
          <w:sz w:val="24"/>
          <w:lang w:val="zh-CN"/>
        </w:rPr>
      </w:pPr>
      <w:r>
        <w:rPr>
          <w:rFonts w:hint="eastAsia" w:cs="宋体" w:asciiTheme="majorEastAsia" w:hAnsiTheme="majorEastAsia" w:eastAsiaTheme="majorEastAsia"/>
          <w:b/>
          <w:kern w:val="0"/>
          <w:sz w:val="24"/>
          <w:lang w:val="zh-CN"/>
        </w:rPr>
        <w:t>注：</w:t>
      </w:r>
    </w:p>
    <w:p>
      <w:pPr>
        <w:spacing w:line="360" w:lineRule="auto"/>
        <w:ind w:left="-2" w:leftChars="-1" w:firstLine="480" w:firstLineChars="200"/>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1、投标人需按本表格式填写</w:t>
      </w:r>
      <w:r>
        <w:rPr>
          <w:rFonts w:hint="eastAsia" w:cs="宋体" w:asciiTheme="majorEastAsia" w:hAnsiTheme="majorEastAsia" w:eastAsiaTheme="majorEastAsia"/>
          <w:b/>
          <w:color w:val="auto"/>
          <w:kern w:val="0"/>
          <w:sz w:val="24"/>
          <w:lang w:val="zh-CN"/>
        </w:rPr>
        <w:t>，</w:t>
      </w:r>
      <w:r>
        <w:rPr>
          <w:rFonts w:hint="eastAsia" w:cs="宋体" w:asciiTheme="majorEastAsia" w:hAnsiTheme="majorEastAsia" w:eastAsiaTheme="majorEastAsia"/>
          <w:b/>
          <w:color w:val="auto"/>
          <w:kern w:val="0"/>
          <w:sz w:val="24"/>
        </w:rPr>
        <w:t>否则视为</w:t>
      </w:r>
      <w:r>
        <w:rPr>
          <w:rFonts w:hint="eastAsia" w:cs="宋体" w:asciiTheme="majorEastAsia" w:hAnsiTheme="majorEastAsia" w:eastAsiaTheme="majorEastAsia"/>
          <w:b/>
          <w:color w:val="auto"/>
          <w:sz w:val="24"/>
        </w:rPr>
        <w:t>投标文件含有采购人不能接受的附加条件，投标无效</w:t>
      </w:r>
      <w:r>
        <w:rPr>
          <w:rFonts w:hint="eastAsia" w:cs="宋体" w:asciiTheme="majorEastAsia" w:hAnsiTheme="majorEastAsia" w:eastAsiaTheme="majorEastAsia"/>
          <w:b/>
          <w:color w:val="auto"/>
          <w:kern w:val="0"/>
          <w:sz w:val="24"/>
          <w:lang w:val="zh-CN"/>
        </w:rPr>
        <w:t>；</w:t>
      </w:r>
      <w:r>
        <w:rPr>
          <w:rFonts w:hint="eastAsia" w:cs="宋体" w:asciiTheme="majorEastAsia" w:hAnsiTheme="majorEastAsia" w:eastAsiaTheme="majorEastAsia"/>
          <w:color w:val="auto"/>
          <w:kern w:val="0"/>
          <w:sz w:val="24"/>
          <w:lang w:val="zh-CN"/>
        </w:rPr>
        <w:t>。</w:t>
      </w:r>
    </w:p>
    <w:p>
      <w:pPr>
        <w:spacing w:line="360" w:lineRule="auto"/>
        <w:ind w:firstLine="480" w:firstLineChars="200"/>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lang w:val="zh-CN"/>
        </w:rPr>
        <w:t>2、有关本项目实施所涉及的一切费用均计入报价。</w:t>
      </w:r>
      <w:r>
        <w:rPr>
          <w:rFonts w:hint="eastAsia" w:cs="宋体" w:asciiTheme="majorEastAsia" w:hAnsiTheme="majorEastAsia" w:eastAsiaTheme="majorEastAsia"/>
          <w:color w:val="auto"/>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cs="宋体" w:asciiTheme="majorEastAsia" w:hAnsiTheme="majorEastAsia" w:eastAsiaTheme="majorEastAsia"/>
          <w:b/>
          <w:color w:val="auto"/>
          <w:kern w:val="0"/>
          <w:sz w:val="24"/>
          <w:lang w:val="zh-CN"/>
        </w:rPr>
        <w:t>采购内容未包含在《开标一览表（报价表）》名称栏中，投标人不能作出合理解释的，</w:t>
      </w:r>
      <w:r>
        <w:rPr>
          <w:rFonts w:hint="eastAsia" w:cs="宋体" w:asciiTheme="majorEastAsia" w:hAnsiTheme="majorEastAsia" w:eastAsiaTheme="majorEastAsia"/>
          <w:b/>
          <w:color w:val="auto"/>
          <w:kern w:val="0"/>
          <w:sz w:val="24"/>
        </w:rPr>
        <w:t>视为</w:t>
      </w:r>
      <w:r>
        <w:rPr>
          <w:rFonts w:hint="eastAsia" w:cs="宋体" w:asciiTheme="majorEastAsia" w:hAnsiTheme="majorEastAsia" w:eastAsiaTheme="majorEastAsia"/>
          <w:b/>
          <w:color w:val="auto"/>
          <w:sz w:val="24"/>
        </w:rPr>
        <w:t>投标文件含有采购人不能接受的附加条件的，投标无效。</w:t>
      </w:r>
    </w:p>
    <w:p>
      <w:pPr>
        <w:snapToGrid w:val="0"/>
        <w:spacing w:line="360" w:lineRule="auto"/>
        <w:ind w:firstLine="480" w:firstLineChars="200"/>
        <w:jc w:val="left"/>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2" w:firstLineChars="200"/>
        <w:jc w:val="left"/>
        <w:rPr>
          <w:rFonts w:hint="default" w:cs="宋体" w:asciiTheme="majorEastAsia" w:hAnsiTheme="majorEastAsia" w:eastAsiaTheme="majorEastAsia"/>
          <w:b/>
          <w:bCs/>
          <w:color w:val="FF0000"/>
          <w:kern w:val="0"/>
          <w:sz w:val="24"/>
          <w:lang w:val="en-US" w:eastAsia="zh-CN"/>
        </w:rPr>
      </w:pPr>
    </w:p>
    <w:p>
      <w:pPr>
        <w:spacing w:line="360" w:lineRule="auto"/>
        <w:ind w:firstLine="482" w:firstLineChars="200"/>
        <w:rPr>
          <w:rFonts w:cs="宋体" w:asciiTheme="majorEastAsia" w:hAnsiTheme="majorEastAsia" w:eastAsiaTheme="majorEastAsia"/>
          <w:b/>
          <w:kern w:val="0"/>
          <w:sz w:val="24"/>
        </w:rPr>
      </w:pPr>
    </w:p>
    <w:p>
      <w:pPr>
        <w:pStyle w:val="693"/>
        <w:keepNext w:val="0"/>
        <w:pageBreakBefore w:val="0"/>
        <w:tabs>
          <w:tab w:val="clear" w:pos="720"/>
        </w:tabs>
        <w:snapToGrid w:val="0"/>
        <w:spacing w:before="120" w:after="120"/>
        <w:ind w:firstLine="643"/>
        <w:outlineLvl w:val="9"/>
        <w:rPr>
          <w:rFonts w:cs="宋体" w:asciiTheme="majorEastAsia" w:hAnsiTheme="majorEastAsia" w:eastAsiaTheme="majorEastAsia"/>
          <w:kern w:val="2"/>
          <w:sz w:val="32"/>
          <w:szCs w:val="32"/>
        </w:rPr>
      </w:pPr>
    </w:p>
    <w:p>
      <w:pPr>
        <w:pStyle w:val="693"/>
        <w:keepNext w:val="0"/>
        <w:pageBreakBefore w:val="0"/>
        <w:tabs>
          <w:tab w:val="clear" w:pos="720"/>
        </w:tabs>
        <w:snapToGrid w:val="0"/>
        <w:spacing w:before="120" w:after="120"/>
        <w:ind w:firstLine="643"/>
        <w:outlineLvl w:val="9"/>
        <w:rPr>
          <w:rFonts w:cs="宋体" w:asciiTheme="majorEastAsia" w:hAnsiTheme="majorEastAsia" w:eastAsiaTheme="majorEastAsia"/>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numPr>
          <w:ilvl w:val="0"/>
          <w:numId w:val="5"/>
        </w:numPr>
        <w:tabs>
          <w:tab w:val="clear" w:pos="720"/>
        </w:tabs>
        <w:snapToGrid w:val="0"/>
        <w:spacing w:before="120" w:after="120"/>
        <w:ind w:firstLine="643"/>
        <w:outlineLvl w:val="9"/>
        <w:rPr>
          <w:rFonts w:cs="宋体" w:asciiTheme="majorEastAsia" w:hAnsiTheme="majorEastAsia" w:eastAsiaTheme="majorEastAsia"/>
          <w:color w:val="auto"/>
          <w:kern w:val="2"/>
          <w:sz w:val="32"/>
          <w:szCs w:val="32"/>
        </w:rPr>
      </w:pPr>
      <w:r>
        <w:rPr>
          <w:rFonts w:hint="eastAsia" w:cs="宋体" w:asciiTheme="majorEastAsia" w:hAnsiTheme="majorEastAsia" w:eastAsiaTheme="majorEastAsia"/>
          <w:color w:val="auto"/>
          <w:kern w:val="2"/>
          <w:sz w:val="32"/>
          <w:szCs w:val="32"/>
        </w:rPr>
        <w:t>报价情况说明（如果有）</w:t>
      </w:r>
    </w:p>
    <w:p>
      <w:pPr>
        <w:pStyle w:val="6"/>
        <w:keepNext w:val="0"/>
        <w:numPr>
          <w:ilvl w:val="255"/>
          <w:numId w:val="0"/>
        </w:numPr>
        <w:snapToGrid w:val="0"/>
        <w:spacing w:before="120" w:after="120"/>
        <w:rPr>
          <w:rFonts w:cs="宋体" w:asciiTheme="majorEastAsia" w:hAnsiTheme="majorEastAsia" w:eastAsiaTheme="majorEastAsia"/>
          <w:color w:val="auto"/>
          <w:lang w:val="en-US"/>
        </w:rPr>
      </w:pPr>
      <w:r>
        <w:rPr>
          <w:rFonts w:hint="eastAsia" w:cs="宋体" w:asciiTheme="majorEastAsia" w:hAnsiTheme="majorEastAsia" w:eastAsiaTheme="majorEastAsia"/>
          <w:b w:val="0"/>
          <w:bCs w:val="0"/>
          <w:color w:val="auto"/>
          <w:sz w:val="24"/>
          <w:szCs w:val="24"/>
          <w:lang w:val="en-US"/>
        </w:rPr>
        <w:t>（如供应商报价低于项目预算50%的，应当提交本文档，详细阐述不影响产品质量或者诚信履约的具体原因。）</w:t>
      </w:r>
    </w:p>
    <w:p>
      <w:pPr>
        <w:pStyle w:val="693"/>
        <w:keepNext w:val="0"/>
        <w:pageBreakBefore w:val="0"/>
        <w:tabs>
          <w:tab w:val="clear" w:pos="720"/>
        </w:tabs>
        <w:snapToGrid w:val="0"/>
        <w:spacing w:before="120" w:after="120"/>
        <w:ind w:firstLine="643"/>
        <w:outlineLvl w:val="9"/>
        <w:rPr>
          <w:rFonts w:cs="宋体" w:asciiTheme="majorEastAsia" w:hAnsiTheme="majorEastAsia" w:eastAsiaTheme="majorEastAsia"/>
          <w:color w:val="auto"/>
          <w:kern w:val="2"/>
          <w:sz w:val="32"/>
          <w:szCs w:val="32"/>
        </w:rPr>
      </w:pPr>
    </w:p>
    <w:p>
      <w:pPr>
        <w:pStyle w:val="693"/>
        <w:keepNext w:val="0"/>
        <w:pageBreakBefore w:val="0"/>
        <w:tabs>
          <w:tab w:val="clear" w:pos="720"/>
        </w:tabs>
        <w:snapToGrid w:val="0"/>
        <w:spacing w:before="120" w:after="120"/>
        <w:ind w:firstLine="643"/>
        <w:outlineLvl w:val="9"/>
        <w:rPr>
          <w:rFonts w:cs="宋体" w:asciiTheme="majorEastAsia" w:hAnsiTheme="majorEastAsia" w:eastAsiaTheme="majorEastAsia"/>
          <w:color w:val="auto"/>
          <w:sz w:val="32"/>
          <w:szCs w:val="32"/>
        </w:rPr>
      </w:pPr>
      <w:r>
        <w:rPr>
          <w:rFonts w:hint="eastAsia" w:cs="宋体" w:asciiTheme="majorEastAsia" w:hAnsiTheme="majorEastAsia" w:eastAsiaTheme="majorEastAsia"/>
          <w:color w:val="auto"/>
          <w:kern w:val="2"/>
          <w:sz w:val="32"/>
          <w:szCs w:val="32"/>
        </w:rPr>
        <w:t>三、</w:t>
      </w:r>
      <w:r>
        <w:rPr>
          <w:rFonts w:hint="eastAsia" w:cs="宋体" w:asciiTheme="majorEastAsia" w:hAnsiTheme="majorEastAsia" w:eastAsiaTheme="majorEastAsia"/>
          <w:color w:val="auto"/>
          <w:sz w:val="32"/>
          <w:szCs w:val="32"/>
        </w:rPr>
        <w:t>中小企业声明函（如果有）</w:t>
      </w:r>
    </w:p>
    <w:p>
      <w:pPr>
        <w:widowControl/>
        <w:spacing w:line="360" w:lineRule="auto"/>
        <w:ind w:firstLine="120" w:firstLineChars="50"/>
        <w:jc w:val="left"/>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cs="宋体" w:asciiTheme="majorEastAsia" w:hAnsiTheme="majorEastAsia" w:eastAsiaTheme="majorEastAsia"/>
          <w:b/>
          <w:color w:val="auto"/>
          <w:sz w:val="24"/>
          <w:lang w:val="en-US" w:eastAsia="zh-CN"/>
        </w:rPr>
        <w:t>5</w:t>
      </w:r>
      <w:r>
        <w:rPr>
          <w:rFonts w:hint="eastAsia" w:cs="宋体" w:asciiTheme="majorEastAsia" w:hAnsiTheme="majorEastAsia" w:eastAsiaTheme="majorEastAsia"/>
          <w:b/>
          <w:color w:val="auto"/>
          <w:sz w:val="24"/>
        </w:rPr>
        <w:t>）。]</w:t>
      </w:r>
    </w:p>
    <w:p>
      <w:pPr>
        <w:pStyle w:val="80"/>
        <w:ind w:firstLine="482"/>
        <w:rPr>
          <w:rFonts w:cs="宋体" w:asciiTheme="majorEastAsia" w:hAnsiTheme="majorEastAsia" w:eastAsiaTheme="majorEastAsia"/>
          <w:b/>
          <w:color w:val="auto"/>
          <w:sz w:val="24"/>
        </w:rPr>
      </w:pPr>
    </w:p>
    <w:p>
      <w:pPr>
        <w:pStyle w:val="80"/>
        <w:ind w:firstLine="482"/>
        <w:rPr>
          <w:rFonts w:cs="宋体" w:asciiTheme="majorEastAsia" w:hAnsiTheme="majorEastAsia" w:eastAsiaTheme="majorEastAsia"/>
          <w:b/>
          <w:color w:val="FF0000"/>
          <w:sz w:val="24"/>
        </w:rPr>
      </w:pPr>
    </w:p>
    <w:p>
      <w:pPr>
        <w:pStyle w:val="693"/>
        <w:keepNext w:val="0"/>
        <w:pageBreakBefore w:val="0"/>
        <w:tabs>
          <w:tab w:val="clear" w:pos="720"/>
        </w:tabs>
        <w:snapToGrid w:val="0"/>
        <w:spacing w:before="120" w:after="120"/>
        <w:ind w:firstLine="643"/>
        <w:outlineLvl w:val="9"/>
        <w:rPr>
          <w:rFonts w:cs="宋体" w:asciiTheme="majorEastAsia" w:hAnsiTheme="majorEastAsia" w:eastAsiaTheme="majorEastAsia"/>
          <w:b w:val="0"/>
          <w:sz w:val="32"/>
          <w:szCs w:val="32"/>
        </w:rPr>
      </w:pPr>
    </w:p>
    <w:p>
      <w:pPr>
        <w:spacing w:line="360" w:lineRule="auto"/>
        <w:ind w:right="420" w:firstLine="3614" w:firstLineChars="1000"/>
        <w:rPr>
          <w:rFonts w:cs="宋体" w:asciiTheme="majorEastAsia" w:hAnsiTheme="majorEastAsia" w:eastAsiaTheme="majorEastAsia"/>
          <w:b/>
          <w:kern w:val="0"/>
          <w:sz w:val="36"/>
          <w:szCs w:val="36"/>
        </w:rPr>
      </w:pPr>
    </w:p>
    <w:p>
      <w:pPr>
        <w:spacing w:line="360" w:lineRule="auto"/>
        <w:ind w:right="420" w:firstLine="3614" w:firstLineChars="1000"/>
        <w:rPr>
          <w:rFonts w:cs="宋体" w:asciiTheme="majorEastAsia" w:hAnsiTheme="majorEastAsia" w:eastAsiaTheme="majorEastAsia"/>
          <w:b/>
          <w:kern w:val="0"/>
          <w:sz w:val="36"/>
          <w:szCs w:val="36"/>
        </w:rPr>
      </w:pPr>
    </w:p>
    <w:p>
      <w:pPr>
        <w:spacing w:line="360" w:lineRule="auto"/>
        <w:ind w:right="420" w:firstLine="3614" w:firstLineChars="1000"/>
        <w:rPr>
          <w:rFonts w:cs="宋体" w:asciiTheme="majorEastAsia" w:hAnsiTheme="majorEastAsia" w:eastAsiaTheme="majorEastAsia"/>
          <w:b/>
          <w:kern w:val="0"/>
          <w:sz w:val="36"/>
          <w:szCs w:val="36"/>
        </w:rPr>
      </w:pPr>
    </w:p>
    <w:p>
      <w:pPr>
        <w:spacing w:line="360" w:lineRule="auto"/>
        <w:ind w:right="420" w:firstLine="3614" w:firstLineChars="1000"/>
        <w:rPr>
          <w:rFonts w:cs="宋体" w:asciiTheme="majorEastAsia" w:hAnsiTheme="majorEastAsia" w:eastAsiaTheme="majorEastAsia"/>
          <w:b/>
          <w:kern w:val="0"/>
          <w:sz w:val="36"/>
          <w:szCs w:val="36"/>
        </w:rPr>
      </w:pPr>
    </w:p>
    <w:p>
      <w:pPr>
        <w:spacing w:line="360" w:lineRule="auto"/>
        <w:ind w:right="420" w:firstLine="3614" w:firstLineChars="1000"/>
        <w:rPr>
          <w:rFonts w:cs="宋体" w:asciiTheme="majorEastAsia" w:hAnsiTheme="majorEastAsia" w:eastAsiaTheme="majorEastAsia"/>
          <w:b/>
          <w:kern w:val="0"/>
          <w:sz w:val="36"/>
          <w:szCs w:val="36"/>
        </w:rPr>
      </w:pPr>
    </w:p>
    <w:p>
      <w:pPr>
        <w:spacing w:line="360" w:lineRule="auto"/>
        <w:ind w:right="420" w:firstLine="3614" w:firstLineChars="1000"/>
        <w:rPr>
          <w:rFonts w:cs="宋体" w:asciiTheme="majorEastAsia" w:hAnsiTheme="majorEastAsia" w:eastAsiaTheme="majorEastAsia"/>
          <w:b/>
          <w:kern w:val="0"/>
          <w:sz w:val="36"/>
          <w:szCs w:val="36"/>
        </w:rPr>
      </w:pPr>
    </w:p>
    <w:p>
      <w:pPr>
        <w:spacing w:line="360" w:lineRule="auto"/>
        <w:ind w:right="420" w:firstLine="3614" w:firstLineChars="1000"/>
        <w:rPr>
          <w:rFonts w:cs="宋体" w:asciiTheme="majorEastAsia" w:hAnsiTheme="majorEastAsia" w:eastAsiaTheme="majorEastAsia"/>
          <w:b/>
          <w:kern w:val="0"/>
          <w:sz w:val="36"/>
          <w:szCs w:val="36"/>
        </w:rPr>
      </w:pPr>
    </w:p>
    <w:p>
      <w:pPr>
        <w:spacing w:line="360" w:lineRule="auto"/>
        <w:ind w:right="420" w:firstLine="3614" w:firstLineChars="1000"/>
        <w:rPr>
          <w:rFonts w:cs="宋体" w:asciiTheme="majorEastAsia" w:hAnsiTheme="majorEastAsia" w:eastAsiaTheme="majorEastAsia"/>
          <w:b/>
          <w:kern w:val="0"/>
          <w:sz w:val="36"/>
          <w:szCs w:val="36"/>
        </w:rPr>
      </w:pPr>
    </w:p>
    <w:p>
      <w:pPr>
        <w:spacing w:line="360" w:lineRule="auto"/>
        <w:ind w:right="420" w:firstLine="3614" w:firstLineChars="1000"/>
        <w:rPr>
          <w:rFonts w:cs="宋体" w:asciiTheme="majorEastAsia" w:hAnsiTheme="majorEastAsia" w:eastAsiaTheme="majorEastAsia"/>
          <w:b/>
          <w:kern w:val="0"/>
          <w:sz w:val="36"/>
          <w:szCs w:val="36"/>
        </w:rPr>
      </w:pPr>
    </w:p>
    <w:p>
      <w:pPr>
        <w:spacing w:line="360" w:lineRule="auto"/>
        <w:ind w:right="420" w:firstLine="3614" w:firstLineChars="1000"/>
        <w:rPr>
          <w:rFonts w:cs="宋体" w:asciiTheme="majorEastAsia" w:hAnsiTheme="majorEastAsia" w:eastAsiaTheme="majorEastAsia"/>
          <w:b/>
          <w:kern w:val="0"/>
          <w:sz w:val="36"/>
          <w:szCs w:val="36"/>
        </w:rPr>
      </w:pPr>
    </w:p>
    <w:p>
      <w:pPr>
        <w:spacing w:line="360" w:lineRule="auto"/>
        <w:ind w:right="420" w:firstLine="3614" w:firstLineChars="1000"/>
        <w:rPr>
          <w:rFonts w:cs="宋体" w:asciiTheme="majorEastAsia" w:hAnsiTheme="majorEastAsia" w:eastAsiaTheme="majorEastAsia"/>
          <w:b/>
          <w:kern w:val="0"/>
          <w:sz w:val="36"/>
          <w:szCs w:val="36"/>
        </w:rPr>
      </w:pPr>
    </w:p>
    <w:p>
      <w:pPr>
        <w:pStyle w:val="5"/>
        <w:keepNext w:val="0"/>
        <w:keepLines w:val="0"/>
        <w:pageBreakBefore/>
        <w:widowControl/>
        <w:spacing w:before="100" w:beforeAutospacing="1" w:after="100" w:afterAutospacing="1" w:line="360" w:lineRule="auto"/>
        <w:ind w:left="1290" w:firstLine="3092" w:firstLineChars="700"/>
        <w:rPr>
          <w:rFonts w:cs="宋体" w:asciiTheme="majorEastAsia" w:hAnsiTheme="majorEastAsia" w:eastAsiaTheme="majorEastAsia"/>
        </w:rPr>
      </w:pPr>
      <w:r>
        <w:rPr>
          <w:rFonts w:hint="eastAsia" w:cs="宋体" w:asciiTheme="majorEastAsia" w:hAnsiTheme="majorEastAsia" w:eastAsiaTheme="majorEastAsia"/>
        </w:rPr>
        <w:t>附件</w:t>
      </w:r>
    </w:p>
    <w:p>
      <w:pPr>
        <w:spacing w:line="360" w:lineRule="auto"/>
        <w:rPr>
          <w:rFonts w:cs="宋体" w:asciiTheme="majorEastAsia" w:hAnsiTheme="majorEastAsia" w:eastAsiaTheme="majorEastAsia"/>
          <w:b/>
          <w:spacing w:val="6"/>
          <w:sz w:val="32"/>
          <w:szCs w:val="32"/>
        </w:rPr>
      </w:pPr>
      <w:r>
        <w:rPr>
          <w:rFonts w:hint="eastAsia" w:cs="宋体" w:asciiTheme="majorEastAsia" w:hAnsiTheme="majorEastAsia" w:eastAsiaTheme="majorEastAsia"/>
          <w:b/>
          <w:spacing w:val="6"/>
          <w:sz w:val="32"/>
          <w:szCs w:val="32"/>
        </w:rPr>
        <w:t>附件1：</w:t>
      </w:r>
    </w:p>
    <w:p>
      <w:pPr>
        <w:spacing w:line="360" w:lineRule="auto"/>
        <w:jc w:val="center"/>
        <w:rPr>
          <w:rFonts w:cs="宋体" w:asciiTheme="majorEastAsia" w:hAnsiTheme="majorEastAsia" w:eastAsiaTheme="majorEastAsia"/>
          <w:b/>
          <w:spacing w:val="6"/>
          <w:sz w:val="32"/>
          <w:szCs w:val="32"/>
        </w:rPr>
      </w:pPr>
      <w:bookmarkStart w:id="407" w:name="OLE_LINK13"/>
      <w:bookmarkStart w:id="408" w:name="OLE_LINK14"/>
      <w:r>
        <w:rPr>
          <w:rFonts w:hint="eastAsia" w:cs="宋体" w:asciiTheme="majorEastAsia" w:hAnsiTheme="majorEastAsia" w:eastAsiaTheme="majorEastAsia"/>
          <w:b/>
          <w:spacing w:val="6"/>
          <w:sz w:val="32"/>
          <w:szCs w:val="32"/>
        </w:rPr>
        <w:t>残疾人福利性单位声明函</w:t>
      </w:r>
    </w:p>
    <w:bookmarkEnd w:id="407"/>
    <w:bookmarkEnd w:id="408"/>
    <w:p>
      <w:pPr>
        <w:spacing w:line="360" w:lineRule="auto"/>
        <w:rPr>
          <w:rFonts w:cs="宋体" w:asciiTheme="majorEastAsia" w:hAnsiTheme="majorEastAsia" w:eastAsiaTheme="majorEastAsia"/>
          <w:b/>
          <w:spacing w:val="6"/>
          <w:sz w:val="30"/>
          <w:szCs w:val="30"/>
        </w:rPr>
      </w:pP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本单位郑重声明，根据《财政部 民政部 中国残疾人联合会关于促进残疾人就业政府采购政策的通知》</w:t>
      </w:r>
      <w:r>
        <w:rPr>
          <w:rFonts w:hint="eastAsia" w:cs="宋体" w:asciiTheme="majorEastAsia" w:hAnsiTheme="majorEastAsia" w:eastAsiaTheme="majorEastAsia"/>
          <w:color w:val="auto"/>
          <w:sz w:val="24"/>
        </w:rPr>
        <w:t>（财库〔2017〕 141号）的规定，本单位为符合条件的残疾人福利性单位，且本单位参加</w:t>
      </w:r>
      <w:r>
        <w:rPr>
          <w:rFonts w:hint="eastAsia" w:cs="宋体" w:asciiTheme="majorEastAsia" w:hAnsiTheme="majorEastAsia" w:eastAsiaTheme="majorEastAsia"/>
          <w:color w:val="auto"/>
          <w:sz w:val="24"/>
          <w:u w:val="single"/>
        </w:rPr>
        <w:t>(采购人)</w:t>
      </w:r>
      <w:r>
        <w:rPr>
          <w:rFonts w:hint="eastAsia" w:cs="宋体" w:asciiTheme="majorEastAsia" w:hAnsiTheme="majorEastAsia" w:eastAsiaTheme="majorEastAsia"/>
          <w:color w:val="auto"/>
          <w:sz w:val="24"/>
        </w:rPr>
        <w:t>单位的</w:t>
      </w:r>
      <w:r>
        <w:rPr>
          <w:rFonts w:hint="eastAsia" w:cs="宋体" w:asciiTheme="majorEastAsia" w:hAnsiTheme="majorEastAsia" w:eastAsiaTheme="majorEastAsia"/>
          <w:color w:val="auto"/>
          <w:sz w:val="24"/>
          <w:u w:val="single"/>
        </w:rPr>
        <w:t>（项目名称）</w:t>
      </w:r>
      <w:r>
        <w:rPr>
          <w:rFonts w:hint="eastAsia" w:cs="宋体" w:asciiTheme="majorEastAsia" w:hAnsiTheme="majorEastAsia" w:eastAsiaTheme="majorEastAsia"/>
          <w:color w:val="auto"/>
          <w:sz w:val="24"/>
        </w:rPr>
        <w:t>项目采购活动提供本单位制造的货物（由本单位承担工程/提供服务），或者提供其他残疾人</w:t>
      </w:r>
      <w:r>
        <w:rPr>
          <w:rFonts w:hint="eastAsia" w:cs="宋体" w:asciiTheme="majorEastAsia" w:hAnsiTheme="majorEastAsia" w:eastAsiaTheme="majorEastAsia"/>
          <w:sz w:val="24"/>
        </w:rPr>
        <w:t>福利性单位制造的货物（不包括使用非残疾人福利性单位注册商标的货物）。</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本单位对上述声明的真实性负责。如有虚假，将依法承担相应责任。</w:t>
      </w:r>
    </w:p>
    <w:p>
      <w:pPr>
        <w:spacing w:line="360" w:lineRule="auto"/>
        <w:ind w:firstLine="480" w:firstLineChars="200"/>
        <w:rPr>
          <w:rFonts w:cs="宋体" w:asciiTheme="majorEastAsia" w:hAnsiTheme="majorEastAsia" w:eastAsiaTheme="majorEastAsia"/>
          <w:sz w:val="24"/>
        </w:rPr>
      </w:pPr>
    </w:p>
    <w:p>
      <w:pPr>
        <w:spacing w:line="360" w:lineRule="auto"/>
        <w:ind w:firstLine="480" w:firstLineChars="200"/>
        <w:rPr>
          <w:rFonts w:cs="宋体" w:asciiTheme="majorEastAsia" w:hAnsiTheme="majorEastAsia" w:eastAsiaTheme="majorEastAsia"/>
          <w:sz w:val="24"/>
        </w:rPr>
      </w:pPr>
    </w:p>
    <w:p>
      <w:pPr>
        <w:tabs>
          <w:tab w:val="left" w:pos="4860"/>
        </w:tabs>
        <w:spacing w:line="360" w:lineRule="auto"/>
        <w:ind w:right="1560" w:firstLine="480" w:firstLineChars="200"/>
        <w:jc w:val="center"/>
        <w:rPr>
          <w:rFonts w:cs="宋体" w:asciiTheme="majorEastAsia" w:hAnsiTheme="majorEastAsia" w:eastAsiaTheme="majorEastAsia"/>
          <w:sz w:val="24"/>
        </w:rPr>
      </w:pPr>
      <w:r>
        <w:rPr>
          <w:rFonts w:hint="eastAsia" w:cs="宋体" w:asciiTheme="majorEastAsia" w:hAnsiTheme="majorEastAsia" w:eastAsiaTheme="majorEastAsia"/>
          <w:kern w:val="0"/>
          <w:sz w:val="24"/>
          <w:lang w:val="zh-CN"/>
        </w:rPr>
        <w:t>投标人名称（电子签名）</w:t>
      </w:r>
      <w:r>
        <w:rPr>
          <w:rFonts w:hint="eastAsia" w:cs="宋体" w:asciiTheme="majorEastAsia" w:hAnsiTheme="majorEastAsia" w:eastAsiaTheme="majorEastAsia"/>
          <w:sz w:val="24"/>
        </w:rPr>
        <w:t>：</w:t>
      </w:r>
    </w:p>
    <w:p>
      <w:pPr>
        <w:tabs>
          <w:tab w:val="left" w:pos="4860"/>
        </w:tabs>
        <w:spacing w:line="360" w:lineRule="auto"/>
        <w:ind w:right="1560" w:firstLine="480" w:firstLineChars="200"/>
        <w:jc w:val="center"/>
        <w:rPr>
          <w:rFonts w:cs="宋体" w:asciiTheme="majorEastAsia" w:hAnsiTheme="majorEastAsia" w:eastAsiaTheme="majorEastAsia"/>
          <w:sz w:val="24"/>
        </w:rPr>
      </w:pPr>
      <w:r>
        <w:rPr>
          <w:rFonts w:hint="eastAsia" w:cs="宋体" w:asciiTheme="majorEastAsia" w:hAnsiTheme="majorEastAsia" w:eastAsiaTheme="majorEastAsia"/>
          <w:sz w:val="24"/>
        </w:rPr>
        <w:t xml:space="preserve">       日  期：</w:t>
      </w:r>
    </w:p>
    <w:p>
      <w:pPr>
        <w:spacing w:line="360" w:lineRule="auto"/>
        <w:ind w:firstLine="480" w:firstLineChars="200"/>
        <w:rPr>
          <w:rFonts w:cs="宋体" w:asciiTheme="majorEastAsia" w:hAnsiTheme="majorEastAsia" w:eastAsiaTheme="majorEastAsia"/>
          <w:sz w:val="24"/>
        </w:rPr>
      </w:pPr>
    </w:p>
    <w:p>
      <w:pPr>
        <w:spacing w:line="360" w:lineRule="auto"/>
        <w:ind w:firstLine="420" w:firstLineChars="200"/>
        <w:rPr>
          <w:rFonts w:cs="宋体" w:asciiTheme="majorEastAsia" w:hAnsiTheme="majorEastAsia" w:eastAsiaTheme="majorEastAsia"/>
        </w:rPr>
      </w:pPr>
    </w:p>
    <w:p>
      <w:pPr>
        <w:spacing w:line="360" w:lineRule="auto"/>
        <w:ind w:firstLine="420" w:firstLineChars="200"/>
        <w:rPr>
          <w:rFonts w:cs="宋体" w:asciiTheme="majorEastAsia" w:hAnsiTheme="majorEastAsia" w:eastAsiaTheme="majorEastAsia"/>
        </w:rPr>
      </w:pPr>
    </w:p>
    <w:p>
      <w:pPr>
        <w:spacing w:line="360" w:lineRule="auto"/>
        <w:ind w:firstLine="420" w:firstLineChars="200"/>
        <w:rPr>
          <w:rFonts w:cs="宋体" w:asciiTheme="majorEastAsia" w:hAnsiTheme="majorEastAsia" w:eastAsiaTheme="majorEastAsia"/>
        </w:rPr>
      </w:pPr>
    </w:p>
    <w:p>
      <w:pPr>
        <w:spacing w:line="360" w:lineRule="auto"/>
        <w:ind w:firstLine="420" w:firstLineChars="200"/>
        <w:rPr>
          <w:rFonts w:cs="宋体" w:asciiTheme="majorEastAsia" w:hAnsiTheme="majorEastAsia" w:eastAsiaTheme="majorEastAsia"/>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jc w:val="left"/>
        <w:rPr>
          <w:rFonts w:cs="宋体" w:asciiTheme="majorEastAsia" w:hAnsiTheme="majorEastAsia" w:eastAsiaTheme="majorEastAsia"/>
          <w:b/>
          <w:spacing w:val="6"/>
          <w:sz w:val="32"/>
          <w:szCs w:val="32"/>
        </w:rPr>
      </w:pPr>
      <w:r>
        <w:rPr>
          <w:rFonts w:hint="eastAsia" w:cs="宋体" w:asciiTheme="majorEastAsia" w:hAnsiTheme="majorEastAsia" w:eastAsiaTheme="majorEastAsia"/>
          <w:b/>
          <w:spacing w:val="6"/>
          <w:sz w:val="32"/>
          <w:szCs w:val="32"/>
        </w:rPr>
        <w:t>附件2：质疑函范本及制作说明</w:t>
      </w:r>
    </w:p>
    <w:p>
      <w:pPr>
        <w:spacing w:line="360" w:lineRule="auto"/>
        <w:jc w:val="center"/>
        <w:rPr>
          <w:rFonts w:cs="宋体" w:asciiTheme="majorEastAsia" w:hAnsiTheme="majorEastAsia" w:eastAsiaTheme="majorEastAsia"/>
          <w:b/>
          <w:spacing w:val="6"/>
          <w:sz w:val="32"/>
          <w:szCs w:val="32"/>
        </w:rPr>
      </w:pPr>
      <w:r>
        <w:rPr>
          <w:rFonts w:hint="eastAsia" w:cs="宋体" w:asciiTheme="majorEastAsia" w:hAnsiTheme="majorEastAsia" w:eastAsiaTheme="majorEastAsia"/>
          <w:b/>
          <w:spacing w:val="6"/>
          <w:sz w:val="32"/>
          <w:szCs w:val="32"/>
        </w:rPr>
        <w:t>质疑函范本</w:t>
      </w:r>
    </w:p>
    <w:p>
      <w:pPr>
        <w:snapToGrid w:val="0"/>
        <w:spacing w:beforeLines="100" w:line="360" w:lineRule="auto"/>
        <w:rPr>
          <w:rFonts w:cs="宋体" w:asciiTheme="majorEastAsia" w:hAnsiTheme="majorEastAsia" w:eastAsiaTheme="majorEastAsia"/>
          <w:bCs/>
          <w:sz w:val="24"/>
        </w:rPr>
      </w:pPr>
      <w:r>
        <w:rPr>
          <w:rFonts w:hint="eastAsia" w:cs="宋体" w:asciiTheme="majorEastAsia" w:hAnsiTheme="majorEastAsia" w:eastAsiaTheme="majorEastAsia"/>
          <w:bCs/>
          <w:sz w:val="24"/>
        </w:rPr>
        <w:t>一、质疑供应商基本信息</w:t>
      </w:r>
    </w:p>
    <w:p>
      <w:pPr>
        <w:snapToGrid w:val="0"/>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质疑供应商：</w:t>
      </w: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地址：邮编：</w:t>
      </w: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联系人：联系电话：</w:t>
      </w:r>
    </w:p>
    <w:p>
      <w:pPr>
        <w:snapToGrid w:val="0"/>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授权代表：</w:t>
      </w: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联系电话：</w:t>
      </w: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地址： 邮编：</w:t>
      </w:r>
    </w:p>
    <w:p>
      <w:pPr>
        <w:snapToGrid w:val="0"/>
        <w:spacing w:line="360" w:lineRule="auto"/>
        <w:rPr>
          <w:rFonts w:cs="宋体" w:asciiTheme="majorEastAsia" w:hAnsiTheme="majorEastAsia" w:eastAsiaTheme="majorEastAsia"/>
          <w:bCs/>
          <w:sz w:val="24"/>
        </w:rPr>
      </w:pPr>
      <w:r>
        <w:rPr>
          <w:rFonts w:hint="eastAsia" w:cs="宋体" w:asciiTheme="majorEastAsia" w:hAnsiTheme="majorEastAsia" w:eastAsiaTheme="majorEastAsia"/>
          <w:bCs/>
          <w:sz w:val="24"/>
        </w:rPr>
        <w:t>二、质疑项目基本情况</w:t>
      </w: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质疑项目的名称：</w:t>
      </w: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质疑项目的编号：包号：</w:t>
      </w:r>
    </w:p>
    <w:p>
      <w:pPr>
        <w:snapToGrid w:val="0"/>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采购人名称：</w:t>
      </w: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采购文件获取日期：</w:t>
      </w:r>
    </w:p>
    <w:p>
      <w:pPr>
        <w:snapToGrid w:val="0"/>
        <w:spacing w:line="360" w:lineRule="auto"/>
        <w:rPr>
          <w:rFonts w:cs="宋体" w:asciiTheme="majorEastAsia" w:hAnsiTheme="majorEastAsia" w:eastAsiaTheme="majorEastAsia"/>
          <w:bCs/>
          <w:sz w:val="24"/>
        </w:rPr>
      </w:pPr>
      <w:r>
        <w:rPr>
          <w:rFonts w:hint="eastAsia" w:cs="宋体" w:asciiTheme="majorEastAsia" w:hAnsiTheme="majorEastAsia" w:eastAsiaTheme="majorEastAsia"/>
          <w:bCs/>
          <w:sz w:val="24"/>
        </w:rPr>
        <w:t>三、质疑事项具体内容</w:t>
      </w:r>
    </w:p>
    <w:p>
      <w:pPr>
        <w:snapToGrid w:val="0"/>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质疑事项1：</w:t>
      </w:r>
    </w:p>
    <w:p>
      <w:pPr>
        <w:snapToGrid w:val="0"/>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事实依据：</w:t>
      </w:r>
    </w:p>
    <w:p>
      <w:pPr>
        <w:snapToGrid w:val="0"/>
        <w:spacing w:line="360" w:lineRule="auto"/>
        <w:rPr>
          <w:rFonts w:cs="宋体" w:asciiTheme="majorEastAsia" w:hAnsiTheme="majorEastAsia" w:eastAsiaTheme="majorEastAsia"/>
          <w:sz w:val="24"/>
        </w:rPr>
      </w:pPr>
    </w:p>
    <w:p>
      <w:pPr>
        <w:snapToGrid w:val="0"/>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法律依据：</w:t>
      </w:r>
    </w:p>
    <w:p>
      <w:pPr>
        <w:snapToGrid w:val="0"/>
        <w:spacing w:line="360" w:lineRule="auto"/>
        <w:rPr>
          <w:rFonts w:cs="宋体" w:asciiTheme="majorEastAsia" w:hAnsiTheme="majorEastAsia" w:eastAsiaTheme="majorEastAsia"/>
          <w:sz w:val="24"/>
          <w:u w:val="dotted"/>
        </w:rPr>
      </w:pPr>
    </w:p>
    <w:p>
      <w:pPr>
        <w:snapToGrid w:val="0"/>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质疑事项2</w:t>
      </w:r>
    </w:p>
    <w:p>
      <w:pPr>
        <w:snapToGrid w:val="0"/>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w:t>
      </w:r>
    </w:p>
    <w:p>
      <w:pPr>
        <w:snapToGrid w:val="0"/>
        <w:spacing w:line="360" w:lineRule="auto"/>
        <w:rPr>
          <w:rFonts w:cs="宋体" w:asciiTheme="majorEastAsia" w:hAnsiTheme="majorEastAsia" w:eastAsiaTheme="majorEastAsia"/>
          <w:bCs/>
          <w:sz w:val="24"/>
        </w:rPr>
      </w:pPr>
      <w:r>
        <w:rPr>
          <w:rFonts w:hint="eastAsia" w:cs="宋体" w:asciiTheme="majorEastAsia" w:hAnsiTheme="majorEastAsia" w:eastAsiaTheme="majorEastAsia"/>
          <w:bCs/>
          <w:sz w:val="24"/>
        </w:rPr>
        <w:t>四、与质疑事项相关的质疑请求</w:t>
      </w:r>
    </w:p>
    <w:p>
      <w:pPr>
        <w:snapToGrid w:val="0"/>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请求：</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 xml:space="preserve">签字(签章)：                   公章：                      </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 xml:space="preserve">日期：    </w:t>
      </w:r>
    </w:p>
    <w:p>
      <w:pPr>
        <w:spacing w:line="360" w:lineRule="auto"/>
        <w:jc w:val="center"/>
        <w:rPr>
          <w:rFonts w:cs="宋体" w:asciiTheme="majorEastAsia" w:hAnsiTheme="majorEastAsia" w:eastAsiaTheme="majorEastAsia"/>
          <w:b/>
          <w:bCs/>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r>
        <w:rPr>
          <w:rFonts w:hint="eastAsia" w:cs="宋体" w:asciiTheme="majorEastAsia" w:hAnsiTheme="majorEastAsia" w:eastAsiaTheme="majorEastAsia"/>
          <w:b/>
          <w:sz w:val="24"/>
        </w:rPr>
        <w:t>质疑函制作说明：</w:t>
      </w:r>
    </w:p>
    <w:p>
      <w:pPr>
        <w:widowControl/>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1.供应商提出质疑时，应提交质疑函和必要的证明材料。</w:t>
      </w:r>
    </w:p>
    <w:p>
      <w:pPr>
        <w:widowControl/>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2.质疑供应商若委托代理人进行质疑的，质疑函应按要求列明“授权代表”的有关内容，并在附件中提交由质疑</w:t>
      </w:r>
      <w:r>
        <w:rPr>
          <w:rFonts w:hint="eastAsia" w:cs="宋体" w:asciiTheme="majorEastAsia" w:hAnsiTheme="majorEastAsia" w:eastAsiaTheme="maj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3.质疑供应商若对项目的某一分包进行质疑，质疑函中应列明具体分包号。</w:t>
      </w:r>
    </w:p>
    <w:p>
      <w:pPr>
        <w:widowControl/>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4.质疑函的质疑事项应具体、明确，并有必要的事实依据和法律依据。</w:t>
      </w:r>
    </w:p>
    <w:p>
      <w:pPr>
        <w:widowControl/>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5.质疑函的质疑请求应与质疑事项相关。</w:t>
      </w:r>
    </w:p>
    <w:p>
      <w:pPr>
        <w:widowControl/>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ajorEastAsia" w:hAnsiTheme="majorEastAsia" w:eastAsiaTheme="majorEastAsia"/>
          <w:sz w:val="30"/>
          <w:szCs w:val="30"/>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center"/>
        <w:rPr>
          <w:rFonts w:cs="宋体" w:asciiTheme="majorEastAsia" w:hAnsiTheme="majorEastAsia" w:eastAsiaTheme="majorEastAsia"/>
          <w:b/>
          <w:spacing w:val="6"/>
          <w:sz w:val="32"/>
          <w:szCs w:val="32"/>
        </w:rPr>
      </w:pPr>
    </w:p>
    <w:p>
      <w:pPr>
        <w:spacing w:line="360" w:lineRule="auto"/>
        <w:jc w:val="left"/>
        <w:rPr>
          <w:rFonts w:cs="宋体" w:asciiTheme="majorEastAsia" w:hAnsiTheme="majorEastAsia" w:eastAsiaTheme="majorEastAsia"/>
          <w:b/>
          <w:spacing w:val="6"/>
          <w:sz w:val="32"/>
          <w:szCs w:val="32"/>
        </w:rPr>
      </w:pPr>
    </w:p>
    <w:p>
      <w:pPr>
        <w:spacing w:line="360" w:lineRule="auto"/>
        <w:jc w:val="left"/>
        <w:rPr>
          <w:rFonts w:cs="宋体" w:asciiTheme="majorEastAsia" w:hAnsiTheme="majorEastAsia" w:eastAsiaTheme="majorEastAsia"/>
          <w:b/>
          <w:spacing w:val="6"/>
          <w:sz w:val="32"/>
          <w:szCs w:val="32"/>
        </w:rPr>
      </w:pPr>
    </w:p>
    <w:p>
      <w:pPr>
        <w:spacing w:line="360" w:lineRule="auto"/>
        <w:jc w:val="left"/>
        <w:rPr>
          <w:rFonts w:cs="宋体" w:asciiTheme="majorEastAsia" w:hAnsiTheme="majorEastAsia" w:eastAsiaTheme="majorEastAsia"/>
          <w:b/>
          <w:spacing w:val="6"/>
          <w:sz w:val="32"/>
          <w:szCs w:val="32"/>
        </w:rPr>
      </w:pPr>
      <w:r>
        <w:rPr>
          <w:rFonts w:hint="eastAsia" w:cs="宋体" w:asciiTheme="majorEastAsia" w:hAnsiTheme="majorEastAsia" w:eastAsiaTheme="majorEastAsia"/>
          <w:b/>
          <w:spacing w:val="6"/>
          <w:sz w:val="32"/>
          <w:szCs w:val="32"/>
        </w:rPr>
        <w:t>附件3：投诉书范本及制作说明</w:t>
      </w:r>
    </w:p>
    <w:p>
      <w:pPr>
        <w:spacing w:line="360" w:lineRule="auto"/>
        <w:jc w:val="center"/>
        <w:rPr>
          <w:rFonts w:cs="宋体" w:asciiTheme="majorEastAsia" w:hAnsiTheme="majorEastAsia" w:eastAsiaTheme="majorEastAsia"/>
          <w:b/>
          <w:sz w:val="24"/>
        </w:rPr>
      </w:pPr>
    </w:p>
    <w:p>
      <w:pPr>
        <w:spacing w:line="360" w:lineRule="auto"/>
        <w:jc w:val="center"/>
        <w:rPr>
          <w:rFonts w:cs="宋体" w:asciiTheme="majorEastAsia" w:hAnsiTheme="majorEastAsia" w:eastAsiaTheme="majorEastAsia"/>
          <w:b/>
          <w:spacing w:val="6"/>
          <w:sz w:val="32"/>
          <w:szCs w:val="32"/>
        </w:rPr>
      </w:pPr>
      <w:r>
        <w:rPr>
          <w:rFonts w:hint="eastAsia" w:cs="宋体" w:asciiTheme="majorEastAsia" w:hAnsiTheme="majorEastAsia" w:eastAsiaTheme="majorEastAsia"/>
          <w:b/>
          <w:spacing w:val="6"/>
          <w:sz w:val="32"/>
          <w:szCs w:val="32"/>
        </w:rPr>
        <w:t>投诉书范本</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一、投诉相关主体基本情况</w:t>
      </w:r>
    </w:p>
    <w:p>
      <w:pPr>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投诉人：</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地     址：邮编：</w:t>
      </w:r>
    </w:p>
    <w:p>
      <w:pPr>
        <w:tabs>
          <w:tab w:val="left" w:pos="6510"/>
        </w:tabs>
        <w:spacing w:line="360" w:lineRule="auto"/>
        <w:jc w:val="left"/>
        <w:rPr>
          <w:rFonts w:cs="宋体" w:asciiTheme="majorEastAsia" w:hAnsiTheme="majorEastAsia" w:eastAsiaTheme="majorEastAsia"/>
          <w:sz w:val="24"/>
        </w:rPr>
      </w:pPr>
      <w:r>
        <w:rPr>
          <w:rFonts w:hint="eastAsia" w:cs="宋体" w:asciiTheme="majorEastAsia" w:hAnsiTheme="majorEastAsia" w:eastAsiaTheme="majorEastAsia"/>
          <w:sz w:val="24"/>
        </w:rPr>
        <w:t>法定代表人/主要负责人：</w:t>
      </w:r>
    </w:p>
    <w:p>
      <w:pPr>
        <w:tabs>
          <w:tab w:val="left" w:pos="6510"/>
        </w:tabs>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联系电话：</w:t>
      </w:r>
    </w:p>
    <w:p>
      <w:pPr>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授权代表：联系电话</w:t>
      </w:r>
      <w:r>
        <w:rPr>
          <w:rFonts w:hint="eastAsia" w:cs="宋体" w:asciiTheme="majorEastAsia" w:hAnsiTheme="majorEastAsia" w:eastAsiaTheme="majorEastAsia"/>
          <w:sz w:val="24"/>
          <w:u w:val="dotted"/>
        </w:rPr>
        <w:t xml:space="preserve">：                  </w:t>
      </w:r>
    </w:p>
    <w:p>
      <w:pPr>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地     址：邮编：</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被投诉人1：</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地     址：邮编：</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联系人：联系电话：</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被投诉人2</w:t>
      </w:r>
    </w:p>
    <w:p>
      <w:pPr>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相关供应商：</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地     址：邮编：</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联系人：联系电话：</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二、投诉项目基本情况</w:t>
      </w:r>
    </w:p>
    <w:p>
      <w:pPr>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采购项目名称：</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采购项目编号：包号：</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采购人名称：</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代理机构名称：</w:t>
      </w:r>
    </w:p>
    <w:p>
      <w:pPr>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采购文件公告:</w:t>
      </w:r>
      <w:r>
        <w:rPr>
          <w:rFonts w:hint="eastAsia" w:cs="宋体" w:asciiTheme="majorEastAsia" w:hAnsiTheme="majorEastAsia" w:eastAsiaTheme="majorEastAsia"/>
          <w:sz w:val="24"/>
          <w:u w:val="dotted"/>
        </w:rPr>
        <w:t xml:space="preserve">是/否 </w:t>
      </w:r>
      <w:r>
        <w:rPr>
          <w:rFonts w:hint="eastAsia" w:cs="宋体" w:asciiTheme="majorEastAsia" w:hAnsiTheme="majorEastAsia" w:eastAsiaTheme="majorEastAsia"/>
          <w:sz w:val="24"/>
        </w:rPr>
        <w:t>公告期限：</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采购结果公告:</w:t>
      </w:r>
      <w:r>
        <w:rPr>
          <w:rFonts w:hint="eastAsia" w:cs="宋体" w:asciiTheme="majorEastAsia" w:hAnsiTheme="majorEastAsia" w:eastAsiaTheme="majorEastAsia"/>
          <w:sz w:val="24"/>
          <w:u w:val="dotted"/>
        </w:rPr>
        <w:t xml:space="preserve">是/否 </w:t>
      </w:r>
      <w:r>
        <w:rPr>
          <w:rFonts w:hint="eastAsia" w:cs="宋体" w:asciiTheme="majorEastAsia" w:hAnsiTheme="majorEastAsia" w:eastAsiaTheme="majorEastAsia"/>
          <w:sz w:val="24"/>
        </w:rPr>
        <w:t>公告期限：</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三、质疑基本情况</w:t>
      </w:r>
    </w:p>
    <w:p>
      <w:pPr>
        <w:spacing w:line="360" w:lineRule="auto"/>
        <w:ind w:firstLine="480" w:firstLineChars="200"/>
        <w:rPr>
          <w:rFonts w:cs="宋体" w:asciiTheme="majorEastAsia" w:hAnsiTheme="majorEastAsia" w:eastAsiaTheme="majorEastAsia"/>
          <w:sz w:val="24"/>
          <w:u w:val="dotted"/>
        </w:rPr>
      </w:pPr>
      <w:r>
        <w:rPr>
          <w:rFonts w:hint="eastAsia" w:cs="宋体" w:asciiTheme="majorEastAsia" w:hAnsiTheme="majorEastAsia" w:eastAsiaTheme="majorEastAsia"/>
          <w:sz w:val="24"/>
        </w:rPr>
        <w:t>投诉人于年月日,向提出质疑，质疑事项为：</w:t>
      </w:r>
    </w:p>
    <w:p>
      <w:pPr>
        <w:spacing w:line="360" w:lineRule="auto"/>
        <w:rPr>
          <w:rFonts w:cs="宋体" w:asciiTheme="majorEastAsia" w:hAnsiTheme="majorEastAsia" w:eastAsiaTheme="majorEastAsia"/>
          <w:sz w:val="24"/>
          <w:u w:val="dotted"/>
        </w:rPr>
      </w:pPr>
    </w:p>
    <w:p>
      <w:pPr>
        <w:spacing w:line="360" w:lineRule="auto"/>
        <w:ind w:firstLine="360" w:firstLineChars="150"/>
        <w:rPr>
          <w:rFonts w:cs="宋体" w:asciiTheme="majorEastAsia" w:hAnsiTheme="majorEastAsia" w:eastAsiaTheme="majorEastAsia"/>
          <w:sz w:val="24"/>
        </w:rPr>
      </w:pPr>
      <w:r>
        <w:rPr>
          <w:rFonts w:hint="eastAsia" w:cs="宋体" w:asciiTheme="majorEastAsia" w:hAnsiTheme="majorEastAsia" w:eastAsiaTheme="majorEastAsia"/>
          <w:sz w:val="24"/>
          <w:u w:val="dotted"/>
        </w:rPr>
        <w:t>采购人/代理机构</w:t>
      </w:r>
      <w:r>
        <w:rPr>
          <w:rFonts w:hint="eastAsia" w:cs="宋体" w:asciiTheme="majorEastAsia" w:hAnsiTheme="majorEastAsia" w:eastAsiaTheme="majorEastAsia"/>
          <w:sz w:val="24"/>
        </w:rPr>
        <w:t>于年月日,就质疑事项作出了答复/没有在法定期限内作出答复。</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四、投诉事项具体内容</w:t>
      </w: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投诉事项 1：</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事实依据：</w:t>
      </w:r>
    </w:p>
    <w:p>
      <w:pPr>
        <w:spacing w:line="360" w:lineRule="auto"/>
        <w:rPr>
          <w:rFonts w:cs="宋体" w:asciiTheme="majorEastAsia" w:hAnsiTheme="majorEastAsia" w:eastAsiaTheme="majorEastAsia"/>
          <w:sz w:val="24"/>
          <w:u w:val="dotted"/>
        </w:rPr>
      </w:pPr>
    </w:p>
    <w:p>
      <w:pPr>
        <w:spacing w:line="360" w:lineRule="auto"/>
        <w:rPr>
          <w:rFonts w:cs="宋体" w:asciiTheme="majorEastAsia" w:hAnsiTheme="majorEastAsia" w:eastAsiaTheme="majorEastAsia"/>
          <w:sz w:val="24"/>
          <w:u w:val="single"/>
        </w:rPr>
      </w:pPr>
      <w:r>
        <w:rPr>
          <w:rFonts w:hint="eastAsia" w:cs="宋体" w:asciiTheme="majorEastAsia" w:hAnsiTheme="majorEastAsia" w:eastAsiaTheme="majorEastAsia"/>
          <w:sz w:val="24"/>
        </w:rPr>
        <w:t>法律依据：</w:t>
      </w:r>
    </w:p>
    <w:p>
      <w:pPr>
        <w:spacing w:line="360" w:lineRule="auto"/>
        <w:rPr>
          <w:rFonts w:cs="宋体" w:asciiTheme="majorEastAsia" w:hAnsiTheme="majorEastAsia" w:eastAsiaTheme="majorEastAsia"/>
          <w:sz w:val="24"/>
          <w:u w:val="dotted"/>
        </w:rPr>
      </w:pP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投诉事项2</w:t>
      </w:r>
    </w:p>
    <w:p>
      <w:pPr>
        <w:spacing w:line="360" w:lineRule="auto"/>
        <w:rPr>
          <w:rFonts w:cs="宋体" w:asciiTheme="majorEastAsia" w:hAnsiTheme="majorEastAsia" w:eastAsiaTheme="majorEastAsia"/>
          <w:sz w:val="24"/>
          <w:u w:val="dotted"/>
        </w:rPr>
      </w:pPr>
      <w:r>
        <w:rPr>
          <w:rFonts w:hint="eastAsia" w:cs="宋体" w:asciiTheme="majorEastAsia" w:hAnsiTheme="majorEastAsia" w:eastAsiaTheme="majorEastAsia"/>
          <w:sz w:val="24"/>
        </w:rPr>
        <w:t>……</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五、与投诉事项相关的投诉请求</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请求：</w:t>
      </w:r>
    </w:p>
    <w:p>
      <w:pPr>
        <w:spacing w:line="360" w:lineRule="auto"/>
        <w:rPr>
          <w:rFonts w:cs="宋体" w:asciiTheme="majorEastAsia" w:hAnsiTheme="majorEastAsia" w:eastAsiaTheme="majorEastAsia"/>
          <w:sz w:val="24"/>
          <w:u w:val="single"/>
        </w:rPr>
      </w:pP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 xml:space="preserve">签字(签章)：                   公章：                      </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 xml:space="preserve">日期：    </w:t>
      </w: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p>
    <w:p>
      <w:pPr>
        <w:spacing w:line="360" w:lineRule="auto"/>
        <w:rPr>
          <w:rFonts w:cs="宋体" w:asciiTheme="majorEastAsia" w:hAnsiTheme="majorEastAsia" w:eastAsiaTheme="majorEastAsia"/>
          <w:b/>
          <w:sz w:val="24"/>
        </w:rPr>
      </w:pPr>
      <w:r>
        <w:rPr>
          <w:rFonts w:hint="eastAsia" w:cs="宋体" w:asciiTheme="majorEastAsia" w:hAnsiTheme="majorEastAsia" w:eastAsiaTheme="majorEastAsia"/>
          <w:b/>
          <w:sz w:val="24"/>
        </w:rPr>
        <w:t>投诉书制作说明：</w:t>
      </w:r>
    </w:p>
    <w:p>
      <w:pPr>
        <w:widowControl/>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sz w:val="24"/>
        </w:rPr>
        <w:t>2.投诉人若委托代理人进行投诉的，投诉书应按照要求列明“授权代表”的有关内容，并在附件中提交由</w:t>
      </w:r>
      <w:r>
        <w:rPr>
          <w:rFonts w:hint="eastAsia" w:cs="宋体" w:asciiTheme="majorEastAsia" w:hAnsiTheme="majorEastAsia" w:eastAsiaTheme="maj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3.投诉人若对项目的某一分包进行投诉，投诉书应列明具体分包号。</w:t>
      </w:r>
    </w:p>
    <w:p>
      <w:pPr>
        <w:widowControl/>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4.投诉书应简要列明质疑事项，质疑函、质疑答复等作为附件材料提供。</w:t>
      </w:r>
    </w:p>
    <w:p>
      <w:pPr>
        <w:widowControl/>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5.投诉书的投诉事项应具体、明确，并有必要的事实依据和法律依据。</w:t>
      </w:r>
    </w:p>
    <w:p>
      <w:pPr>
        <w:widowControl/>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6.投诉书的投诉请求应与投诉事项相关。</w:t>
      </w:r>
    </w:p>
    <w:p>
      <w:pPr>
        <w:widowControl/>
        <w:spacing w:line="360" w:lineRule="auto"/>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cs="宋体" w:asciiTheme="majorEastAsia" w:hAnsiTheme="majorEastAsia" w:eastAsiaTheme="majorEastAsia"/>
          <w:b/>
          <w:sz w:val="24"/>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hint="eastAsia" w:cs="宋体" w:asciiTheme="majorEastAsia" w:hAnsiTheme="majorEastAsia" w:eastAsiaTheme="majorEastAsia"/>
          <w:b/>
          <w:spacing w:val="6"/>
          <w:sz w:val="32"/>
          <w:szCs w:val="32"/>
        </w:rPr>
      </w:pPr>
    </w:p>
    <w:p>
      <w:pPr>
        <w:autoSpaceDE w:val="0"/>
        <w:autoSpaceDN w:val="0"/>
        <w:jc w:val="center"/>
        <w:rPr>
          <w:rFonts w:hint="eastAsia"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bCs/>
          <w:sz w:val="32"/>
          <w:szCs w:val="32"/>
        </w:rPr>
      </w:pPr>
      <w:r>
        <w:rPr>
          <w:rFonts w:hint="eastAsia" w:cs="宋体" w:asciiTheme="majorEastAsia" w:hAnsiTheme="majorEastAsia" w:eastAsiaTheme="majorEastAsia"/>
          <w:b/>
          <w:spacing w:val="6"/>
          <w:sz w:val="32"/>
          <w:szCs w:val="32"/>
        </w:rPr>
        <w:t>附件4：</w:t>
      </w:r>
      <w:r>
        <w:rPr>
          <w:rFonts w:hint="eastAsia" w:cs="宋体" w:asciiTheme="majorEastAsia" w:hAnsiTheme="majorEastAsia" w:eastAsiaTheme="majorEastAsia"/>
          <w:b/>
          <w:bCs/>
          <w:sz w:val="32"/>
          <w:szCs w:val="32"/>
        </w:rPr>
        <w:t>业务专用章使用说明函</w:t>
      </w:r>
    </w:p>
    <w:p>
      <w:pPr>
        <w:spacing w:line="360" w:lineRule="auto"/>
        <w:rPr>
          <w:rFonts w:cs="宋体" w:asciiTheme="majorEastAsia" w:hAnsiTheme="majorEastAsia" w:eastAsiaTheme="majorEastAsia"/>
          <w:sz w:val="24"/>
          <w:u w:val="single"/>
        </w:rPr>
      </w:pPr>
    </w:p>
    <w:p>
      <w:pPr>
        <w:spacing w:line="360" w:lineRule="auto"/>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u w:val="single"/>
        </w:rPr>
        <w:t>（采购人）、（采购代理机构）：</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color w:val="auto"/>
          <w:kern w:val="0"/>
          <w:sz w:val="24"/>
          <w:lang w:val="zh-CN"/>
        </w:rPr>
        <w:t>我方</w:t>
      </w:r>
      <w:r>
        <w:rPr>
          <w:rFonts w:hint="eastAsia" w:cs="宋体" w:asciiTheme="majorEastAsia" w:hAnsiTheme="majorEastAsia" w:eastAsiaTheme="majorEastAsia"/>
          <w:color w:val="auto"/>
          <w:sz w:val="24"/>
        </w:rPr>
        <w:t>(投标人全称)是中华人民共和国依法登记注册的合法企业，</w:t>
      </w:r>
      <w:r>
        <w:rPr>
          <w:rFonts w:hint="eastAsia" w:cs="宋体" w:asciiTheme="majorEastAsia" w:hAnsiTheme="majorEastAsia" w:eastAsiaTheme="majorEastAsia"/>
          <w:bCs/>
          <w:color w:val="auto"/>
          <w:sz w:val="24"/>
        </w:rPr>
        <w:t>在参加</w:t>
      </w:r>
      <w:r>
        <w:rPr>
          <w:rFonts w:hint="eastAsia" w:cs="宋体" w:asciiTheme="majorEastAsia" w:hAnsiTheme="majorEastAsia" w:eastAsiaTheme="majorEastAsia"/>
          <w:color w:val="auto"/>
          <w:sz w:val="24"/>
        </w:rPr>
        <w:t>你方组织的（项目名称）【招标编号：（采购编号）】</w:t>
      </w:r>
      <w:r>
        <w:rPr>
          <w:rFonts w:hint="eastAsia" w:cs="宋体" w:asciiTheme="majorEastAsia" w:hAnsiTheme="majorEastAsia" w:eastAsiaTheme="majorEastAsia"/>
          <w:bCs/>
          <w:color w:val="auto"/>
          <w:sz w:val="24"/>
        </w:rPr>
        <w:t>投标活动</w:t>
      </w:r>
      <w:r>
        <w:rPr>
          <w:rFonts w:hint="eastAsia" w:cs="宋体" w:asciiTheme="majorEastAsia" w:hAnsiTheme="majorEastAsia" w:eastAsiaTheme="majorEastAsia"/>
          <w:bCs/>
          <w:sz w:val="24"/>
        </w:rPr>
        <w:t>中作如下说明：</w:t>
      </w:r>
      <w:r>
        <w:rPr>
          <w:rFonts w:hint="eastAsia" w:cs="宋体" w:asciiTheme="majorEastAsia" w:hAnsiTheme="majorEastAsia" w:eastAsiaTheme="maj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特此说明。</w:t>
      </w:r>
    </w:p>
    <w:p>
      <w:pPr>
        <w:spacing w:line="360" w:lineRule="auto"/>
        <w:ind w:firstLine="494"/>
        <w:rPr>
          <w:rFonts w:cs="宋体" w:asciiTheme="majorEastAsia" w:hAnsiTheme="majorEastAsia" w:eastAsiaTheme="majorEastAsia"/>
          <w:sz w:val="24"/>
        </w:rPr>
      </w:pPr>
    </w:p>
    <w:p>
      <w:pPr>
        <w:spacing w:line="360" w:lineRule="auto"/>
        <w:ind w:firstLine="494"/>
        <w:rPr>
          <w:rFonts w:cs="宋体" w:asciiTheme="majorEastAsia" w:hAnsiTheme="majorEastAsia" w:eastAsiaTheme="majorEastAsia"/>
          <w:sz w:val="24"/>
        </w:rPr>
      </w:pPr>
    </w:p>
    <w:p>
      <w:pPr>
        <w:spacing w:line="360" w:lineRule="auto"/>
        <w:ind w:firstLine="494"/>
        <w:rPr>
          <w:rFonts w:cs="宋体" w:asciiTheme="majorEastAsia" w:hAnsiTheme="majorEastAsia" w:eastAsiaTheme="majorEastAsia"/>
          <w:sz w:val="24"/>
        </w:rPr>
      </w:pPr>
    </w:p>
    <w:p>
      <w:pPr>
        <w:spacing w:line="360" w:lineRule="auto"/>
        <w:ind w:firstLine="494"/>
        <w:rPr>
          <w:rFonts w:cs="宋体" w:asciiTheme="majorEastAsia" w:hAnsiTheme="majorEastAsia" w:eastAsiaTheme="majorEastAsia"/>
          <w:sz w:val="24"/>
        </w:rPr>
      </w:pPr>
    </w:p>
    <w:p>
      <w:pPr>
        <w:spacing w:line="360" w:lineRule="auto"/>
        <w:ind w:right="480" w:firstLine="4080" w:firstLineChars="1700"/>
        <w:rPr>
          <w:rFonts w:cs="宋体" w:asciiTheme="majorEastAsia" w:hAnsiTheme="majorEastAsia" w:eastAsiaTheme="majorEastAsia"/>
          <w:sz w:val="24"/>
        </w:rPr>
      </w:pPr>
      <w:r>
        <w:rPr>
          <w:rFonts w:hint="eastAsia" w:cs="宋体" w:asciiTheme="majorEastAsia" w:hAnsiTheme="majorEastAsia" w:eastAsiaTheme="majorEastAsia"/>
          <w:sz w:val="24"/>
        </w:rPr>
        <w:t>投标单位（法定名称章）：</w:t>
      </w:r>
    </w:p>
    <w:p>
      <w:pPr>
        <w:ind w:right="1440" w:firstLine="494"/>
        <w:jc w:val="center"/>
        <w:rPr>
          <w:rFonts w:cs="宋体" w:asciiTheme="majorEastAsia" w:hAnsiTheme="majorEastAsia" w:eastAsiaTheme="majorEastAsia"/>
          <w:sz w:val="24"/>
        </w:rPr>
      </w:pPr>
      <w:r>
        <w:rPr>
          <w:rFonts w:hint="eastAsia" w:cs="宋体" w:asciiTheme="majorEastAsia" w:hAnsiTheme="majorEastAsia" w:eastAsiaTheme="majorEastAsia"/>
          <w:sz w:val="24"/>
        </w:rPr>
        <w:t xml:space="preserve">                              日期：       年     月     日</w:t>
      </w:r>
    </w:p>
    <w:p>
      <w:pPr>
        <w:rPr>
          <w:rFonts w:cs="宋体" w:asciiTheme="majorEastAsia" w:hAnsiTheme="majorEastAsia" w:eastAsiaTheme="majorEastAsia"/>
          <w:sz w:val="24"/>
        </w:rPr>
      </w:pPr>
      <w:r>
        <w:rPr>
          <w:rFonts w:hint="eastAsia" w:cs="宋体" w:asciiTheme="majorEastAsia" w:hAnsiTheme="majorEastAsia" w:eastAsiaTheme="majorEastAsia"/>
          <w:b/>
          <w:bCs/>
          <w:sz w:val="24"/>
        </w:rPr>
        <w:t>附：</w:t>
      </w:r>
    </w:p>
    <w:p>
      <w:pPr>
        <w:spacing w:line="360" w:lineRule="auto"/>
        <w:rPr>
          <w:rFonts w:cs="宋体" w:asciiTheme="majorEastAsia" w:hAnsiTheme="majorEastAsia" w:eastAsiaTheme="majorEastAsia"/>
          <w:bCs/>
          <w:sz w:val="24"/>
        </w:rPr>
      </w:pPr>
      <w:r>
        <w:rPr>
          <w:rFonts w:cs="宋体" w:asciiTheme="majorEastAsia" w:hAnsiTheme="majorEastAsia" w:eastAsiaTheme="majorEastAsia"/>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cs="宋体" w:asciiTheme="majorEastAsia" w:hAnsiTheme="majorEastAsia" w:eastAsiaTheme="majorEastAsia"/>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cs="宋体" w:asciiTheme="majorEastAsia" w:hAnsiTheme="majorEastAsia" w:eastAsiaTheme="majorEastAsia"/>
          <w:sz w:val="24"/>
        </w:rPr>
        <w:t>投标单位法定名称章（印模）                投标单位“XX专用章”（印模）</w:t>
      </w: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autoSpaceDE w:val="0"/>
        <w:autoSpaceDN w:val="0"/>
        <w:jc w:val="center"/>
        <w:rPr>
          <w:rFonts w:cs="宋体" w:asciiTheme="majorEastAsia" w:hAnsiTheme="majorEastAsia" w:eastAsiaTheme="majorEastAsia"/>
          <w:b/>
          <w:spacing w:val="6"/>
          <w:sz w:val="32"/>
          <w:szCs w:val="32"/>
        </w:rPr>
      </w:pPr>
    </w:p>
    <w:p>
      <w:pPr>
        <w:spacing w:line="360" w:lineRule="auto"/>
        <w:jc w:val="left"/>
        <w:outlineLvl w:val="0"/>
        <w:rPr>
          <w:rFonts w:cs="宋体" w:asciiTheme="majorEastAsia" w:hAnsiTheme="majorEastAsia" w:eastAsiaTheme="majorEastAsia"/>
          <w:b/>
          <w:sz w:val="36"/>
          <w:szCs w:val="20"/>
        </w:rPr>
      </w:pPr>
      <w:r>
        <w:rPr>
          <w:rFonts w:hint="eastAsia" w:cs="宋体" w:asciiTheme="majorEastAsia" w:hAnsiTheme="majorEastAsia" w:eastAsiaTheme="majorEastAsia"/>
          <w:b/>
          <w:sz w:val="36"/>
          <w:szCs w:val="20"/>
        </w:rPr>
        <w:t>附件</w:t>
      </w:r>
      <w:r>
        <w:rPr>
          <w:rFonts w:hint="eastAsia" w:cs="宋体" w:asciiTheme="majorEastAsia" w:hAnsiTheme="majorEastAsia" w:eastAsiaTheme="majorEastAsia"/>
          <w:b/>
          <w:sz w:val="36"/>
          <w:szCs w:val="20"/>
          <w:lang w:val="en-US" w:eastAsia="zh-CN"/>
        </w:rPr>
        <w:t>5</w:t>
      </w:r>
      <w:r>
        <w:rPr>
          <w:rFonts w:hint="eastAsia" w:cs="宋体" w:asciiTheme="majorEastAsia" w:hAnsiTheme="majorEastAsia" w:eastAsiaTheme="majorEastAsia"/>
          <w:b/>
          <w:sz w:val="36"/>
          <w:szCs w:val="20"/>
        </w:rPr>
        <w:t>：中小企业声明函</w:t>
      </w:r>
    </w:p>
    <w:p>
      <w:pPr>
        <w:spacing w:line="360" w:lineRule="auto"/>
        <w:jc w:val="center"/>
        <w:rPr>
          <w:rFonts w:cs="宋体" w:asciiTheme="majorEastAsia" w:hAnsiTheme="majorEastAsia" w:eastAsiaTheme="majorEastAsia"/>
          <w:sz w:val="24"/>
          <w:u w:val="single"/>
        </w:rPr>
      </w:pPr>
    </w:p>
    <w:p>
      <w:pPr>
        <w:spacing w:line="360" w:lineRule="auto"/>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中小企业声明函（服务）</w:t>
      </w:r>
    </w:p>
    <w:p>
      <w:pPr>
        <w:spacing w:line="360" w:lineRule="auto"/>
        <w:ind w:firstLine="360" w:firstLineChars="150"/>
        <w:jc w:val="left"/>
        <w:rPr>
          <w:rFonts w:cs="宋体" w:asciiTheme="majorEastAsia" w:hAnsiTheme="majorEastAsia" w:eastAsiaTheme="majorEastAsia"/>
          <w:color w:val="auto"/>
          <w:sz w:val="24"/>
        </w:rPr>
      </w:pPr>
      <w:r>
        <w:rPr>
          <w:rFonts w:hint="eastAsia" w:cs="宋体" w:asciiTheme="majorEastAsia" w:hAnsiTheme="majorEastAsia" w:eastAsiaTheme="majorEastAsia"/>
          <w:sz w:val="24"/>
        </w:rPr>
        <w:t>本公司（联合</w:t>
      </w:r>
      <w:r>
        <w:rPr>
          <w:rFonts w:hint="eastAsia" w:cs="宋体" w:asciiTheme="majorEastAsia" w:hAnsiTheme="majorEastAsia" w:eastAsiaTheme="majorEastAsia"/>
          <w:color w:val="auto"/>
          <w:sz w:val="24"/>
        </w:rPr>
        <w:t xml:space="preserve">体）郑重声明，根据《政府采购促进中小企业发展管理办法》（财库﹝2020﹞46 号）的规定，本公司（联合体）参加 </w:t>
      </w:r>
      <w:r>
        <w:rPr>
          <w:rFonts w:hint="eastAsia" w:cs="宋体" w:asciiTheme="majorEastAsia" w:hAnsiTheme="majorEastAsia" w:eastAsiaTheme="majorEastAsia"/>
          <w:color w:val="auto"/>
          <w:sz w:val="24"/>
          <w:u w:val="single"/>
        </w:rPr>
        <w:t>（采购人）</w:t>
      </w:r>
      <w:r>
        <w:rPr>
          <w:rFonts w:hint="eastAsia" w:cs="宋体" w:asciiTheme="majorEastAsia" w:hAnsiTheme="majorEastAsia" w:eastAsiaTheme="majorEastAsia"/>
          <w:color w:val="auto"/>
          <w:sz w:val="24"/>
        </w:rPr>
        <w:t>的</w:t>
      </w:r>
      <w:r>
        <w:rPr>
          <w:rFonts w:hint="eastAsia" w:cs="宋体" w:asciiTheme="majorEastAsia" w:hAnsiTheme="majorEastAsia" w:eastAsiaTheme="majorEastAsia"/>
          <w:color w:val="auto"/>
          <w:sz w:val="24"/>
          <w:u w:val="single"/>
        </w:rPr>
        <w:t xml:space="preserve"> （项目名称） </w:t>
      </w:r>
      <w:r>
        <w:rPr>
          <w:rFonts w:hint="eastAsia" w:cs="宋体" w:asciiTheme="majorEastAsia" w:hAnsiTheme="majorEastAsia" w:eastAsiaTheme="majorEastAsia"/>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1.</w:t>
      </w:r>
      <w:r>
        <w:rPr>
          <w:rFonts w:hint="eastAsia" w:cs="宋体" w:asciiTheme="majorEastAsia" w:hAnsiTheme="majorEastAsia" w:eastAsiaTheme="majorEastAsia"/>
          <w:color w:val="auto"/>
          <w:sz w:val="24"/>
          <w:u w:val="single"/>
        </w:rPr>
        <w:t>（标的名称）</w:t>
      </w:r>
      <w:r>
        <w:rPr>
          <w:rFonts w:hint="eastAsia" w:cs="宋体" w:asciiTheme="majorEastAsia" w:hAnsiTheme="majorEastAsia" w:eastAsiaTheme="majorEastAsia"/>
          <w:color w:val="auto"/>
          <w:sz w:val="24"/>
        </w:rPr>
        <w:t>，属于</w:t>
      </w:r>
      <w:r>
        <w:rPr>
          <w:rFonts w:hint="eastAsia" w:cs="宋体" w:asciiTheme="majorEastAsia" w:hAnsiTheme="majorEastAsia" w:eastAsiaTheme="majorEastAsia"/>
          <w:color w:val="auto"/>
          <w:sz w:val="24"/>
          <w:u w:val="single"/>
        </w:rPr>
        <w:t xml:space="preserve"> （采购文件中明确的所属行业）</w:t>
      </w:r>
      <w:r>
        <w:rPr>
          <w:rFonts w:hint="eastAsia" w:cs="宋体" w:asciiTheme="majorEastAsia" w:hAnsiTheme="majorEastAsia" w:eastAsiaTheme="majorEastAsia"/>
          <w:color w:val="auto"/>
          <w:sz w:val="24"/>
        </w:rPr>
        <w:t xml:space="preserve"> ；承接企业为 </w:t>
      </w:r>
      <w:r>
        <w:rPr>
          <w:rFonts w:hint="eastAsia" w:cs="宋体" w:asciiTheme="majorEastAsia" w:hAnsiTheme="majorEastAsia" w:eastAsiaTheme="majorEastAsia"/>
          <w:color w:val="auto"/>
          <w:sz w:val="24"/>
          <w:u w:val="single"/>
        </w:rPr>
        <w:t>（企业名称）</w:t>
      </w:r>
      <w:r>
        <w:rPr>
          <w:rFonts w:hint="eastAsia" w:cs="宋体" w:asciiTheme="majorEastAsia" w:hAnsiTheme="majorEastAsia" w:eastAsiaTheme="majorEastAsia"/>
          <w:color w:val="auto"/>
          <w:sz w:val="24"/>
        </w:rPr>
        <w:t xml:space="preserve"> ，从业人员人，营业收入为万元，资产总额为万元属于</w:t>
      </w:r>
      <w:r>
        <w:rPr>
          <w:rFonts w:hint="eastAsia" w:cs="宋体" w:asciiTheme="majorEastAsia" w:hAnsiTheme="majorEastAsia" w:eastAsiaTheme="majorEastAsia"/>
          <w:color w:val="auto"/>
          <w:sz w:val="24"/>
          <w:u w:val="single"/>
        </w:rPr>
        <w:t xml:space="preserve"> （中型企业、小型企业、微型企业） </w:t>
      </w:r>
      <w:r>
        <w:rPr>
          <w:rFonts w:hint="eastAsia" w:cs="宋体" w:asciiTheme="majorEastAsia" w:hAnsiTheme="majorEastAsia" w:eastAsiaTheme="majorEastAsia"/>
          <w:color w:val="auto"/>
          <w:sz w:val="24"/>
        </w:rPr>
        <w:t>；</w:t>
      </w:r>
    </w:p>
    <w:p>
      <w:pPr>
        <w:spacing w:line="360" w:lineRule="auto"/>
        <w:ind w:firstLine="480" w:firstLineChars="200"/>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2.</w:t>
      </w:r>
      <w:r>
        <w:rPr>
          <w:rFonts w:hint="eastAsia" w:cs="宋体" w:asciiTheme="majorEastAsia" w:hAnsiTheme="majorEastAsia" w:eastAsiaTheme="majorEastAsia"/>
          <w:color w:val="auto"/>
          <w:sz w:val="24"/>
          <w:u w:val="single"/>
        </w:rPr>
        <w:t xml:space="preserve"> （标的名称），</w:t>
      </w:r>
      <w:r>
        <w:rPr>
          <w:rFonts w:hint="eastAsia" w:cs="宋体" w:asciiTheme="majorEastAsia" w:hAnsiTheme="majorEastAsia" w:eastAsiaTheme="majorEastAsia"/>
          <w:color w:val="auto"/>
          <w:sz w:val="24"/>
        </w:rPr>
        <w:t xml:space="preserve">属于 </w:t>
      </w:r>
      <w:r>
        <w:rPr>
          <w:rFonts w:hint="eastAsia" w:cs="宋体" w:asciiTheme="majorEastAsia" w:hAnsiTheme="majorEastAsia" w:eastAsiaTheme="majorEastAsia"/>
          <w:color w:val="auto"/>
          <w:sz w:val="24"/>
          <w:u w:val="single"/>
        </w:rPr>
        <w:t xml:space="preserve">（采购文件中明确的所属行业） </w:t>
      </w:r>
      <w:r>
        <w:rPr>
          <w:rFonts w:hint="eastAsia" w:cs="宋体" w:asciiTheme="majorEastAsia" w:hAnsiTheme="majorEastAsia" w:eastAsiaTheme="majorEastAsia"/>
          <w:color w:val="auto"/>
          <w:sz w:val="24"/>
        </w:rPr>
        <w:t xml:space="preserve">；承接企业为 </w:t>
      </w:r>
      <w:r>
        <w:rPr>
          <w:rFonts w:hint="eastAsia" w:cs="宋体" w:asciiTheme="majorEastAsia" w:hAnsiTheme="majorEastAsia" w:eastAsiaTheme="majorEastAsia"/>
          <w:color w:val="auto"/>
          <w:sz w:val="24"/>
          <w:u w:val="single"/>
        </w:rPr>
        <w:t>（企业名称）</w:t>
      </w:r>
      <w:r>
        <w:rPr>
          <w:rFonts w:hint="eastAsia" w:cs="宋体" w:asciiTheme="majorEastAsia" w:hAnsiTheme="majorEastAsia" w:eastAsiaTheme="majorEastAsia"/>
          <w:color w:val="auto"/>
          <w:sz w:val="24"/>
        </w:rPr>
        <w:t xml:space="preserve"> ，从业人员人，营业收入为万元，资产总额为万元属于</w:t>
      </w:r>
      <w:r>
        <w:rPr>
          <w:rFonts w:hint="eastAsia" w:cs="宋体" w:asciiTheme="majorEastAsia" w:hAnsiTheme="majorEastAsia" w:eastAsiaTheme="majorEastAsia"/>
          <w:color w:val="auto"/>
          <w:sz w:val="24"/>
          <w:u w:val="single"/>
        </w:rPr>
        <w:t xml:space="preserve"> （中型企业、小型企业、微型企业） </w:t>
      </w:r>
      <w:r>
        <w:rPr>
          <w:rFonts w:hint="eastAsia" w:cs="宋体" w:asciiTheme="majorEastAsia" w:hAnsiTheme="majorEastAsia" w:eastAsiaTheme="majorEastAsia"/>
          <w:color w:val="auto"/>
          <w:sz w:val="24"/>
        </w:rPr>
        <w:t>；</w:t>
      </w:r>
    </w:p>
    <w:p>
      <w:pPr>
        <w:spacing w:line="360" w:lineRule="auto"/>
        <w:ind w:firstLine="480" w:firstLineChars="200"/>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w:t>
      </w:r>
    </w:p>
    <w:p>
      <w:pPr>
        <w:spacing w:line="360" w:lineRule="auto"/>
        <w:ind w:firstLine="480" w:firstLineChars="200"/>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本企业对上述声明内容的真实性负责。如有虚假，将依法承担相应责任。</w:t>
      </w:r>
    </w:p>
    <w:p>
      <w:pPr>
        <w:spacing w:line="360" w:lineRule="auto"/>
        <w:ind w:right="1760"/>
        <w:jc w:val="right"/>
        <w:rPr>
          <w:rFonts w:cs="宋体" w:asciiTheme="majorEastAsia" w:hAnsiTheme="majorEastAsia" w:eastAsiaTheme="majorEastAsia"/>
          <w:sz w:val="24"/>
        </w:rPr>
      </w:pPr>
      <w:r>
        <w:rPr>
          <w:rFonts w:hint="eastAsia" w:cs="宋体" w:asciiTheme="majorEastAsia" w:hAnsiTheme="majorEastAsia" w:eastAsiaTheme="majorEastAsia"/>
          <w:sz w:val="24"/>
        </w:rPr>
        <w:t>投标人名称（电子签名）：</w:t>
      </w:r>
    </w:p>
    <w:p>
      <w:pPr>
        <w:spacing w:line="360" w:lineRule="auto"/>
        <w:ind w:right="1120" w:firstLine="4680" w:firstLineChars="1950"/>
        <w:rPr>
          <w:rFonts w:cs="宋体" w:asciiTheme="majorEastAsia" w:hAnsiTheme="majorEastAsia" w:eastAsiaTheme="majorEastAsia"/>
          <w:sz w:val="24"/>
        </w:rPr>
      </w:pPr>
      <w:r>
        <w:rPr>
          <w:rFonts w:hint="eastAsia" w:cs="宋体" w:asciiTheme="majorEastAsia" w:hAnsiTheme="majorEastAsia" w:eastAsiaTheme="majorEastAsia"/>
          <w:sz w:val="24"/>
        </w:rPr>
        <w:t>日 期：</w:t>
      </w:r>
    </w:p>
    <w:p>
      <w:pPr>
        <w:spacing w:line="360" w:lineRule="auto"/>
        <w:ind w:firstLine="310" w:firstLineChars="147"/>
        <w:jc w:val="left"/>
        <w:rPr>
          <w:rFonts w:cs="宋体" w:asciiTheme="majorEastAsia" w:hAnsiTheme="majorEastAsia" w:eastAsiaTheme="majorEastAsia"/>
          <w:b/>
          <w:szCs w:val="21"/>
        </w:rPr>
      </w:pPr>
      <w:r>
        <w:rPr>
          <w:rFonts w:hint="eastAsia" w:cs="宋体" w:asciiTheme="majorEastAsia" w:hAnsiTheme="majorEastAsia" w:eastAsiaTheme="majorEastAsia"/>
          <w:b/>
          <w:szCs w:val="21"/>
        </w:rPr>
        <w:t>从业人员、营业收入、资产总额填报上一年度数据，无上一年度数据的新成立企业可不填报。</w:t>
      </w:r>
    </w:p>
    <w:p>
      <w:pPr>
        <w:spacing w:line="360" w:lineRule="auto"/>
        <w:ind w:right="420"/>
        <w:rPr>
          <w:rFonts w:cs="宋体" w:asciiTheme="majorEastAsia" w:hAnsiTheme="majorEastAsia" w:eastAsiaTheme="majorEastAsia"/>
          <w:sz w:val="24"/>
        </w:rPr>
      </w:pPr>
    </w:p>
    <w:p>
      <w:pPr>
        <w:spacing w:line="360" w:lineRule="auto"/>
        <w:ind w:right="420"/>
        <w:rPr>
          <w:rFonts w:cs="宋体" w:asciiTheme="majorEastAsia" w:hAnsiTheme="majorEastAsia" w:eastAsiaTheme="majorEastAsia"/>
          <w:sz w:val="24"/>
        </w:rPr>
      </w:pPr>
      <w:r>
        <w:rPr>
          <w:rFonts w:hint="eastAsia" w:cs="宋体" w:asciiTheme="majorEastAsia" w:hAnsiTheme="majorEastAsia" w:eastAsiaTheme="majorEastAsia"/>
          <w:sz w:val="24"/>
        </w:rPr>
        <w:t xml:space="preserve">   注：</w:t>
      </w:r>
    </w:p>
    <w:p>
      <w:pPr>
        <w:spacing w:line="360" w:lineRule="auto"/>
        <w:ind w:right="420"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ajorEastAsia" w:hAnsiTheme="majorEastAsia" w:eastAsiaTheme="majorEastAsia"/>
          <w:sz w:val="24"/>
        </w:rPr>
      </w:pPr>
      <w:r>
        <w:rPr>
          <w:rFonts w:hint="eastAsia" w:cs="宋体" w:asciiTheme="majorEastAsia" w:hAnsiTheme="majorEastAsia" w:eastAsiaTheme="major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cs="宋体" w:asciiTheme="majorEastAsia" w:hAnsiTheme="majorEastAsia" w:eastAsiaTheme="majorEastAsia"/>
          <w:lang w:val="en-US"/>
        </w:rPr>
      </w:pPr>
    </w:p>
    <w:p>
      <w:pPr>
        <w:spacing w:line="360" w:lineRule="auto"/>
        <w:ind w:right="420"/>
        <w:rPr>
          <w:rFonts w:cs="宋体" w:asciiTheme="majorEastAsia" w:hAnsiTheme="majorEastAsia" w:eastAsiaTheme="majorEastAsia"/>
        </w:rPr>
      </w:pPr>
    </w:p>
    <w:p>
      <w:pPr>
        <w:spacing w:line="360" w:lineRule="auto"/>
        <w:rPr>
          <w:rFonts w:cs="宋体" w:asciiTheme="majorEastAsia" w:hAnsiTheme="majorEastAsia" w:eastAsiaTheme="majorEastAsia"/>
          <w:bCs/>
          <w:sz w:val="24"/>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109</w:t>
    </w:r>
    <w:r>
      <w:rPr>
        <w:rFonts w:hint="eastAsia" w:ascii="仿宋_GB2312" w:eastAsia="仿宋_GB2312"/>
        <w:kern w:val="0"/>
        <w:szCs w:val="21"/>
      </w:rPr>
      <w:fldChar w:fldCharType="end"/>
    </w:r>
    <w:bookmarkStart w:id="409" w:name="_Toc164085800"/>
    <w:bookmarkStart w:id="410" w:name="_Toc91899912"/>
    <w:bookmarkStart w:id="411" w:name="_Toc131845147"/>
    <w:bookmarkStart w:id="412" w:name="_Toc36110187"/>
    <w:r>
      <w:rPr>
        <w:rFonts w:hint="eastAsia" w:ascii="仿宋_GB2312" w:eastAsia="仿宋_GB2312"/>
        <w:kern w:val="0"/>
        <w:szCs w:val="21"/>
      </w:rPr>
      <w:t xml:space="preserve"> 页</w:t>
    </w:r>
    <w:bookmarkEnd w:id="409"/>
    <w:bookmarkEnd w:id="410"/>
    <w:bookmarkEnd w:id="411"/>
    <w:bookmarkEnd w:id="41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C2D17"/>
    <w:multiLevelType w:val="singleLevel"/>
    <w:tmpl w:val="8F2C2D17"/>
    <w:lvl w:ilvl="0" w:tentative="0">
      <w:start w:val="4"/>
      <w:numFmt w:val="decimal"/>
      <w:suff w:val="nothing"/>
      <w:lvlText w:val="%1、"/>
      <w:lvlJc w:val="left"/>
      <w:pPr>
        <w:ind w:left="-62"/>
      </w:pPr>
    </w:lvl>
  </w:abstractNum>
  <w:abstractNum w:abstractNumId="1">
    <w:nsid w:val="D6AD14EF"/>
    <w:multiLevelType w:val="singleLevel"/>
    <w:tmpl w:val="D6AD14EF"/>
    <w:lvl w:ilvl="0" w:tentative="0">
      <w:start w:val="1"/>
      <w:numFmt w:val="decimal"/>
      <w:suff w:val="nothing"/>
      <w:lvlText w:val="%1、"/>
      <w:lvlJc w:val="left"/>
    </w:lvl>
  </w:abstractNum>
  <w:abstractNum w:abstractNumId="2">
    <w:nsid w:val="35D71722"/>
    <w:multiLevelType w:val="singleLevel"/>
    <w:tmpl w:val="35D71722"/>
    <w:lvl w:ilvl="0" w:tentative="0">
      <w:start w:val="2"/>
      <w:numFmt w:val="chineseCounting"/>
      <w:suff w:val="nothing"/>
      <w:lvlText w:val="%1、"/>
      <w:lvlJc w:val="left"/>
      <w:rPr>
        <w:rFonts w:hint="eastAsia"/>
      </w:rPr>
    </w:lvl>
  </w:abstractNum>
  <w:abstractNum w:abstractNumId="3">
    <w:nsid w:val="41892D21"/>
    <w:multiLevelType w:val="singleLevel"/>
    <w:tmpl w:val="41892D21"/>
    <w:lvl w:ilvl="0" w:tentative="0">
      <w:start w:val="1"/>
      <w:numFmt w:val="decimal"/>
      <w:suff w:val="nothing"/>
      <w:lvlText w:val="（%1）"/>
      <w:lvlJc w:val="left"/>
    </w:lvl>
  </w:abstractNum>
  <w:abstractNum w:abstractNumId="4">
    <w:nsid w:val="64396399"/>
    <w:multiLevelType w:val="multilevel"/>
    <w:tmpl w:val="64396399"/>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NGQ1NDVlZjM5YmY0NmVmMjEzYTc4YWVkYTQ0MG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A9F"/>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47D9B"/>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7B7"/>
    <w:rsid w:val="00056868"/>
    <w:rsid w:val="00056876"/>
    <w:rsid w:val="000568DF"/>
    <w:rsid w:val="000578A3"/>
    <w:rsid w:val="00057D4C"/>
    <w:rsid w:val="00060C48"/>
    <w:rsid w:val="00061A3C"/>
    <w:rsid w:val="00061C48"/>
    <w:rsid w:val="00064278"/>
    <w:rsid w:val="000646CA"/>
    <w:rsid w:val="000647CC"/>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71"/>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776"/>
    <w:rsid w:val="00092FE9"/>
    <w:rsid w:val="000936BF"/>
    <w:rsid w:val="0009382F"/>
    <w:rsid w:val="00093A30"/>
    <w:rsid w:val="00094342"/>
    <w:rsid w:val="000945BA"/>
    <w:rsid w:val="00095954"/>
    <w:rsid w:val="000960BA"/>
    <w:rsid w:val="0009662A"/>
    <w:rsid w:val="0009690D"/>
    <w:rsid w:val="00096DFF"/>
    <w:rsid w:val="00097CDB"/>
    <w:rsid w:val="000A0078"/>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6CF1"/>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C8"/>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91"/>
    <w:rsid w:val="001224FE"/>
    <w:rsid w:val="001231D3"/>
    <w:rsid w:val="001232A7"/>
    <w:rsid w:val="00123F7C"/>
    <w:rsid w:val="0012419E"/>
    <w:rsid w:val="001248EF"/>
    <w:rsid w:val="00124AC0"/>
    <w:rsid w:val="00124FC4"/>
    <w:rsid w:val="001253AB"/>
    <w:rsid w:val="0012574C"/>
    <w:rsid w:val="001259B8"/>
    <w:rsid w:val="001264B9"/>
    <w:rsid w:val="0012690C"/>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77AE8"/>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3A6"/>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144"/>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023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30"/>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4178"/>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52"/>
    <w:rsid w:val="002D74A4"/>
    <w:rsid w:val="002D7DB2"/>
    <w:rsid w:val="002D7DBD"/>
    <w:rsid w:val="002D7EA8"/>
    <w:rsid w:val="002E00E1"/>
    <w:rsid w:val="002E0102"/>
    <w:rsid w:val="002E03AE"/>
    <w:rsid w:val="002E0542"/>
    <w:rsid w:val="002E05F2"/>
    <w:rsid w:val="002E0E87"/>
    <w:rsid w:val="002E12FA"/>
    <w:rsid w:val="002E13CF"/>
    <w:rsid w:val="002E201C"/>
    <w:rsid w:val="002E218A"/>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97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0D0E"/>
    <w:rsid w:val="00321DB7"/>
    <w:rsid w:val="00321E7A"/>
    <w:rsid w:val="0032226D"/>
    <w:rsid w:val="00322771"/>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3EBB"/>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61A"/>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24C"/>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97E"/>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03B"/>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08"/>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5703"/>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5B2E"/>
    <w:rsid w:val="005060AE"/>
    <w:rsid w:val="0050790B"/>
    <w:rsid w:val="00507FDF"/>
    <w:rsid w:val="0051037C"/>
    <w:rsid w:val="0051050F"/>
    <w:rsid w:val="0051058B"/>
    <w:rsid w:val="00510DDC"/>
    <w:rsid w:val="00511166"/>
    <w:rsid w:val="00512217"/>
    <w:rsid w:val="00512459"/>
    <w:rsid w:val="005131A2"/>
    <w:rsid w:val="005137E4"/>
    <w:rsid w:val="00513BB9"/>
    <w:rsid w:val="00514193"/>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3EDA"/>
    <w:rsid w:val="00574E7B"/>
    <w:rsid w:val="00574F36"/>
    <w:rsid w:val="0057645C"/>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97CD5"/>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743"/>
    <w:rsid w:val="005D79F2"/>
    <w:rsid w:val="005D7CB1"/>
    <w:rsid w:val="005D7D69"/>
    <w:rsid w:val="005D7F57"/>
    <w:rsid w:val="005E0067"/>
    <w:rsid w:val="005E0141"/>
    <w:rsid w:val="005E09CA"/>
    <w:rsid w:val="005E1AB4"/>
    <w:rsid w:val="005E255B"/>
    <w:rsid w:val="005E2CF7"/>
    <w:rsid w:val="005E37FD"/>
    <w:rsid w:val="005E4097"/>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0C6"/>
    <w:rsid w:val="00600DE1"/>
    <w:rsid w:val="00601506"/>
    <w:rsid w:val="00601596"/>
    <w:rsid w:val="00601C92"/>
    <w:rsid w:val="00601F66"/>
    <w:rsid w:val="0060200D"/>
    <w:rsid w:val="00602764"/>
    <w:rsid w:val="00602B29"/>
    <w:rsid w:val="00602DAD"/>
    <w:rsid w:val="00603373"/>
    <w:rsid w:val="006036D0"/>
    <w:rsid w:val="00603B1C"/>
    <w:rsid w:val="00603CD2"/>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F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91E"/>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D32"/>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4D2C"/>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6E55"/>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96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54C"/>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599"/>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3AE"/>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6AE"/>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0DE9"/>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4D5"/>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C7"/>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913"/>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48B7"/>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8D3"/>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D85"/>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27A"/>
    <w:rsid w:val="00927330"/>
    <w:rsid w:val="00927710"/>
    <w:rsid w:val="009279AB"/>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025"/>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5AD"/>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5B1A"/>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1DA"/>
    <w:rsid w:val="00A772F2"/>
    <w:rsid w:val="00A77828"/>
    <w:rsid w:val="00A77BAA"/>
    <w:rsid w:val="00A800F9"/>
    <w:rsid w:val="00A803A6"/>
    <w:rsid w:val="00A8073D"/>
    <w:rsid w:val="00A80D02"/>
    <w:rsid w:val="00A815FB"/>
    <w:rsid w:val="00A81AEB"/>
    <w:rsid w:val="00A828F4"/>
    <w:rsid w:val="00A82D32"/>
    <w:rsid w:val="00A82EAE"/>
    <w:rsid w:val="00A82FC7"/>
    <w:rsid w:val="00A83AD0"/>
    <w:rsid w:val="00A847F9"/>
    <w:rsid w:val="00A84F27"/>
    <w:rsid w:val="00A8519C"/>
    <w:rsid w:val="00A855EE"/>
    <w:rsid w:val="00A8597A"/>
    <w:rsid w:val="00A85B87"/>
    <w:rsid w:val="00A85F83"/>
    <w:rsid w:val="00A86019"/>
    <w:rsid w:val="00A86DE5"/>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12A"/>
    <w:rsid w:val="00AA634D"/>
    <w:rsid w:val="00AA6F6C"/>
    <w:rsid w:val="00AA721D"/>
    <w:rsid w:val="00AA7519"/>
    <w:rsid w:val="00AA790A"/>
    <w:rsid w:val="00AA7F76"/>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C49"/>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0646"/>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DC4"/>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7B7"/>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9E5"/>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EC1"/>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22"/>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A93"/>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4A5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D7BBD"/>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3F86"/>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338"/>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3EA4"/>
    <w:rsid w:val="00D9413E"/>
    <w:rsid w:val="00D94C8D"/>
    <w:rsid w:val="00D95F88"/>
    <w:rsid w:val="00D96034"/>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6CEB"/>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A3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9F3"/>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AB6"/>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6E2"/>
    <w:rsid w:val="00EE1E71"/>
    <w:rsid w:val="00EE2087"/>
    <w:rsid w:val="00EE20C2"/>
    <w:rsid w:val="00EE2A9D"/>
    <w:rsid w:val="00EE3384"/>
    <w:rsid w:val="00EE499F"/>
    <w:rsid w:val="00EE56E2"/>
    <w:rsid w:val="00EE5FCD"/>
    <w:rsid w:val="00EE6134"/>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AFC"/>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2CB"/>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5F7"/>
    <w:rsid w:val="00F50A9F"/>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37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A29"/>
    <w:rsid w:val="00FC6C35"/>
    <w:rsid w:val="00FC6D59"/>
    <w:rsid w:val="00FC7561"/>
    <w:rsid w:val="00FC78F5"/>
    <w:rsid w:val="00FC7ACA"/>
    <w:rsid w:val="00FC7AD2"/>
    <w:rsid w:val="00FD0A2E"/>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253"/>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4EBF"/>
    <w:rsid w:val="00FF5C6A"/>
    <w:rsid w:val="00FF651D"/>
    <w:rsid w:val="00FF6843"/>
    <w:rsid w:val="00FF6C25"/>
    <w:rsid w:val="010651D9"/>
    <w:rsid w:val="010749CE"/>
    <w:rsid w:val="011F6449"/>
    <w:rsid w:val="01236AFB"/>
    <w:rsid w:val="019F7441"/>
    <w:rsid w:val="01B37585"/>
    <w:rsid w:val="01D55165"/>
    <w:rsid w:val="01DF6BF8"/>
    <w:rsid w:val="01EC2C57"/>
    <w:rsid w:val="020359F8"/>
    <w:rsid w:val="020E6CC5"/>
    <w:rsid w:val="02173E55"/>
    <w:rsid w:val="025F0711"/>
    <w:rsid w:val="026B2E25"/>
    <w:rsid w:val="02824D4D"/>
    <w:rsid w:val="02C31095"/>
    <w:rsid w:val="02DC4B10"/>
    <w:rsid w:val="02DD76CE"/>
    <w:rsid w:val="02F36323"/>
    <w:rsid w:val="02F5619C"/>
    <w:rsid w:val="03215050"/>
    <w:rsid w:val="0326446A"/>
    <w:rsid w:val="032D5555"/>
    <w:rsid w:val="033A2950"/>
    <w:rsid w:val="034445B5"/>
    <w:rsid w:val="036634D2"/>
    <w:rsid w:val="038D715B"/>
    <w:rsid w:val="03DD35E4"/>
    <w:rsid w:val="04076900"/>
    <w:rsid w:val="041A5A3B"/>
    <w:rsid w:val="042311BA"/>
    <w:rsid w:val="042B157A"/>
    <w:rsid w:val="04423B04"/>
    <w:rsid w:val="046248DD"/>
    <w:rsid w:val="048F763B"/>
    <w:rsid w:val="049A781C"/>
    <w:rsid w:val="049F330E"/>
    <w:rsid w:val="04AA775C"/>
    <w:rsid w:val="04AF1889"/>
    <w:rsid w:val="04F66F48"/>
    <w:rsid w:val="05251E14"/>
    <w:rsid w:val="05A16594"/>
    <w:rsid w:val="05A7762D"/>
    <w:rsid w:val="060E5941"/>
    <w:rsid w:val="06110FAF"/>
    <w:rsid w:val="06493CA7"/>
    <w:rsid w:val="065A6178"/>
    <w:rsid w:val="066F1CF3"/>
    <w:rsid w:val="06930BB8"/>
    <w:rsid w:val="071C691E"/>
    <w:rsid w:val="07245D42"/>
    <w:rsid w:val="07264C62"/>
    <w:rsid w:val="07637229"/>
    <w:rsid w:val="076C4259"/>
    <w:rsid w:val="0779354C"/>
    <w:rsid w:val="07F94C6F"/>
    <w:rsid w:val="08061376"/>
    <w:rsid w:val="08452D77"/>
    <w:rsid w:val="08514A4D"/>
    <w:rsid w:val="086401F8"/>
    <w:rsid w:val="08733D48"/>
    <w:rsid w:val="08751CAA"/>
    <w:rsid w:val="087E4C40"/>
    <w:rsid w:val="08874912"/>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2C39C3"/>
    <w:rsid w:val="0A3E7710"/>
    <w:rsid w:val="0A4E70E3"/>
    <w:rsid w:val="0A5B7E63"/>
    <w:rsid w:val="0AA374A5"/>
    <w:rsid w:val="0AAB7649"/>
    <w:rsid w:val="0ABC5606"/>
    <w:rsid w:val="0B02541A"/>
    <w:rsid w:val="0B1C10B6"/>
    <w:rsid w:val="0B30404E"/>
    <w:rsid w:val="0B4C6C14"/>
    <w:rsid w:val="0B547599"/>
    <w:rsid w:val="0B631A88"/>
    <w:rsid w:val="0B683D45"/>
    <w:rsid w:val="0B6E6A96"/>
    <w:rsid w:val="0B7F3F11"/>
    <w:rsid w:val="0B884417"/>
    <w:rsid w:val="0BAF665A"/>
    <w:rsid w:val="0BE12DB6"/>
    <w:rsid w:val="0BF6188C"/>
    <w:rsid w:val="0BF73C91"/>
    <w:rsid w:val="0C170175"/>
    <w:rsid w:val="0C1C35C4"/>
    <w:rsid w:val="0C571A41"/>
    <w:rsid w:val="0C5C1171"/>
    <w:rsid w:val="0C5E1CBC"/>
    <w:rsid w:val="0C615B50"/>
    <w:rsid w:val="0C8445DA"/>
    <w:rsid w:val="0C87121B"/>
    <w:rsid w:val="0CC007F7"/>
    <w:rsid w:val="0CC617AC"/>
    <w:rsid w:val="0CE618DF"/>
    <w:rsid w:val="0CFE707A"/>
    <w:rsid w:val="0D063BDA"/>
    <w:rsid w:val="0D08375F"/>
    <w:rsid w:val="0D184CFB"/>
    <w:rsid w:val="0D4A7419"/>
    <w:rsid w:val="0D565686"/>
    <w:rsid w:val="0D827401"/>
    <w:rsid w:val="0D84094E"/>
    <w:rsid w:val="0D8A00E9"/>
    <w:rsid w:val="0D8D589E"/>
    <w:rsid w:val="0DA01C73"/>
    <w:rsid w:val="0DD63300"/>
    <w:rsid w:val="0DF50604"/>
    <w:rsid w:val="0DF702FE"/>
    <w:rsid w:val="0E060E51"/>
    <w:rsid w:val="0E1C3D4F"/>
    <w:rsid w:val="0E1C5AFD"/>
    <w:rsid w:val="0E5604B2"/>
    <w:rsid w:val="0E6D5D79"/>
    <w:rsid w:val="0E9D0089"/>
    <w:rsid w:val="0EB43F87"/>
    <w:rsid w:val="0EB803EE"/>
    <w:rsid w:val="0EE42A50"/>
    <w:rsid w:val="0EF94D4B"/>
    <w:rsid w:val="0F4958DC"/>
    <w:rsid w:val="0F515DF7"/>
    <w:rsid w:val="0F596BA8"/>
    <w:rsid w:val="0F6248D2"/>
    <w:rsid w:val="0F693536"/>
    <w:rsid w:val="0F694D72"/>
    <w:rsid w:val="0F7B0511"/>
    <w:rsid w:val="0F7B76D9"/>
    <w:rsid w:val="0F816ACD"/>
    <w:rsid w:val="0F9832DB"/>
    <w:rsid w:val="0FBF3FD2"/>
    <w:rsid w:val="0FBF7FF3"/>
    <w:rsid w:val="0FD87A06"/>
    <w:rsid w:val="0FEF09E7"/>
    <w:rsid w:val="10646583"/>
    <w:rsid w:val="107D4B15"/>
    <w:rsid w:val="108A3C80"/>
    <w:rsid w:val="10C26171"/>
    <w:rsid w:val="10E727FD"/>
    <w:rsid w:val="10F33360"/>
    <w:rsid w:val="10FC16EA"/>
    <w:rsid w:val="110F1D40"/>
    <w:rsid w:val="11266F33"/>
    <w:rsid w:val="11526A9C"/>
    <w:rsid w:val="118963A1"/>
    <w:rsid w:val="11C12C43"/>
    <w:rsid w:val="11C6522A"/>
    <w:rsid w:val="11E104CC"/>
    <w:rsid w:val="11E20309"/>
    <w:rsid w:val="120166B0"/>
    <w:rsid w:val="1209104C"/>
    <w:rsid w:val="12255233"/>
    <w:rsid w:val="12530213"/>
    <w:rsid w:val="127723A9"/>
    <w:rsid w:val="12862074"/>
    <w:rsid w:val="12883966"/>
    <w:rsid w:val="129E45B4"/>
    <w:rsid w:val="12BA0729"/>
    <w:rsid w:val="12D81596"/>
    <w:rsid w:val="13072A44"/>
    <w:rsid w:val="135F4BE2"/>
    <w:rsid w:val="139B1A0A"/>
    <w:rsid w:val="139D25C7"/>
    <w:rsid w:val="13B25A59"/>
    <w:rsid w:val="13BF3CE4"/>
    <w:rsid w:val="141008D8"/>
    <w:rsid w:val="14125FE6"/>
    <w:rsid w:val="146D271E"/>
    <w:rsid w:val="148803F2"/>
    <w:rsid w:val="14982588"/>
    <w:rsid w:val="149A5AD9"/>
    <w:rsid w:val="149F5C62"/>
    <w:rsid w:val="14A7619D"/>
    <w:rsid w:val="14C01BD1"/>
    <w:rsid w:val="14EB51BD"/>
    <w:rsid w:val="150536C3"/>
    <w:rsid w:val="150C1963"/>
    <w:rsid w:val="151447A0"/>
    <w:rsid w:val="153A2FB5"/>
    <w:rsid w:val="15415EB5"/>
    <w:rsid w:val="154A6454"/>
    <w:rsid w:val="15762120"/>
    <w:rsid w:val="168A4BB2"/>
    <w:rsid w:val="16A8729C"/>
    <w:rsid w:val="16B33777"/>
    <w:rsid w:val="16BC70A7"/>
    <w:rsid w:val="16C6339E"/>
    <w:rsid w:val="1712246D"/>
    <w:rsid w:val="172F2D79"/>
    <w:rsid w:val="17557BEF"/>
    <w:rsid w:val="17642378"/>
    <w:rsid w:val="17922A5F"/>
    <w:rsid w:val="17D349C1"/>
    <w:rsid w:val="182269B6"/>
    <w:rsid w:val="1830729E"/>
    <w:rsid w:val="1870062C"/>
    <w:rsid w:val="18817102"/>
    <w:rsid w:val="18830A15"/>
    <w:rsid w:val="18852B28"/>
    <w:rsid w:val="188B3C43"/>
    <w:rsid w:val="188B5321"/>
    <w:rsid w:val="18BA49DA"/>
    <w:rsid w:val="18F51424"/>
    <w:rsid w:val="191502AE"/>
    <w:rsid w:val="19655830"/>
    <w:rsid w:val="19932372"/>
    <w:rsid w:val="19A20DD5"/>
    <w:rsid w:val="19AE03F1"/>
    <w:rsid w:val="1A071A03"/>
    <w:rsid w:val="1A1F16AE"/>
    <w:rsid w:val="1A3B5C77"/>
    <w:rsid w:val="1A984BAD"/>
    <w:rsid w:val="1AB8220E"/>
    <w:rsid w:val="1AE4166C"/>
    <w:rsid w:val="1AF06CFB"/>
    <w:rsid w:val="1AF11B8D"/>
    <w:rsid w:val="1B045679"/>
    <w:rsid w:val="1B11359C"/>
    <w:rsid w:val="1B2A271F"/>
    <w:rsid w:val="1B530544"/>
    <w:rsid w:val="1B713184"/>
    <w:rsid w:val="1BA14364"/>
    <w:rsid w:val="1BA209CF"/>
    <w:rsid w:val="1BB4777D"/>
    <w:rsid w:val="1BCD2105"/>
    <w:rsid w:val="1BD75AB8"/>
    <w:rsid w:val="1C0459C2"/>
    <w:rsid w:val="1C1B3B4A"/>
    <w:rsid w:val="1C88086E"/>
    <w:rsid w:val="1CBC0BDB"/>
    <w:rsid w:val="1D266CE1"/>
    <w:rsid w:val="1D3963AF"/>
    <w:rsid w:val="1D65301C"/>
    <w:rsid w:val="1D6A673C"/>
    <w:rsid w:val="1D9247AE"/>
    <w:rsid w:val="1DB567EC"/>
    <w:rsid w:val="1DC6292F"/>
    <w:rsid w:val="1DF51A98"/>
    <w:rsid w:val="1E3D060F"/>
    <w:rsid w:val="1E3F7D2E"/>
    <w:rsid w:val="1E4134E4"/>
    <w:rsid w:val="1E5062B3"/>
    <w:rsid w:val="1E523514"/>
    <w:rsid w:val="1E5A02FF"/>
    <w:rsid w:val="1E5B32E0"/>
    <w:rsid w:val="1E714A66"/>
    <w:rsid w:val="1E802593"/>
    <w:rsid w:val="1E8B6156"/>
    <w:rsid w:val="1E9B51CA"/>
    <w:rsid w:val="1EA703CC"/>
    <w:rsid w:val="1EB7330C"/>
    <w:rsid w:val="1F0A0FF3"/>
    <w:rsid w:val="1F2A7F23"/>
    <w:rsid w:val="1F3154F1"/>
    <w:rsid w:val="1F5771FF"/>
    <w:rsid w:val="1FB326DA"/>
    <w:rsid w:val="1FC33C1D"/>
    <w:rsid w:val="1FD52DD5"/>
    <w:rsid w:val="1FE868A9"/>
    <w:rsid w:val="20034907"/>
    <w:rsid w:val="20173E4B"/>
    <w:rsid w:val="204E48BC"/>
    <w:rsid w:val="208921B3"/>
    <w:rsid w:val="20973DEB"/>
    <w:rsid w:val="20B26522"/>
    <w:rsid w:val="20B44310"/>
    <w:rsid w:val="20D364EF"/>
    <w:rsid w:val="211116EB"/>
    <w:rsid w:val="216133FC"/>
    <w:rsid w:val="216C5FBF"/>
    <w:rsid w:val="21D56769"/>
    <w:rsid w:val="21E52EF3"/>
    <w:rsid w:val="21FB5D7B"/>
    <w:rsid w:val="22015E94"/>
    <w:rsid w:val="220B1C3D"/>
    <w:rsid w:val="221D1D20"/>
    <w:rsid w:val="22334A87"/>
    <w:rsid w:val="226D06CE"/>
    <w:rsid w:val="22BE6801"/>
    <w:rsid w:val="22EB45C8"/>
    <w:rsid w:val="233500BF"/>
    <w:rsid w:val="23377FF7"/>
    <w:rsid w:val="236B425F"/>
    <w:rsid w:val="23731D93"/>
    <w:rsid w:val="23836192"/>
    <w:rsid w:val="23901F29"/>
    <w:rsid w:val="239C0061"/>
    <w:rsid w:val="239F6B5C"/>
    <w:rsid w:val="23B908A4"/>
    <w:rsid w:val="23DD406E"/>
    <w:rsid w:val="23E72E1A"/>
    <w:rsid w:val="23E95BEF"/>
    <w:rsid w:val="23FD0064"/>
    <w:rsid w:val="245375B0"/>
    <w:rsid w:val="24642C0A"/>
    <w:rsid w:val="248F3A0E"/>
    <w:rsid w:val="24A75125"/>
    <w:rsid w:val="24B22173"/>
    <w:rsid w:val="24B95AD9"/>
    <w:rsid w:val="24BE24DA"/>
    <w:rsid w:val="24CF5825"/>
    <w:rsid w:val="24D663E6"/>
    <w:rsid w:val="24D77F2B"/>
    <w:rsid w:val="25147C8B"/>
    <w:rsid w:val="258B00E2"/>
    <w:rsid w:val="25A917A6"/>
    <w:rsid w:val="25BE27CC"/>
    <w:rsid w:val="25E570CF"/>
    <w:rsid w:val="25F74A5C"/>
    <w:rsid w:val="26062EC3"/>
    <w:rsid w:val="2628662C"/>
    <w:rsid w:val="262D45DE"/>
    <w:rsid w:val="26871DC8"/>
    <w:rsid w:val="26A53EF9"/>
    <w:rsid w:val="26A94201"/>
    <w:rsid w:val="26AC274F"/>
    <w:rsid w:val="27044A29"/>
    <w:rsid w:val="271D34C8"/>
    <w:rsid w:val="276142BF"/>
    <w:rsid w:val="27783712"/>
    <w:rsid w:val="27907362"/>
    <w:rsid w:val="27FC27CF"/>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347BE"/>
    <w:rsid w:val="2A6D6092"/>
    <w:rsid w:val="2A7D76B4"/>
    <w:rsid w:val="2A826B2E"/>
    <w:rsid w:val="2AA016B4"/>
    <w:rsid w:val="2B437463"/>
    <w:rsid w:val="2B7807EE"/>
    <w:rsid w:val="2BA50BF7"/>
    <w:rsid w:val="2BBF00EC"/>
    <w:rsid w:val="2BC37CFD"/>
    <w:rsid w:val="2BD10ED6"/>
    <w:rsid w:val="2BD5237F"/>
    <w:rsid w:val="2BE536CE"/>
    <w:rsid w:val="2BE758D9"/>
    <w:rsid w:val="2C017C90"/>
    <w:rsid w:val="2C09049E"/>
    <w:rsid w:val="2C0A653C"/>
    <w:rsid w:val="2C0C0B07"/>
    <w:rsid w:val="2C191F85"/>
    <w:rsid w:val="2CE82D6F"/>
    <w:rsid w:val="2D343236"/>
    <w:rsid w:val="2DAF3277"/>
    <w:rsid w:val="2DD15014"/>
    <w:rsid w:val="2DF72DE4"/>
    <w:rsid w:val="2E0220AF"/>
    <w:rsid w:val="2E4149DB"/>
    <w:rsid w:val="2E4B082A"/>
    <w:rsid w:val="2E5D4E86"/>
    <w:rsid w:val="2E5D790B"/>
    <w:rsid w:val="2E740382"/>
    <w:rsid w:val="2E9A3C18"/>
    <w:rsid w:val="2EBB0FEE"/>
    <w:rsid w:val="2EC63002"/>
    <w:rsid w:val="2F0A6B38"/>
    <w:rsid w:val="2F673C82"/>
    <w:rsid w:val="2F6F373D"/>
    <w:rsid w:val="2F946CCB"/>
    <w:rsid w:val="2FD25781"/>
    <w:rsid w:val="2FDC745C"/>
    <w:rsid w:val="2FFD7934"/>
    <w:rsid w:val="30200C5B"/>
    <w:rsid w:val="30316EF1"/>
    <w:rsid w:val="30733ACD"/>
    <w:rsid w:val="308C3862"/>
    <w:rsid w:val="309379D8"/>
    <w:rsid w:val="30A270F7"/>
    <w:rsid w:val="30C8181E"/>
    <w:rsid w:val="30DF1478"/>
    <w:rsid w:val="30EC586F"/>
    <w:rsid w:val="310402C4"/>
    <w:rsid w:val="314550B7"/>
    <w:rsid w:val="316F1B70"/>
    <w:rsid w:val="319C6071"/>
    <w:rsid w:val="31AC537E"/>
    <w:rsid w:val="31E3679B"/>
    <w:rsid w:val="31E732FD"/>
    <w:rsid w:val="32517576"/>
    <w:rsid w:val="3258119C"/>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381A62"/>
    <w:rsid w:val="354D7158"/>
    <w:rsid w:val="358D5588"/>
    <w:rsid w:val="363A3B40"/>
    <w:rsid w:val="365302AE"/>
    <w:rsid w:val="36607A0A"/>
    <w:rsid w:val="366E227C"/>
    <w:rsid w:val="366F2E0D"/>
    <w:rsid w:val="367B6A5C"/>
    <w:rsid w:val="36A74ADA"/>
    <w:rsid w:val="36AD60D5"/>
    <w:rsid w:val="36B224F9"/>
    <w:rsid w:val="36DA1F2E"/>
    <w:rsid w:val="36EC0CC9"/>
    <w:rsid w:val="373F410B"/>
    <w:rsid w:val="37450207"/>
    <w:rsid w:val="37CE2CE6"/>
    <w:rsid w:val="37EE7094"/>
    <w:rsid w:val="38296C89"/>
    <w:rsid w:val="383002EB"/>
    <w:rsid w:val="383C4522"/>
    <w:rsid w:val="38586797"/>
    <w:rsid w:val="3888233F"/>
    <w:rsid w:val="38BC0149"/>
    <w:rsid w:val="38D87D1C"/>
    <w:rsid w:val="39636459"/>
    <w:rsid w:val="396B7F6C"/>
    <w:rsid w:val="397A17A6"/>
    <w:rsid w:val="39B417A9"/>
    <w:rsid w:val="39FC5695"/>
    <w:rsid w:val="3A006D8E"/>
    <w:rsid w:val="3A3651E5"/>
    <w:rsid w:val="3A704163"/>
    <w:rsid w:val="3A744481"/>
    <w:rsid w:val="3A8C7BEF"/>
    <w:rsid w:val="3A906246"/>
    <w:rsid w:val="3A922B1F"/>
    <w:rsid w:val="3ABE3914"/>
    <w:rsid w:val="3B2349B7"/>
    <w:rsid w:val="3B616CFF"/>
    <w:rsid w:val="3B6259F6"/>
    <w:rsid w:val="3B816D28"/>
    <w:rsid w:val="3B873426"/>
    <w:rsid w:val="3B976654"/>
    <w:rsid w:val="3BC01EFC"/>
    <w:rsid w:val="3BCA786A"/>
    <w:rsid w:val="3BD31E2F"/>
    <w:rsid w:val="3BF15831"/>
    <w:rsid w:val="3BF910A8"/>
    <w:rsid w:val="3C105946"/>
    <w:rsid w:val="3C471448"/>
    <w:rsid w:val="3C5F759A"/>
    <w:rsid w:val="3C6C525A"/>
    <w:rsid w:val="3CBE160C"/>
    <w:rsid w:val="3CCE23CB"/>
    <w:rsid w:val="3CD17D17"/>
    <w:rsid w:val="3CFF0193"/>
    <w:rsid w:val="3D3C7F39"/>
    <w:rsid w:val="3D440F09"/>
    <w:rsid w:val="3D4504A0"/>
    <w:rsid w:val="3D8734BB"/>
    <w:rsid w:val="3D9A11D4"/>
    <w:rsid w:val="3DA16D89"/>
    <w:rsid w:val="3DA364BE"/>
    <w:rsid w:val="3DCC0998"/>
    <w:rsid w:val="3DCF0EBB"/>
    <w:rsid w:val="3DE041CB"/>
    <w:rsid w:val="3E0D48F6"/>
    <w:rsid w:val="3E1868B4"/>
    <w:rsid w:val="3E377251"/>
    <w:rsid w:val="3E42664B"/>
    <w:rsid w:val="3E5A7334"/>
    <w:rsid w:val="3E7B5D6B"/>
    <w:rsid w:val="3E843E66"/>
    <w:rsid w:val="3E894239"/>
    <w:rsid w:val="3E8F51FE"/>
    <w:rsid w:val="3E926F87"/>
    <w:rsid w:val="3E9A59DE"/>
    <w:rsid w:val="3EAF4836"/>
    <w:rsid w:val="3EC33DFA"/>
    <w:rsid w:val="3F060E16"/>
    <w:rsid w:val="3F1D1096"/>
    <w:rsid w:val="3F2F0234"/>
    <w:rsid w:val="3F6363FE"/>
    <w:rsid w:val="3F756B8F"/>
    <w:rsid w:val="3F95482B"/>
    <w:rsid w:val="3FBC2F4A"/>
    <w:rsid w:val="4019356B"/>
    <w:rsid w:val="401E67F8"/>
    <w:rsid w:val="405368AD"/>
    <w:rsid w:val="40592157"/>
    <w:rsid w:val="406E1CAE"/>
    <w:rsid w:val="408C33BF"/>
    <w:rsid w:val="40A0133A"/>
    <w:rsid w:val="40C31A53"/>
    <w:rsid w:val="40CD74F9"/>
    <w:rsid w:val="40FF545D"/>
    <w:rsid w:val="410067C8"/>
    <w:rsid w:val="410E46E1"/>
    <w:rsid w:val="418F0D2A"/>
    <w:rsid w:val="41D01505"/>
    <w:rsid w:val="42474939"/>
    <w:rsid w:val="424C3C57"/>
    <w:rsid w:val="42613FF3"/>
    <w:rsid w:val="42660D96"/>
    <w:rsid w:val="427375DA"/>
    <w:rsid w:val="428667D2"/>
    <w:rsid w:val="42AC7633"/>
    <w:rsid w:val="42CD1CE0"/>
    <w:rsid w:val="42E1381E"/>
    <w:rsid w:val="42ED6459"/>
    <w:rsid w:val="42FE58DD"/>
    <w:rsid w:val="43174B3D"/>
    <w:rsid w:val="434B790E"/>
    <w:rsid w:val="4360274F"/>
    <w:rsid w:val="43977AB6"/>
    <w:rsid w:val="43A3342B"/>
    <w:rsid w:val="43C77C27"/>
    <w:rsid w:val="43DE09EE"/>
    <w:rsid w:val="43EB1B46"/>
    <w:rsid w:val="44002FAD"/>
    <w:rsid w:val="449101DD"/>
    <w:rsid w:val="44DE1391"/>
    <w:rsid w:val="44FE051B"/>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D945A9"/>
    <w:rsid w:val="46E03D69"/>
    <w:rsid w:val="477B778F"/>
    <w:rsid w:val="478203EC"/>
    <w:rsid w:val="47B025FA"/>
    <w:rsid w:val="4809698F"/>
    <w:rsid w:val="4811697D"/>
    <w:rsid w:val="483D62E5"/>
    <w:rsid w:val="48770C66"/>
    <w:rsid w:val="487A3E25"/>
    <w:rsid w:val="488B5503"/>
    <w:rsid w:val="48901983"/>
    <w:rsid w:val="48937E21"/>
    <w:rsid w:val="489A0361"/>
    <w:rsid w:val="48B94FF3"/>
    <w:rsid w:val="48E37AAB"/>
    <w:rsid w:val="48FD4B4C"/>
    <w:rsid w:val="490A68E0"/>
    <w:rsid w:val="491055FE"/>
    <w:rsid w:val="492E081F"/>
    <w:rsid w:val="495F5B3E"/>
    <w:rsid w:val="496F77D7"/>
    <w:rsid w:val="497654FD"/>
    <w:rsid w:val="498B1AD3"/>
    <w:rsid w:val="49B64211"/>
    <w:rsid w:val="49D55CE0"/>
    <w:rsid w:val="49E56AF9"/>
    <w:rsid w:val="49E90EA5"/>
    <w:rsid w:val="49F6167F"/>
    <w:rsid w:val="4A02335D"/>
    <w:rsid w:val="4A064FA0"/>
    <w:rsid w:val="4A0B0D31"/>
    <w:rsid w:val="4A16615C"/>
    <w:rsid w:val="4A4424D7"/>
    <w:rsid w:val="4A89713F"/>
    <w:rsid w:val="4AB82D0F"/>
    <w:rsid w:val="4AC46B69"/>
    <w:rsid w:val="4AE82D91"/>
    <w:rsid w:val="4AEB7664"/>
    <w:rsid w:val="4AFD7C19"/>
    <w:rsid w:val="4B0567D1"/>
    <w:rsid w:val="4B2257F9"/>
    <w:rsid w:val="4B236AAE"/>
    <w:rsid w:val="4B65492A"/>
    <w:rsid w:val="4B707271"/>
    <w:rsid w:val="4B94223B"/>
    <w:rsid w:val="4B9739F7"/>
    <w:rsid w:val="4BBA33C6"/>
    <w:rsid w:val="4BC12737"/>
    <w:rsid w:val="4BEE2503"/>
    <w:rsid w:val="4C245A30"/>
    <w:rsid w:val="4C307289"/>
    <w:rsid w:val="4CB6685F"/>
    <w:rsid w:val="4CC367FE"/>
    <w:rsid w:val="4D077F3C"/>
    <w:rsid w:val="4D123355"/>
    <w:rsid w:val="4D2A3B31"/>
    <w:rsid w:val="4D312C52"/>
    <w:rsid w:val="4D7F0CE1"/>
    <w:rsid w:val="4D905305"/>
    <w:rsid w:val="4D964A72"/>
    <w:rsid w:val="4D9C1254"/>
    <w:rsid w:val="4E087DE7"/>
    <w:rsid w:val="4E793892"/>
    <w:rsid w:val="4E800872"/>
    <w:rsid w:val="4EC569ED"/>
    <w:rsid w:val="4ED50EA1"/>
    <w:rsid w:val="4EEC050C"/>
    <w:rsid w:val="4F104EC3"/>
    <w:rsid w:val="4F47354A"/>
    <w:rsid w:val="4F6D4A83"/>
    <w:rsid w:val="4F911C54"/>
    <w:rsid w:val="4FBD79EC"/>
    <w:rsid w:val="4FE625E0"/>
    <w:rsid w:val="50063DD3"/>
    <w:rsid w:val="5021480F"/>
    <w:rsid w:val="50236A4D"/>
    <w:rsid w:val="503913C6"/>
    <w:rsid w:val="503D03B4"/>
    <w:rsid w:val="50962ECB"/>
    <w:rsid w:val="50A42E38"/>
    <w:rsid w:val="50A4577F"/>
    <w:rsid w:val="50A462DD"/>
    <w:rsid w:val="50B73D1F"/>
    <w:rsid w:val="50BD5BC9"/>
    <w:rsid w:val="50C11EEE"/>
    <w:rsid w:val="50E97CFC"/>
    <w:rsid w:val="50FA4028"/>
    <w:rsid w:val="510D65B7"/>
    <w:rsid w:val="511157AB"/>
    <w:rsid w:val="5142540C"/>
    <w:rsid w:val="517D392F"/>
    <w:rsid w:val="518832C8"/>
    <w:rsid w:val="519D3C50"/>
    <w:rsid w:val="51A0432A"/>
    <w:rsid w:val="51A86090"/>
    <w:rsid w:val="51B7396D"/>
    <w:rsid w:val="51C567BD"/>
    <w:rsid w:val="521F0CE5"/>
    <w:rsid w:val="522633D6"/>
    <w:rsid w:val="522921CD"/>
    <w:rsid w:val="522E4CC3"/>
    <w:rsid w:val="5244713B"/>
    <w:rsid w:val="52505342"/>
    <w:rsid w:val="52615633"/>
    <w:rsid w:val="526F4DE4"/>
    <w:rsid w:val="52977FD4"/>
    <w:rsid w:val="52A25790"/>
    <w:rsid w:val="52A96B6F"/>
    <w:rsid w:val="52B45975"/>
    <w:rsid w:val="52D94AA4"/>
    <w:rsid w:val="52EA3A62"/>
    <w:rsid w:val="52F50BB8"/>
    <w:rsid w:val="52FF3E7A"/>
    <w:rsid w:val="53057EDB"/>
    <w:rsid w:val="53097272"/>
    <w:rsid w:val="53336DA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7E79D1"/>
    <w:rsid w:val="57032A2C"/>
    <w:rsid w:val="570F5219"/>
    <w:rsid w:val="575D12B5"/>
    <w:rsid w:val="57610A87"/>
    <w:rsid w:val="577B1140"/>
    <w:rsid w:val="577B7F21"/>
    <w:rsid w:val="577F181B"/>
    <w:rsid w:val="57921984"/>
    <w:rsid w:val="579737F0"/>
    <w:rsid w:val="57AB7B30"/>
    <w:rsid w:val="57AF5251"/>
    <w:rsid w:val="57B26373"/>
    <w:rsid w:val="57B63F04"/>
    <w:rsid w:val="57BF0FCB"/>
    <w:rsid w:val="57CD20C2"/>
    <w:rsid w:val="57D675AB"/>
    <w:rsid w:val="57D95FDD"/>
    <w:rsid w:val="58917D2F"/>
    <w:rsid w:val="5894085C"/>
    <w:rsid w:val="58AE4F0C"/>
    <w:rsid w:val="58B85899"/>
    <w:rsid w:val="58C726DF"/>
    <w:rsid w:val="58CB38C0"/>
    <w:rsid w:val="58D95574"/>
    <w:rsid w:val="58E363A9"/>
    <w:rsid w:val="5919648E"/>
    <w:rsid w:val="594A678D"/>
    <w:rsid w:val="595E1678"/>
    <w:rsid w:val="596D5BD4"/>
    <w:rsid w:val="597E3DD8"/>
    <w:rsid w:val="59A61B2E"/>
    <w:rsid w:val="59F80043"/>
    <w:rsid w:val="5A09252F"/>
    <w:rsid w:val="5A0B2778"/>
    <w:rsid w:val="5A2A7C7B"/>
    <w:rsid w:val="5A3E2560"/>
    <w:rsid w:val="5A5D3B6E"/>
    <w:rsid w:val="5A637A76"/>
    <w:rsid w:val="5A6D33BA"/>
    <w:rsid w:val="5A792B1F"/>
    <w:rsid w:val="5A874767"/>
    <w:rsid w:val="5AA85BE2"/>
    <w:rsid w:val="5AAD6F28"/>
    <w:rsid w:val="5AD63A24"/>
    <w:rsid w:val="5B2E1A1D"/>
    <w:rsid w:val="5B7C7358"/>
    <w:rsid w:val="5B843A1C"/>
    <w:rsid w:val="5B873E3F"/>
    <w:rsid w:val="5C02690E"/>
    <w:rsid w:val="5C196DA7"/>
    <w:rsid w:val="5C2A048C"/>
    <w:rsid w:val="5C80234E"/>
    <w:rsid w:val="5C8A680C"/>
    <w:rsid w:val="5D0C4701"/>
    <w:rsid w:val="5D0F0395"/>
    <w:rsid w:val="5D221076"/>
    <w:rsid w:val="5D397964"/>
    <w:rsid w:val="5D443618"/>
    <w:rsid w:val="5D5A391C"/>
    <w:rsid w:val="5D5F10C0"/>
    <w:rsid w:val="5D891B7B"/>
    <w:rsid w:val="5DAD38EE"/>
    <w:rsid w:val="5E006862"/>
    <w:rsid w:val="5E0207B9"/>
    <w:rsid w:val="5E1834A1"/>
    <w:rsid w:val="5E261785"/>
    <w:rsid w:val="5E4A7017"/>
    <w:rsid w:val="5E552BBA"/>
    <w:rsid w:val="5E611C10"/>
    <w:rsid w:val="5E7963F7"/>
    <w:rsid w:val="5E7A0F3F"/>
    <w:rsid w:val="5EFC7377"/>
    <w:rsid w:val="5F06174D"/>
    <w:rsid w:val="5F3A3602"/>
    <w:rsid w:val="5F430CA6"/>
    <w:rsid w:val="5F45733B"/>
    <w:rsid w:val="5F6277C6"/>
    <w:rsid w:val="5F6D0B1D"/>
    <w:rsid w:val="5F8D0B82"/>
    <w:rsid w:val="5FCC5339"/>
    <w:rsid w:val="5FE34A5B"/>
    <w:rsid w:val="5FFE1E36"/>
    <w:rsid w:val="601620D0"/>
    <w:rsid w:val="60232584"/>
    <w:rsid w:val="607330CE"/>
    <w:rsid w:val="60825176"/>
    <w:rsid w:val="609F2AC4"/>
    <w:rsid w:val="60FA27EA"/>
    <w:rsid w:val="60FA2EE8"/>
    <w:rsid w:val="60FC0DF8"/>
    <w:rsid w:val="61054A27"/>
    <w:rsid w:val="610A52BC"/>
    <w:rsid w:val="611D2366"/>
    <w:rsid w:val="61421856"/>
    <w:rsid w:val="615227C4"/>
    <w:rsid w:val="61536800"/>
    <w:rsid w:val="61654E3F"/>
    <w:rsid w:val="61817F46"/>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95768A"/>
    <w:rsid w:val="63AC6CC0"/>
    <w:rsid w:val="64047F59"/>
    <w:rsid w:val="64055776"/>
    <w:rsid w:val="64240056"/>
    <w:rsid w:val="643E143A"/>
    <w:rsid w:val="64414AEB"/>
    <w:rsid w:val="64491666"/>
    <w:rsid w:val="648B6EEF"/>
    <w:rsid w:val="64C158BF"/>
    <w:rsid w:val="64CE2EAA"/>
    <w:rsid w:val="64D836A1"/>
    <w:rsid w:val="653C3090"/>
    <w:rsid w:val="65854376"/>
    <w:rsid w:val="658767BE"/>
    <w:rsid w:val="65892531"/>
    <w:rsid w:val="65982E30"/>
    <w:rsid w:val="659B3F27"/>
    <w:rsid w:val="65A67FE9"/>
    <w:rsid w:val="66195831"/>
    <w:rsid w:val="662E75B1"/>
    <w:rsid w:val="66342C2E"/>
    <w:rsid w:val="663E784C"/>
    <w:rsid w:val="668B6A45"/>
    <w:rsid w:val="67011F07"/>
    <w:rsid w:val="671E7365"/>
    <w:rsid w:val="672F3F24"/>
    <w:rsid w:val="673E055F"/>
    <w:rsid w:val="67551CE3"/>
    <w:rsid w:val="67A22552"/>
    <w:rsid w:val="67B22DCC"/>
    <w:rsid w:val="67B650F1"/>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101DE"/>
    <w:rsid w:val="691664E5"/>
    <w:rsid w:val="692A0A4E"/>
    <w:rsid w:val="693B7D5A"/>
    <w:rsid w:val="693E15D3"/>
    <w:rsid w:val="69450BD9"/>
    <w:rsid w:val="69513A22"/>
    <w:rsid w:val="69627681"/>
    <w:rsid w:val="6977531D"/>
    <w:rsid w:val="698D79E2"/>
    <w:rsid w:val="69CC2BFF"/>
    <w:rsid w:val="69FD55B8"/>
    <w:rsid w:val="6A097E59"/>
    <w:rsid w:val="6A0B1C62"/>
    <w:rsid w:val="6A2406C8"/>
    <w:rsid w:val="6A7F636D"/>
    <w:rsid w:val="6A890F99"/>
    <w:rsid w:val="6ADE0BD1"/>
    <w:rsid w:val="6AE96859"/>
    <w:rsid w:val="6B147746"/>
    <w:rsid w:val="6B24787C"/>
    <w:rsid w:val="6B573233"/>
    <w:rsid w:val="6B5B6274"/>
    <w:rsid w:val="6B926B5B"/>
    <w:rsid w:val="6B935D53"/>
    <w:rsid w:val="6C196F71"/>
    <w:rsid w:val="6C226FCB"/>
    <w:rsid w:val="6C31226F"/>
    <w:rsid w:val="6C552F0B"/>
    <w:rsid w:val="6C8C67B7"/>
    <w:rsid w:val="6C9D744C"/>
    <w:rsid w:val="6CBF5AA8"/>
    <w:rsid w:val="6D145958"/>
    <w:rsid w:val="6D167928"/>
    <w:rsid w:val="6D26299B"/>
    <w:rsid w:val="6D4772EC"/>
    <w:rsid w:val="6D9078AF"/>
    <w:rsid w:val="6D91004C"/>
    <w:rsid w:val="6DAA3FEF"/>
    <w:rsid w:val="6DC0172B"/>
    <w:rsid w:val="6DCB690C"/>
    <w:rsid w:val="6DCF3167"/>
    <w:rsid w:val="6DD41A5B"/>
    <w:rsid w:val="6DF43C2E"/>
    <w:rsid w:val="6DF51CA3"/>
    <w:rsid w:val="6E8335BD"/>
    <w:rsid w:val="6E8E12EF"/>
    <w:rsid w:val="6E95615F"/>
    <w:rsid w:val="6E972936"/>
    <w:rsid w:val="6ED446C5"/>
    <w:rsid w:val="6F2A7D94"/>
    <w:rsid w:val="6F8331F1"/>
    <w:rsid w:val="6FAE1A09"/>
    <w:rsid w:val="6FD75BF8"/>
    <w:rsid w:val="701B6B7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2AE77EF"/>
    <w:rsid w:val="7388341F"/>
    <w:rsid w:val="73C0646E"/>
    <w:rsid w:val="742222F5"/>
    <w:rsid w:val="74476126"/>
    <w:rsid w:val="74706664"/>
    <w:rsid w:val="747F3682"/>
    <w:rsid w:val="749C4185"/>
    <w:rsid w:val="74CB720C"/>
    <w:rsid w:val="74E561B2"/>
    <w:rsid w:val="74FD12B9"/>
    <w:rsid w:val="75067759"/>
    <w:rsid w:val="752E6DCD"/>
    <w:rsid w:val="7551380D"/>
    <w:rsid w:val="75600BE5"/>
    <w:rsid w:val="7564475C"/>
    <w:rsid w:val="7583797F"/>
    <w:rsid w:val="75D02172"/>
    <w:rsid w:val="75D20F1D"/>
    <w:rsid w:val="75DA2C18"/>
    <w:rsid w:val="75E3358F"/>
    <w:rsid w:val="75F54412"/>
    <w:rsid w:val="761D08E0"/>
    <w:rsid w:val="765D347C"/>
    <w:rsid w:val="76826699"/>
    <w:rsid w:val="76AE6140"/>
    <w:rsid w:val="76C87133"/>
    <w:rsid w:val="76CD08D5"/>
    <w:rsid w:val="76DB4B92"/>
    <w:rsid w:val="76FD013A"/>
    <w:rsid w:val="77052AA4"/>
    <w:rsid w:val="77136511"/>
    <w:rsid w:val="77340A39"/>
    <w:rsid w:val="77351FD0"/>
    <w:rsid w:val="77472422"/>
    <w:rsid w:val="777F31F2"/>
    <w:rsid w:val="77D1700D"/>
    <w:rsid w:val="77EC04CC"/>
    <w:rsid w:val="78531F73"/>
    <w:rsid w:val="78567810"/>
    <w:rsid w:val="78775729"/>
    <w:rsid w:val="78911745"/>
    <w:rsid w:val="78A42DB0"/>
    <w:rsid w:val="78A656AB"/>
    <w:rsid w:val="78B2245C"/>
    <w:rsid w:val="78E172CC"/>
    <w:rsid w:val="78EA1D1F"/>
    <w:rsid w:val="7904172F"/>
    <w:rsid w:val="790F7E27"/>
    <w:rsid w:val="792A231A"/>
    <w:rsid w:val="79316829"/>
    <w:rsid w:val="797E66A9"/>
    <w:rsid w:val="798518A4"/>
    <w:rsid w:val="799C7DDE"/>
    <w:rsid w:val="79A97383"/>
    <w:rsid w:val="79E24222"/>
    <w:rsid w:val="79E27E8B"/>
    <w:rsid w:val="79F850CE"/>
    <w:rsid w:val="79FD443C"/>
    <w:rsid w:val="7A1D1975"/>
    <w:rsid w:val="7A2D430B"/>
    <w:rsid w:val="7A370149"/>
    <w:rsid w:val="7A3E5150"/>
    <w:rsid w:val="7A4670D6"/>
    <w:rsid w:val="7A534B63"/>
    <w:rsid w:val="7A615382"/>
    <w:rsid w:val="7A67303B"/>
    <w:rsid w:val="7AAB1D04"/>
    <w:rsid w:val="7AB67B89"/>
    <w:rsid w:val="7ABA4368"/>
    <w:rsid w:val="7AD05746"/>
    <w:rsid w:val="7B070360"/>
    <w:rsid w:val="7B257FFD"/>
    <w:rsid w:val="7B273D20"/>
    <w:rsid w:val="7B343476"/>
    <w:rsid w:val="7B5A2978"/>
    <w:rsid w:val="7B5A7E4C"/>
    <w:rsid w:val="7B667AF9"/>
    <w:rsid w:val="7B7468F8"/>
    <w:rsid w:val="7B8A4643"/>
    <w:rsid w:val="7BA9702E"/>
    <w:rsid w:val="7BEE0103"/>
    <w:rsid w:val="7C0A0FE4"/>
    <w:rsid w:val="7C254906"/>
    <w:rsid w:val="7C590818"/>
    <w:rsid w:val="7C645E65"/>
    <w:rsid w:val="7C7C10F6"/>
    <w:rsid w:val="7C853BEA"/>
    <w:rsid w:val="7C881368"/>
    <w:rsid w:val="7CA75C43"/>
    <w:rsid w:val="7CE27788"/>
    <w:rsid w:val="7D0C32F1"/>
    <w:rsid w:val="7D0F408D"/>
    <w:rsid w:val="7D491C6C"/>
    <w:rsid w:val="7D5429C0"/>
    <w:rsid w:val="7D6E6D43"/>
    <w:rsid w:val="7DB57A34"/>
    <w:rsid w:val="7DBF4FA6"/>
    <w:rsid w:val="7DE60973"/>
    <w:rsid w:val="7DEF0916"/>
    <w:rsid w:val="7E1E5218"/>
    <w:rsid w:val="7E6E5232"/>
    <w:rsid w:val="7E9A4E1F"/>
    <w:rsid w:val="7EA7723A"/>
    <w:rsid w:val="7EF56FBB"/>
    <w:rsid w:val="7F0768EB"/>
    <w:rsid w:val="7F143BEC"/>
    <w:rsid w:val="7F450E63"/>
    <w:rsid w:val="7F555C52"/>
    <w:rsid w:val="7F715AF2"/>
    <w:rsid w:val="7F78569B"/>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21"/>
    <w:autoRedefine/>
    <w:qFormat/>
    <w:uiPriority w:val="0"/>
    <w:pPr>
      <w:ind w:firstLine="420"/>
    </w:pPr>
    <w:rPr>
      <w:rFonts w:hAnsi="Calibri" w:cs="Times New Roman"/>
      <w:snapToGrid/>
      <w:szCs w:val="20"/>
    </w:rPr>
  </w:style>
  <w:style w:type="paragraph" w:styleId="3">
    <w:name w:val="Body Text"/>
    <w:basedOn w:val="1"/>
    <w:next w:val="2"/>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autoRedefine/>
    <w:qFormat/>
    <w:uiPriority w:val="0"/>
    <w:pPr>
      <w:ind w:left="2100" w:leftChars="1000"/>
    </w:pPr>
  </w:style>
  <w:style w:type="paragraph" w:styleId="8">
    <w:name w:val="Normal Indent"/>
    <w:basedOn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autoRedefine/>
    <w:qFormat/>
    <w:uiPriority w:val="0"/>
    <w:pPr>
      <w:ind w:left="2520" w:leftChars="1200"/>
    </w:pPr>
  </w:style>
  <w:style w:type="paragraph" w:styleId="16">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229"/>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202"/>
    <w:autoRedefine/>
    <w:qFormat/>
    <w:uiPriority w:val="0"/>
    <w:pPr>
      <w:shd w:val="clear" w:color="auto" w:fill="000080"/>
    </w:pPr>
  </w:style>
  <w:style w:type="paragraph" w:styleId="22">
    <w:name w:val="annotation text"/>
    <w:basedOn w:val="1"/>
    <w:link w:val="344"/>
    <w:autoRedefine/>
    <w:qFormat/>
    <w:uiPriority w:val="99"/>
    <w:pPr>
      <w:jc w:val="left"/>
    </w:pPr>
  </w:style>
  <w:style w:type="paragraph" w:styleId="23">
    <w:name w:val="Salutation"/>
    <w:basedOn w:val="1"/>
    <w:next w:val="1"/>
    <w:link w:val="298"/>
    <w:autoRedefine/>
    <w:qFormat/>
    <w:uiPriority w:val="0"/>
    <w:rPr>
      <w:rFonts w:ascii="仿宋_GB2312" w:eastAsia="仿宋_GB2312"/>
      <w:sz w:val="28"/>
      <w:szCs w:val="20"/>
    </w:rPr>
  </w:style>
  <w:style w:type="paragraph" w:styleId="24">
    <w:name w:val="Body Text 3"/>
    <w:basedOn w:val="1"/>
    <w:link w:val="330"/>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Body Text Indent"/>
    <w:basedOn w:val="1"/>
    <w:link w:val="265"/>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1"/>
    <w:autoRedefine/>
    <w:qFormat/>
    <w:uiPriority w:val="0"/>
    <w:pPr>
      <w:ind w:left="100" w:leftChars="2500"/>
    </w:pPr>
    <w:rPr>
      <w:rFonts w:ascii="宋体"/>
      <w:sz w:val="24"/>
      <w:szCs w:val="21"/>
      <w:lang w:val="zh-CN"/>
    </w:rPr>
  </w:style>
  <w:style w:type="paragraph" w:styleId="38">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2"/>
    <w:autoRedefine/>
    <w:qFormat/>
    <w:uiPriority w:val="0"/>
    <w:rPr>
      <w:lang w:val="zh-CN"/>
    </w:rPr>
  </w:style>
  <w:style w:type="paragraph" w:styleId="40">
    <w:name w:val="Balloon Text"/>
    <w:basedOn w:val="1"/>
    <w:link w:val="188"/>
    <w:autoRedefine/>
    <w:qFormat/>
    <w:uiPriority w:val="0"/>
    <w:rPr>
      <w:sz w:val="18"/>
      <w:szCs w:val="18"/>
    </w:rPr>
  </w:style>
  <w:style w:type="paragraph" w:styleId="41">
    <w:name w:val="footer"/>
    <w:basedOn w:val="1"/>
    <w:link w:val="383"/>
    <w:autoRedefine/>
    <w:qFormat/>
    <w:uiPriority w:val="99"/>
    <w:pPr>
      <w:tabs>
        <w:tab w:val="center" w:pos="4153"/>
        <w:tab w:val="right" w:pos="8306"/>
      </w:tabs>
      <w:snapToGrid w:val="0"/>
      <w:jc w:val="left"/>
    </w:pPr>
    <w:rPr>
      <w:sz w:val="18"/>
      <w:szCs w:val="18"/>
    </w:rPr>
  </w:style>
  <w:style w:type="paragraph" w:styleId="42">
    <w:name w:val="header"/>
    <w:basedOn w:val="1"/>
    <w:link w:val="392"/>
    <w:autoRedefine/>
    <w:qFormat/>
    <w:uiPriority w:val="99"/>
    <w:pPr>
      <w:pBdr>
        <w:bottom w:val="single" w:color="auto" w:sz="6" w:space="1"/>
      </w:pBdr>
      <w:tabs>
        <w:tab w:val="center" w:pos="4153"/>
        <w:tab w:val="right" w:pos="8306"/>
      </w:tabs>
      <w:snapToGrid w:val="0"/>
      <w:jc w:val="right"/>
    </w:pPr>
    <w:rPr>
      <w:sz w:val="18"/>
      <w:szCs w:val="18"/>
    </w:rPr>
  </w:style>
  <w:style w:type="paragraph" w:styleId="43">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8"/>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5"/>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2"/>
    <w:autoRedefine/>
    <w:qFormat/>
    <w:uiPriority w:val="0"/>
    <w:pPr>
      <w:spacing w:after="120" w:line="480" w:lineRule="auto"/>
    </w:pPr>
  </w:style>
  <w:style w:type="paragraph" w:styleId="57">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6"/>
    <w:autoRedefine/>
    <w:qFormat/>
    <w:uiPriority w:val="0"/>
    <w:rPr>
      <w:b/>
      <w:bCs/>
    </w:rPr>
  </w:style>
  <w:style w:type="paragraph" w:styleId="61">
    <w:name w:val="Body Text First Indent 2"/>
    <w:basedOn w:val="26"/>
    <w:link w:val="121"/>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styleId="79">
    <w:name w:val="HTML Sample"/>
    <w:basedOn w:val="69"/>
    <w:autoRedefine/>
    <w:qFormat/>
    <w:uiPriority w:val="0"/>
    <w:rPr>
      <w:rFonts w:ascii="Courier New" w:hAnsi="Courier New"/>
    </w:rPr>
  </w:style>
  <w:style w:type="paragraph" w:customStyle="1" w:styleId="80">
    <w:name w:val="正文空2字"/>
    <w:basedOn w:val="81"/>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autoRedefine/>
    <w:qFormat/>
    <w:uiPriority w:val="99"/>
    <w:rPr>
      <w:rFonts w:ascii="Calibri" w:hAnsi="Calibri" w:eastAsia="仿宋_GB2312" w:cs="Calibri"/>
      <w:kern w:val="2"/>
      <w:sz w:val="32"/>
      <w:szCs w:val="32"/>
      <w:lang w:val="en-US" w:eastAsia="zh-CN" w:bidi="ar-SA"/>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Char1"/>
    <w:link w:val="60"/>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首行缩进 2 Char"/>
    <w:link w:val="61"/>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69"/>
    <w:autoRedefine/>
    <w:qFormat/>
    <w:uiPriority w:val="0"/>
    <w:rPr>
      <w:rFonts w:ascii="Arial" w:hAnsi="Arial" w:eastAsia="黑体" w:cs="Arial"/>
      <w:snapToGrid w:val="0"/>
      <w:kern w:val="0"/>
      <w:szCs w:val="21"/>
    </w:rPr>
  </w:style>
  <w:style w:type="character" w:customStyle="1" w:styleId="125">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Char"/>
    <w:link w:val="48"/>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Char"/>
    <w:link w:val="11"/>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6"/>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7"/>
    <w:autoRedefine/>
    <w:qFormat/>
    <w:uiPriority w:val="0"/>
    <w:rPr>
      <w:rFonts w:ascii="宋体"/>
      <w:kern w:val="2"/>
      <w:sz w:val="24"/>
      <w:szCs w:val="21"/>
      <w:lang w:val="zh-CN"/>
    </w:rPr>
  </w:style>
  <w:style w:type="character" w:customStyle="1" w:styleId="182">
    <w:name w:val="标题 9 Char"/>
    <w:link w:val="14"/>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40"/>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8"/>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7"/>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21"/>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69"/>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31"/>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9"/>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9"/>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6"/>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Char"/>
    <w:link w:val="5"/>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59"/>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10"/>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3"/>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7"/>
    <w:autoRedefine/>
    <w:qFormat/>
    <w:uiPriority w:val="0"/>
    <w:rPr>
      <w:rFonts w:ascii="黑体" w:hAnsi="Courier New" w:eastAsia="黑体"/>
    </w:rPr>
  </w:style>
  <w:style w:type="character" w:customStyle="1" w:styleId="302">
    <w:name w:val="正文文本 2 Char1"/>
    <w:link w:val="56"/>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9"/>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12"/>
    <w:autoRedefine/>
    <w:qFormat/>
    <w:uiPriority w:val="0"/>
    <w:rPr>
      <w:b/>
      <w:bCs/>
      <w:kern w:val="2"/>
      <w:sz w:val="24"/>
      <w:szCs w:val="24"/>
    </w:rPr>
  </w:style>
  <w:style w:type="character" w:customStyle="1" w:styleId="308">
    <w:name w:val="正文文本缩进 2 Char"/>
    <w:link w:val="38"/>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1"/>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2"/>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9"/>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4"/>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22"/>
    <w:autoRedefine/>
    <w:qFormat/>
    <w:uiPriority w:val="99"/>
    <w:rPr>
      <w:kern w:val="2"/>
      <w:sz w:val="21"/>
      <w:szCs w:val="24"/>
    </w:rPr>
  </w:style>
  <w:style w:type="character" w:customStyle="1" w:styleId="345">
    <w:name w:val="签名 Char"/>
    <w:link w:val="43"/>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3"/>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3"/>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1"/>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2"/>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69"/>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8"/>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3"/>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69"/>
    <w:autoRedefine/>
    <w:qFormat/>
    <w:uiPriority w:val="0"/>
    <w:rPr>
      <w:rFonts w:ascii="Arial" w:hAnsi="Arial" w:eastAsia="黑体" w:cs="Arial"/>
      <w:snapToGrid w:val="0"/>
      <w:kern w:val="0"/>
      <w:szCs w:val="21"/>
    </w:rPr>
  </w:style>
  <w:style w:type="character" w:customStyle="1" w:styleId="432">
    <w:name w:val="hui"/>
    <w:basedOn w:val="69"/>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9"/>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6"/>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6"/>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outlineLvl w:val="5"/>
    </w:pPr>
  </w:style>
  <w:style w:type="paragraph" w:customStyle="1" w:styleId="474">
    <w:name w:val="5级标题"/>
    <w:basedOn w:val="475"/>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11"/>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6"/>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5"/>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7"/>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10"/>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7"/>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6"/>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8"/>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5"/>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9"/>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6"/>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autoRedefine/>
    <w:qFormat/>
    <w:uiPriority w:val="0"/>
    <w:rPr>
      <w:rFonts w:ascii="宋体" w:eastAsia="宋体" w:cs="Times New Roman"/>
      <w:color w:val="auto"/>
    </w:rPr>
  </w:style>
  <w:style w:type="paragraph" w:customStyle="1" w:styleId="550">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8"/>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6"/>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next w:val="3"/>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7"/>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6"/>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7"/>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5"/>
    <w:autoRedefine/>
    <w:qFormat/>
    <w:uiPriority w:val="0"/>
    <w:pPr>
      <w:tabs>
        <w:tab w:val="left" w:pos="840"/>
      </w:tabs>
      <w:adjustRightInd/>
      <w:ind w:left="840" w:hanging="420"/>
    </w:pPr>
  </w:style>
  <w:style w:type="paragraph" w:customStyle="1" w:styleId="626">
    <w:name w:val="样式 标题 2标题2H2Heading 2 HiddenHeading 2 CCBSheading 22nd lev..."/>
    <w:basedOn w:val="6"/>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9"/>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6"/>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Lines="0" w:afterLines="0"/>
      <w:ind w:left="1680"/>
      <w:outlineLvl w:val="2"/>
    </w:pPr>
  </w:style>
  <w:style w:type="paragraph" w:customStyle="1" w:styleId="658">
    <w:name w:val="章标题"/>
    <w:next w:val="640"/>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6"/>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5"/>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5"/>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9"/>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6"/>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7"/>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3"/>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8"/>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7"/>
    <w:next w:val="53"/>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5"/>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9"/>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7"/>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8"/>
    <w:autoRedefine/>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21"/>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8"/>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7"/>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5"/>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10"/>
    <w:next w:val="1"/>
    <w:autoRedefine/>
    <w:qFormat/>
    <w:uiPriority w:val="0"/>
    <w:pPr>
      <w:tabs>
        <w:tab w:val="left" w:pos="1080"/>
      </w:tabs>
      <w:ind w:left="1080" w:hanging="1080"/>
    </w:pPr>
  </w:style>
  <w:style w:type="paragraph" w:customStyle="1" w:styleId="897">
    <w:name w:val="数字标题1"/>
    <w:basedOn w:val="5"/>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3"/>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39"/>
    <w:autoRedefine/>
    <w:qFormat/>
    <w:uiPriority w:val="0"/>
    <w:rPr>
      <w:kern w:val="2"/>
      <w:sz w:val="21"/>
      <w:szCs w:val="24"/>
      <w:lang w:val="zh-CN"/>
    </w:rPr>
  </w:style>
  <w:style w:type="character" w:customStyle="1" w:styleId="933">
    <w:name w:val="无间隔 Char"/>
    <w:link w:val="483"/>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258"/>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6"/>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正文_0_0_0_0_0_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66">
    <w:name w:val="正文7"/>
    <w:basedOn w:val="1"/>
    <w:next w:val="967"/>
    <w:autoRedefine/>
    <w:qFormat/>
    <w:uiPriority w:val="0"/>
    <w:pPr>
      <w:widowControl/>
      <w:kinsoku w:val="0"/>
      <w:autoSpaceDE w:val="0"/>
      <w:autoSpaceDN w:val="0"/>
      <w:snapToGrid w:val="0"/>
      <w:jc w:val="left"/>
      <w:textAlignment w:val="baseline"/>
    </w:pPr>
    <w:rPr>
      <w:rFonts w:ascii="Arial" w:hAnsi="Arial"/>
      <w:color w:val="000000"/>
      <w:kern w:val="0"/>
      <w:sz w:val="23"/>
      <w:szCs w:val="23"/>
    </w:rPr>
  </w:style>
  <w:style w:type="paragraph" w:customStyle="1" w:styleId="967">
    <w:name w:val="标题 11"/>
    <w:basedOn w:val="966"/>
    <w:next w:val="966"/>
    <w:autoRedefine/>
    <w:qFormat/>
    <w:uiPriority w:val="9"/>
    <w:pPr>
      <w:keepNext/>
      <w:spacing w:beforeLines="150"/>
      <w:jc w:val="center"/>
      <w:outlineLvl w:val="0"/>
    </w:pPr>
    <w:rPr>
      <w:rFonts w:ascii="Times New Roman" w:hAnsi="Times New Roman"/>
      <w:b/>
      <w:bCs/>
      <w:kern w:val="44"/>
      <w:sz w:val="44"/>
      <w:szCs w:val="44"/>
    </w:rPr>
  </w:style>
  <w:style w:type="paragraph" w:customStyle="1" w:styleId="968">
    <w:name w:val="专用标题2"/>
    <w:basedOn w:val="969"/>
    <w:next w:val="965"/>
    <w:autoRedefine/>
    <w:qFormat/>
    <w:uiPriority w:val="99"/>
    <w:pPr>
      <w:keepNext w:val="0"/>
      <w:keepLines w:val="0"/>
      <w:widowControl/>
      <w:tabs>
        <w:tab w:val="left" w:pos="993"/>
      </w:tabs>
      <w:adjustRightInd w:val="0"/>
      <w:snapToGrid w:val="0"/>
      <w:spacing w:before="0" w:afterLines="50" w:line="360" w:lineRule="auto"/>
    </w:pPr>
    <w:rPr>
      <w:rFonts w:ascii="宋体" w:hAnsi="宋体" w:cs="Times"/>
      <w:bCs w:val="0"/>
      <w:sz w:val="28"/>
      <w:szCs w:val="20"/>
    </w:rPr>
  </w:style>
  <w:style w:type="paragraph" w:customStyle="1" w:styleId="969">
    <w:name w:val="标题 2_1"/>
    <w:basedOn w:val="970"/>
    <w:next w:val="965"/>
    <w:autoRedefine/>
    <w:qFormat/>
    <w:uiPriority w:val="9"/>
    <w:pPr>
      <w:keepNext/>
      <w:keepLines/>
      <w:spacing w:before="260" w:after="260" w:line="416" w:lineRule="auto"/>
      <w:outlineLvl w:val="1"/>
    </w:pPr>
    <w:rPr>
      <w:rFonts w:ascii="Calibri Light" w:hAnsi="Calibri Light"/>
      <w:b/>
      <w:bCs/>
      <w:kern w:val="0"/>
      <w:sz w:val="32"/>
      <w:szCs w:val="32"/>
    </w:rPr>
  </w:style>
  <w:style w:type="paragraph" w:customStyle="1" w:styleId="970">
    <w:name w:val="正文_0_0_0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1">
    <w:name w:val="正文_0_0_0_1_0"/>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72">
    <w:name w:val="正文_0_0_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3">
    <w:name w:val="正文_0_0_0_1"/>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74">
    <w:name w:val="正文_0_0_0_0_0_1"/>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75">
    <w:name w:val="正文_0_0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6">
    <w:name w:val="正文1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977">
    <w:name w:val="正文_1"/>
    <w:next w:val="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78">
    <w:name w:val="正文111"/>
    <w:basedOn w:val="33"/>
    <w:next w:val="1"/>
    <w:autoRedefine/>
    <w:qFormat/>
    <w:uiPriority w:val="0"/>
    <w:pPr>
      <w:ind w:left="0" w:leftChars="0" w:firstLine="480" w:firstLineChars="200"/>
    </w:pPr>
    <w:rPr>
      <w:rFonts w:ascii="仿宋_GB2312" w:hAnsi="Courier New" w:eastAsia="仿宋_GB2312"/>
      <w:kern w:val="28"/>
      <w:sz w:val="24"/>
    </w:rPr>
  </w:style>
  <w:style w:type="paragraph" w:customStyle="1" w:styleId="979">
    <w:name w:val="[Normal]"/>
    <w:autoRedefine/>
    <w:qFormat/>
    <w:uiPriority w:val="0"/>
    <w:rPr>
      <w:rFonts w:ascii="宋体" w:hAnsi="宋体" w:eastAsia="宋体" w:cs="Times New Roman"/>
      <w:sz w:val="24"/>
      <w:szCs w:val="22"/>
      <w:lang w:val="zh-CN" w:eastAsia="zh-CN" w:bidi="ar-SA"/>
    </w:rPr>
  </w:style>
  <w:style w:type="paragraph" w:customStyle="1" w:styleId="980">
    <w:name w:val="条2"/>
    <w:basedOn w:val="1"/>
    <w:next w:val="640"/>
    <w:autoRedefine/>
    <w:qFormat/>
    <w:uiPriority w:val="0"/>
    <w:pPr>
      <w:adjustRightInd/>
      <w:outlineLvl w:val="1"/>
    </w:pPr>
    <w:rPr>
      <w:rFonts w:ascii="黑体" w:eastAsia="黑体"/>
      <w:kern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65</Pages>
  <Words>34814</Words>
  <Characters>36700</Characters>
  <Lines>509</Lines>
  <Paragraphs>143</Paragraphs>
  <TotalTime>31</TotalTime>
  <ScaleCrop>false</ScaleCrop>
  <LinksUpToDate>false</LinksUpToDate>
  <CharactersWithSpaces>38072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2023-12-26T06:22:00Z</dcterms:created>
  <dc:creator>玥</dc:creator>
  <cp:lastModifiedBy>恩。</cp:lastModifiedBy>
  <cp:lastPrinted>2021-12-27T11:06:00Z</cp:lastPrinted>
  <dcterms:modified xsi:type="dcterms:W3CDTF">2024-07-08T03:30:35Z</dcterms:modified>
  <dc:title>杭州市市民卡扩大发卡工程</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DAFB8D69634C40B68AD5E16191D7B726_13</vt:lpwstr>
  </property>
</Properties>
</file>